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drawings/drawing1.xml" ContentType="application/vnd.openxmlformats-officedocument.drawingml.chartshapes+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drawings/drawing2.xml" ContentType="application/vnd.openxmlformats-officedocument.drawingml.chartshapes+xml"/>
  <Override PartName="/word/charts/chart12.xml" ContentType="application/vnd.openxmlformats-officedocument.drawingml.chart+xml"/>
  <Override PartName="/word/drawings/drawing3.xml" ContentType="application/vnd.openxmlformats-officedocument.drawingml.chartshapes+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drawings/drawing4.xml" ContentType="application/vnd.openxmlformats-officedocument.drawingml.chartshapes+xml"/>
  <Override PartName="/word/charts/chart18.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19.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20.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21.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22.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23.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24.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25.xml" ContentType="application/vnd.openxmlformats-officedocument.drawingml.chart+xml"/>
  <Override PartName="/word/charts/style8.xml" ContentType="application/vnd.ms-office.chartstyle+xml"/>
  <Override PartName="/word/charts/colors8.xml" ContentType="application/vnd.ms-office.chartcolorstyle+xml"/>
  <Override PartName="/word/drawings/drawing5.xml" ContentType="application/vnd.openxmlformats-officedocument.drawingml.chartshapes+xml"/>
  <Override PartName="/word/charts/chart26.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27.xml" ContentType="application/vnd.openxmlformats-officedocument.drawingml.chart+xml"/>
  <Override PartName="/word/charts/style10.xml" ContentType="application/vnd.ms-office.chartstyle+xml"/>
  <Override PartName="/word/charts/colors10.xml" ContentType="application/vnd.ms-office.chartcolorstyle+xml"/>
  <Override PartName="/word/drawings/drawing6.xml" ContentType="application/vnd.openxmlformats-officedocument.drawingml.chartshapes+xml"/>
  <Override PartName="/word/charts/chart28.xml" ContentType="application/vnd.openxmlformats-officedocument.drawingml.chart+xml"/>
  <Override PartName="/word/charts/style11.xml" ContentType="application/vnd.ms-office.chartstyle+xml"/>
  <Override PartName="/word/charts/colors11.xml" ContentType="application/vnd.ms-office.chartcolorstyle+xml"/>
  <Override PartName="/word/drawings/drawing7.xml" ContentType="application/vnd.openxmlformats-officedocument.drawingml.chartshapes+xml"/>
  <Override PartName="/word/charts/chart29.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30.xml" ContentType="application/vnd.openxmlformats-officedocument.drawingml.chart+xml"/>
  <Override PartName="/word/charts/style13.xml" ContentType="application/vnd.ms-office.chartstyle+xml"/>
  <Override PartName="/word/charts/colors13.xml" ContentType="application/vnd.ms-office.chartcolorstyle+xml"/>
  <Override PartName="/word/drawings/drawing8.xml" ContentType="application/vnd.openxmlformats-officedocument.drawingml.chartshapes+xml"/>
  <Override PartName="/word/charts/chart31.xml" ContentType="application/vnd.openxmlformats-officedocument.drawingml.chart+xml"/>
  <Override PartName="/word/charts/style14.xml" ContentType="application/vnd.ms-office.chartstyle+xml"/>
  <Override PartName="/word/charts/colors14.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BE9FC94" w14:textId="77777777" w:rsidR="00A75E40" w:rsidRPr="00360DE3" w:rsidRDefault="00090C18" w:rsidP="00E67696">
      <w:pPr>
        <w:rPr>
          <w:lang w:eastAsia="ar-SA"/>
        </w:rPr>
        <w:sectPr w:rsidR="00A75E40" w:rsidRPr="00360DE3" w:rsidSect="0085114D">
          <w:pgSz w:w="11906" w:h="16838" w:code="9"/>
          <w:pgMar w:top="1134" w:right="1134" w:bottom="1418" w:left="1134" w:header="709" w:footer="709" w:gutter="0"/>
          <w:pgNumType w:start="1"/>
          <w:cols w:space="708"/>
          <w:docGrid w:linePitch="360"/>
        </w:sectPr>
      </w:pPr>
      <w:r>
        <w:rPr>
          <w:noProof/>
        </w:rPr>
        <mc:AlternateContent>
          <mc:Choice Requires="wpg">
            <w:drawing>
              <wp:anchor distT="0" distB="0" distL="114300" distR="114300" simplePos="0" relativeHeight="251657728" behindDoc="0" locked="1" layoutInCell="1" allowOverlap="1" wp14:anchorId="5CDFF6BB" wp14:editId="17094AE3">
                <wp:simplePos x="0" y="0"/>
                <wp:positionH relativeFrom="page">
                  <wp:posOffset>571500</wp:posOffset>
                </wp:positionH>
                <wp:positionV relativeFrom="page">
                  <wp:posOffset>466725</wp:posOffset>
                </wp:positionV>
                <wp:extent cx="2249805" cy="554355"/>
                <wp:effectExtent l="0" t="0" r="0" b="0"/>
                <wp:wrapSquare wrapText="bothSides"/>
                <wp:docPr id="9" name="Group 2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2249805" cy="554355"/>
                          <a:chOff x="567" y="851"/>
                          <a:chExt cx="2714" cy="667"/>
                        </a:xfrm>
                      </wpg:grpSpPr>
                      <wps:wsp>
                        <wps:cNvPr id="10" name="Rectangle 9"/>
                        <wps:cNvSpPr>
                          <a:spLocks noChangeAspect="1" noChangeArrowheads="1"/>
                        </wps:cNvSpPr>
                        <wps:spPr bwMode="auto">
                          <a:xfrm>
                            <a:off x="1215" y="901"/>
                            <a:ext cx="676" cy="154"/>
                          </a:xfrm>
                          <a:prstGeom prst="rect">
                            <a:avLst/>
                          </a:prstGeom>
                          <a:solidFill>
                            <a:srgbClr val="0071BC"/>
                          </a:solidFill>
                          <a:ln>
                            <a:noFill/>
                          </a:ln>
                          <a:extLst>
                            <a:ext uri="{91240B29-F687-4f45-9708-019B960494DF}">
                              <a14:hiddenLine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miter lim="800000"/>
                                <a:headEnd/>
                                <a:tailEnd/>
                              </a14:hiddenLine>
                            </a:ext>
                          </a:extLst>
                        </wps:spPr>
                        <wps:bodyPr rot="0" vert="horz" wrap="square" lIns="91440" tIns="45720" rIns="91440" bIns="45720" anchor="t" anchorCtr="0" upright="1">
                          <a:noAutofit/>
                        </wps:bodyPr>
                      </wps:wsp>
                      <wps:wsp>
                        <wps:cNvPr id="11" name="Rectangle 10"/>
                        <wps:cNvSpPr>
                          <a:spLocks noChangeAspect="1" noChangeArrowheads="1"/>
                        </wps:cNvSpPr>
                        <wps:spPr bwMode="auto">
                          <a:xfrm>
                            <a:off x="567" y="1131"/>
                            <a:ext cx="1324" cy="154"/>
                          </a:xfrm>
                          <a:prstGeom prst="rect">
                            <a:avLst/>
                          </a:prstGeom>
                          <a:solidFill>
                            <a:srgbClr val="0071BC"/>
                          </a:solidFill>
                          <a:ln>
                            <a:noFill/>
                          </a:ln>
                          <a:extLst>
                            <a:ext uri="{91240B29-F687-4f45-9708-019B960494DF}">
                              <a14:hiddenLine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miter lim="800000"/>
                                <a:headEnd/>
                                <a:tailEnd/>
                              </a14:hiddenLine>
                            </a:ext>
                          </a:extLst>
                        </wps:spPr>
                        <wps:bodyPr rot="0" vert="horz" wrap="square" lIns="91440" tIns="45720" rIns="91440" bIns="45720" anchor="t" anchorCtr="0" upright="1">
                          <a:noAutofit/>
                        </wps:bodyPr>
                      </wps:wsp>
                      <wps:wsp>
                        <wps:cNvPr id="12" name="Rectangle 11"/>
                        <wps:cNvSpPr>
                          <a:spLocks noChangeAspect="1" noChangeArrowheads="1"/>
                        </wps:cNvSpPr>
                        <wps:spPr bwMode="auto">
                          <a:xfrm>
                            <a:off x="1288" y="1361"/>
                            <a:ext cx="603" cy="153"/>
                          </a:xfrm>
                          <a:prstGeom prst="rect">
                            <a:avLst/>
                          </a:prstGeom>
                          <a:solidFill>
                            <a:srgbClr val="0071BC"/>
                          </a:solidFill>
                          <a:ln>
                            <a:noFill/>
                          </a:ln>
                          <a:extLst>
                            <a:ext uri="{91240B29-F687-4f45-9708-019B960494DF}">
                              <a14:hiddenLine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miter lim="800000"/>
                                <a:headEnd/>
                                <a:tailEnd/>
                              </a14:hiddenLine>
                            </a:ext>
                          </a:extLst>
                        </wps:spPr>
                        <wps:bodyPr rot="0" vert="horz" wrap="square" lIns="91440" tIns="45720" rIns="91440" bIns="45720" anchor="t" anchorCtr="0" upright="1">
                          <a:noAutofit/>
                        </wps:bodyPr>
                      </wps:wsp>
                      <wps:wsp>
                        <wps:cNvPr id="13" name="Freeform 12"/>
                        <wps:cNvSpPr>
                          <a:spLocks noChangeAspect="1" noEditPoints="1"/>
                        </wps:cNvSpPr>
                        <wps:spPr bwMode="auto">
                          <a:xfrm>
                            <a:off x="1969" y="1311"/>
                            <a:ext cx="600" cy="207"/>
                          </a:xfrm>
                          <a:custGeom>
                            <a:avLst/>
                            <a:gdLst>
                              <a:gd name="T0" fmla="*/ 520 w 1200"/>
                              <a:gd name="T1" fmla="*/ 84 h 415"/>
                              <a:gd name="T2" fmla="*/ 537 w 1200"/>
                              <a:gd name="T3" fmla="*/ 88 h 415"/>
                              <a:gd name="T4" fmla="*/ 550 w 1200"/>
                              <a:gd name="T5" fmla="*/ 100 h 415"/>
                              <a:gd name="T6" fmla="*/ 557 w 1200"/>
                              <a:gd name="T7" fmla="*/ 114 h 415"/>
                              <a:gd name="T8" fmla="*/ 559 w 1200"/>
                              <a:gd name="T9" fmla="*/ 131 h 415"/>
                              <a:gd name="T10" fmla="*/ 554 w 1200"/>
                              <a:gd name="T11" fmla="*/ 147 h 415"/>
                              <a:gd name="T12" fmla="*/ 544 w 1200"/>
                              <a:gd name="T13" fmla="*/ 160 h 415"/>
                              <a:gd name="T14" fmla="*/ 530 w 1200"/>
                              <a:gd name="T15" fmla="*/ 168 h 415"/>
                              <a:gd name="T16" fmla="*/ 506 w 1200"/>
                              <a:gd name="T17" fmla="*/ 170 h 415"/>
                              <a:gd name="T18" fmla="*/ 540 w 1200"/>
                              <a:gd name="T19" fmla="*/ 202 h 415"/>
                              <a:gd name="T20" fmla="*/ 567 w 1200"/>
                              <a:gd name="T21" fmla="*/ 190 h 415"/>
                              <a:gd name="T22" fmla="*/ 587 w 1200"/>
                              <a:gd name="T23" fmla="*/ 169 h 415"/>
                              <a:gd name="T24" fmla="*/ 599 w 1200"/>
                              <a:gd name="T25" fmla="*/ 142 h 415"/>
                              <a:gd name="T26" fmla="*/ 599 w 1200"/>
                              <a:gd name="T27" fmla="*/ 111 h 415"/>
                              <a:gd name="T28" fmla="*/ 587 w 1200"/>
                              <a:gd name="T29" fmla="*/ 84 h 415"/>
                              <a:gd name="T30" fmla="*/ 567 w 1200"/>
                              <a:gd name="T31" fmla="*/ 63 h 415"/>
                              <a:gd name="T32" fmla="*/ 540 w 1200"/>
                              <a:gd name="T33" fmla="*/ 51 h 415"/>
                              <a:gd name="T34" fmla="*/ 466 w 1200"/>
                              <a:gd name="T35" fmla="*/ 204 h 415"/>
                              <a:gd name="T36" fmla="*/ 388 w 1200"/>
                              <a:gd name="T37" fmla="*/ 146 h 415"/>
                              <a:gd name="T38" fmla="*/ 393 w 1200"/>
                              <a:gd name="T39" fmla="*/ 50 h 415"/>
                              <a:gd name="T40" fmla="*/ 343 w 1200"/>
                              <a:gd name="T41" fmla="*/ 177 h 415"/>
                              <a:gd name="T42" fmla="*/ 257 w 1200"/>
                              <a:gd name="T43" fmla="*/ 18 h 415"/>
                              <a:gd name="T44" fmla="*/ 174 w 1200"/>
                              <a:gd name="T45" fmla="*/ 18 h 415"/>
                              <a:gd name="T46" fmla="*/ 216 w 1200"/>
                              <a:gd name="T47" fmla="*/ 81 h 415"/>
                              <a:gd name="T48" fmla="*/ 231 w 1200"/>
                              <a:gd name="T49" fmla="*/ 88 h 415"/>
                              <a:gd name="T50" fmla="*/ 235 w 1200"/>
                              <a:gd name="T51" fmla="*/ 104 h 415"/>
                              <a:gd name="T52" fmla="*/ 225 w 1200"/>
                              <a:gd name="T53" fmla="*/ 116 h 415"/>
                              <a:gd name="T54" fmla="*/ 204 w 1200"/>
                              <a:gd name="T55" fmla="*/ 119 h 415"/>
                              <a:gd name="T56" fmla="*/ 258 w 1200"/>
                              <a:gd name="T57" fmla="*/ 135 h 415"/>
                              <a:gd name="T58" fmla="*/ 271 w 1200"/>
                              <a:gd name="T59" fmla="*/ 121 h 415"/>
                              <a:gd name="T60" fmla="*/ 276 w 1200"/>
                              <a:gd name="T61" fmla="*/ 102 h 415"/>
                              <a:gd name="T62" fmla="*/ 275 w 1200"/>
                              <a:gd name="T63" fmla="*/ 83 h 415"/>
                              <a:gd name="T64" fmla="*/ 266 w 1200"/>
                              <a:gd name="T65" fmla="*/ 67 h 415"/>
                              <a:gd name="T66" fmla="*/ 252 w 1200"/>
                              <a:gd name="T67" fmla="*/ 55 h 415"/>
                              <a:gd name="T68" fmla="*/ 232 w 1200"/>
                              <a:gd name="T69" fmla="*/ 50 h 415"/>
                              <a:gd name="T70" fmla="*/ 204 w 1200"/>
                              <a:gd name="T71" fmla="*/ 204 h 415"/>
                              <a:gd name="T72" fmla="*/ 243 w 1200"/>
                              <a:gd name="T73" fmla="*/ 141 h 415"/>
                              <a:gd name="T74" fmla="*/ 67 w 1200"/>
                              <a:gd name="T75" fmla="*/ 42 h 415"/>
                              <a:gd name="T76" fmla="*/ 0 w 1200"/>
                              <a:gd name="T77" fmla="*/ 139 h 415"/>
                              <a:gd name="T78" fmla="*/ 3 w 1200"/>
                              <a:gd name="T79" fmla="*/ 166 h 415"/>
                              <a:gd name="T80" fmla="*/ 12 w 1200"/>
                              <a:gd name="T81" fmla="*/ 184 h 415"/>
                              <a:gd name="T82" fmla="*/ 34 w 1200"/>
                              <a:gd name="T83" fmla="*/ 201 h 415"/>
                              <a:gd name="T84" fmla="*/ 67 w 1200"/>
                              <a:gd name="T85" fmla="*/ 207 h 415"/>
                              <a:gd name="T86" fmla="*/ 96 w 1200"/>
                              <a:gd name="T87" fmla="*/ 202 h 415"/>
                              <a:gd name="T88" fmla="*/ 119 w 1200"/>
                              <a:gd name="T89" fmla="*/ 186 h 415"/>
                              <a:gd name="T90" fmla="*/ 131 w 1200"/>
                              <a:gd name="T91" fmla="*/ 166 h 415"/>
                              <a:gd name="T92" fmla="*/ 134 w 1200"/>
                              <a:gd name="T93" fmla="*/ 139 h 415"/>
                              <a:gd name="T94" fmla="*/ 95 w 1200"/>
                              <a:gd name="T95" fmla="*/ 143 h 415"/>
                              <a:gd name="T96" fmla="*/ 89 w 1200"/>
                              <a:gd name="T97" fmla="*/ 163 h 415"/>
                              <a:gd name="T98" fmla="*/ 78 w 1200"/>
                              <a:gd name="T99" fmla="*/ 170 h 415"/>
                              <a:gd name="T100" fmla="*/ 63 w 1200"/>
                              <a:gd name="T101" fmla="*/ 172 h 415"/>
                              <a:gd name="T102" fmla="*/ 52 w 1200"/>
                              <a:gd name="T103" fmla="*/ 168 h 415"/>
                              <a:gd name="T104" fmla="*/ 42 w 1200"/>
                              <a:gd name="T105" fmla="*/ 156 h 415"/>
                              <a:gd name="T106" fmla="*/ 40 w 1200"/>
                              <a:gd name="T107" fmla="*/ 50 h 415"/>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Lst>
                            <a:ahLst/>
                            <a:cxnLst>
                              <a:cxn ang="T108">
                                <a:pos x="T0" y="T1"/>
                              </a:cxn>
                              <a:cxn ang="T109">
                                <a:pos x="T2" y="T3"/>
                              </a:cxn>
                              <a:cxn ang="T110">
                                <a:pos x="T4" y="T5"/>
                              </a:cxn>
                              <a:cxn ang="T111">
                                <a:pos x="T6" y="T7"/>
                              </a:cxn>
                              <a:cxn ang="T112">
                                <a:pos x="T8" y="T9"/>
                              </a:cxn>
                              <a:cxn ang="T113">
                                <a:pos x="T10" y="T11"/>
                              </a:cxn>
                              <a:cxn ang="T114">
                                <a:pos x="T12" y="T13"/>
                              </a:cxn>
                              <a:cxn ang="T115">
                                <a:pos x="T14" y="T15"/>
                              </a:cxn>
                              <a:cxn ang="T116">
                                <a:pos x="T16" y="T17"/>
                              </a:cxn>
                              <a:cxn ang="T117">
                                <a:pos x="T18" y="T19"/>
                              </a:cxn>
                              <a:cxn ang="T118">
                                <a:pos x="T20" y="T21"/>
                              </a:cxn>
                              <a:cxn ang="T119">
                                <a:pos x="T22" y="T23"/>
                              </a:cxn>
                              <a:cxn ang="T120">
                                <a:pos x="T24" y="T25"/>
                              </a:cxn>
                              <a:cxn ang="T121">
                                <a:pos x="T26" y="T27"/>
                              </a:cxn>
                              <a:cxn ang="T122">
                                <a:pos x="T28" y="T29"/>
                              </a:cxn>
                              <a:cxn ang="T123">
                                <a:pos x="T30" y="T31"/>
                              </a:cxn>
                              <a:cxn ang="T124">
                                <a:pos x="T32" y="T33"/>
                              </a:cxn>
                              <a:cxn ang="T125">
                                <a:pos x="T34" y="T35"/>
                              </a:cxn>
                              <a:cxn ang="T126">
                                <a:pos x="T36" y="T37"/>
                              </a:cxn>
                              <a:cxn ang="T127">
                                <a:pos x="T38" y="T39"/>
                              </a:cxn>
                              <a:cxn ang="T128">
                                <a:pos x="T40" y="T41"/>
                              </a:cxn>
                              <a:cxn ang="T129">
                                <a:pos x="T42" y="T43"/>
                              </a:cxn>
                              <a:cxn ang="T130">
                                <a:pos x="T44" y="T45"/>
                              </a:cxn>
                              <a:cxn ang="T131">
                                <a:pos x="T46" y="T47"/>
                              </a:cxn>
                              <a:cxn ang="T132">
                                <a:pos x="T48" y="T49"/>
                              </a:cxn>
                              <a:cxn ang="T133">
                                <a:pos x="T50" y="T51"/>
                              </a:cxn>
                              <a:cxn ang="T134">
                                <a:pos x="T52" y="T53"/>
                              </a:cxn>
                              <a:cxn ang="T135">
                                <a:pos x="T54" y="T55"/>
                              </a:cxn>
                              <a:cxn ang="T136">
                                <a:pos x="T56" y="T57"/>
                              </a:cxn>
                              <a:cxn ang="T137">
                                <a:pos x="T58" y="T59"/>
                              </a:cxn>
                              <a:cxn ang="T138">
                                <a:pos x="T60" y="T61"/>
                              </a:cxn>
                              <a:cxn ang="T139">
                                <a:pos x="T62" y="T63"/>
                              </a:cxn>
                              <a:cxn ang="T140">
                                <a:pos x="T64" y="T65"/>
                              </a:cxn>
                              <a:cxn ang="T141">
                                <a:pos x="T66" y="T67"/>
                              </a:cxn>
                              <a:cxn ang="T142">
                                <a:pos x="T68" y="T69"/>
                              </a:cxn>
                              <a:cxn ang="T143">
                                <a:pos x="T70" y="T71"/>
                              </a:cxn>
                              <a:cxn ang="T144">
                                <a:pos x="T72" y="T73"/>
                              </a:cxn>
                              <a:cxn ang="T145">
                                <a:pos x="T74" y="T75"/>
                              </a:cxn>
                              <a:cxn ang="T146">
                                <a:pos x="T76" y="T77"/>
                              </a:cxn>
                              <a:cxn ang="T147">
                                <a:pos x="T78" y="T79"/>
                              </a:cxn>
                              <a:cxn ang="T148">
                                <a:pos x="T80" y="T81"/>
                              </a:cxn>
                              <a:cxn ang="T149">
                                <a:pos x="T82" y="T83"/>
                              </a:cxn>
                              <a:cxn ang="T150">
                                <a:pos x="T84" y="T85"/>
                              </a:cxn>
                              <a:cxn ang="T151">
                                <a:pos x="T86" y="T87"/>
                              </a:cxn>
                              <a:cxn ang="T152">
                                <a:pos x="T88" y="T89"/>
                              </a:cxn>
                              <a:cxn ang="T153">
                                <a:pos x="T90" y="T91"/>
                              </a:cxn>
                              <a:cxn ang="T154">
                                <a:pos x="T92" y="T93"/>
                              </a:cxn>
                              <a:cxn ang="T155">
                                <a:pos x="T94" y="T95"/>
                              </a:cxn>
                              <a:cxn ang="T156">
                                <a:pos x="T96" y="T97"/>
                              </a:cxn>
                              <a:cxn ang="T157">
                                <a:pos x="T98" y="T99"/>
                              </a:cxn>
                              <a:cxn ang="T158">
                                <a:pos x="T100" y="T101"/>
                              </a:cxn>
                              <a:cxn ang="T159">
                                <a:pos x="T102" y="T103"/>
                              </a:cxn>
                              <a:cxn ang="T160">
                                <a:pos x="T104" y="T105"/>
                              </a:cxn>
                              <a:cxn ang="T161">
                                <a:pos x="T106" y="T107"/>
                              </a:cxn>
                            </a:cxnLst>
                            <a:rect l="0" t="0" r="r" b="b"/>
                            <a:pathLst>
                              <a:path w="1200" h="415">
                                <a:moveTo>
                                  <a:pt x="1011" y="341"/>
                                </a:moveTo>
                                <a:lnTo>
                                  <a:pt x="1011" y="167"/>
                                </a:lnTo>
                                <a:lnTo>
                                  <a:pt x="1030" y="167"/>
                                </a:lnTo>
                                <a:lnTo>
                                  <a:pt x="1040" y="169"/>
                                </a:lnTo>
                                <a:lnTo>
                                  <a:pt x="1049" y="170"/>
                                </a:lnTo>
                                <a:lnTo>
                                  <a:pt x="1059" y="171"/>
                                </a:lnTo>
                                <a:lnTo>
                                  <a:pt x="1067" y="174"/>
                                </a:lnTo>
                                <a:lnTo>
                                  <a:pt x="1074" y="177"/>
                                </a:lnTo>
                                <a:lnTo>
                                  <a:pt x="1082" y="182"/>
                                </a:lnTo>
                                <a:lnTo>
                                  <a:pt x="1088" y="187"/>
                                </a:lnTo>
                                <a:lnTo>
                                  <a:pt x="1094" y="194"/>
                                </a:lnTo>
                                <a:lnTo>
                                  <a:pt x="1099" y="200"/>
                                </a:lnTo>
                                <a:lnTo>
                                  <a:pt x="1104" y="206"/>
                                </a:lnTo>
                                <a:lnTo>
                                  <a:pt x="1108" y="213"/>
                                </a:lnTo>
                                <a:lnTo>
                                  <a:pt x="1112" y="221"/>
                                </a:lnTo>
                                <a:lnTo>
                                  <a:pt x="1114" y="228"/>
                                </a:lnTo>
                                <a:lnTo>
                                  <a:pt x="1116" y="237"/>
                                </a:lnTo>
                                <a:lnTo>
                                  <a:pt x="1117" y="245"/>
                                </a:lnTo>
                                <a:lnTo>
                                  <a:pt x="1117" y="253"/>
                                </a:lnTo>
                                <a:lnTo>
                                  <a:pt x="1117" y="262"/>
                                </a:lnTo>
                                <a:lnTo>
                                  <a:pt x="1116" y="271"/>
                                </a:lnTo>
                                <a:lnTo>
                                  <a:pt x="1114" y="278"/>
                                </a:lnTo>
                                <a:lnTo>
                                  <a:pt x="1112" y="287"/>
                                </a:lnTo>
                                <a:lnTo>
                                  <a:pt x="1108" y="294"/>
                                </a:lnTo>
                                <a:lnTo>
                                  <a:pt x="1104" y="301"/>
                                </a:lnTo>
                                <a:lnTo>
                                  <a:pt x="1099" y="308"/>
                                </a:lnTo>
                                <a:lnTo>
                                  <a:pt x="1094" y="314"/>
                                </a:lnTo>
                                <a:lnTo>
                                  <a:pt x="1088" y="321"/>
                                </a:lnTo>
                                <a:lnTo>
                                  <a:pt x="1082" y="326"/>
                                </a:lnTo>
                                <a:lnTo>
                                  <a:pt x="1074" y="331"/>
                                </a:lnTo>
                                <a:lnTo>
                                  <a:pt x="1067" y="334"/>
                                </a:lnTo>
                                <a:lnTo>
                                  <a:pt x="1059" y="337"/>
                                </a:lnTo>
                                <a:lnTo>
                                  <a:pt x="1049" y="338"/>
                                </a:lnTo>
                                <a:lnTo>
                                  <a:pt x="1040" y="339"/>
                                </a:lnTo>
                                <a:lnTo>
                                  <a:pt x="1030" y="341"/>
                                </a:lnTo>
                                <a:lnTo>
                                  <a:pt x="1011" y="341"/>
                                </a:lnTo>
                                <a:close/>
                                <a:moveTo>
                                  <a:pt x="931" y="408"/>
                                </a:moveTo>
                                <a:lnTo>
                                  <a:pt x="1049" y="408"/>
                                </a:lnTo>
                                <a:lnTo>
                                  <a:pt x="1064" y="407"/>
                                </a:lnTo>
                                <a:lnTo>
                                  <a:pt x="1079" y="404"/>
                                </a:lnTo>
                                <a:lnTo>
                                  <a:pt x="1093" y="400"/>
                                </a:lnTo>
                                <a:lnTo>
                                  <a:pt x="1107" y="395"/>
                                </a:lnTo>
                                <a:lnTo>
                                  <a:pt x="1121" y="389"/>
                                </a:lnTo>
                                <a:lnTo>
                                  <a:pt x="1133" y="380"/>
                                </a:lnTo>
                                <a:lnTo>
                                  <a:pt x="1144" y="372"/>
                                </a:lnTo>
                                <a:lnTo>
                                  <a:pt x="1155" y="362"/>
                                </a:lnTo>
                                <a:lnTo>
                                  <a:pt x="1165" y="351"/>
                                </a:lnTo>
                                <a:lnTo>
                                  <a:pt x="1174" y="339"/>
                                </a:lnTo>
                                <a:lnTo>
                                  <a:pt x="1182" y="326"/>
                                </a:lnTo>
                                <a:lnTo>
                                  <a:pt x="1188" y="313"/>
                                </a:lnTo>
                                <a:lnTo>
                                  <a:pt x="1194" y="298"/>
                                </a:lnTo>
                                <a:lnTo>
                                  <a:pt x="1198" y="284"/>
                                </a:lnTo>
                                <a:lnTo>
                                  <a:pt x="1200" y="270"/>
                                </a:lnTo>
                                <a:lnTo>
                                  <a:pt x="1200" y="253"/>
                                </a:lnTo>
                                <a:lnTo>
                                  <a:pt x="1200" y="238"/>
                                </a:lnTo>
                                <a:lnTo>
                                  <a:pt x="1198" y="223"/>
                                </a:lnTo>
                                <a:lnTo>
                                  <a:pt x="1194" y="208"/>
                                </a:lnTo>
                                <a:lnTo>
                                  <a:pt x="1188" y="195"/>
                                </a:lnTo>
                                <a:lnTo>
                                  <a:pt x="1182" y="181"/>
                                </a:lnTo>
                                <a:lnTo>
                                  <a:pt x="1174" y="169"/>
                                </a:lnTo>
                                <a:lnTo>
                                  <a:pt x="1165" y="157"/>
                                </a:lnTo>
                                <a:lnTo>
                                  <a:pt x="1155" y="146"/>
                                </a:lnTo>
                                <a:lnTo>
                                  <a:pt x="1144" y="136"/>
                                </a:lnTo>
                                <a:lnTo>
                                  <a:pt x="1133" y="126"/>
                                </a:lnTo>
                                <a:lnTo>
                                  <a:pt x="1121" y="119"/>
                                </a:lnTo>
                                <a:lnTo>
                                  <a:pt x="1107" y="113"/>
                                </a:lnTo>
                                <a:lnTo>
                                  <a:pt x="1093" y="108"/>
                                </a:lnTo>
                                <a:lnTo>
                                  <a:pt x="1079" y="103"/>
                                </a:lnTo>
                                <a:lnTo>
                                  <a:pt x="1064" y="101"/>
                                </a:lnTo>
                                <a:lnTo>
                                  <a:pt x="1049" y="100"/>
                                </a:lnTo>
                                <a:lnTo>
                                  <a:pt x="931" y="100"/>
                                </a:lnTo>
                                <a:lnTo>
                                  <a:pt x="931" y="408"/>
                                </a:lnTo>
                                <a:close/>
                                <a:moveTo>
                                  <a:pt x="775" y="293"/>
                                </a:moveTo>
                                <a:lnTo>
                                  <a:pt x="708" y="293"/>
                                </a:lnTo>
                                <a:lnTo>
                                  <a:pt x="742" y="195"/>
                                </a:lnTo>
                                <a:lnTo>
                                  <a:pt x="775" y="293"/>
                                </a:lnTo>
                                <a:close/>
                                <a:moveTo>
                                  <a:pt x="797" y="354"/>
                                </a:moveTo>
                                <a:lnTo>
                                  <a:pt x="817" y="408"/>
                                </a:lnTo>
                                <a:lnTo>
                                  <a:pt x="901" y="408"/>
                                </a:lnTo>
                                <a:lnTo>
                                  <a:pt x="785" y="100"/>
                                </a:lnTo>
                                <a:lnTo>
                                  <a:pt x="698" y="100"/>
                                </a:lnTo>
                                <a:lnTo>
                                  <a:pt x="581" y="408"/>
                                </a:lnTo>
                                <a:lnTo>
                                  <a:pt x="665" y="408"/>
                                </a:lnTo>
                                <a:lnTo>
                                  <a:pt x="686" y="354"/>
                                </a:lnTo>
                                <a:lnTo>
                                  <a:pt x="797" y="354"/>
                                </a:lnTo>
                                <a:close/>
                                <a:moveTo>
                                  <a:pt x="347" y="37"/>
                                </a:moveTo>
                                <a:lnTo>
                                  <a:pt x="430" y="83"/>
                                </a:lnTo>
                                <a:lnTo>
                                  <a:pt x="513" y="37"/>
                                </a:lnTo>
                                <a:lnTo>
                                  <a:pt x="491" y="3"/>
                                </a:lnTo>
                                <a:lnTo>
                                  <a:pt x="430" y="34"/>
                                </a:lnTo>
                                <a:lnTo>
                                  <a:pt x="369" y="3"/>
                                </a:lnTo>
                                <a:lnTo>
                                  <a:pt x="347" y="37"/>
                                </a:lnTo>
                                <a:close/>
                                <a:moveTo>
                                  <a:pt x="407" y="238"/>
                                </a:moveTo>
                                <a:lnTo>
                                  <a:pt x="407" y="161"/>
                                </a:lnTo>
                                <a:lnTo>
                                  <a:pt x="422" y="161"/>
                                </a:lnTo>
                                <a:lnTo>
                                  <a:pt x="432" y="162"/>
                                </a:lnTo>
                                <a:lnTo>
                                  <a:pt x="442" y="164"/>
                                </a:lnTo>
                                <a:lnTo>
                                  <a:pt x="449" y="166"/>
                                </a:lnTo>
                                <a:lnTo>
                                  <a:pt x="455" y="170"/>
                                </a:lnTo>
                                <a:lnTo>
                                  <a:pt x="461" y="176"/>
                                </a:lnTo>
                                <a:lnTo>
                                  <a:pt x="466" y="182"/>
                                </a:lnTo>
                                <a:lnTo>
                                  <a:pt x="469" y="191"/>
                                </a:lnTo>
                                <a:lnTo>
                                  <a:pt x="470" y="200"/>
                                </a:lnTo>
                                <a:lnTo>
                                  <a:pt x="469" y="208"/>
                                </a:lnTo>
                                <a:lnTo>
                                  <a:pt x="466" y="216"/>
                                </a:lnTo>
                                <a:lnTo>
                                  <a:pt x="461" y="223"/>
                                </a:lnTo>
                                <a:lnTo>
                                  <a:pt x="455" y="230"/>
                                </a:lnTo>
                                <a:lnTo>
                                  <a:pt x="449" y="233"/>
                                </a:lnTo>
                                <a:lnTo>
                                  <a:pt x="442" y="236"/>
                                </a:lnTo>
                                <a:lnTo>
                                  <a:pt x="432" y="237"/>
                                </a:lnTo>
                                <a:lnTo>
                                  <a:pt x="422" y="238"/>
                                </a:lnTo>
                                <a:lnTo>
                                  <a:pt x="407" y="238"/>
                                </a:lnTo>
                                <a:close/>
                                <a:moveTo>
                                  <a:pt x="485" y="282"/>
                                </a:moveTo>
                                <a:lnTo>
                                  <a:pt x="498" y="278"/>
                                </a:lnTo>
                                <a:lnTo>
                                  <a:pt x="508" y="275"/>
                                </a:lnTo>
                                <a:lnTo>
                                  <a:pt x="516" y="270"/>
                                </a:lnTo>
                                <a:lnTo>
                                  <a:pt x="525" y="263"/>
                                </a:lnTo>
                                <a:lnTo>
                                  <a:pt x="531" y="257"/>
                                </a:lnTo>
                                <a:lnTo>
                                  <a:pt x="536" y="250"/>
                                </a:lnTo>
                                <a:lnTo>
                                  <a:pt x="541" y="242"/>
                                </a:lnTo>
                                <a:lnTo>
                                  <a:pt x="545" y="233"/>
                                </a:lnTo>
                                <a:lnTo>
                                  <a:pt x="549" y="225"/>
                                </a:lnTo>
                                <a:lnTo>
                                  <a:pt x="551" y="215"/>
                                </a:lnTo>
                                <a:lnTo>
                                  <a:pt x="552" y="205"/>
                                </a:lnTo>
                                <a:lnTo>
                                  <a:pt x="552" y="195"/>
                                </a:lnTo>
                                <a:lnTo>
                                  <a:pt x="552" y="186"/>
                                </a:lnTo>
                                <a:lnTo>
                                  <a:pt x="551" y="176"/>
                                </a:lnTo>
                                <a:lnTo>
                                  <a:pt x="549" y="167"/>
                                </a:lnTo>
                                <a:lnTo>
                                  <a:pt x="546" y="159"/>
                                </a:lnTo>
                                <a:lnTo>
                                  <a:pt x="542" y="150"/>
                                </a:lnTo>
                                <a:lnTo>
                                  <a:pt x="537" y="141"/>
                                </a:lnTo>
                                <a:lnTo>
                                  <a:pt x="532" y="134"/>
                                </a:lnTo>
                                <a:lnTo>
                                  <a:pt x="526" y="128"/>
                                </a:lnTo>
                                <a:lnTo>
                                  <a:pt x="519" y="120"/>
                                </a:lnTo>
                                <a:lnTo>
                                  <a:pt x="511" y="115"/>
                                </a:lnTo>
                                <a:lnTo>
                                  <a:pt x="504" y="110"/>
                                </a:lnTo>
                                <a:lnTo>
                                  <a:pt x="495" y="106"/>
                                </a:lnTo>
                                <a:lnTo>
                                  <a:pt x="485" y="104"/>
                                </a:lnTo>
                                <a:lnTo>
                                  <a:pt x="475" y="101"/>
                                </a:lnTo>
                                <a:lnTo>
                                  <a:pt x="463" y="100"/>
                                </a:lnTo>
                                <a:lnTo>
                                  <a:pt x="450" y="100"/>
                                </a:lnTo>
                                <a:lnTo>
                                  <a:pt x="327" y="100"/>
                                </a:lnTo>
                                <a:lnTo>
                                  <a:pt x="327" y="408"/>
                                </a:lnTo>
                                <a:lnTo>
                                  <a:pt x="407" y="408"/>
                                </a:lnTo>
                                <a:lnTo>
                                  <a:pt x="407" y="289"/>
                                </a:lnTo>
                                <a:lnTo>
                                  <a:pt x="483" y="408"/>
                                </a:lnTo>
                                <a:lnTo>
                                  <a:pt x="582" y="408"/>
                                </a:lnTo>
                                <a:lnTo>
                                  <a:pt x="485" y="282"/>
                                </a:lnTo>
                                <a:close/>
                                <a:moveTo>
                                  <a:pt x="210" y="35"/>
                                </a:moveTo>
                                <a:lnTo>
                                  <a:pt x="171" y="0"/>
                                </a:lnTo>
                                <a:lnTo>
                                  <a:pt x="105" y="56"/>
                                </a:lnTo>
                                <a:lnTo>
                                  <a:pt x="133" y="85"/>
                                </a:lnTo>
                                <a:lnTo>
                                  <a:pt x="210" y="35"/>
                                </a:lnTo>
                                <a:close/>
                                <a:moveTo>
                                  <a:pt x="80" y="100"/>
                                </a:moveTo>
                                <a:lnTo>
                                  <a:pt x="0" y="100"/>
                                </a:lnTo>
                                <a:lnTo>
                                  <a:pt x="0" y="278"/>
                                </a:lnTo>
                                <a:lnTo>
                                  <a:pt x="0" y="293"/>
                                </a:lnTo>
                                <a:lnTo>
                                  <a:pt x="2" y="308"/>
                                </a:lnTo>
                                <a:lnTo>
                                  <a:pt x="3" y="321"/>
                                </a:lnTo>
                                <a:lnTo>
                                  <a:pt x="5" y="333"/>
                                </a:lnTo>
                                <a:lnTo>
                                  <a:pt x="9" y="343"/>
                                </a:lnTo>
                                <a:lnTo>
                                  <a:pt x="13" y="353"/>
                                </a:lnTo>
                                <a:lnTo>
                                  <a:pt x="17" y="362"/>
                                </a:lnTo>
                                <a:lnTo>
                                  <a:pt x="23" y="369"/>
                                </a:lnTo>
                                <a:lnTo>
                                  <a:pt x="32" y="379"/>
                                </a:lnTo>
                                <a:lnTo>
                                  <a:pt x="43" y="389"/>
                                </a:lnTo>
                                <a:lnTo>
                                  <a:pt x="54" y="397"/>
                                </a:lnTo>
                                <a:lnTo>
                                  <a:pt x="68" y="403"/>
                                </a:lnTo>
                                <a:lnTo>
                                  <a:pt x="83" y="409"/>
                                </a:lnTo>
                                <a:lnTo>
                                  <a:pt x="99" y="413"/>
                                </a:lnTo>
                                <a:lnTo>
                                  <a:pt x="115" y="415"/>
                                </a:lnTo>
                                <a:lnTo>
                                  <a:pt x="133" y="415"/>
                                </a:lnTo>
                                <a:lnTo>
                                  <a:pt x="149" y="415"/>
                                </a:lnTo>
                                <a:lnTo>
                                  <a:pt x="165" y="413"/>
                                </a:lnTo>
                                <a:lnTo>
                                  <a:pt x="179" y="409"/>
                                </a:lnTo>
                                <a:lnTo>
                                  <a:pt x="192" y="404"/>
                                </a:lnTo>
                                <a:lnTo>
                                  <a:pt x="206" y="399"/>
                                </a:lnTo>
                                <a:lnTo>
                                  <a:pt x="217" y="392"/>
                                </a:lnTo>
                                <a:lnTo>
                                  <a:pt x="228" y="383"/>
                                </a:lnTo>
                                <a:lnTo>
                                  <a:pt x="238" y="372"/>
                                </a:lnTo>
                                <a:lnTo>
                                  <a:pt x="246" y="363"/>
                                </a:lnTo>
                                <a:lnTo>
                                  <a:pt x="253" y="353"/>
                                </a:lnTo>
                                <a:lnTo>
                                  <a:pt x="258" y="343"/>
                                </a:lnTo>
                                <a:lnTo>
                                  <a:pt x="262" y="333"/>
                                </a:lnTo>
                                <a:lnTo>
                                  <a:pt x="265" y="321"/>
                                </a:lnTo>
                                <a:lnTo>
                                  <a:pt x="267" y="308"/>
                                </a:lnTo>
                                <a:lnTo>
                                  <a:pt x="268" y="293"/>
                                </a:lnTo>
                                <a:lnTo>
                                  <a:pt x="268" y="278"/>
                                </a:lnTo>
                                <a:lnTo>
                                  <a:pt x="268" y="100"/>
                                </a:lnTo>
                                <a:lnTo>
                                  <a:pt x="189" y="100"/>
                                </a:lnTo>
                                <a:lnTo>
                                  <a:pt x="189" y="267"/>
                                </a:lnTo>
                                <a:lnTo>
                                  <a:pt x="189" y="287"/>
                                </a:lnTo>
                                <a:lnTo>
                                  <a:pt x="187" y="301"/>
                                </a:lnTo>
                                <a:lnTo>
                                  <a:pt x="185" y="311"/>
                                </a:lnTo>
                                <a:lnTo>
                                  <a:pt x="181" y="321"/>
                                </a:lnTo>
                                <a:lnTo>
                                  <a:pt x="177" y="326"/>
                                </a:lnTo>
                                <a:lnTo>
                                  <a:pt x="172" y="331"/>
                                </a:lnTo>
                                <a:lnTo>
                                  <a:pt x="167" y="334"/>
                                </a:lnTo>
                                <a:lnTo>
                                  <a:pt x="161" y="338"/>
                                </a:lnTo>
                                <a:lnTo>
                                  <a:pt x="155" y="341"/>
                                </a:lnTo>
                                <a:lnTo>
                                  <a:pt x="149" y="343"/>
                                </a:lnTo>
                                <a:lnTo>
                                  <a:pt x="141" y="344"/>
                                </a:lnTo>
                                <a:lnTo>
                                  <a:pt x="134" y="346"/>
                                </a:lnTo>
                                <a:lnTo>
                                  <a:pt x="126" y="344"/>
                                </a:lnTo>
                                <a:lnTo>
                                  <a:pt x="120" y="343"/>
                                </a:lnTo>
                                <a:lnTo>
                                  <a:pt x="114" y="342"/>
                                </a:lnTo>
                                <a:lnTo>
                                  <a:pt x="108" y="339"/>
                                </a:lnTo>
                                <a:lnTo>
                                  <a:pt x="103" y="336"/>
                                </a:lnTo>
                                <a:lnTo>
                                  <a:pt x="98" y="332"/>
                                </a:lnTo>
                                <a:lnTo>
                                  <a:pt x="93" y="327"/>
                                </a:lnTo>
                                <a:lnTo>
                                  <a:pt x="89" y="322"/>
                                </a:lnTo>
                                <a:lnTo>
                                  <a:pt x="84" y="312"/>
                                </a:lnTo>
                                <a:lnTo>
                                  <a:pt x="81" y="302"/>
                                </a:lnTo>
                                <a:lnTo>
                                  <a:pt x="80" y="288"/>
                                </a:lnTo>
                                <a:lnTo>
                                  <a:pt x="80" y="267"/>
                                </a:lnTo>
                                <a:lnTo>
                                  <a:pt x="80" y="100"/>
                                </a:lnTo>
                                <a:close/>
                              </a:path>
                            </a:pathLst>
                          </a:custGeom>
                          <a:solidFill>
                            <a:srgbClr val="BD1B21"/>
                          </a:solidFill>
                          <a:ln>
                            <a:noFill/>
                          </a:ln>
                          <a:extLst>
                            <a:ext uri="{91240B29-F687-4f45-9708-019B960494DF}">
                              <a14:hiddenLine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round/>
                                <a:headEnd/>
                                <a:tailEnd/>
                              </a14:hiddenLine>
                            </a:ext>
                          </a:extLst>
                        </wps:spPr>
                        <wps:bodyPr rot="0" vert="horz" wrap="square" lIns="91440" tIns="45720" rIns="91440" bIns="45720" anchor="t" anchorCtr="0" upright="1">
                          <a:noAutofit/>
                        </wps:bodyPr>
                      </wps:wsp>
                      <wps:wsp>
                        <wps:cNvPr id="14" name="Freeform 13"/>
                        <wps:cNvSpPr>
                          <a:spLocks noChangeAspect="1" noEditPoints="1"/>
                        </wps:cNvSpPr>
                        <wps:spPr bwMode="auto">
                          <a:xfrm>
                            <a:off x="1962" y="1081"/>
                            <a:ext cx="1319" cy="208"/>
                          </a:xfrm>
                          <a:custGeom>
                            <a:avLst/>
                            <a:gdLst>
                              <a:gd name="T0" fmla="*/ 1221 w 2637"/>
                              <a:gd name="T1" fmla="*/ 204 h 416"/>
                              <a:gd name="T2" fmla="*/ 1166 w 2637"/>
                              <a:gd name="T3" fmla="*/ 50 h 416"/>
                              <a:gd name="T4" fmla="*/ 1072 w 2637"/>
                              <a:gd name="T5" fmla="*/ 137 h 416"/>
                              <a:gd name="T6" fmla="*/ 1004 w 2637"/>
                              <a:gd name="T7" fmla="*/ 54 h 416"/>
                              <a:gd name="T8" fmla="*/ 943 w 2637"/>
                              <a:gd name="T9" fmla="*/ 51 h 416"/>
                              <a:gd name="T10" fmla="*/ 900 w 2637"/>
                              <a:gd name="T11" fmla="*/ 82 h 416"/>
                              <a:gd name="T12" fmla="*/ 887 w 2637"/>
                              <a:gd name="T13" fmla="*/ 136 h 416"/>
                              <a:gd name="T14" fmla="*/ 907 w 2637"/>
                              <a:gd name="T15" fmla="*/ 181 h 416"/>
                              <a:gd name="T16" fmla="*/ 959 w 2637"/>
                              <a:gd name="T17" fmla="*/ 208 h 416"/>
                              <a:gd name="T18" fmla="*/ 1000 w 2637"/>
                              <a:gd name="T19" fmla="*/ 157 h 416"/>
                              <a:gd name="T20" fmla="*/ 969 w 2637"/>
                              <a:gd name="T21" fmla="*/ 169 h 416"/>
                              <a:gd name="T22" fmla="*/ 945 w 2637"/>
                              <a:gd name="T23" fmla="*/ 161 h 416"/>
                              <a:gd name="T24" fmla="*/ 929 w 2637"/>
                              <a:gd name="T25" fmla="*/ 137 h 416"/>
                              <a:gd name="T26" fmla="*/ 933 w 2637"/>
                              <a:gd name="T27" fmla="*/ 107 h 416"/>
                              <a:gd name="T28" fmla="*/ 953 w 2637"/>
                              <a:gd name="T29" fmla="*/ 89 h 416"/>
                              <a:gd name="T30" fmla="*/ 984 w 2637"/>
                              <a:gd name="T31" fmla="*/ 88 h 416"/>
                              <a:gd name="T32" fmla="*/ 864 w 2637"/>
                              <a:gd name="T33" fmla="*/ 50 h 416"/>
                              <a:gd name="T34" fmla="*/ 802 w 2637"/>
                              <a:gd name="T35" fmla="*/ 50 h 416"/>
                              <a:gd name="T36" fmla="*/ 680 w 2637"/>
                              <a:gd name="T37" fmla="*/ 59 h 416"/>
                              <a:gd name="T38" fmla="*/ 638 w 2637"/>
                              <a:gd name="T39" fmla="*/ 46 h 416"/>
                              <a:gd name="T40" fmla="*/ 602 w 2637"/>
                              <a:gd name="T41" fmla="*/ 54 h 416"/>
                              <a:gd name="T42" fmla="*/ 581 w 2637"/>
                              <a:gd name="T43" fmla="*/ 82 h 416"/>
                              <a:gd name="T44" fmla="*/ 583 w 2637"/>
                              <a:gd name="T45" fmla="*/ 116 h 416"/>
                              <a:gd name="T46" fmla="*/ 610 w 2637"/>
                              <a:gd name="T47" fmla="*/ 138 h 416"/>
                              <a:gd name="T48" fmla="*/ 644 w 2637"/>
                              <a:gd name="T49" fmla="*/ 153 h 416"/>
                              <a:gd name="T50" fmla="*/ 637 w 2637"/>
                              <a:gd name="T51" fmla="*/ 171 h 416"/>
                              <a:gd name="T52" fmla="*/ 608 w 2637"/>
                              <a:gd name="T53" fmla="*/ 170 h 416"/>
                              <a:gd name="T54" fmla="*/ 586 w 2637"/>
                              <a:gd name="T55" fmla="*/ 198 h 416"/>
                              <a:gd name="T56" fmla="*/ 633 w 2637"/>
                              <a:gd name="T57" fmla="*/ 208 h 416"/>
                              <a:gd name="T58" fmla="*/ 671 w 2637"/>
                              <a:gd name="T59" fmla="*/ 193 h 416"/>
                              <a:gd name="T60" fmla="*/ 687 w 2637"/>
                              <a:gd name="T61" fmla="*/ 160 h 416"/>
                              <a:gd name="T62" fmla="*/ 678 w 2637"/>
                              <a:gd name="T63" fmla="*/ 126 h 416"/>
                              <a:gd name="T64" fmla="*/ 638 w 2637"/>
                              <a:gd name="T65" fmla="*/ 107 h 416"/>
                              <a:gd name="T66" fmla="*/ 621 w 2637"/>
                              <a:gd name="T67" fmla="*/ 93 h 416"/>
                              <a:gd name="T68" fmla="*/ 635 w 2637"/>
                              <a:gd name="T69" fmla="*/ 80 h 416"/>
                              <a:gd name="T70" fmla="*/ 665 w 2637"/>
                              <a:gd name="T71" fmla="*/ 90 h 416"/>
                              <a:gd name="T72" fmla="*/ 452 w 2637"/>
                              <a:gd name="T73" fmla="*/ 84 h 416"/>
                              <a:gd name="T74" fmla="*/ 452 w 2637"/>
                              <a:gd name="T75" fmla="*/ 204 h 416"/>
                              <a:gd name="T76" fmla="*/ 343 w 2637"/>
                              <a:gd name="T77" fmla="*/ 204 h 416"/>
                              <a:gd name="T78" fmla="*/ 333 w 2637"/>
                              <a:gd name="T79" fmla="*/ 177 h 416"/>
                              <a:gd name="T80" fmla="*/ 158 w 2637"/>
                              <a:gd name="T81" fmla="*/ 204 h 416"/>
                              <a:gd name="T82" fmla="*/ 84 w 2637"/>
                              <a:gd name="T83" fmla="*/ 49 h 416"/>
                              <a:gd name="T84" fmla="*/ 42 w 2637"/>
                              <a:gd name="T85" fmla="*/ 48 h 416"/>
                              <a:gd name="T86" fmla="*/ 14 w 2637"/>
                              <a:gd name="T87" fmla="*/ 68 h 416"/>
                              <a:gd name="T88" fmla="*/ 6 w 2637"/>
                              <a:gd name="T89" fmla="*/ 103 h 416"/>
                              <a:gd name="T90" fmla="*/ 19 w 2637"/>
                              <a:gd name="T91" fmla="*/ 128 h 416"/>
                              <a:gd name="T92" fmla="*/ 64 w 2637"/>
                              <a:gd name="T93" fmla="*/ 147 h 416"/>
                              <a:gd name="T94" fmla="*/ 71 w 2637"/>
                              <a:gd name="T95" fmla="*/ 165 h 416"/>
                              <a:gd name="T96" fmla="*/ 48 w 2637"/>
                              <a:gd name="T97" fmla="*/ 174 h 416"/>
                              <a:gd name="T98" fmla="*/ 17 w 2637"/>
                              <a:gd name="T99" fmla="*/ 158 h 416"/>
                              <a:gd name="T100" fmla="*/ 40 w 2637"/>
                              <a:gd name="T101" fmla="*/ 207 h 416"/>
                              <a:gd name="T102" fmla="*/ 84 w 2637"/>
                              <a:gd name="T103" fmla="*/ 202 h 416"/>
                              <a:gd name="T104" fmla="*/ 110 w 2637"/>
                              <a:gd name="T105" fmla="*/ 176 h 416"/>
                              <a:gd name="T106" fmla="*/ 110 w 2637"/>
                              <a:gd name="T107" fmla="*/ 135 h 416"/>
                              <a:gd name="T108" fmla="*/ 93 w 2637"/>
                              <a:gd name="T109" fmla="*/ 117 h 416"/>
                              <a:gd name="T110" fmla="*/ 50 w 2637"/>
                              <a:gd name="T111" fmla="*/ 99 h 416"/>
                              <a:gd name="T112" fmla="*/ 53 w 2637"/>
                              <a:gd name="T113" fmla="*/ 84 h 416"/>
                              <a:gd name="T114" fmla="*/ 76 w 2637"/>
                              <a:gd name="T115" fmla="*/ 81 h 41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0" t="0" r="r" b="b"/>
                            <a:pathLst>
                              <a:path w="2637" h="416">
                                <a:moveTo>
                                  <a:pt x="2561" y="35"/>
                                </a:moveTo>
                                <a:lnTo>
                                  <a:pt x="2524" y="0"/>
                                </a:lnTo>
                                <a:lnTo>
                                  <a:pt x="2458" y="56"/>
                                </a:lnTo>
                                <a:lnTo>
                                  <a:pt x="2485" y="84"/>
                                </a:lnTo>
                                <a:lnTo>
                                  <a:pt x="2561" y="35"/>
                                </a:lnTo>
                                <a:close/>
                                <a:moveTo>
                                  <a:pt x="2442" y="260"/>
                                </a:moveTo>
                                <a:lnTo>
                                  <a:pt x="2442" y="407"/>
                                </a:lnTo>
                                <a:lnTo>
                                  <a:pt x="2521" y="407"/>
                                </a:lnTo>
                                <a:lnTo>
                                  <a:pt x="2521" y="260"/>
                                </a:lnTo>
                                <a:lnTo>
                                  <a:pt x="2637" y="99"/>
                                </a:lnTo>
                                <a:lnTo>
                                  <a:pt x="2540" y="99"/>
                                </a:lnTo>
                                <a:lnTo>
                                  <a:pt x="2484" y="183"/>
                                </a:lnTo>
                                <a:lnTo>
                                  <a:pt x="2427" y="99"/>
                                </a:lnTo>
                                <a:lnTo>
                                  <a:pt x="2331" y="99"/>
                                </a:lnTo>
                                <a:lnTo>
                                  <a:pt x="2442" y="260"/>
                                </a:lnTo>
                                <a:close/>
                                <a:moveTo>
                                  <a:pt x="2143" y="226"/>
                                </a:moveTo>
                                <a:lnTo>
                                  <a:pt x="2143" y="99"/>
                                </a:lnTo>
                                <a:lnTo>
                                  <a:pt x="2063" y="99"/>
                                </a:lnTo>
                                <a:lnTo>
                                  <a:pt x="2063" y="407"/>
                                </a:lnTo>
                                <a:lnTo>
                                  <a:pt x="2143" y="407"/>
                                </a:lnTo>
                                <a:lnTo>
                                  <a:pt x="2143" y="274"/>
                                </a:lnTo>
                                <a:lnTo>
                                  <a:pt x="2247" y="407"/>
                                </a:lnTo>
                                <a:lnTo>
                                  <a:pt x="2351" y="407"/>
                                </a:lnTo>
                                <a:lnTo>
                                  <a:pt x="2217" y="245"/>
                                </a:lnTo>
                                <a:lnTo>
                                  <a:pt x="2340" y="99"/>
                                </a:lnTo>
                                <a:lnTo>
                                  <a:pt x="2240" y="99"/>
                                </a:lnTo>
                                <a:lnTo>
                                  <a:pt x="2143" y="226"/>
                                </a:lnTo>
                                <a:close/>
                                <a:moveTo>
                                  <a:pt x="2008" y="108"/>
                                </a:moveTo>
                                <a:lnTo>
                                  <a:pt x="1987" y="102"/>
                                </a:lnTo>
                                <a:lnTo>
                                  <a:pt x="1969" y="97"/>
                                </a:lnTo>
                                <a:lnTo>
                                  <a:pt x="1952" y="93"/>
                                </a:lnTo>
                                <a:lnTo>
                                  <a:pt x="1936" y="93"/>
                                </a:lnTo>
                                <a:lnTo>
                                  <a:pt x="1918" y="93"/>
                                </a:lnTo>
                                <a:lnTo>
                                  <a:pt x="1902" y="96"/>
                                </a:lnTo>
                                <a:lnTo>
                                  <a:pt x="1886" y="101"/>
                                </a:lnTo>
                                <a:lnTo>
                                  <a:pt x="1871" y="106"/>
                                </a:lnTo>
                                <a:lnTo>
                                  <a:pt x="1857" y="112"/>
                                </a:lnTo>
                                <a:lnTo>
                                  <a:pt x="1844" y="121"/>
                                </a:lnTo>
                                <a:lnTo>
                                  <a:pt x="1831" y="129"/>
                                </a:lnTo>
                                <a:lnTo>
                                  <a:pt x="1820" y="140"/>
                                </a:lnTo>
                                <a:lnTo>
                                  <a:pt x="1809" y="152"/>
                                </a:lnTo>
                                <a:lnTo>
                                  <a:pt x="1800" y="164"/>
                                </a:lnTo>
                                <a:lnTo>
                                  <a:pt x="1791" y="178"/>
                                </a:lnTo>
                                <a:lnTo>
                                  <a:pt x="1785" y="192"/>
                                </a:lnTo>
                                <a:lnTo>
                                  <a:pt x="1780" y="207"/>
                                </a:lnTo>
                                <a:lnTo>
                                  <a:pt x="1775" y="223"/>
                                </a:lnTo>
                                <a:lnTo>
                                  <a:pt x="1773" y="239"/>
                                </a:lnTo>
                                <a:lnTo>
                                  <a:pt x="1773" y="256"/>
                                </a:lnTo>
                                <a:lnTo>
                                  <a:pt x="1773" y="271"/>
                                </a:lnTo>
                                <a:lnTo>
                                  <a:pt x="1775" y="286"/>
                                </a:lnTo>
                                <a:lnTo>
                                  <a:pt x="1778" y="300"/>
                                </a:lnTo>
                                <a:lnTo>
                                  <a:pt x="1783" y="314"/>
                                </a:lnTo>
                                <a:lnTo>
                                  <a:pt x="1789" y="327"/>
                                </a:lnTo>
                                <a:lnTo>
                                  <a:pt x="1795" y="340"/>
                                </a:lnTo>
                                <a:lnTo>
                                  <a:pt x="1804" y="351"/>
                                </a:lnTo>
                                <a:lnTo>
                                  <a:pt x="1813" y="362"/>
                                </a:lnTo>
                                <a:lnTo>
                                  <a:pt x="1825" y="373"/>
                                </a:lnTo>
                                <a:lnTo>
                                  <a:pt x="1839" y="385"/>
                                </a:lnTo>
                                <a:lnTo>
                                  <a:pt x="1854" y="393"/>
                                </a:lnTo>
                                <a:lnTo>
                                  <a:pt x="1869" y="401"/>
                                </a:lnTo>
                                <a:lnTo>
                                  <a:pt x="1885" y="407"/>
                                </a:lnTo>
                                <a:lnTo>
                                  <a:pt x="1902" y="412"/>
                                </a:lnTo>
                                <a:lnTo>
                                  <a:pt x="1918" y="415"/>
                                </a:lnTo>
                                <a:lnTo>
                                  <a:pt x="1936" y="416"/>
                                </a:lnTo>
                                <a:lnTo>
                                  <a:pt x="1951" y="415"/>
                                </a:lnTo>
                                <a:lnTo>
                                  <a:pt x="1966" y="413"/>
                                </a:lnTo>
                                <a:lnTo>
                                  <a:pt x="1983" y="408"/>
                                </a:lnTo>
                                <a:lnTo>
                                  <a:pt x="2008" y="401"/>
                                </a:lnTo>
                                <a:lnTo>
                                  <a:pt x="2008" y="306"/>
                                </a:lnTo>
                                <a:lnTo>
                                  <a:pt x="1999" y="314"/>
                                </a:lnTo>
                                <a:lnTo>
                                  <a:pt x="1992" y="320"/>
                                </a:lnTo>
                                <a:lnTo>
                                  <a:pt x="1983" y="326"/>
                                </a:lnTo>
                                <a:lnTo>
                                  <a:pt x="1976" y="330"/>
                                </a:lnTo>
                                <a:lnTo>
                                  <a:pt x="1967" y="334"/>
                                </a:lnTo>
                                <a:lnTo>
                                  <a:pt x="1957" y="336"/>
                                </a:lnTo>
                                <a:lnTo>
                                  <a:pt x="1948" y="337"/>
                                </a:lnTo>
                                <a:lnTo>
                                  <a:pt x="1938" y="337"/>
                                </a:lnTo>
                                <a:lnTo>
                                  <a:pt x="1931" y="337"/>
                                </a:lnTo>
                                <a:lnTo>
                                  <a:pt x="1923" y="336"/>
                                </a:lnTo>
                                <a:lnTo>
                                  <a:pt x="1916" y="335"/>
                                </a:lnTo>
                                <a:lnTo>
                                  <a:pt x="1908" y="332"/>
                                </a:lnTo>
                                <a:lnTo>
                                  <a:pt x="1902" y="330"/>
                                </a:lnTo>
                                <a:lnTo>
                                  <a:pt x="1896" y="326"/>
                                </a:lnTo>
                                <a:lnTo>
                                  <a:pt x="1889" y="322"/>
                                </a:lnTo>
                                <a:lnTo>
                                  <a:pt x="1884" y="317"/>
                                </a:lnTo>
                                <a:lnTo>
                                  <a:pt x="1876" y="311"/>
                                </a:lnTo>
                                <a:lnTo>
                                  <a:pt x="1871" y="305"/>
                                </a:lnTo>
                                <a:lnTo>
                                  <a:pt x="1866" y="299"/>
                                </a:lnTo>
                                <a:lnTo>
                                  <a:pt x="1862" y="291"/>
                                </a:lnTo>
                                <a:lnTo>
                                  <a:pt x="1860" y="283"/>
                                </a:lnTo>
                                <a:lnTo>
                                  <a:pt x="1857" y="274"/>
                                </a:lnTo>
                                <a:lnTo>
                                  <a:pt x="1856" y="265"/>
                                </a:lnTo>
                                <a:lnTo>
                                  <a:pt x="1856" y="255"/>
                                </a:lnTo>
                                <a:lnTo>
                                  <a:pt x="1856" y="246"/>
                                </a:lnTo>
                                <a:lnTo>
                                  <a:pt x="1857" y="238"/>
                                </a:lnTo>
                                <a:lnTo>
                                  <a:pt x="1860" y="229"/>
                                </a:lnTo>
                                <a:lnTo>
                                  <a:pt x="1862" y="221"/>
                                </a:lnTo>
                                <a:lnTo>
                                  <a:pt x="1865" y="214"/>
                                </a:lnTo>
                                <a:lnTo>
                                  <a:pt x="1870" y="207"/>
                                </a:lnTo>
                                <a:lnTo>
                                  <a:pt x="1874" y="200"/>
                                </a:lnTo>
                                <a:lnTo>
                                  <a:pt x="1879" y="194"/>
                                </a:lnTo>
                                <a:lnTo>
                                  <a:pt x="1885" y="189"/>
                                </a:lnTo>
                                <a:lnTo>
                                  <a:pt x="1891" y="184"/>
                                </a:lnTo>
                                <a:lnTo>
                                  <a:pt x="1898" y="180"/>
                                </a:lnTo>
                                <a:lnTo>
                                  <a:pt x="1905" y="177"/>
                                </a:lnTo>
                                <a:lnTo>
                                  <a:pt x="1913" y="174"/>
                                </a:lnTo>
                                <a:lnTo>
                                  <a:pt x="1921" y="172"/>
                                </a:lnTo>
                                <a:lnTo>
                                  <a:pt x="1930" y="170"/>
                                </a:lnTo>
                                <a:lnTo>
                                  <a:pt x="1938" y="170"/>
                                </a:lnTo>
                                <a:lnTo>
                                  <a:pt x="1948" y="170"/>
                                </a:lnTo>
                                <a:lnTo>
                                  <a:pt x="1958" y="173"/>
                                </a:lnTo>
                                <a:lnTo>
                                  <a:pt x="1967" y="175"/>
                                </a:lnTo>
                                <a:lnTo>
                                  <a:pt x="1977" y="179"/>
                                </a:lnTo>
                                <a:lnTo>
                                  <a:pt x="1984" y="184"/>
                                </a:lnTo>
                                <a:lnTo>
                                  <a:pt x="1993" y="189"/>
                                </a:lnTo>
                                <a:lnTo>
                                  <a:pt x="2001" y="197"/>
                                </a:lnTo>
                                <a:lnTo>
                                  <a:pt x="2008" y="204"/>
                                </a:lnTo>
                                <a:lnTo>
                                  <a:pt x="2008" y="108"/>
                                </a:lnTo>
                                <a:close/>
                                <a:moveTo>
                                  <a:pt x="1727" y="99"/>
                                </a:moveTo>
                                <a:lnTo>
                                  <a:pt x="1647" y="99"/>
                                </a:lnTo>
                                <a:lnTo>
                                  <a:pt x="1647" y="407"/>
                                </a:lnTo>
                                <a:lnTo>
                                  <a:pt x="1727" y="407"/>
                                </a:lnTo>
                                <a:lnTo>
                                  <a:pt x="1727" y="99"/>
                                </a:lnTo>
                                <a:close/>
                                <a:moveTo>
                                  <a:pt x="1538" y="167"/>
                                </a:moveTo>
                                <a:lnTo>
                                  <a:pt x="1604" y="167"/>
                                </a:lnTo>
                                <a:lnTo>
                                  <a:pt x="1604" y="99"/>
                                </a:lnTo>
                                <a:lnTo>
                                  <a:pt x="1394" y="99"/>
                                </a:lnTo>
                                <a:lnTo>
                                  <a:pt x="1394" y="167"/>
                                </a:lnTo>
                                <a:lnTo>
                                  <a:pt x="1459" y="167"/>
                                </a:lnTo>
                                <a:lnTo>
                                  <a:pt x="1459" y="407"/>
                                </a:lnTo>
                                <a:lnTo>
                                  <a:pt x="1538" y="407"/>
                                </a:lnTo>
                                <a:lnTo>
                                  <a:pt x="1538" y="167"/>
                                </a:lnTo>
                                <a:close/>
                                <a:moveTo>
                                  <a:pt x="1360" y="117"/>
                                </a:moveTo>
                                <a:lnTo>
                                  <a:pt x="1349" y="111"/>
                                </a:lnTo>
                                <a:lnTo>
                                  <a:pt x="1337" y="106"/>
                                </a:lnTo>
                                <a:lnTo>
                                  <a:pt x="1324" y="102"/>
                                </a:lnTo>
                                <a:lnTo>
                                  <a:pt x="1313" y="98"/>
                                </a:lnTo>
                                <a:lnTo>
                                  <a:pt x="1300" y="96"/>
                                </a:lnTo>
                                <a:lnTo>
                                  <a:pt x="1288" y="93"/>
                                </a:lnTo>
                                <a:lnTo>
                                  <a:pt x="1276" y="92"/>
                                </a:lnTo>
                                <a:lnTo>
                                  <a:pt x="1263" y="92"/>
                                </a:lnTo>
                                <a:lnTo>
                                  <a:pt x="1252" y="92"/>
                                </a:lnTo>
                                <a:lnTo>
                                  <a:pt x="1241" y="94"/>
                                </a:lnTo>
                                <a:lnTo>
                                  <a:pt x="1231" y="96"/>
                                </a:lnTo>
                                <a:lnTo>
                                  <a:pt x="1221" y="99"/>
                                </a:lnTo>
                                <a:lnTo>
                                  <a:pt x="1211" y="103"/>
                                </a:lnTo>
                                <a:lnTo>
                                  <a:pt x="1203" y="108"/>
                                </a:lnTo>
                                <a:lnTo>
                                  <a:pt x="1195" y="114"/>
                                </a:lnTo>
                                <a:lnTo>
                                  <a:pt x="1187" y="121"/>
                                </a:lnTo>
                                <a:lnTo>
                                  <a:pt x="1181" y="128"/>
                                </a:lnTo>
                                <a:lnTo>
                                  <a:pt x="1175" y="136"/>
                                </a:lnTo>
                                <a:lnTo>
                                  <a:pt x="1170" y="144"/>
                                </a:lnTo>
                                <a:lnTo>
                                  <a:pt x="1166" y="153"/>
                                </a:lnTo>
                                <a:lnTo>
                                  <a:pt x="1162" y="163"/>
                                </a:lnTo>
                                <a:lnTo>
                                  <a:pt x="1161" y="174"/>
                                </a:lnTo>
                                <a:lnTo>
                                  <a:pt x="1158" y="184"/>
                                </a:lnTo>
                                <a:lnTo>
                                  <a:pt x="1158" y="195"/>
                                </a:lnTo>
                                <a:lnTo>
                                  <a:pt x="1158" y="205"/>
                                </a:lnTo>
                                <a:lnTo>
                                  <a:pt x="1160" y="215"/>
                                </a:lnTo>
                                <a:lnTo>
                                  <a:pt x="1162" y="224"/>
                                </a:lnTo>
                                <a:lnTo>
                                  <a:pt x="1165" y="231"/>
                                </a:lnTo>
                                <a:lnTo>
                                  <a:pt x="1168" y="239"/>
                                </a:lnTo>
                                <a:lnTo>
                                  <a:pt x="1172" y="245"/>
                                </a:lnTo>
                                <a:lnTo>
                                  <a:pt x="1177" y="251"/>
                                </a:lnTo>
                                <a:lnTo>
                                  <a:pt x="1183" y="256"/>
                                </a:lnTo>
                                <a:lnTo>
                                  <a:pt x="1192" y="263"/>
                                </a:lnTo>
                                <a:lnTo>
                                  <a:pt x="1203" y="269"/>
                                </a:lnTo>
                                <a:lnTo>
                                  <a:pt x="1219" y="275"/>
                                </a:lnTo>
                                <a:lnTo>
                                  <a:pt x="1242" y="281"/>
                                </a:lnTo>
                                <a:lnTo>
                                  <a:pt x="1254" y="286"/>
                                </a:lnTo>
                                <a:lnTo>
                                  <a:pt x="1264" y="290"/>
                                </a:lnTo>
                                <a:lnTo>
                                  <a:pt x="1273" y="294"/>
                                </a:lnTo>
                                <a:lnTo>
                                  <a:pt x="1279" y="297"/>
                                </a:lnTo>
                                <a:lnTo>
                                  <a:pt x="1284" y="301"/>
                                </a:lnTo>
                                <a:lnTo>
                                  <a:pt x="1287" y="306"/>
                                </a:lnTo>
                                <a:lnTo>
                                  <a:pt x="1289" y="311"/>
                                </a:lnTo>
                                <a:lnTo>
                                  <a:pt x="1289" y="317"/>
                                </a:lnTo>
                                <a:lnTo>
                                  <a:pt x="1289" y="324"/>
                                </a:lnTo>
                                <a:lnTo>
                                  <a:pt x="1287" y="330"/>
                                </a:lnTo>
                                <a:lnTo>
                                  <a:pt x="1283" y="335"/>
                                </a:lnTo>
                                <a:lnTo>
                                  <a:pt x="1279" y="339"/>
                                </a:lnTo>
                                <a:lnTo>
                                  <a:pt x="1273" y="342"/>
                                </a:lnTo>
                                <a:lnTo>
                                  <a:pt x="1267" y="345"/>
                                </a:lnTo>
                                <a:lnTo>
                                  <a:pt x="1259" y="346"/>
                                </a:lnTo>
                                <a:lnTo>
                                  <a:pt x="1251" y="347"/>
                                </a:lnTo>
                                <a:lnTo>
                                  <a:pt x="1242" y="347"/>
                                </a:lnTo>
                                <a:lnTo>
                                  <a:pt x="1233" y="345"/>
                                </a:lnTo>
                                <a:lnTo>
                                  <a:pt x="1224" y="344"/>
                                </a:lnTo>
                                <a:lnTo>
                                  <a:pt x="1216" y="340"/>
                                </a:lnTo>
                                <a:lnTo>
                                  <a:pt x="1207" y="335"/>
                                </a:lnTo>
                                <a:lnTo>
                                  <a:pt x="1198" y="330"/>
                                </a:lnTo>
                                <a:lnTo>
                                  <a:pt x="1190" y="324"/>
                                </a:lnTo>
                                <a:lnTo>
                                  <a:pt x="1180" y="316"/>
                                </a:lnTo>
                                <a:lnTo>
                                  <a:pt x="1146" y="381"/>
                                </a:lnTo>
                                <a:lnTo>
                                  <a:pt x="1158" y="388"/>
                                </a:lnTo>
                                <a:lnTo>
                                  <a:pt x="1171" y="396"/>
                                </a:lnTo>
                                <a:lnTo>
                                  <a:pt x="1185" y="401"/>
                                </a:lnTo>
                                <a:lnTo>
                                  <a:pt x="1198" y="406"/>
                                </a:lnTo>
                                <a:lnTo>
                                  <a:pt x="1212" y="410"/>
                                </a:lnTo>
                                <a:lnTo>
                                  <a:pt x="1226" y="413"/>
                                </a:lnTo>
                                <a:lnTo>
                                  <a:pt x="1239" y="415"/>
                                </a:lnTo>
                                <a:lnTo>
                                  <a:pt x="1253" y="415"/>
                                </a:lnTo>
                                <a:lnTo>
                                  <a:pt x="1266" y="415"/>
                                </a:lnTo>
                                <a:lnTo>
                                  <a:pt x="1278" y="413"/>
                                </a:lnTo>
                                <a:lnTo>
                                  <a:pt x="1290" y="411"/>
                                </a:lnTo>
                                <a:lnTo>
                                  <a:pt x="1302" y="407"/>
                                </a:lnTo>
                                <a:lnTo>
                                  <a:pt x="1313" y="403"/>
                                </a:lnTo>
                                <a:lnTo>
                                  <a:pt x="1323" y="398"/>
                                </a:lnTo>
                                <a:lnTo>
                                  <a:pt x="1333" y="392"/>
                                </a:lnTo>
                                <a:lnTo>
                                  <a:pt x="1342" y="386"/>
                                </a:lnTo>
                                <a:lnTo>
                                  <a:pt x="1349" y="378"/>
                                </a:lnTo>
                                <a:lnTo>
                                  <a:pt x="1355" y="371"/>
                                </a:lnTo>
                                <a:lnTo>
                                  <a:pt x="1360" y="362"/>
                                </a:lnTo>
                                <a:lnTo>
                                  <a:pt x="1365" y="352"/>
                                </a:lnTo>
                                <a:lnTo>
                                  <a:pt x="1369" y="342"/>
                                </a:lnTo>
                                <a:lnTo>
                                  <a:pt x="1371" y="331"/>
                                </a:lnTo>
                                <a:lnTo>
                                  <a:pt x="1373" y="319"/>
                                </a:lnTo>
                                <a:lnTo>
                                  <a:pt x="1373" y="306"/>
                                </a:lnTo>
                                <a:lnTo>
                                  <a:pt x="1371" y="290"/>
                                </a:lnTo>
                                <a:lnTo>
                                  <a:pt x="1369" y="275"/>
                                </a:lnTo>
                                <a:lnTo>
                                  <a:pt x="1366" y="269"/>
                                </a:lnTo>
                                <a:lnTo>
                                  <a:pt x="1363" y="263"/>
                                </a:lnTo>
                                <a:lnTo>
                                  <a:pt x="1359" y="258"/>
                                </a:lnTo>
                                <a:lnTo>
                                  <a:pt x="1355" y="251"/>
                                </a:lnTo>
                                <a:lnTo>
                                  <a:pt x="1350" y="246"/>
                                </a:lnTo>
                                <a:lnTo>
                                  <a:pt x="1345" y="241"/>
                                </a:lnTo>
                                <a:lnTo>
                                  <a:pt x="1339" y="238"/>
                                </a:lnTo>
                                <a:lnTo>
                                  <a:pt x="1332" y="234"/>
                                </a:lnTo>
                                <a:lnTo>
                                  <a:pt x="1315" y="226"/>
                                </a:lnTo>
                                <a:lnTo>
                                  <a:pt x="1298" y="220"/>
                                </a:lnTo>
                                <a:lnTo>
                                  <a:pt x="1276" y="213"/>
                                </a:lnTo>
                                <a:lnTo>
                                  <a:pt x="1263" y="209"/>
                                </a:lnTo>
                                <a:lnTo>
                                  <a:pt x="1256" y="205"/>
                                </a:lnTo>
                                <a:lnTo>
                                  <a:pt x="1249" y="200"/>
                                </a:lnTo>
                                <a:lnTo>
                                  <a:pt x="1247" y="198"/>
                                </a:lnTo>
                                <a:lnTo>
                                  <a:pt x="1244" y="194"/>
                                </a:lnTo>
                                <a:lnTo>
                                  <a:pt x="1242" y="189"/>
                                </a:lnTo>
                                <a:lnTo>
                                  <a:pt x="1242" y="185"/>
                                </a:lnTo>
                                <a:lnTo>
                                  <a:pt x="1243" y="179"/>
                                </a:lnTo>
                                <a:lnTo>
                                  <a:pt x="1244" y="174"/>
                                </a:lnTo>
                                <a:lnTo>
                                  <a:pt x="1248" y="170"/>
                                </a:lnTo>
                                <a:lnTo>
                                  <a:pt x="1252" y="167"/>
                                </a:lnTo>
                                <a:lnTo>
                                  <a:pt x="1257" y="163"/>
                                </a:lnTo>
                                <a:lnTo>
                                  <a:pt x="1263" y="160"/>
                                </a:lnTo>
                                <a:lnTo>
                                  <a:pt x="1269" y="159"/>
                                </a:lnTo>
                                <a:lnTo>
                                  <a:pt x="1277" y="158"/>
                                </a:lnTo>
                                <a:lnTo>
                                  <a:pt x="1283" y="159"/>
                                </a:lnTo>
                                <a:lnTo>
                                  <a:pt x="1289" y="159"/>
                                </a:lnTo>
                                <a:lnTo>
                                  <a:pt x="1297" y="162"/>
                                </a:lnTo>
                                <a:lnTo>
                                  <a:pt x="1303" y="163"/>
                                </a:lnTo>
                                <a:lnTo>
                                  <a:pt x="1315" y="170"/>
                                </a:lnTo>
                                <a:lnTo>
                                  <a:pt x="1329" y="179"/>
                                </a:lnTo>
                                <a:lnTo>
                                  <a:pt x="1360" y="117"/>
                                </a:lnTo>
                                <a:close/>
                                <a:moveTo>
                                  <a:pt x="1091" y="99"/>
                                </a:moveTo>
                                <a:lnTo>
                                  <a:pt x="1011" y="99"/>
                                </a:lnTo>
                                <a:lnTo>
                                  <a:pt x="1011" y="407"/>
                                </a:lnTo>
                                <a:lnTo>
                                  <a:pt x="1091" y="407"/>
                                </a:lnTo>
                                <a:lnTo>
                                  <a:pt x="1091" y="99"/>
                                </a:lnTo>
                                <a:close/>
                                <a:moveTo>
                                  <a:pt x="904" y="167"/>
                                </a:moveTo>
                                <a:lnTo>
                                  <a:pt x="970" y="167"/>
                                </a:lnTo>
                                <a:lnTo>
                                  <a:pt x="970" y="99"/>
                                </a:lnTo>
                                <a:lnTo>
                                  <a:pt x="758" y="99"/>
                                </a:lnTo>
                                <a:lnTo>
                                  <a:pt x="758" y="167"/>
                                </a:lnTo>
                                <a:lnTo>
                                  <a:pt x="825" y="167"/>
                                </a:lnTo>
                                <a:lnTo>
                                  <a:pt x="825" y="407"/>
                                </a:lnTo>
                                <a:lnTo>
                                  <a:pt x="904" y="407"/>
                                </a:lnTo>
                                <a:lnTo>
                                  <a:pt x="904" y="167"/>
                                </a:lnTo>
                                <a:close/>
                                <a:moveTo>
                                  <a:pt x="644" y="292"/>
                                </a:moveTo>
                                <a:lnTo>
                                  <a:pt x="578" y="292"/>
                                </a:lnTo>
                                <a:lnTo>
                                  <a:pt x="611" y="194"/>
                                </a:lnTo>
                                <a:lnTo>
                                  <a:pt x="644" y="292"/>
                                </a:lnTo>
                                <a:close/>
                                <a:moveTo>
                                  <a:pt x="666" y="354"/>
                                </a:moveTo>
                                <a:lnTo>
                                  <a:pt x="686" y="407"/>
                                </a:lnTo>
                                <a:lnTo>
                                  <a:pt x="771" y="407"/>
                                </a:lnTo>
                                <a:lnTo>
                                  <a:pt x="655" y="99"/>
                                </a:lnTo>
                                <a:lnTo>
                                  <a:pt x="568" y="99"/>
                                </a:lnTo>
                                <a:lnTo>
                                  <a:pt x="450" y="407"/>
                                </a:lnTo>
                                <a:lnTo>
                                  <a:pt x="534" y="407"/>
                                </a:lnTo>
                                <a:lnTo>
                                  <a:pt x="555" y="354"/>
                                </a:lnTo>
                                <a:lnTo>
                                  <a:pt x="666" y="354"/>
                                </a:lnTo>
                                <a:close/>
                                <a:moveTo>
                                  <a:pt x="395" y="167"/>
                                </a:moveTo>
                                <a:lnTo>
                                  <a:pt x="461" y="167"/>
                                </a:lnTo>
                                <a:lnTo>
                                  <a:pt x="461" y="99"/>
                                </a:lnTo>
                                <a:lnTo>
                                  <a:pt x="249" y="99"/>
                                </a:lnTo>
                                <a:lnTo>
                                  <a:pt x="249" y="167"/>
                                </a:lnTo>
                                <a:lnTo>
                                  <a:pt x="315" y="167"/>
                                </a:lnTo>
                                <a:lnTo>
                                  <a:pt x="315" y="407"/>
                                </a:lnTo>
                                <a:lnTo>
                                  <a:pt x="395" y="407"/>
                                </a:lnTo>
                                <a:lnTo>
                                  <a:pt x="395" y="167"/>
                                </a:lnTo>
                                <a:close/>
                                <a:moveTo>
                                  <a:pt x="214" y="117"/>
                                </a:moveTo>
                                <a:lnTo>
                                  <a:pt x="203" y="111"/>
                                </a:lnTo>
                                <a:lnTo>
                                  <a:pt x="190" y="106"/>
                                </a:lnTo>
                                <a:lnTo>
                                  <a:pt x="178" y="102"/>
                                </a:lnTo>
                                <a:lnTo>
                                  <a:pt x="167" y="98"/>
                                </a:lnTo>
                                <a:lnTo>
                                  <a:pt x="154" y="96"/>
                                </a:lnTo>
                                <a:lnTo>
                                  <a:pt x="142" y="93"/>
                                </a:lnTo>
                                <a:lnTo>
                                  <a:pt x="129" y="92"/>
                                </a:lnTo>
                                <a:lnTo>
                                  <a:pt x="117" y="92"/>
                                </a:lnTo>
                                <a:lnTo>
                                  <a:pt x="106" y="92"/>
                                </a:lnTo>
                                <a:lnTo>
                                  <a:pt x="94" y="94"/>
                                </a:lnTo>
                                <a:lnTo>
                                  <a:pt x="84" y="96"/>
                                </a:lnTo>
                                <a:lnTo>
                                  <a:pt x="75" y="99"/>
                                </a:lnTo>
                                <a:lnTo>
                                  <a:pt x="65" y="103"/>
                                </a:lnTo>
                                <a:lnTo>
                                  <a:pt x="56" y="108"/>
                                </a:lnTo>
                                <a:lnTo>
                                  <a:pt x="48" y="114"/>
                                </a:lnTo>
                                <a:lnTo>
                                  <a:pt x="41" y="121"/>
                                </a:lnTo>
                                <a:lnTo>
                                  <a:pt x="35" y="128"/>
                                </a:lnTo>
                                <a:lnTo>
                                  <a:pt x="28" y="136"/>
                                </a:lnTo>
                                <a:lnTo>
                                  <a:pt x="23" y="144"/>
                                </a:lnTo>
                                <a:lnTo>
                                  <a:pt x="20" y="153"/>
                                </a:lnTo>
                                <a:lnTo>
                                  <a:pt x="16" y="163"/>
                                </a:lnTo>
                                <a:lnTo>
                                  <a:pt x="15" y="174"/>
                                </a:lnTo>
                                <a:lnTo>
                                  <a:pt x="12" y="184"/>
                                </a:lnTo>
                                <a:lnTo>
                                  <a:pt x="12" y="195"/>
                                </a:lnTo>
                                <a:lnTo>
                                  <a:pt x="12" y="205"/>
                                </a:lnTo>
                                <a:lnTo>
                                  <a:pt x="13" y="215"/>
                                </a:lnTo>
                                <a:lnTo>
                                  <a:pt x="16" y="224"/>
                                </a:lnTo>
                                <a:lnTo>
                                  <a:pt x="18" y="231"/>
                                </a:lnTo>
                                <a:lnTo>
                                  <a:pt x="22" y="239"/>
                                </a:lnTo>
                                <a:lnTo>
                                  <a:pt x="26" y="245"/>
                                </a:lnTo>
                                <a:lnTo>
                                  <a:pt x="31" y="251"/>
                                </a:lnTo>
                                <a:lnTo>
                                  <a:pt x="37" y="256"/>
                                </a:lnTo>
                                <a:lnTo>
                                  <a:pt x="46" y="263"/>
                                </a:lnTo>
                                <a:lnTo>
                                  <a:pt x="57" y="269"/>
                                </a:lnTo>
                                <a:lnTo>
                                  <a:pt x="73" y="275"/>
                                </a:lnTo>
                                <a:lnTo>
                                  <a:pt x="96" y="281"/>
                                </a:lnTo>
                                <a:lnTo>
                                  <a:pt x="108" y="286"/>
                                </a:lnTo>
                                <a:lnTo>
                                  <a:pt x="118" y="290"/>
                                </a:lnTo>
                                <a:lnTo>
                                  <a:pt x="127" y="294"/>
                                </a:lnTo>
                                <a:lnTo>
                                  <a:pt x="133" y="297"/>
                                </a:lnTo>
                                <a:lnTo>
                                  <a:pt x="138" y="301"/>
                                </a:lnTo>
                                <a:lnTo>
                                  <a:pt x="141" y="306"/>
                                </a:lnTo>
                                <a:lnTo>
                                  <a:pt x="143" y="311"/>
                                </a:lnTo>
                                <a:lnTo>
                                  <a:pt x="143" y="317"/>
                                </a:lnTo>
                                <a:lnTo>
                                  <a:pt x="143" y="324"/>
                                </a:lnTo>
                                <a:lnTo>
                                  <a:pt x="141" y="330"/>
                                </a:lnTo>
                                <a:lnTo>
                                  <a:pt x="137" y="335"/>
                                </a:lnTo>
                                <a:lnTo>
                                  <a:pt x="133" y="339"/>
                                </a:lnTo>
                                <a:lnTo>
                                  <a:pt x="127" y="342"/>
                                </a:lnTo>
                                <a:lnTo>
                                  <a:pt x="121" y="345"/>
                                </a:lnTo>
                                <a:lnTo>
                                  <a:pt x="113" y="346"/>
                                </a:lnTo>
                                <a:lnTo>
                                  <a:pt x="104" y="347"/>
                                </a:lnTo>
                                <a:lnTo>
                                  <a:pt x="96" y="347"/>
                                </a:lnTo>
                                <a:lnTo>
                                  <a:pt x="87" y="345"/>
                                </a:lnTo>
                                <a:lnTo>
                                  <a:pt x="78" y="344"/>
                                </a:lnTo>
                                <a:lnTo>
                                  <a:pt x="70" y="340"/>
                                </a:lnTo>
                                <a:lnTo>
                                  <a:pt x="61" y="335"/>
                                </a:lnTo>
                                <a:lnTo>
                                  <a:pt x="52" y="330"/>
                                </a:lnTo>
                                <a:lnTo>
                                  <a:pt x="43" y="324"/>
                                </a:lnTo>
                                <a:lnTo>
                                  <a:pt x="33" y="316"/>
                                </a:lnTo>
                                <a:lnTo>
                                  <a:pt x="0" y="381"/>
                                </a:lnTo>
                                <a:lnTo>
                                  <a:pt x="12" y="388"/>
                                </a:lnTo>
                                <a:lnTo>
                                  <a:pt x="25" y="396"/>
                                </a:lnTo>
                                <a:lnTo>
                                  <a:pt x="38" y="401"/>
                                </a:lnTo>
                                <a:lnTo>
                                  <a:pt x="52" y="406"/>
                                </a:lnTo>
                                <a:lnTo>
                                  <a:pt x="66" y="410"/>
                                </a:lnTo>
                                <a:lnTo>
                                  <a:pt x="79" y="413"/>
                                </a:lnTo>
                                <a:lnTo>
                                  <a:pt x="93" y="415"/>
                                </a:lnTo>
                                <a:lnTo>
                                  <a:pt x="107" y="415"/>
                                </a:lnTo>
                                <a:lnTo>
                                  <a:pt x="119" y="415"/>
                                </a:lnTo>
                                <a:lnTo>
                                  <a:pt x="132" y="413"/>
                                </a:lnTo>
                                <a:lnTo>
                                  <a:pt x="144" y="411"/>
                                </a:lnTo>
                                <a:lnTo>
                                  <a:pt x="155" y="407"/>
                                </a:lnTo>
                                <a:lnTo>
                                  <a:pt x="167" y="403"/>
                                </a:lnTo>
                                <a:lnTo>
                                  <a:pt x="177" y="398"/>
                                </a:lnTo>
                                <a:lnTo>
                                  <a:pt x="187" y="392"/>
                                </a:lnTo>
                                <a:lnTo>
                                  <a:pt x="195" y="386"/>
                                </a:lnTo>
                                <a:lnTo>
                                  <a:pt x="203" y="378"/>
                                </a:lnTo>
                                <a:lnTo>
                                  <a:pt x="209" y="371"/>
                                </a:lnTo>
                                <a:lnTo>
                                  <a:pt x="214" y="362"/>
                                </a:lnTo>
                                <a:lnTo>
                                  <a:pt x="219" y="352"/>
                                </a:lnTo>
                                <a:lnTo>
                                  <a:pt x="223" y="342"/>
                                </a:lnTo>
                                <a:lnTo>
                                  <a:pt x="225" y="331"/>
                                </a:lnTo>
                                <a:lnTo>
                                  <a:pt x="227" y="319"/>
                                </a:lnTo>
                                <a:lnTo>
                                  <a:pt x="227" y="306"/>
                                </a:lnTo>
                                <a:lnTo>
                                  <a:pt x="225" y="290"/>
                                </a:lnTo>
                                <a:lnTo>
                                  <a:pt x="223" y="275"/>
                                </a:lnTo>
                                <a:lnTo>
                                  <a:pt x="220" y="269"/>
                                </a:lnTo>
                                <a:lnTo>
                                  <a:pt x="217" y="263"/>
                                </a:lnTo>
                                <a:lnTo>
                                  <a:pt x="213" y="258"/>
                                </a:lnTo>
                                <a:lnTo>
                                  <a:pt x="209" y="251"/>
                                </a:lnTo>
                                <a:lnTo>
                                  <a:pt x="204" y="246"/>
                                </a:lnTo>
                                <a:lnTo>
                                  <a:pt x="199" y="241"/>
                                </a:lnTo>
                                <a:lnTo>
                                  <a:pt x="193" y="238"/>
                                </a:lnTo>
                                <a:lnTo>
                                  <a:pt x="185" y="234"/>
                                </a:lnTo>
                                <a:lnTo>
                                  <a:pt x="169" y="226"/>
                                </a:lnTo>
                                <a:lnTo>
                                  <a:pt x="151" y="220"/>
                                </a:lnTo>
                                <a:lnTo>
                                  <a:pt x="129" y="213"/>
                                </a:lnTo>
                                <a:lnTo>
                                  <a:pt x="117" y="209"/>
                                </a:lnTo>
                                <a:lnTo>
                                  <a:pt x="109" y="205"/>
                                </a:lnTo>
                                <a:lnTo>
                                  <a:pt x="103" y="200"/>
                                </a:lnTo>
                                <a:lnTo>
                                  <a:pt x="99" y="198"/>
                                </a:lnTo>
                                <a:lnTo>
                                  <a:pt x="98" y="194"/>
                                </a:lnTo>
                                <a:lnTo>
                                  <a:pt x="96" y="189"/>
                                </a:lnTo>
                                <a:lnTo>
                                  <a:pt x="96" y="185"/>
                                </a:lnTo>
                                <a:lnTo>
                                  <a:pt x="97" y="179"/>
                                </a:lnTo>
                                <a:lnTo>
                                  <a:pt x="98" y="174"/>
                                </a:lnTo>
                                <a:lnTo>
                                  <a:pt x="102" y="170"/>
                                </a:lnTo>
                                <a:lnTo>
                                  <a:pt x="106" y="167"/>
                                </a:lnTo>
                                <a:lnTo>
                                  <a:pt x="111" y="163"/>
                                </a:lnTo>
                                <a:lnTo>
                                  <a:pt x="117" y="160"/>
                                </a:lnTo>
                                <a:lnTo>
                                  <a:pt x="123" y="159"/>
                                </a:lnTo>
                                <a:lnTo>
                                  <a:pt x="129" y="158"/>
                                </a:lnTo>
                                <a:lnTo>
                                  <a:pt x="137" y="159"/>
                                </a:lnTo>
                                <a:lnTo>
                                  <a:pt x="143" y="159"/>
                                </a:lnTo>
                                <a:lnTo>
                                  <a:pt x="151" y="162"/>
                                </a:lnTo>
                                <a:lnTo>
                                  <a:pt x="157" y="163"/>
                                </a:lnTo>
                                <a:lnTo>
                                  <a:pt x="169" y="170"/>
                                </a:lnTo>
                                <a:lnTo>
                                  <a:pt x="183" y="179"/>
                                </a:lnTo>
                                <a:lnTo>
                                  <a:pt x="214" y="117"/>
                                </a:lnTo>
                                <a:close/>
                              </a:path>
                            </a:pathLst>
                          </a:custGeom>
                          <a:solidFill>
                            <a:srgbClr val="BD1B21"/>
                          </a:solidFill>
                          <a:ln>
                            <a:noFill/>
                          </a:ln>
                          <a:extLst>
                            <a:ext uri="{91240B29-F687-4f45-9708-019B960494DF}">
                              <a14:hiddenLine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round/>
                                <a:headEnd/>
                                <a:tailEnd/>
                              </a14:hiddenLine>
                            </a:ext>
                          </a:extLst>
                        </wps:spPr>
                        <wps:bodyPr rot="0" vert="horz" wrap="square" lIns="91440" tIns="45720" rIns="91440" bIns="45720" anchor="t" anchorCtr="0" upright="1">
                          <a:noAutofit/>
                        </wps:bodyPr>
                      </wps:wsp>
                      <wps:wsp>
                        <wps:cNvPr id="15" name="Freeform 14"/>
                        <wps:cNvSpPr>
                          <a:spLocks noChangeAspect="1" noEditPoints="1"/>
                        </wps:cNvSpPr>
                        <wps:spPr bwMode="auto">
                          <a:xfrm>
                            <a:off x="1962" y="851"/>
                            <a:ext cx="679" cy="208"/>
                          </a:xfrm>
                          <a:custGeom>
                            <a:avLst/>
                            <a:gdLst>
                              <a:gd name="T0" fmla="*/ 641 w 1358"/>
                              <a:gd name="T1" fmla="*/ 18 h 416"/>
                              <a:gd name="T2" fmla="*/ 679 w 1358"/>
                              <a:gd name="T3" fmla="*/ 50 h 416"/>
                              <a:gd name="T4" fmla="*/ 581 w 1358"/>
                              <a:gd name="T5" fmla="*/ 130 h 416"/>
                              <a:gd name="T6" fmla="*/ 432 w 1358"/>
                              <a:gd name="T7" fmla="*/ 204 h 416"/>
                              <a:gd name="T8" fmla="*/ 530 w 1358"/>
                              <a:gd name="T9" fmla="*/ 50 h 416"/>
                              <a:gd name="T10" fmla="*/ 349 w 1358"/>
                              <a:gd name="T11" fmla="*/ 54 h 416"/>
                              <a:gd name="T12" fmla="*/ 318 w 1358"/>
                              <a:gd name="T13" fmla="*/ 46 h 416"/>
                              <a:gd name="T14" fmla="*/ 290 w 1358"/>
                              <a:gd name="T15" fmla="*/ 50 h 416"/>
                              <a:gd name="T16" fmla="*/ 271 w 1358"/>
                              <a:gd name="T17" fmla="*/ 64 h 416"/>
                              <a:gd name="T18" fmla="*/ 261 w 1358"/>
                              <a:gd name="T19" fmla="*/ 87 h 416"/>
                              <a:gd name="T20" fmla="*/ 261 w 1358"/>
                              <a:gd name="T21" fmla="*/ 112 h 416"/>
                              <a:gd name="T22" fmla="*/ 272 w 1358"/>
                              <a:gd name="T23" fmla="*/ 129 h 416"/>
                              <a:gd name="T24" fmla="*/ 307 w 1358"/>
                              <a:gd name="T25" fmla="*/ 144 h 416"/>
                              <a:gd name="T26" fmla="*/ 324 w 1358"/>
                              <a:gd name="T27" fmla="*/ 153 h 416"/>
                              <a:gd name="T28" fmla="*/ 322 w 1358"/>
                              <a:gd name="T29" fmla="*/ 168 h 416"/>
                              <a:gd name="T30" fmla="*/ 306 w 1358"/>
                              <a:gd name="T31" fmla="*/ 174 h 416"/>
                              <a:gd name="T32" fmla="*/ 284 w 1358"/>
                              <a:gd name="T33" fmla="*/ 168 h 416"/>
                              <a:gd name="T34" fmla="*/ 260 w 1358"/>
                              <a:gd name="T35" fmla="*/ 195 h 416"/>
                              <a:gd name="T36" fmla="*/ 293 w 1358"/>
                              <a:gd name="T37" fmla="*/ 207 h 416"/>
                              <a:gd name="T38" fmla="*/ 326 w 1358"/>
                              <a:gd name="T39" fmla="*/ 206 h 416"/>
                              <a:gd name="T40" fmla="*/ 351 w 1358"/>
                              <a:gd name="T41" fmla="*/ 193 h 416"/>
                              <a:gd name="T42" fmla="*/ 365 w 1358"/>
                              <a:gd name="T43" fmla="*/ 172 h 416"/>
                              <a:gd name="T44" fmla="*/ 365 w 1358"/>
                              <a:gd name="T45" fmla="*/ 138 h 416"/>
                              <a:gd name="T46" fmla="*/ 356 w 1358"/>
                              <a:gd name="T47" fmla="*/ 124 h 416"/>
                              <a:gd name="T48" fmla="*/ 329 w 1358"/>
                              <a:gd name="T49" fmla="*/ 111 h 416"/>
                              <a:gd name="T50" fmla="*/ 304 w 1358"/>
                              <a:gd name="T51" fmla="*/ 99 h 416"/>
                              <a:gd name="T52" fmla="*/ 303 w 1358"/>
                              <a:gd name="T53" fmla="*/ 87 h 416"/>
                              <a:gd name="T54" fmla="*/ 315 w 1358"/>
                              <a:gd name="T55" fmla="*/ 80 h 416"/>
                              <a:gd name="T56" fmla="*/ 332 w 1358"/>
                              <a:gd name="T57" fmla="*/ 82 h 416"/>
                              <a:gd name="T58" fmla="*/ 232 w 1358"/>
                              <a:gd name="T59" fmla="*/ 50 h 416"/>
                              <a:gd name="T60" fmla="*/ 185 w 1358"/>
                              <a:gd name="T61" fmla="*/ 170 h 416"/>
                              <a:gd name="T62" fmla="*/ 185 w 1358"/>
                              <a:gd name="T63" fmla="*/ 84 h 416"/>
                              <a:gd name="T64" fmla="*/ 105 w 1358"/>
                              <a:gd name="T65" fmla="*/ 1 h 416"/>
                              <a:gd name="T66" fmla="*/ 108 w 1358"/>
                              <a:gd name="T67" fmla="*/ 51 h 416"/>
                              <a:gd name="T68" fmla="*/ 65 w 1358"/>
                              <a:gd name="T69" fmla="*/ 48 h 416"/>
                              <a:gd name="T70" fmla="*/ 29 w 1358"/>
                              <a:gd name="T71" fmla="*/ 65 h 416"/>
                              <a:gd name="T72" fmla="*/ 6 w 1358"/>
                              <a:gd name="T73" fmla="*/ 96 h 416"/>
                              <a:gd name="T74" fmla="*/ 0 w 1358"/>
                              <a:gd name="T75" fmla="*/ 136 h 416"/>
                              <a:gd name="T76" fmla="*/ 11 w 1358"/>
                              <a:gd name="T77" fmla="*/ 170 h 416"/>
                              <a:gd name="T78" fmla="*/ 41 w 1358"/>
                              <a:gd name="T79" fmla="*/ 197 h 416"/>
                              <a:gd name="T80" fmla="*/ 82 w 1358"/>
                              <a:gd name="T81" fmla="*/ 208 h 416"/>
                              <a:gd name="T82" fmla="*/ 118 w 1358"/>
                              <a:gd name="T83" fmla="*/ 153 h 416"/>
                              <a:gd name="T84" fmla="*/ 97 w 1358"/>
                              <a:gd name="T85" fmla="*/ 167 h 416"/>
                              <a:gd name="T86" fmla="*/ 76 w 1358"/>
                              <a:gd name="T87" fmla="*/ 168 h 416"/>
                              <a:gd name="T88" fmla="*/ 59 w 1358"/>
                              <a:gd name="T89" fmla="*/ 162 h 416"/>
                              <a:gd name="T90" fmla="*/ 45 w 1358"/>
                              <a:gd name="T91" fmla="*/ 146 h 416"/>
                              <a:gd name="T92" fmla="*/ 42 w 1358"/>
                              <a:gd name="T93" fmla="*/ 124 h 416"/>
                              <a:gd name="T94" fmla="*/ 49 w 1358"/>
                              <a:gd name="T95" fmla="*/ 104 h 416"/>
                              <a:gd name="T96" fmla="*/ 63 w 1358"/>
                              <a:gd name="T97" fmla="*/ 91 h 416"/>
                              <a:gd name="T98" fmla="*/ 83 w 1358"/>
                              <a:gd name="T99" fmla="*/ 86 h 416"/>
                              <a:gd name="T100" fmla="*/ 107 w 1358"/>
                              <a:gd name="T101" fmla="*/ 92 h 41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358" h="416">
                                <a:moveTo>
                                  <a:pt x="1282" y="36"/>
                                </a:moveTo>
                                <a:lnTo>
                                  <a:pt x="1243" y="0"/>
                                </a:lnTo>
                                <a:lnTo>
                                  <a:pt x="1178" y="56"/>
                                </a:lnTo>
                                <a:lnTo>
                                  <a:pt x="1205" y="85"/>
                                </a:lnTo>
                                <a:lnTo>
                                  <a:pt x="1282" y="36"/>
                                </a:lnTo>
                                <a:close/>
                                <a:moveTo>
                                  <a:pt x="1162" y="260"/>
                                </a:moveTo>
                                <a:lnTo>
                                  <a:pt x="1162" y="407"/>
                                </a:lnTo>
                                <a:lnTo>
                                  <a:pt x="1242" y="407"/>
                                </a:lnTo>
                                <a:lnTo>
                                  <a:pt x="1242" y="260"/>
                                </a:lnTo>
                                <a:lnTo>
                                  <a:pt x="1358" y="100"/>
                                </a:lnTo>
                                <a:lnTo>
                                  <a:pt x="1261" y="100"/>
                                </a:lnTo>
                                <a:lnTo>
                                  <a:pt x="1205" y="183"/>
                                </a:lnTo>
                                <a:lnTo>
                                  <a:pt x="1146" y="100"/>
                                </a:lnTo>
                                <a:lnTo>
                                  <a:pt x="1051" y="100"/>
                                </a:lnTo>
                                <a:lnTo>
                                  <a:pt x="1162" y="260"/>
                                </a:lnTo>
                                <a:close/>
                                <a:moveTo>
                                  <a:pt x="863" y="227"/>
                                </a:moveTo>
                                <a:lnTo>
                                  <a:pt x="863" y="100"/>
                                </a:lnTo>
                                <a:lnTo>
                                  <a:pt x="783" y="100"/>
                                </a:lnTo>
                                <a:lnTo>
                                  <a:pt x="783" y="407"/>
                                </a:lnTo>
                                <a:lnTo>
                                  <a:pt x="863" y="407"/>
                                </a:lnTo>
                                <a:lnTo>
                                  <a:pt x="863" y="274"/>
                                </a:lnTo>
                                <a:lnTo>
                                  <a:pt x="967" y="407"/>
                                </a:lnTo>
                                <a:lnTo>
                                  <a:pt x="1071" y="407"/>
                                </a:lnTo>
                                <a:lnTo>
                                  <a:pt x="938" y="245"/>
                                </a:lnTo>
                                <a:lnTo>
                                  <a:pt x="1059" y="100"/>
                                </a:lnTo>
                                <a:lnTo>
                                  <a:pt x="960" y="100"/>
                                </a:lnTo>
                                <a:lnTo>
                                  <a:pt x="863" y="227"/>
                                </a:lnTo>
                                <a:close/>
                                <a:moveTo>
                                  <a:pt x="721" y="117"/>
                                </a:moveTo>
                                <a:lnTo>
                                  <a:pt x="709" y="112"/>
                                </a:lnTo>
                                <a:lnTo>
                                  <a:pt x="697" y="107"/>
                                </a:lnTo>
                                <a:lnTo>
                                  <a:pt x="685" y="102"/>
                                </a:lnTo>
                                <a:lnTo>
                                  <a:pt x="673" y="98"/>
                                </a:lnTo>
                                <a:lnTo>
                                  <a:pt x="660" y="96"/>
                                </a:lnTo>
                                <a:lnTo>
                                  <a:pt x="648" y="93"/>
                                </a:lnTo>
                                <a:lnTo>
                                  <a:pt x="635" y="92"/>
                                </a:lnTo>
                                <a:lnTo>
                                  <a:pt x="624" y="92"/>
                                </a:lnTo>
                                <a:lnTo>
                                  <a:pt x="611" y="92"/>
                                </a:lnTo>
                                <a:lnTo>
                                  <a:pt x="602" y="95"/>
                                </a:lnTo>
                                <a:lnTo>
                                  <a:pt x="590" y="97"/>
                                </a:lnTo>
                                <a:lnTo>
                                  <a:pt x="580" y="100"/>
                                </a:lnTo>
                                <a:lnTo>
                                  <a:pt x="572" y="103"/>
                                </a:lnTo>
                                <a:lnTo>
                                  <a:pt x="563" y="108"/>
                                </a:lnTo>
                                <a:lnTo>
                                  <a:pt x="555" y="115"/>
                                </a:lnTo>
                                <a:lnTo>
                                  <a:pt x="548" y="121"/>
                                </a:lnTo>
                                <a:lnTo>
                                  <a:pt x="542" y="128"/>
                                </a:lnTo>
                                <a:lnTo>
                                  <a:pt x="535" y="136"/>
                                </a:lnTo>
                                <a:lnTo>
                                  <a:pt x="531" y="145"/>
                                </a:lnTo>
                                <a:lnTo>
                                  <a:pt x="527" y="153"/>
                                </a:lnTo>
                                <a:lnTo>
                                  <a:pt x="523" y="163"/>
                                </a:lnTo>
                                <a:lnTo>
                                  <a:pt x="521" y="174"/>
                                </a:lnTo>
                                <a:lnTo>
                                  <a:pt x="519" y="184"/>
                                </a:lnTo>
                                <a:lnTo>
                                  <a:pt x="519" y="196"/>
                                </a:lnTo>
                                <a:lnTo>
                                  <a:pt x="519" y="206"/>
                                </a:lnTo>
                                <a:lnTo>
                                  <a:pt x="521" y="216"/>
                                </a:lnTo>
                                <a:lnTo>
                                  <a:pt x="522" y="224"/>
                                </a:lnTo>
                                <a:lnTo>
                                  <a:pt x="524" y="232"/>
                                </a:lnTo>
                                <a:lnTo>
                                  <a:pt x="528" y="239"/>
                                </a:lnTo>
                                <a:lnTo>
                                  <a:pt x="533" y="245"/>
                                </a:lnTo>
                                <a:lnTo>
                                  <a:pt x="538" y="252"/>
                                </a:lnTo>
                                <a:lnTo>
                                  <a:pt x="543" y="257"/>
                                </a:lnTo>
                                <a:lnTo>
                                  <a:pt x="552" y="263"/>
                                </a:lnTo>
                                <a:lnTo>
                                  <a:pt x="564" y="269"/>
                                </a:lnTo>
                                <a:lnTo>
                                  <a:pt x="580" y="275"/>
                                </a:lnTo>
                                <a:lnTo>
                                  <a:pt x="602" y="282"/>
                                </a:lnTo>
                                <a:lnTo>
                                  <a:pt x="614" y="287"/>
                                </a:lnTo>
                                <a:lnTo>
                                  <a:pt x="625" y="290"/>
                                </a:lnTo>
                                <a:lnTo>
                                  <a:pt x="634" y="294"/>
                                </a:lnTo>
                                <a:lnTo>
                                  <a:pt x="640" y="298"/>
                                </a:lnTo>
                                <a:lnTo>
                                  <a:pt x="644" y="301"/>
                                </a:lnTo>
                                <a:lnTo>
                                  <a:pt x="648" y="306"/>
                                </a:lnTo>
                                <a:lnTo>
                                  <a:pt x="649" y="311"/>
                                </a:lnTo>
                                <a:lnTo>
                                  <a:pt x="650" y="318"/>
                                </a:lnTo>
                                <a:lnTo>
                                  <a:pt x="649" y="324"/>
                                </a:lnTo>
                                <a:lnTo>
                                  <a:pt x="648" y="330"/>
                                </a:lnTo>
                                <a:lnTo>
                                  <a:pt x="644" y="335"/>
                                </a:lnTo>
                                <a:lnTo>
                                  <a:pt x="639" y="339"/>
                                </a:lnTo>
                                <a:lnTo>
                                  <a:pt x="634" y="343"/>
                                </a:lnTo>
                                <a:lnTo>
                                  <a:pt x="626" y="345"/>
                                </a:lnTo>
                                <a:lnTo>
                                  <a:pt x="619" y="348"/>
                                </a:lnTo>
                                <a:lnTo>
                                  <a:pt x="611" y="348"/>
                                </a:lnTo>
                                <a:lnTo>
                                  <a:pt x="603" y="348"/>
                                </a:lnTo>
                                <a:lnTo>
                                  <a:pt x="594" y="345"/>
                                </a:lnTo>
                                <a:lnTo>
                                  <a:pt x="585" y="344"/>
                                </a:lnTo>
                                <a:lnTo>
                                  <a:pt x="577" y="340"/>
                                </a:lnTo>
                                <a:lnTo>
                                  <a:pt x="568" y="335"/>
                                </a:lnTo>
                                <a:lnTo>
                                  <a:pt x="559" y="330"/>
                                </a:lnTo>
                                <a:lnTo>
                                  <a:pt x="549" y="324"/>
                                </a:lnTo>
                                <a:lnTo>
                                  <a:pt x="540" y="316"/>
                                </a:lnTo>
                                <a:lnTo>
                                  <a:pt x="507" y="381"/>
                                </a:lnTo>
                                <a:lnTo>
                                  <a:pt x="519" y="389"/>
                                </a:lnTo>
                                <a:lnTo>
                                  <a:pt x="532" y="396"/>
                                </a:lnTo>
                                <a:lnTo>
                                  <a:pt x="544" y="401"/>
                                </a:lnTo>
                                <a:lnTo>
                                  <a:pt x="558" y="406"/>
                                </a:lnTo>
                                <a:lnTo>
                                  <a:pt x="572" y="410"/>
                                </a:lnTo>
                                <a:lnTo>
                                  <a:pt x="585" y="414"/>
                                </a:lnTo>
                                <a:lnTo>
                                  <a:pt x="599" y="415"/>
                                </a:lnTo>
                                <a:lnTo>
                                  <a:pt x="613" y="415"/>
                                </a:lnTo>
                                <a:lnTo>
                                  <a:pt x="626" y="415"/>
                                </a:lnTo>
                                <a:lnTo>
                                  <a:pt x="639" y="414"/>
                                </a:lnTo>
                                <a:lnTo>
                                  <a:pt x="651" y="411"/>
                                </a:lnTo>
                                <a:lnTo>
                                  <a:pt x="663" y="407"/>
                                </a:lnTo>
                                <a:lnTo>
                                  <a:pt x="674" y="404"/>
                                </a:lnTo>
                                <a:lnTo>
                                  <a:pt x="684" y="399"/>
                                </a:lnTo>
                                <a:lnTo>
                                  <a:pt x="694" y="392"/>
                                </a:lnTo>
                                <a:lnTo>
                                  <a:pt x="702" y="386"/>
                                </a:lnTo>
                                <a:lnTo>
                                  <a:pt x="709" y="379"/>
                                </a:lnTo>
                                <a:lnTo>
                                  <a:pt x="716" y="371"/>
                                </a:lnTo>
                                <a:lnTo>
                                  <a:pt x="721" y="363"/>
                                </a:lnTo>
                                <a:lnTo>
                                  <a:pt x="725" y="353"/>
                                </a:lnTo>
                                <a:lnTo>
                                  <a:pt x="729" y="343"/>
                                </a:lnTo>
                                <a:lnTo>
                                  <a:pt x="731" y="331"/>
                                </a:lnTo>
                                <a:lnTo>
                                  <a:pt x="732" y="319"/>
                                </a:lnTo>
                                <a:lnTo>
                                  <a:pt x="734" y="306"/>
                                </a:lnTo>
                                <a:lnTo>
                                  <a:pt x="732" y="290"/>
                                </a:lnTo>
                                <a:lnTo>
                                  <a:pt x="729" y="275"/>
                                </a:lnTo>
                                <a:lnTo>
                                  <a:pt x="726" y="269"/>
                                </a:lnTo>
                                <a:lnTo>
                                  <a:pt x="724" y="263"/>
                                </a:lnTo>
                                <a:lnTo>
                                  <a:pt x="720" y="258"/>
                                </a:lnTo>
                                <a:lnTo>
                                  <a:pt x="716" y="252"/>
                                </a:lnTo>
                                <a:lnTo>
                                  <a:pt x="711" y="247"/>
                                </a:lnTo>
                                <a:lnTo>
                                  <a:pt x="705" y="243"/>
                                </a:lnTo>
                                <a:lnTo>
                                  <a:pt x="699" y="238"/>
                                </a:lnTo>
                                <a:lnTo>
                                  <a:pt x="692" y="234"/>
                                </a:lnTo>
                                <a:lnTo>
                                  <a:pt x="676" y="227"/>
                                </a:lnTo>
                                <a:lnTo>
                                  <a:pt x="658" y="221"/>
                                </a:lnTo>
                                <a:lnTo>
                                  <a:pt x="636" y="214"/>
                                </a:lnTo>
                                <a:lnTo>
                                  <a:pt x="624" y="209"/>
                                </a:lnTo>
                                <a:lnTo>
                                  <a:pt x="615" y="206"/>
                                </a:lnTo>
                                <a:lnTo>
                                  <a:pt x="610" y="201"/>
                                </a:lnTo>
                                <a:lnTo>
                                  <a:pt x="607" y="198"/>
                                </a:lnTo>
                                <a:lnTo>
                                  <a:pt x="604" y="194"/>
                                </a:lnTo>
                                <a:lnTo>
                                  <a:pt x="603" y="189"/>
                                </a:lnTo>
                                <a:lnTo>
                                  <a:pt x="603" y="186"/>
                                </a:lnTo>
                                <a:lnTo>
                                  <a:pt x="603" y="181"/>
                                </a:lnTo>
                                <a:lnTo>
                                  <a:pt x="605" y="174"/>
                                </a:lnTo>
                                <a:lnTo>
                                  <a:pt x="608" y="171"/>
                                </a:lnTo>
                                <a:lnTo>
                                  <a:pt x="611" y="167"/>
                                </a:lnTo>
                                <a:lnTo>
                                  <a:pt x="618" y="163"/>
                                </a:lnTo>
                                <a:lnTo>
                                  <a:pt x="623" y="161"/>
                                </a:lnTo>
                                <a:lnTo>
                                  <a:pt x="629" y="159"/>
                                </a:lnTo>
                                <a:lnTo>
                                  <a:pt x="636" y="158"/>
                                </a:lnTo>
                                <a:lnTo>
                                  <a:pt x="643" y="159"/>
                                </a:lnTo>
                                <a:lnTo>
                                  <a:pt x="650" y="159"/>
                                </a:lnTo>
                                <a:lnTo>
                                  <a:pt x="656" y="162"/>
                                </a:lnTo>
                                <a:lnTo>
                                  <a:pt x="663" y="163"/>
                                </a:lnTo>
                                <a:lnTo>
                                  <a:pt x="676" y="171"/>
                                </a:lnTo>
                                <a:lnTo>
                                  <a:pt x="689" y="179"/>
                                </a:lnTo>
                                <a:lnTo>
                                  <a:pt x="721" y="117"/>
                                </a:lnTo>
                                <a:close/>
                                <a:moveTo>
                                  <a:pt x="463" y="167"/>
                                </a:moveTo>
                                <a:lnTo>
                                  <a:pt x="463" y="100"/>
                                </a:lnTo>
                                <a:lnTo>
                                  <a:pt x="289" y="100"/>
                                </a:lnTo>
                                <a:lnTo>
                                  <a:pt x="289" y="407"/>
                                </a:lnTo>
                                <a:lnTo>
                                  <a:pt x="463" y="407"/>
                                </a:lnTo>
                                <a:lnTo>
                                  <a:pt x="463" y="340"/>
                                </a:lnTo>
                                <a:lnTo>
                                  <a:pt x="369" y="340"/>
                                </a:lnTo>
                                <a:lnTo>
                                  <a:pt x="369" y="287"/>
                                </a:lnTo>
                                <a:lnTo>
                                  <a:pt x="458" y="287"/>
                                </a:lnTo>
                                <a:lnTo>
                                  <a:pt x="458" y="219"/>
                                </a:lnTo>
                                <a:lnTo>
                                  <a:pt x="369" y="219"/>
                                </a:lnTo>
                                <a:lnTo>
                                  <a:pt x="369" y="167"/>
                                </a:lnTo>
                                <a:lnTo>
                                  <a:pt x="463" y="167"/>
                                </a:lnTo>
                                <a:close/>
                                <a:moveTo>
                                  <a:pt x="66" y="36"/>
                                </a:moveTo>
                                <a:lnTo>
                                  <a:pt x="148" y="82"/>
                                </a:lnTo>
                                <a:lnTo>
                                  <a:pt x="231" y="36"/>
                                </a:lnTo>
                                <a:lnTo>
                                  <a:pt x="210" y="2"/>
                                </a:lnTo>
                                <a:lnTo>
                                  <a:pt x="148" y="34"/>
                                </a:lnTo>
                                <a:lnTo>
                                  <a:pt x="87" y="2"/>
                                </a:lnTo>
                                <a:lnTo>
                                  <a:pt x="66" y="36"/>
                                </a:lnTo>
                                <a:close/>
                                <a:moveTo>
                                  <a:pt x="235" y="108"/>
                                </a:moveTo>
                                <a:lnTo>
                                  <a:pt x="215" y="102"/>
                                </a:lnTo>
                                <a:lnTo>
                                  <a:pt x="197" y="97"/>
                                </a:lnTo>
                                <a:lnTo>
                                  <a:pt x="180" y="95"/>
                                </a:lnTo>
                                <a:lnTo>
                                  <a:pt x="163" y="93"/>
                                </a:lnTo>
                                <a:lnTo>
                                  <a:pt x="146" y="95"/>
                                </a:lnTo>
                                <a:lnTo>
                                  <a:pt x="129" y="96"/>
                                </a:lnTo>
                                <a:lnTo>
                                  <a:pt x="114" y="101"/>
                                </a:lnTo>
                                <a:lnTo>
                                  <a:pt x="99" y="106"/>
                                </a:lnTo>
                                <a:lnTo>
                                  <a:pt x="84" y="112"/>
                                </a:lnTo>
                                <a:lnTo>
                                  <a:pt x="71" y="121"/>
                                </a:lnTo>
                                <a:lnTo>
                                  <a:pt x="58" y="130"/>
                                </a:lnTo>
                                <a:lnTo>
                                  <a:pt x="47" y="141"/>
                                </a:lnTo>
                                <a:lnTo>
                                  <a:pt x="37" y="152"/>
                                </a:lnTo>
                                <a:lnTo>
                                  <a:pt x="27" y="164"/>
                                </a:lnTo>
                                <a:lnTo>
                                  <a:pt x="20" y="178"/>
                                </a:lnTo>
                                <a:lnTo>
                                  <a:pt x="12" y="192"/>
                                </a:lnTo>
                                <a:lnTo>
                                  <a:pt x="7" y="207"/>
                                </a:lnTo>
                                <a:lnTo>
                                  <a:pt x="3" y="223"/>
                                </a:lnTo>
                                <a:lnTo>
                                  <a:pt x="1" y="239"/>
                                </a:lnTo>
                                <a:lnTo>
                                  <a:pt x="0" y="257"/>
                                </a:lnTo>
                                <a:lnTo>
                                  <a:pt x="0" y="272"/>
                                </a:lnTo>
                                <a:lnTo>
                                  <a:pt x="2" y="287"/>
                                </a:lnTo>
                                <a:lnTo>
                                  <a:pt x="6" y="300"/>
                                </a:lnTo>
                                <a:lnTo>
                                  <a:pt x="10" y="314"/>
                                </a:lnTo>
                                <a:lnTo>
                                  <a:pt x="16" y="328"/>
                                </a:lnTo>
                                <a:lnTo>
                                  <a:pt x="22" y="340"/>
                                </a:lnTo>
                                <a:lnTo>
                                  <a:pt x="31" y="351"/>
                                </a:lnTo>
                                <a:lnTo>
                                  <a:pt x="41" y="363"/>
                                </a:lnTo>
                                <a:lnTo>
                                  <a:pt x="53" y="374"/>
                                </a:lnTo>
                                <a:lnTo>
                                  <a:pt x="66" y="385"/>
                                </a:lnTo>
                                <a:lnTo>
                                  <a:pt x="81" y="394"/>
                                </a:lnTo>
                                <a:lnTo>
                                  <a:pt x="97" y="401"/>
                                </a:lnTo>
                                <a:lnTo>
                                  <a:pt x="113" y="407"/>
                                </a:lnTo>
                                <a:lnTo>
                                  <a:pt x="129" y="412"/>
                                </a:lnTo>
                                <a:lnTo>
                                  <a:pt x="147" y="415"/>
                                </a:lnTo>
                                <a:lnTo>
                                  <a:pt x="163" y="416"/>
                                </a:lnTo>
                                <a:lnTo>
                                  <a:pt x="179" y="415"/>
                                </a:lnTo>
                                <a:lnTo>
                                  <a:pt x="193" y="414"/>
                                </a:lnTo>
                                <a:lnTo>
                                  <a:pt x="212" y="409"/>
                                </a:lnTo>
                                <a:lnTo>
                                  <a:pt x="235" y="401"/>
                                </a:lnTo>
                                <a:lnTo>
                                  <a:pt x="235" y="306"/>
                                </a:lnTo>
                                <a:lnTo>
                                  <a:pt x="228" y="314"/>
                                </a:lnTo>
                                <a:lnTo>
                                  <a:pt x="219" y="320"/>
                                </a:lnTo>
                                <a:lnTo>
                                  <a:pt x="212" y="326"/>
                                </a:lnTo>
                                <a:lnTo>
                                  <a:pt x="203" y="330"/>
                                </a:lnTo>
                                <a:lnTo>
                                  <a:pt x="194" y="334"/>
                                </a:lnTo>
                                <a:lnTo>
                                  <a:pt x="185" y="336"/>
                                </a:lnTo>
                                <a:lnTo>
                                  <a:pt x="175" y="338"/>
                                </a:lnTo>
                                <a:lnTo>
                                  <a:pt x="165" y="339"/>
                                </a:lnTo>
                                <a:lnTo>
                                  <a:pt x="158" y="338"/>
                                </a:lnTo>
                                <a:lnTo>
                                  <a:pt x="151" y="336"/>
                                </a:lnTo>
                                <a:lnTo>
                                  <a:pt x="143" y="335"/>
                                </a:lnTo>
                                <a:lnTo>
                                  <a:pt x="137" y="333"/>
                                </a:lnTo>
                                <a:lnTo>
                                  <a:pt x="129" y="330"/>
                                </a:lnTo>
                                <a:lnTo>
                                  <a:pt x="123" y="326"/>
                                </a:lnTo>
                                <a:lnTo>
                                  <a:pt x="117" y="323"/>
                                </a:lnTo>
                                <a:lnTo>
                                  <a:pt x="111" y="318"/>
                                </a:lnTo>
                                <a:lnTo>
                                  <a:pt x="104" y="311"/>
                                </a:lnTo>
                                <a:lnTo>
                                  <a:pt x="98" y="305"/>
                                </a:lnTo>
                                <a:lnTo>
                                  <a:pt x="93" y="299"/>
                                </a:lnTo>
                                <a:lnTo>
                                  <a:pt x="89" y="292"/>
                                </a:lnTo>
                                <a:lnTo>
                                  <a:pt x="87" y="283"/>
                                </a:lnTo>
                                <a:lnTo>
                                  <a:pt x="84" y="274"/>
                                </a:lnTo>
                                <a:lnTo>
                                  <a:pt x="83" y="265"/>
                                </a:lnTo>
                                <a:lnTo>
                                  <a:pt x="83" y="255"/>
                                </a:lnTo>
                                <a:lnTo>
                                  <a:pt x="83" y="247"/>
                                </a:lnTo>
                                <a:lnTo>
                                  <a:pt x="84" y="238"/>
                                </a:lnTo>
                                <a:lnTo>
                                  <a:pt x="87" y="229"/>
                                </a:lnTo>
                                <a:lnTo>
                                  <a:pt x="89" y="222"/>
                                </a:lnTo>
                                <a:lnTo>
                                  <a:pt x="93" y="214"/>
                                </a:lnTo>
                                <a:lnTo>
                                  <a:pt x="97" y="207"/>
                                </a:lnTo>
                                <a:lnTo>
                                  <a:pt x="102" y="201"/>
                                </a:lnTo>
                                <a:lnTo>
                                  <a:pt x="107" y="194"/>
                                </a:lnTo>
                                <a:lnTo>
                                  <a:pt x="112" y="189"/>
                                </a:lnTo>
                                <a:lnTo>
                                  <a:pt x="118" y="184"/>
                                </a:lnTo>
                                <a:lnTo>
                                  <a:pt x="126" y="181"/>
                                </a:lnTo>
                                <a:lnTo>
                                  <a:pt x="133" y="177"/>
                                </a:lnTo>
                                <a:lnTo>
                                  <a:pt x="141" y="174"/>
                                </a:lnTo>
                                <a:lnTo>
                                  <a:pt x="148" y="172"/>
                                </a:lnTo>
                                <a:lnTo>
                                  <a:pt x="157" y="171"/>
                                </a:lnTo>
                                <a:lnTo>
                                  <a:pt x="165" y="171"/>
                                </a:lnTo>
                                <a:lnTo>
                                  <a:pt x="175" y="171"/>
                                </a:lnTo>
                                <a:lnTo>
                                  <a:pt x="185" y="173"/>
                                </a:lnTo>
                                <a:lnTo>
                                  <a:pt x="195" y="176"/>
                                </a:lnTo>
                                <a:lnTo>
                                  <a:pt x="204" y="179"/>
                                </a:lnTo>
                                <a:lnTo>
                                  <a:pt x="213" y="184"/>
                                </a:lnTo>
                                <a:lnTo>
                                  <a:pt x="220" y="189"/>
                                </a:lnTo>
                                <a:lnTo>
                                  <a:pt x="228" y="197"/>
                                </a:lnTo>
                                <a:lnTo>
                                  <a:pt x="235" y="204"/>
                                </a:lnTo>
                                <a:lnTo>
                                  <a:pt x="235" y="108"/>
                                </a:lnTo>
                                <a:close/>
                              </a:path>
                            </a:pathLst>
                          </a:custGeom>
                          <a:solidFill>
                            <a:srgbClr val="BD1B21"/>
                          </a:solidFill>
                          <a:ln>
                            <a:noFill/>
                          </a:ln>
                          <a:extLst>
                            <a:ext uri="{91240B29-F687-4f45-9708-019B960494DF}">
                              <a14:hiddenLine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4C0ED443" id="Group 24" o:spid="_x0000_s1026" style="position:absolute;margin-left:45pt;margin-top:36.75pt;width:177.15pt;height:43.65pt;z-index:251657728;mso-position-horizontal-relative:page;mso-position-vertical-relative:page" coordorigin="567,851" coordsize="2714,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">
                <o:lock v:ext="edit" aspectratio="t"/>
                <v:rect id="Rectangle 9" o:spid="_x0000_s1027" style="position:absolute;left:1215;top:901;width:676;height: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" fillcolor="#0071bc" stroked="f">
                  <o:lock v:ext="edit" aspectratio="t"/>
                </v:rect>
                <v:rect id="Rectangle 10" o:spid="_x0000_s1028" style="position:absolute;left:567;top:1131;width:1324;height: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" fillcolor="#0071bc" stroked="f">
                  <o:lock v:ext="edit" aspectratio="t"/>
                </v:rect>
                <v:rect id="Rectangle 11" o:spid="_x0000_s1029" style="position:absolute;left:1288;top:1361;width:603;height: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" fillcolor="#0071bc" stroked="f">
                  <o:lock v:ext="edit" aspectratio="t"/>
                </v:rect>
                <v:shape id="Freeform 12" o:spid="_x0000_s1030" style="position:absolute;left:1969;top:1311;width:600;height:207;visibility:visible;mso-wrap-style:square;v-text-anchor:top" coordsize="1200,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" path="m1011,341r,-174l1030,167r10,2l1049,170r10,1l1067,174r7,3l1082,182r6,5l1094,194r5,6l1104,206r4,7l1112,221r2,7l1116,237r1,8l1117,253r,9l1116,271r-2,7l1112,287r-4,7l1104,301r-5,7l1094,314r-6,7l1082,326r-8,5l1067,334r-8,3l1049,338r-9,1l1030,341r-19,xm931,408r118,l1064,407r15,-3l1093,400r14,-5l1121,389r12,-9l1144,372r11,-10l1165,351r9,-12l1182,326r6,-13l1194,298r4,-14l1200,270r,-17l1200,238r-2,-15l1194,208r-6,-13l1182,181r-8,-12l1165,157r-10,-11l1144,136r-11,-10l1121,119r-14,-6l1093,108r-14,-5l1064,101r-15,-1l931,100r,308xm775,293r-67,l742,195r33,98xm797,354r20,54l901,408,785,100r-87,l581,408r84,l686,354r111,xm347,37r83,46l513,37,491,3,430,34,369,3,347,37xm407,238r,-77l422,161r10,1l442,164r7,2l455,170r6,6l466,182r3,9l470,200r-1,8l466,216r-5,7l455,230r-6,3l442,236r-10,1l422,238r-15,xm485,282r13,-4l508,275r8,-5l525,263r6,-6l536,250r5,-8l545,233r4,-8l551,215r1,-10l552,195r,-9l551,176r-2,-9l546,159r-4,-9l537,141r-5,-7l526,128r-7,-8l511,115r-7,-5l495,106r-10,-2l475,101r-12,-1l450,100r-123,l327,408r80,l407,289r76,119l582,408,485,282xm210,35l171,,105,56r28,29l210,35xm80,100l,100,,278r,15l2,308r1,13l5,333r4,10l13,353r4,9l23,369r9,10l43,389r11,8l68,403r15,6l99,413r16,2l133,415r16,l165,413r14,-4l192,404r14,-5l217,392r11,-9l238,372r8,-9l253,353r5,-10l262,333r3,-12l267,308r1,-15l268,278r,-178l189,100r,167l189,287r-2,14l185,311r-4,10l177,326r-5,5l167,334r-6,4l155,341r-6,2l141,344r-7,2l126,344r-6,-1l114,342r-6,-3l103,336r-5,-4l93,327r-4,-5l84,312,81,302,80,288r,-21l80,100xe" fillcolor="#bd1b21" stroked="f">
                  <v:path arrowok="t" o:connecttype="custom" o:connectlocs="260,42;269,44;275,50;279,57;280,65;277,73;272,80;265,84;253,85;270,101;284,95;294,84;300,71;300,55;294,42;284,31;270,25;233,102;194,73;197,25;172,88;129,9;87,9;108,40;116,44;118,52;113,58;102,59;129,67;136,60;138,51;138,41;133,33;126,27;116,25;102,102;122,70;34,21;0,69;2,83;6,92;17,100;34,103;48,101;60,93;66,83;67,69;48,71;45,81;39,85;32,86;26,84;21,78;20,25" o:connectangles="0,0,0,0,0,0,0,0,0,0,0,0,0,0,0,0,0,0,0,0,0,0,0,0,0,0,0,0,0,0,0,0,0,0,0,0,0,0,0,0,0,0,0,0,0,0,0,0,0,0,0,0,0,0"/>
                  <o:lock v:ext="edit" aspectratio="t" verticies="t"/>
                </v:shape>
                <v:shape id="Freeform 13" o:spid="_x0000_s1031" style="position:absolute;left:1962;top:1081;width:1319;height:208;visibility:visible;mso-wrap-style:square;v-text-anchor:top" coordsize="2637,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" path="m2561,35l2524,r-66,56l2485,84r76,-49xm2442,260r,147l2521,407r,-147l2637,99r-97,l2484,183,2427,99r-96,l2442,260xm2143,226r,-127l2063,99r,308l2143,407r,-133l2247,407r104,l2217,245,2340,99r-100,l2143,226xm2008,108r-21,-6l1969,97r-17,-4l1936,93r-18,l1902,96r-16,5l1871,106r-14,6l1844,121r-13,8l1820,140r-11,12l1800,164r-9,14l1785,192r-5,15l1775,223r-2,16l1773,256r,15l1775,286r3,14l1783,314r6,13l1795,340r9,11l1813,362r12,11l1839,385r15,8l1869,401r16,6l1902,412r16,3l1936,416r15,-1l1966,413r17,-5l2008,401r,-95l1999,314r-7,6l1983,326r-7,4l1967,334r-10,2l1948,337r-10,l1931,337r-8,-1l1916,335r-8,-3l1902,330r-6,-4l1889,322r-5,-5l1876,311r-5,-6l1866,299r-4,-8l1860,283r-3,-9l1856,265r,-10l1856,246r1,-8l1860,229r2,-8l1865,214r5,-7l1874,200r5,-6l1885,189r6,-5l1898,180r7,-3l1913,174r8,-2l1930,170r8,l1948,170r10,3l1967,175r10,4l1984,184r9,5l2001,197r7,7l2008,108xm1727,99r-80,l1647,407r80,l1727,99xm1538,167r66,l1604,99r-210,l1394,167r65,l1459,407r79,l1538,167xm1360,117r-11,-6l1337,106r-13,-4l1313,98r-13,-2l1288,93r-12,-1l1263,92r-11,l1241,94r-10,2l1221,99r-10,4l1203,108r-8,6l1187,121r-6,7l1175,136r-5,8l1166,153r-4,10l1161,174r-3,10l1158,195r,10l1160,215r2,9l1165,231r3,8l1172,245r5,6l1183,256r9,7l1203,269r16,6l1242,281r12,5l1264,290r9,4l1279,297r5,4l1287,306r2,5l1289,317r,7l1287,330r-4,5l1279,339r-6,3l1267,345r-8,1l1251,347r-9,l1233,345r-9,-1l1216,340r-9,-5l1198,330r-8,-6l1180,316r-34,65l1158,388r13,8l1185,401r13,5l1212,410r14,3l1239,415r14,l1266,415r12,-2l1290,411r12,-4l1313,403r10,-5l1333,392r9,-6l1349,378r6,-7l1360,362r5,-10l1369,342r2,-11l1373,319r,-13l1371,290r-2,-15l1366,269r-3,-6l1359,258r-4,-7l1350,246r-5,-5l1339,238r-7,-4l1315,226r-17,-6l1276,213r-13,-4l1256,205r-7,-5l1247,198r-3,-4l1242,189r,-4l1243,179r1,-5l1248,170r4,-3l1257,163r6,-3l1269,159r8,-1l1283,159r6,l1297,162r6,1l1315,170r14,9l1360,117xm1091,99r-80,l1011,407r80,l1091,99xm904,167r66,l970,99r-212,l758,167r67,l825,407r79,l904,167xm644,292r-66,l611,194r33,98xm666,354r20,53l771,407,655,99r-87,l450,407r84,l555,354r111,xm395,167r66,l461,99r-212,l249,167r66,l315,407r80,l395,167xm214,117r-11,-6l190,106r-12,-4l167,98,154,96,142,93,129,92r-12,l106,92,94,94,84,96r-9,3l65,103r-9,5l48,114r-7,7l35,128r-7,8l23,144r-3,9l16,163r-1,11l12,184r,11l12,205r1,10l16,224r2,7l22,239r4,6l31,251r6,5l46,263r11,6l73,275r23,6l108,286r10,4l127,294r6,3l138,301r3,5l143,311r,6l143,324r-2,6l137,335r-4,4l127,342r-6,3l113,346r-9,1l96,347r-9,-2l78,344r-8,-4l61,335r-9,-5l43,324,33,316,,381r12,7l25,396r13,5l52,406r14,4l79,413r14,2l107,415r12,l132,413r12,-2l155,407r12,-4l177,398r10,-6l195,386r8,-8l209,371r5,-9l219,352r4,-10l225,331r2,-12l227,306r-2,-16l223,275r-3,-6l217,263r-4,-5l209,251r-5,-5l199,241r-6,-3l185,234r-16,-8l151,220r-22,-7l117,209r-8,-4l103,200r-4,-2l98,194r-2,-5l96,185r1,-6l98,174r4,-4l106,167r5,-4l117,160r6,-1l129,158r8,1l143,159r8,3l157,163r12,7l183,179r31,-62xe" fillcolor="#bd1b21" stroked="f">
                  <v:path arrowok="t" o:connecttype="custom" o:connectlocs="611,102;583,25;536,69;502,27;472,26;450,41;444,68;454,91;480,104;500,79;485,85;473,81;465,69;467,54;477,45;492,44;432,25;401,25;340,30;319,23;301,27;291,41;292,58;305,69;322,77;319,86;304,85;293,99;317,104;336,97;344,80;339,63;319,54;311,47;318,40;333,45;226,42;226,102;172,102;167,89;79,102;42,25;21,24;7,34;3,52;10,64;32,74;36,83;24,87;9,79;20,104;42,101;55,88;55,68;47,59;25,50;27,42;38,41" o:connectangles="0,0,0,0,0,0,0,0,0,0,0,0,0,0,0,0,0,0,0,0,0,0,0,0,0,0,0,0,0,0,0,0,0,0,0,0,0,0,0,0,0,0,0,0,0,0,0,0,0,0,0,0,0,0,0,0,0,0"/>
                  <o:lock v:ext="edit" aspectratio="t" verticies="t"/>
                </v:shape>
                <v:shape id="Freeform 14" o:spid="_x0000_s1032" style="position:absolute;left:1962;top:851;width:679;height:208;visibility:visible;mso-wrap-style:square;v-text-anchor:top" coordsize="1358,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" path="m1282,36l1243,r-65,56l1205,85r77,-49xm1162,260r,147l1242,407r,-147l1358,100r-97,l1205,183r-59,-83l1051,100r111,160xm863,227r,-127l783,100r,307l863,407r,-133l967,407r104,l938,245,1059,100r-99,l863,227xm721,117r-12,-5l697,107r-12,-5l673,98,660,96,648,93,635,92r-11,l611,92r-9,3l590,97r-10,3l572,103r-9,5l555,115r-7,6l542,128r-7,8l531,145r-4,8l523,163r-2,11l519,184r,12l519,206r2,10l522,224r2,8l528,239r5,6l538,252r5,5l552,263r12,6l580,275r22,7l614,287r11,3l634,294r6,4l644,301r4,5l649,311r1,7l649,324r-1,6l644,335r-5,4l634,343r-8,2l619,348r-8,l603,348r-9,-3l585,344r-8,-4l568,335r-9,-5l549,324r-9,-8l507,381r12,8l532,396r12,5l558,406r14,4l585,414r14,1l613,415r13,l639,414r12,-3l663,407r11,-3l684,399r10,-7l702,386r7,-7l716,371r5,-8l725,353r4,-10l731,331r1,-12l734,306r-2,-16l729,275r-3,-6l724,263r-4,-5l716,252r-5,-5l705,243r-6,-5l692,234r-16,-7l658,221r-22,-7l624,209r-9,-3l610,201r-3,-3l604,194r-1,-5l603,186r,-5l605,174r3,-3l611,167r7,-4l623,161r6,-2l636,158r7,1l650,159r6,3l663,163r13,8l689,179r32,-62xm463,167r,-67l289,100r,307l463,407r,-67l369,340r,-53l458,287r,-68l369,219r,-52l463,167xm66,36r82,46l231,36,210,2,148,34,87,2,66,36xm235,108r-20,-6l197,97,180,95,163,93r-17,2l129,96r-15,5l99,106r-15,6l71,121r-13,9l47,141,37,152,27,164r-7,14l12,192,7,207,3,223,1,239,,257r,15l2,287r4,13l10,314r6,14l22,340r9,11l41,363r12,11l66,385r15,9l97,401r16,6l129,412r18,3l163,416r16,-1l193,414r19,-5l235,401r,-95l228,314r-9,6l212,326r-9,4l194,334r-9,2l175,338r-10,1l158,338r-7,-2l143,335r-6,-2l129,330r-6,-4l117,323r-6,-5l104,311r-6,-6l93,299r-4,-7l87,283r-3,-9l83,265r,-10l83,247r1,-9l87,229r2,-7l93,214r4,-7l102,201r5,-7l112,189r6,-5l126,181r7,-4l141,174r7,-2l157,171r8,l175,171r10,2l195,176r9,3l213,184r7,5l228,197r7,7l235,108xe" fillcolor="#bd1b21" stroked="f">
                  <v:path arrowok="t" o:connecttype="custom" o:connectlocs="321,9;340,25;291,65;216,102;265,25;175,27;159,23;145,25;136,32;131,44;131,56;136,65;154,72;162,77;161,84;153,87;142,84;130,98;147,104;163,103;176,97;183,86;183,69;178,62;165,56;152,50;152,44;158,40;166,41;116,25;93,85;93,42;53,1;54,26;33,24;15,33;3,48;0,68;6,85;21,99;41,104;59,77;49,84;38,84;30,81;23,73;21,62;25,52;32,46;42,43;54,46" o:connectangles="0,0,0,0,0,0,0,0,0,0,0,0,0,0,0,0,0,0,0,0,0,0,0,0,0,0,0,0,0,0,0,0,0,0,0,0,0,0,0,0,0,0,0,0,0,0,0,0,0,0,0"/>
                  <o:lock v:ext="edit" aspectratio="t" verticies="t"/>
                </v:shape>
                <w10:wrap type="square" anchorx="page" anchory="page"/>
                <w10:anchorlock/>
              </v:group>
            </w:pict>
          </mc:Fallback>
        </mc:AlternateContent>
      </w:r>
      <w:r>
        <w:rPr>
          <w:noProof/>
        </w:rPr>
        <mc:AlternateContent>
          <mc:Choice Requires="wps">
            <w:drawing>
              <wp:anchor distT="0" distB="0" distL="114300" distR="114300" simplePos="0" relativeHeight="251656704" behindDoc="0" locked="1" layoutInCell="1" allowOverlap="1" wp14:anchorId="5A8AAFF8" wp14:editId="158D9E34">
                <wp:simplePos x="0" y="0"/>
                <wp:positionH relativeFrom="page">
                  <wp:posOffset>1705610</wp:posOffset>
                </wp:positionH>
                <wp:positionV relativeFrom="page">
                  <wp:posOffset>8173085</wp:posOffset>
                </wp:positionV>
                <wp:extent cx="5130165" cy="925195"/>
                <wp:effectExtent l="0" t="0" r="0" b="0"/>
                <wp:wrapNone/>
                <wp:docPr id="8"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0165" cy="925195"/>
                        </a:xfrm>
                        <a:prstGeom prst="rect">
                          <a:avLst/>
                        </a:prstGeom>
                        <a:noFill/>
                        <a:ln>
                          <a:noFill/>
                        </a:ln>
                        <a:extLst>
                          <a:ext uri="{909E8E84-426E-40dd-AFC4-6F175D3DCCD1}">
                            <a14:hiddenFil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o="urn:schemas-microsoft-com:office:office" xmlns:v="urn:schemas-microsoft-com:vml" xmlns:w10="urn:schemas-microsoft-com:office:word" xmlns:w="http://schemas.openxmlformats.org/wordprocessingml/2006/main" xmlns:a14="http://schemas.microsoft.com/office/drawing/2010/main" xmlns="">
                              <a:solidFill>
                                <a:srgbClr val="FFFFFF"/>
                              </a:solidFill>
                            </a14:hiddenFill>
                          </a:ext>
                          <a:ext uri="{91240B29-F687-4f45-9708-019B960494DF}">
                            <a14:hiddenLine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miter lim="800000"/>
                              <a:headEnd/>
                              <a:tailEnd/>
                            </a14:hiddenLine>
                          </a:ext>
                        </a:extLst>
                      </wps:spPr>
                      <wps:txbx>
                        <w:txbxContent>
                          <w:p w14:paraId="3A407B7D" w14:textId="77777777" w:rsidR="004E684C" w:rsidRDefault="004E684C" w:rsidP="004924DC">
                            <w:r>
                              <w:t>Zpracoval: o</w:t>
                            </w:r>
                            <w:r w:rsidRPr="006C5577">
                              <w:t>dbor</w:t>
                            </w:r>
                            <w:r>
                              <w:t xml:space="preserve"> Kancelář předsedy, oddělení svodných analýz</w:t>
                            </w:r>
                            <w:r w:rsidRPr="006C5577">
                              <w:t xml:space="preserve"> </w:t>
                            </w:r>
                          </w:p>
                          <w:p w14:paraId="56CE38B6" w14:textId="77777777" w:rsidR="004E684C" w:rsidRPr="006C5577" w:rsidRDefault="004E684C" w:rsidP="004924DC">
                            <w:r w:rsidRPr="006C5577">
                              <w:t xml:space="preserve">Ředitel odboru: </w:t>
                            </w:r>
                            <w:r>
                              <w:t>Egor Sidorov, Ph.D.</w:t>
                            </w:r>
                          </w:p>
                          <w:p w14:paraId="406270D7" w14:textId="77777777" w:rsidR="004E684C" w:rsidRPr="006C5577" w:rsidRDefault="004E684C" w:rsidP="004924DC">
                            <w:r w:rsidRPr="006C5577">
                              <w:t xml:space="preserve">Kontaktní osoba: </w:t>
                            </w:r>
                            <w:r>
                              <w:t>Jiří Kamenický</w:t>
                            </w:r>
                            <w:r w:rsidRPr="006C5577">
                              <w:t>,</w:t>
                            </w:r>
                            <w:r>
                              <w:t xml:space="preserve"> e-mail: jiri.kamenicky@czso.cz</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A8AAFF8" id="_x0000_t202" coordsize="21600,21600" o:spt="202" path="m,l,21600r21600,l21600,xe">
                <v:stroke joinstyle="miter"/>
                <v:path gradientshapeok="t" o:connecttype="rect"/>
              </v:shapetype>
              <v:shape id="Textové pole 2" o:spid="_x0000_s1026" type="#_x0000_t202" style="position:absolute;left:0;text-align:left;margin-left:134.3pt;margin-top:643.55pt;width:403.95pt;height:72.8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" filled="f" stroked="f">
                <v:textbox inset="0,0,0,0">
                  <w:txbxContent>
                    <w:p w14:paraId="3A407B7D" w14:textId="77777777" w:rsidR="004E684C" w:rsidRDefault="004E684C" w:rsidP="004924DC">
                      <w:r>
                        <w:t>Zpracoval: o</w:t>
                      </w:r>
                      <w:r w:rsidRPr="006C5577">
                        <w:t>dbor</w:t>
                      </w:r>
                      <w:r>
                        <w:t xml:space="preserve"> Kancelář předsedy, oddělení svodných analýz</w:t>
                      </w:r>
                      <w:r w:rsidRPr="006C5577">
                        <w:t xml:space="preserve"> </w:t>
                      </w:r>
                    </w:p>
                    <w:p w14:paraId="56CE38B6" w14:textId="77777777" w:rsidR="004E684C" w:rsidRPr="006C5577" w:rsidRDefault="004E684C" w:rsidP="004924DC">
                      <w:r w:rsidRPr="006C5577">
                        <w:t xml:space="preserve">Ředitel odboru: </w:t>
                      </w:r>
                      <w:r>
                        <w:t>Egor Sidorov, Ph.D.</w:t>
                      </w:r>
                    </w:p>
                    <w:p w14:paraId="406270D7" w14:textId="77777777" w:rsidR="004E684C" w:rsidRPr="006C5577" w:rsidRDefault="004E684C" w:rsidP="004924DC">
                      <w:r w:rsidRPr="006C5577">
                        <w:t xml:space="preserve">Kontaktní osoba: </w:t>
                      </w:r>
                      <w:r>
                        <w:t>Jiří Kamenický</w:t>
                      </w:r>
                      <w:r w:rsidRPr="006C5577">
                        <w:t>,</w:t>
                      </w:r>
                      <w:r>
                        <w:t xml:space="preserve"> e-mail: jiri.kamenicky@czso.cz</w:t>
                      </w:r>
                    </w:p>
                  </w:txbxContent>
                </v:textbox>
                <w10:wrap anchorx="page" anchory="page"/>
                <w10:anchorlock/>
              </v:shape>
            </w:pict>
          </mc:Fallback>
        </mc:AlternateContent>
      </w:r>
      <w:r>
        <w:rPr>
          <w:noProof/>
        </w:rPr>
        <mc:AlternateContent>
          <mc:Choice Requires="wps">
            <w:drawing>
              <wp:anchor distT="0" distB="0" distL="114300" distR="114300" simplePos="0" relativeHeight="251655680" behindDoc="0" locked="1" layoutInCell="1" allowOverlap="1" wp14:anchorId="74FAF3F3" wp14:editId="5A6DA0EB">
                <wp:simplePos x="0" y="0"/>
                <wp:positionH relativeFrom="page">
                  <wp:posOffset>1710055</wp:posOffset>
                </wp:positionH>
                <wp:positionV relativeFrom="page">
                  <wp:posOffset>4680585</wp:posOffset>
                </wp:positionV>
                <wp:extent cx="5129530" cy="1686560"/>
                <wp:effectExtent l="0" t="0" r="0" b="0"/>
                <wp:wrapNone/>
                <wp:docPr id="30"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9530" cy="1686560"/>
                        </a:xfrm>
                        <a:prstGeom prst="rect">
                          <a:avLst/>
                        </a:prstGeom>
                        <a:noFill/>
                        <a:ln>
                          <a:noFill/>
                        </a:ln>
                        <a:extLst>
                          <a:ext uri="{909E8E84-426E-40dd-AFC4-6F175D3DCCD1}">
                            <a14:hiddenFil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o="urn:schemas-microsoft-com:office:office" xmlns:v="urn:schemas-microsoft-com:vml" xmlns:w10="urn:schemas-microsoft-com:office:word" xmlns:w="http://schemas.openxmlformats.org/wordprocessingml/2006/main" xmlns:a14="http://schemas.microsoft.com/office/drawing/2010/main" xmlns="">
                              <a:solidFill>
                                <a:srgbClr val="FFFFFF"/>
                              </a:solidFill>
                            </a14:hiddenFill>
                          </a:ext>
                          <a:ext uri="{91240B29-F687-4f45-9708-019B960494DF}">
                            <a14:hiddenLine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miter lim="800000"/>
                              <a:headEnd/>
                              <a:tailEnd/>
                            </a14:hiddenLine>
                          </a:ext>
                        </a:extLst>
                      </wps:spPr>
                      <wps:txbx>
                        <w:txbxContent>
                          <w:p w14:paraId="725E519F" w14:textId="77777777" w:rsidR="004E684C" w:rsidRPr="004924DC" w:rsidRDefault="004E684C" w:rsidP="004924DC">
                            <w:pPr>
                              <w:pStyle w:val="TLIdentifikace-sted"/>
                            </w:pPr>
                            <w:r>
                              <w:t>Souhrnná data o České republice</w:t>
                            </w:r>
                          </w:p>
                          <w:p w14:paraId="276E3820" w14:textId="55511B14" w:rsidR="004E684C" w:rsidRPr="004924DC" w:rsidRDefault="00F03FDE" w:rsidP="004924DC">
                            <w:pPr>
                              <w:pStyle w:val="TLIdentifikace-sted"/>
                            </w:pPr>
                            <w:r>
                              <w:t>Praha, 12</w:t>
                            </w:r>
                            <w:r w:rsidR="004E684C">
                              <w:t>. 9. 2019</w:t>
                            </w:r>
                          </w:p>
                          <w:p w14:paraId="4A6BE4BD" w14:textId="1022474F" w:rsidR="004E684C" w:rsidRPr="004924DC" w:rsidRDefault="004E684C" w:rsidP="004924DC">
                            <w:pPr>
                              <w:pStyle w:val="TLIdentifikace-sted"/>
                            </w:pPr>
                            <w:r>
                              <w:t xml:space="preserve">Kód publikace: </w:t>
                            </w:r>
                            <w:r w:rsidRPr="00971612">
                              <w:rPr>
                                <w:rStyle w:val="content"/>
                                <w:rFonts w:eastAsia="MS Gothic" w:cs="Arial"/>
                              </w:rPr>
                              <w:t>320314-19</w:t>
                            </w:r>
                          </w:p>
                          <w:p w14:paraId="2832FA95" w14:textId="053048C7" w:rsidR="004E684C" w:rsidRPr="004924DC" w:rsidRDefault="004E684C" w:rsidP="004924DC">
                            <w:pPr>
                              <w:pStyle w:val="TLIdentifikace-sted"/>
                            </w:pPr>
                            <w:r>
                              <w:t xml:space="preserve">Č. j.: </w:t>
                            </w:r>
                            <w:r w:rsidR="00302262" w:rsidRPr="00302262">
                              <w:rPr>
                                <w:rStyle w:val="content"/>
                                <w:rFonts w:eastAsia="MS Gothic" w:cs="Arial"/>
                              </w:rPr>
                              <w:t>03403/2019</w:t>
                            </w:r>
                          </w:p>
                          <w:p w14:paraId="46C3EA63" w14:textId="77777777" w:rsidR="004E684C" w:rsidRPr="004924DC" w:rsidRDefault="004E684C" w:rsidP="004924DC">
                            <w:pPr>
                              <w:pStyle w:val="TLIdentifikace-sted"/>
                            </w:pPr>
                            <w:r w:rsidRPr="004924DC">
                              <w:t>Pořadové číslo v</w:t>
                            </w:r>
                            <w:r>
                              <w:t> </w:t>
                            </w:r>
                            <w:r w:rsidRPr="004924DC">
                              <w:t xml:space="preserve">roce: </w:t>
                            </w:r>
                            <w:r>
                              <w:t>1</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74FAF3F3" id="_x0000_s1027" type="#_x0000_t202" style="position:absolute;left:0;text-align:left;margin-left:134.65pt;margin-top:368.55pt;width:403.9pt;height:132.8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" filled="f" stroked="f">
                <v:textbox style="mso-fit-shape-to-text:t" inset="0,0,0,0">
                  <w:txbxContent>
                    <w:p w14:paraId="725E519F" w14:textId="77777777" w:rsidR="004E684C" w:rsidRPr="004924DC" w:rsidRDefault="004E684C" w:rsidP="004924DC">
                      <w:pPr>
                        <w:pStyle w:val="TLIdentifikace-sted"/>
                      </w:pPr>
                      <w:r>
                        <w:t>Souhrnná data o České republice</w:t>
                      </w:r>
                    </w:p>
                    <w:p w14:paraId="276E3820" w14:textId="55511B14" w:rsidR="004E684C" w:rsidRPr="004924DC" w:rsidRDefault="00F03FDE" w:rsidP="004924DC">
                      <w:pPr>
                        <w:pStyle w:val="TLIdentifikace-sted"/>
                      </w:pPr>
                      <w:r>
                        <w:t>Praha, 12</w:t>
                      </w:r>
                      <w:r w:rsidR="004E684C">
                        <w:t>. 9. 2019</w:t>
                      </w:r>
                    </w:p>
                    <w:p w14:paraId="4A6BE4BD" w14:textId="1022474F" w:rsidR="004E684C" w:rsidRPr="004924DC" w:rsidRDefault="004E684C" w:rsidP="004924DC">
                      <w:pPr>
                        <w:pStyle w:val="TLIdentifikace-sted"/>
                      </w:pPr>
                      <w:r>
                        <w:t xml:space="preserve">Kód publikace: </w:t>
                      </w:r>
                      <w:r w:rsidRPr="00971612">
                        <w:rPr>
                          <w:rStyle w:val="content"/>
                          <w:rFonts w:eastAsia="MS Gothic" w:cs="Arial"/>
                        </w:rPr>
                        <w:t>320314-19</w:t>
                      </w:r>
                    </w:p>
                    <w:p w14:paraId="2832FA95" w14:textId="053048C7" w:rsidR="004E684C" w:rsidRPr="004924DC" w:rsidRDefault="004E684C" w:rsidP="004924DC">
                      <w:pPr>
                        <w:pStyle w:val="TLIdentifikace-sted"/>
                      </w:pPr>
                      <w:r>
                        <w:t xml:space="preserve">Č. j.: </w:t>
                      </w:r>
                      <w:r w:rsidR="00302262" w:rsidRPr="00302262">
                        <w:rPr>
                          <w:rStyle w:val="content"/>
                          <w:rFonts w:eastAsia="MS Gothic" w:cs="Arial"/>
                        </w:rPr>
                        <w:t>03403/2019</w:t>
                      </w:r>
                    </w:p>
                    <w:p w14:paraId="46C3EA63" w14:textId="77777777" w:rsidR="004E684C" w:rsidRPr="004924DC" w:rsidRDefault="004E684C" w:rsidP="004924DC">
                      <w:pPr>
                        <w:pStyle w:val="TLIdentifikace-sted"/>
                      </w:pPr>
                      <w:r w:rsidRPr="004924DC">
                        <w:t>Pořadové číslo v</w:t>
                      </w:r>
                      <w:r>
                        <w:t> </w:t>
                      </w:r>
                      <w:r w:rsidRPr="004924DC">
                        <w:t xml:space="preserve">roce: </w:t>
                      </w:r>
                      <w:r>
                        <w:t>1</w:t>
                      </w:r>
                    </w:p>
                  </w:txbxContent>
                </v:textbox>
                <w10:wrap anchorx="page" anchory="page"/>
                <w10:anchorlock/>
              </v:shape>
            </w:pict>
          </mc:Fallback>
        </mc:AlternateContent>
      </w:r>
      <w:r>
        <w:rPr>
          <w:noProof/>
        </w:rPr>
        <mc:AlternateContent>
          <mc:Choice Requires="wps">
            <w:drawing>
              <wp:anchor distT="0" distB="0" distL="114300" distR="114300" simplePos="0" relativeHeight="251654656" behindDoc="0" locked="1" layoutInCell="1" allowOverlap="1" wp14:anchorId="3AC34A16" wp14:editId="70FE0B5A">
                <wp:simplePos x="0" y="0"/>
                <wp:positionH relativeFrom="page">
                  <wp:posOffset>1710055</wp:posOffset>
                </wp:positionH>
                <wp:positionV relativeFrom="page">
                  <wp:posOffset>1476375</wp:posOffset>
                </wp:positionV>
                <wp:extent cx="5129530" cy="1226820"/>
                <wp:effectExtent l="0" t="0" r="0" b="0"/>
                <wp:wrapNone/>
                <wp:docPr id="29"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9530" cy="1226820"/>
                        </a:xfrm>
                        <a:prstGeom prst="rect">
                          <a:avLst/>
                        </a:prstGeom>
                        <a:noFill/>
                        <a:ln>
                          <a:noFill/>
                        </a:ln>
                        <a:extLst>
                          <a:ext uri="{909E8E84-426E-40dd-AFC4-6F175D3DCCD1}">
                            <a14:hiddenFil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o="urn:schemas-microsoft-com:office:office" xmlns:v="urn:schemas-microsoft-com:vml" xmlns:w10="urn:schemas-microsoft-com:office:word" xmlns:w="http://schemas.openxmlformats.org/wordprocessingml/2006/main" xmlns:a14="http://schemas.microsoft.com/office/drawing/2010/main" xmlns="">
                              <a:solidFill>
                                <a:srgbClr val="FFFFFF"/>
                              </a:solidFill>
                            </a14:hiddenFill>
                          </a:ext>
                          <a:ext uri="{91240B29-F687-4f45-9708-019B960494DF}">
                            <a14:hiddenLine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miter lim="800000"/>
                              <a:headEnd/>
                              <a:tailEnd/>
                            </a14:hiddenLine>
                          </a:ext>
                        </a:extLst>
                      </wps:spPr>
                      <wps:txbx>
                        <w:txbxContent>
                          <w:p w14:paraId="5C837E15" w14:textId="77777777" w:rsidR="004E684C" w:rsidRDefault="004E684C" w:rsidP="000E6FBD">
                            <w:pPr>
                              <w:pStyle w:val="Nzev"/>
                            </w:pPr>
                            <w:r>
                              <w:t xml:space="preserve">TRENDY NA TRHU PRÁCE </w:t>
                            </w:r>
                          </w:p>
                          <w:p w14:paraId="3B88C10C" w14:textId="77777777" w:rsidR="004E684C" w:rsidRPr="000E6FBD" w:rsidRDefault="004E684C" w:rsidP="000E6FBD">
                            <w:pPr>
                              <w:pStyle w:val="Nzev"/>
                            </w:pPr>
                            <w:r>
                              <w:t>V ČR v roce 2018</w:t>
                            </w:r>
                          </w:p>
                          <w:p w14:paraId="0862C5E6" w14:textId="77777777" w:rsidR="004E684C" w:rsidRPr="0012192F" w:rsidRDefault="004E684C" w:rsidP="0012192F">
                            <w:pPr>
                              <w:pStyle w:val="Podnadpis"/>
                            </w:pPr>
                          </w:p>
                        </w:txbxContent>
                      </wps:txbx>
                      <wps:bodyPr rot="0" vert="horz" wrap="square" lIns="0" tIns="0" rIns="0" bIns="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3AC34A16" id="_x0000_s1028" type="#_x0000_t202" style="position:absolute;left:0;text-align:left;margin-left:134.65pt;margin-top:116.25pt;width:403.9pt;height:96.6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" filled="f" stroked="f">
                <v:textbox style="mso-fit-shape-to-text:t" inset="0,0,0,0">
                  <w:txbxContent>
                    <w:p w14:paraId="5C837E15" w14:textId="77777777" w:rsidR="004E684C" w:rsidRDefault="004E684C" w:rsidP="000E6FBD">
                      <w:pPr>
                        <w:pStyle w:val="Nzev"/>
                      </w:pPr>
                      <w:r>
                        <w:t xml:space="preserve">TRENDY NA TRHU PRÁCE </w:t>
                      </w:r>
                    </w:p>
                    <w:p w14:paraId="3B88C10C" w14:textId="77777777" w:rsidR="004E684C" w:rsidRPr="000E6FBD" w:rsidRDefault="004E684C" w:rsidP="000E6FBD">
                      <w:pPr>
                        <w:pStyle w:val="Nzev"/>
                      </w:pPr>
                      <w:r>
                        <w:t>V ČR v roce 2018</w:t>
                      </w:r>
                    </w:p>
                    <w:p w14:paraId="0862C5E6" w14:textId="77777777" w:rsidR="004E684C" w:rsidRPr="0012192F" w:rsidRDefault="004E684C" w:rsidP="0012192F">
                      <w:pPr>
                        <w:pStyle w:val="Podnadpis"/>
                      </w:pPr>
                    </w:p>
                  </w:txbxContent>
                </v:textbox>
                <w10:wrap anchorx="page" anchory="page"/>
                <w10:anchorlock/>
              </v:shape>
            </w:pict>
          </mc:Fallback>
        </mc:AlternateContent>
      </w:r>
      <w:r>
        <w:rPr>
          <w:noProof/>
        </w:rPr>
        <mc:AlternateContent>
          <mc:Choice Requires="wps">
            <w:drawing>
              <wp:anchor distT="0" distB="0" distL="114300" distR="114300" simplePos="0" relativeHeight="251658752" behindDoc="0" locked="1" layoutInCell="1" allowOverlap="1" wp14:anchorId="5D0661F9" wp14:editId="58E9650C">
                <wp:simplePos x="0" y="0"/>
                <wp:positionH relativeFrom="page">
                  <wp:posOffset>1710055</wp:posOffset>
                </wp:positionH>
                <wp:positionV relativeFrom="page">
                  <wp:posOffset>9649460</wp:posOffset>
                </wp:positionV>
                <wp:extent cx="5130165" cy="179705"/>
                <wp:effectExtent l="0" t="0" r="0" b="0"/>
                <wp:wrapNone/>
                <wp:docPr id="7"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0165" cy="179705"/>
                        </a:xfrm>
                        <a:prstGeom prst="rect">
                          <a:avLst/>
                        </a:prstGeom>
                        <a:noFill/>
                        <a:ln>
                          <a:noFill/>
                        </a:ln>
                        <a:extLst>
                          <a:ext uri="{909E8E84-426E-40dd-AFC4-6F175D3DCCD1}">
                            <a14:hiddenFil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o="urn:schemas-microsoft-com:office:office" xmlns:v="urn:schemas-microsoft-com:vml" xmlns:w10="urn:schemas-microsoft-com:office:word" xmlns:w="http://schemas.openxmlformats.org/wordprocessingml/2006/main" xmlns:a14="http://schemas.microsoft.com/office/drawing/2010/main" xmlns="">
                              <a:solidFill>
                                <a:srgbClr val="FFFFFF"/>
                              </a:solidFill>
                            </a14:hiddenFill>
                          </a:ext>
                          <a:ext uri="{91240B29-F687-4f45-9708-019B960494DF}">
                            <a14:hiddenLine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miter lim="800000"/>
                              <a:headEnd/>
                              <a:tailEnd/>
                            </a14:hiddenLine>
                          </a:ext>
                        </a:extLst>
                      </wps:spPr>
                      <wps:txbx>
                        <w:txbxContent>
                          <w:p w14:paraId="79705AFA" w14:textId="77777777" w:rsidR="004E684C" w:rsidRPr="004924DC" w:rsidRDefault="004E684C" w:rsidP="004924DC">
                            <w:r w:rsidRPr="004924DC">
                              <w:t xml:space="preserve">© Český statistický úřad, </w:t>
                            </w:r>
                            <w:r>
                              <w:t>Praha</w:t>
                            </w:r>
                            <w:r w:rsidRPr="004924DC">
                              <w:t xml:space="preserve">, </w:t>
                            </w:r>
                            <w:r>
                              <w:t>2019</w:t>
                            </w:r>
                          </w:p>
                          <w:p w14:paraId="665F2AE5" w14:textId="77777777" w:rsidR="004E684C" w:rsidRPr="005251DD" w:rsidRDefault="004E684C" w:rsidP="00665BA4"/>
                          <w:p w14:paraId="6BFD799E" w14:textId="77777777" w:rsidR="004E684C" w:rsidRPr="005251DD" w:rsidRDefault="004E684C" w:rsidP="00FC684B"/>
                          <w:p w14:paraId="762F87D9" w14:textId="77777777" w:rsidR="004E684C" w:rsidRDefault="004E684C"/>
                          <w:p w14:paraId="187B8DF0" w14:textId="77777777" w:rsidR="004E684C" w:rsidRPr="00097407" w:rsidRDefault="004E684C" w:rsidP="00665BA4">
                            <w:r w:rsidRPr="00097407">
                              <w:t xml:space="preserve">© </w:t>
                            </w:r>
                            <w:r w:rsidRPr="005251DD">
                              <w:t>Český statistický úřad</w:t>
                            </w:r>
                            <w:r>
                              <w:t xml:space="preserve"> / </w:t>
                            </w:r>
                            <w:r w:rsidRPr="009A1902">
                              <w:rPr>
                                <w:i/>
                              </w:rPr>
                              <w:t xml:space="preserve">Czech </w:t>
                            </w:r>
                            <w:r w:rsidRPr="009A1902">
                              <w:rPr>
                                <w:rFonts w:cs="Arial"/>
                                <w:i/>
                                <w:szCs w:val="20"/>
                              </w:rPr>
                              <w:t>Statistical Office</w:t>
                            </w:r>
                            <w:r w:rsidRPr="00097407">
                              <w:t>, místo, rok vydání</w:t>
                            </w:r>
                          </w:p>
                          <w:p w14:paraId="5700FEA3" w14:textId="77777777" w:rsidR="004E684C" w:rsidRPr="005251DD" w:rsidRDefault="004E684C" w:rsidP="00665BA4"/>
                          <w:p w14:paraId="5C3593DF" w14:textId="77777777" w:rsidR="004E684C" w:rsidRPr="005251DD" w:rsidRDefault="004E684C" w:rsidP="00FC684B"/>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D0661F9" id="_x0000_s1029" type="#_x0000_t202" style="position:absolute;left:0;text-align:left;margin-left:134.65pt;margin-top:759.8pt;width:403.95pt;height:14.1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" filled="f" stroked="f">
                <v:textbox inset="0,0,0,0">
                  <w:txbxContent>
                    <w:p w14:paraId="79705AFA" w14:textId="77777777" w:rsidR="004E684C" w:rsidRPr="004924DC" w:rsidRDefault="004E684C" w:rsidP="004924DC">
                      <w:r w:rsidRPr="004924DC">
                        <w:t xml:space="preserve">© Český statistický úřad, </w:t>
                      </w:r>
                      <w:r>
                        <w:t>Praha</w:t>
                      </w:r>
                      <w:r w:rsidRPr="004924DC">
                        <w:t xml:space="preserve">, </w:t>
                      </w:r>
                      <w:r>
                        <w:t>2019</w:t>
                      </w:r>
                    </w:p>
                    <w:p w14:paraId="665F2AE5" w14:textId="77777777" w:rsidR="004E684C" w:rsidRPr="005251DD" w:rsidRDefault="004E684C" w:rsidP="00665BA4"/>
                    <w:p w14:paraId="6BFD799E" w14:textId="77777777" w:rsidR="004E684C" w:rsidRPr="005251DD" w:rsidRDefault="004E684C" w:rsidP="00FC684B"/>
                    <w:p w14:paraId="762F87D9" w14:textId="77777777" w:rsidR="004E684C" w:rsidRDefault="004E684C"/>
                    <w:p w14:paraId="187B8DF0" w14:textId="77777777" w:rsidR="004E684C" w:rsidRPr="00097407" w:rsidRDefault="004E684C" w:rsidP="00665BA4">
                      <w:r w:rsidRPr="00097407">
                        <w:t xml:space="preserve">© </w:t>
                      </w:r>
                      <w:r w:rsidRPr="005251DD">
                        <w:t>Český statistický úřad</w:t>
                      </w:r>
                      <w:r>
                        <w:t xml:space="preserve"> / </w:t>
                      </w:r>
                      <w:r w:rsidRPr="009A1902">
                        <w:rPr>
                          <w:i/>
                        </w:rPr>
                        <w:t xml:space="preserve">Czech </w:t>
                      </w:r>
                      <w:r w:rsidRPr="009A1902">
                        <w:rPr>
                          <w:rFonts w:cs="Arial"/>
                          <w:i/>
                          <w:szCs w:val="20"/>
                        </w:rPr>
                        <w:t>Statistical Office</w:t>
                      </w:r>
                      <w:r w:rsidRPr="00097407">
                        <w:t>, místo, rok vydání</w:t>
                      </w:r>
                    </w:p>
                    <w:p w14:paraId="5700FEA3" w14:textId="77777777" w:rsidR="004E684C" w:rsidRPr="005251DD" w:rsidRDefault="004E684C" w:rsidP="00665BA4"/>
                    <w:p w14:paraId="5C3593DF" w14:textId="77777777" w:rsidR="004E684C" w:rsidRPr="005251DD" w:rsidRDefault="004E684C" w:rsidP="00FC684B"/>
                  </w:txbxContent>
                </v:textbox>
                <w10:wrap anchorx="page" anchory="page"/>
                <w10:anchorlock/>
              </v:shape>
            </w:pict>
          </mc:Fallback>
        </mc:AlternateContent>
      </w:r>
      <w:r>
        <w:rPr>
          <w:noProof/>
        </w:rPr>
        <mc:AlternateContent>
          <mc:Choice Requires="wps">
            <w:drawing>
              <wp:anchor distT="4294967293" distB="4294967293" distL="114300" distR="114300" simplePos="0" relativeHeight="251653632" behindDoc="0" locked="1" layoutInCell="0" allowOverlap="1" wp14:anchorId="0CD6642A" wp14:editId="17CD5AD4">
                <wp:simplePos x="0" y="0"/>
                <wp:positionH relativeFrom="page">
                  <wp:posOffset>1710055</wp:posOffset>
                </wp:positionH>
                <wp:positionV relativeFrom="page">
                  <wp:posOffset>9361169</wp:posOffset>
                </wp:positionV>
                <wp:extent cx="5130165" cy="0"/>
                <wp:effectExtent l="0" t="0" r="13335" b="0"/>
                <wp:wrapNone/>
                <wp:docPr id="33" name="Přímá spojnic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130165" cy="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49796111" id="Přímá spojnice 33" o:spid="_x0000_s1026" style="position:absolute;z-index:251653632;visibility:visible;mso-wrap-style:square;mso-width-percent:0;mso-height-percent:0;mso-wrap-distance-left:9pt;mso-wrap-distance-top:-8e-5mm;mso-wrap-distance-right:9pt;mso-wrap-distance-bottom:-8e-5mm;mso-position-horizontal:absolute;mso-position-horizontal-relative:page;mso-position-vertical:absolute;mso-position-vertical-relative:page;mso-width-percent:0;mso-height-percent:0;mso-width-relative:margin;mso-height-relative:margin" from="134.65pt,737.1pt" to="538.6pt,73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" o:allowincell="f" strokecolor="windowText" strokeweight="1pt">
                <o:lock v:ext="edit" shapetype="f"/>
                <w10:wrap anchorx="page" anchory="page"/>
                <w10:anchorlock/>
              </v:line>
            </w:pict>
          </mc:Fallback>
        </mc:AlternateContent>
      </w:r>
      <w:r w:rsidR="00F63FB7" w:rsidRPr="00360DE3">
        <w:br w:type="page"/>
      </w:r>
      <w:r w:rsidR="00D57677" w:rsidRPr="00360DE3">
        <w:lastRenderedPageBreak/>
        <w:br w:type="page"/>
      </w:r>
      <w:r>
        <w:rPr>
          <w:noProof/>
        </w:rPr>
        <mc:AlternateContent>
          <mc:Choice Requires="wps">
            <w:drawing>
              <wp:anchor distT="0" distB="0" distL="114300" distR="114300" simplePos="0" relativeHeight="251659776" behindDoc="0" locked="1" layoutInCell="1" allowOverlap="1" wp14:anchorId="3C223A01" wp14:editId="0817FAAE">
                <wp:simplePos x="0" y="0"/>
                <wp:positionH relativeFrom="page">
                  <wp:posOffset>723900</wp:posOffset>
                </wp:positionH>
                <wp:positionV relativeFrom="page">
                  <wp:posOffset>1440180</wp:posOffset>
                </wp:positionV>
                <wp:extent cx="6119495" cy="7673340"/>
                <wp:effectExtent l="0" t="0" r="0" b="0"/>
                <wp:wrapNone/>
                <wp:docPr id="6"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9495" cy="7673340"/>
                        </a:xfrm>
                        <a:prstGeom prst="rect">
                          <a:avLst/>
                        </a:prstGeom>
                        <a:noFill/>
                        <a:ln>
                          <a:noFill/>
                        </a:ln>
                        <a:extLst>
                          <a:ext uri="{909E8E84-426E-40dd-AFC4-6F175D3DCCD1}">
                            <a14:hiddenFil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o="urn:schemas-microsoft-com:office:office" xmlns:v="urn:schemas-microsoft-com:vml" xmlns:w10="urn:schemas-microsoft-com:office:word" xmlns:w="http://schemas.openxmlformats.org/wordprocessingml/2006/main" xmlns:a14="http://schemas.microsoft.com/office/drawing/2010/main" xmlns="">
                              <a:solidFill>
                                <a:srgbClr val="FFFFFF"/>
                              </a:solidFill>
                            </a14:hiddenFill>
                          </a:ext>
                          <a:ext uri="{91240B29-F687-4f45-9708-019B960494DF}">
                            <a14:hiddenLine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miter lim="800000"/>
                              <a:headEnd/>
                              <a:tailEnd/>
                            </a14:hiddenLine>
                          </a:ext>
                        </a:extLst>
                      </wps:spPr>
                      <wps:txbx>
                        <w:txbxContent>
                          <w:p w14:paraId="7B7D46EA" w14:textId="77777777" w:rsidR="004E684C" w:rsidRPr="006F5416" w:rsidRDefault="004E684C" w:rsidP="006F5416">
                            <w:pPr>
                              <w:pStyle w:val="TLKontaktyerven"/>
                            </w:pPr>
                            <w:r w:rsidRPr="006F5416">
                              <w:t>KONTAKTY V ÚSTŘEDÍ</w:t>
                            </w:r>
                          </w:p>
                          <w:p w14:paraId="10166F54" w14:textId="77777777" w:rsidR="004E684C" w:rsidRPr="007D40DF" w:rsidRDefault="004E684C" w:rsidP="00825C4D">
                            <w:pPr>
                              <w:pStyle w:val="TLKontakty"/>
                              <w:spacing w:after="80" w:line="240" w:lineRule="auto"/>
                              <w:contextualSpacing w:val="0"/>
                              <w:rPr>
                                <w:b w:val="0"/>
                                <w:color w:val="auto"/>
                              </w:rPr>
                            </w:pPr>
                            <w:r w:rsidRPr="00D66223">
                              <w:t>Český statistický úřad</w:t>
                            </w:r>
                            <w:r w:rsidRPr="007D40DF">
                              <w:rPr>
                                <w:b w:val="0"/>
                                <w:color w:val="auto"/>
                              </w:rPr>
                              <w:t xml:space="preserve"> | Na</w:t>
                            </w:r>
                            <w:r>
                              <w:rPr>
                                <w:b w:val="0"/>
                                <w:color w:val="auto"/>
                              </w:rPr>
                              <w:t xml:space="preserve"> padesátém 81, 100 82 Praha</w:t>
                            </w:r>
                            <w:r w:rsidRPr="007D40DF">
                              <w:rPr>
                                <w:b w:val="0"/>
                                <w:color w:val="auto"/>
                              </w:rPr>
                              <w:t> </w:t>
                            </w:r>
                            <w:r>
                              <w:rPr>
                                <w:b w:val="0"/>
                                <w:color w:val="auto"/>
                              </w:rPr>
                              <w:t xml:space="preserve">10, </w:t>
                            </w:r>
                            <w:r w:rsidRPr="007D40DF">
                              <w:rPr>
                                <w:b w:val="0"/>
                                <w:color w:val="auto"/>
                              </w:rPr>
                              <w:t xml:space="preserve">tel.: 274 051 111 | </w:t>
                            </w:r>
                            <w:r w:rsidRPr="007D40DF">
                              <w:rPr>
                                <w:color w:val="auto"/>
                              </w:rPr>
                              <w:t>www.czso.cz</w:t>
                            </w:r>
                          </w:p>
                          <w:p w14:paraId="47B9A7C8" w14:textId="77777777" w:rsidR="004E684C" w:rsidRPr="00D235B7" w:rsidRDefault="004E684C" w:rsidP="00825C4D">
                            <w:pPr>
                              <w:pStyle w:val="TLKontakty"/>
                              <w:spacing w:after="80" w:line="240" w:lineRule="auto"/>
                              <w:contextualSpacing w:val="0"/>
                              <w:rPr>
                                <w:b w:val="0"/>
                                <w:color w:val="auto"/>
                              </w:rPr>
                            </w:pPr>
                            <w:r w:rsidRPr="00D235B7">
                              <w:rPr>
                                <w:color w:val="auto"/>
                              </w:rPr>
                              <w:t>Oddělení informačních služeb</w:t>
                            </w:r>
                            <w:r w:rsidRPr="00D235B7">
                              <w:rPr>
                                <w:b w:val="0"/>
                                <w:color w:val="auto"/>
                              </w:rPr>
                              <w:t xml:space="preserve"> | tel.: 274 052 304, 274 052 451 | e-mail: infoservis@czso.cz</w:t>
                            </w:r>
                          </w:p>
                          <w:p w14:paraId="38667B53" w14:textId="77777777" w:rsidR="004E684C" w:rsidRPr="00D235B7" w:rsidRDefault="004E684C" w:rsidP="00825C4D">
                            <w:pPr>
                              <w:pStyle w:val="TLKontakty"/>
                              <w:spacing w:after="80" w:line="240" w:lineRule="auto"/>
                              <w:contextualSpacing w:val="0"/>
                              <w:rPr>
                                <w:b w:val="0"/>
                                <w:color w:val="auto"/>
                              </w:rPr>
                            </w:pPr>
                            <w:r w:rsidRPr="00D235B7">
                              <w:rPr>
                                <w:color w:val="auto"/>
                              </w:rPr>
                              <w:t>Prodejna publikací ČSÚ</w:t>
                            </w:r>
                            <w:r w:rsidRPr="00D235B7">
                              <w:rPr>
                                <w:b w:val="0"/>
                                <w:color w:val="auto"/>
                              </w:rPr>
                              <w:t xml:space="preserve"> | tel.: 274 052 361 | e-mail: prodejna@czso.cz</w:t>
                            </w:r>
                          </w:p>
                          <w:p w14:paraId="4E95E68F" w14:textId="77777777" w:rsidR="004E684C" w:rsidRPr="00D235B7" w:rsidRDefault="004E684C" w:rsidP="00825C4D">
                            <w:pPr>
                              <w:pStyle w:val="TLKontakty"/>
                              <w:spacing w:after="80" w:line="240" w:lineRule="auto"/>
                              <w:contextualSpacing w:val="0"/>
                              <w:rPr>
                                <w:b w:val="0"/>
                                <w:color w:val="auto"/>
                              </w:rPr>
                            </w:pPr>
                            <w:r w:rsidRPr="00D235B7">
                              <w:rPr>
                                <w:color w:val="auto"/>
                              </w:rPr>
                              <w:t>Evropská data (ESDS), mezinárodní srovnání</w:t>
                            </w:r>
                            <w:r w:rsidRPr="00D235B7">
                              <w:rPr>
                                <w:b w:val="0"/>
                                <w:color w:val="auto"/>
                              </w:rPr>
                              <w:t xml:space="preserve"> | tel.: 274 052 347 | e-mail: esds@czso.cz</w:t>
                            </w:r>
                          </w:p>
                          <w:p w14:paraId="67BAD9C2" w14:textId="77777777" w:rsidR="004E684C" w:rsidRPr="00D235B7" w:rsidRDefault="004E684C" w:rsidP="00825C4D">
                            <w:pPr>
                              <w:pStyle w:val="TLKontakty"/>
                              <w:spacing w:after="80" w:line="240" w:lineRule="auto"/>
                              <w:contextualSpacing w:val="0"/>
                              <w:rPr>
                                <w:b w:val="0"/>
                                <w:color w:val="auto"/>
                              </w:rPr>
                            </w:pPr>
                            <w:r w:rsidRPr="00D235B7">
                              <w:rPr>
                                <w:color w:val="auto"/>
                              </w:rPr>
                              <w:t>Ústřední statistická knihovna</w:t>
                            </w:r>
                            <w:r w:rsidRPr="00D235B7">
                              <w:rPr>
                                <w:b w:val="0"/>
                                <w:color w:val="auto"/>
                              </w:rPr>
                              <w:t xml:space="preserve"> | tel.: 274 052 361 | e-mail: knihovna@czso.cz</w:t>
                            </w:r>
                          </w:p>
                          <w:p w14:paraId="0640D134" w14:textId="77777777" w:rsidR="004E684C" w:rsidRPr="004A61C5" w:rsidRDefault="004E684C" w:rsidP="00825C4D">
                            <w:pPr>
                              <w:pStyle w:val="TLKontakty"/>
                              <w:spacing w:after="80" w:line="240" w:lineRule="auto"/>
                              <w:contextualSpacing w:val="0"/>
                              <w:rPr>
                                <w:color w:val="auto"/>
                              </w:rPr>
                            </w:pPr>
                          </w:p>
                          <w:p w14:paraId="7FA676AD" w14:textId="77777777" w:rsidR="004E684C" w:rsidRPr="00D66223" w:rsidRDefault="004E684C" w:rsidP="00D66223">
                            <w:pPr>
                              <w:pStyle w:val="TLKontaktyerven"/>
                            </w:pPr>
                            <w:r w:rsidRPr="00D66223">
                              <w:t>INFORMAČNÍ SLUŽBY V REGIONECH</w:t>
                            </w:r>
                          </w:p>
                          <w:p w14:paraId="3023D34B" w14:textId="77777777" w:rsidR="004E684C" w:rsidRPr="00992CF3" w:rsidRDefault="004E684C" w:rsidP="00825C4D">
                            <w:pPr>
                              <w:pStyle w:val="TLKontakty"/>
                              <w:spacing w:after="80" w:line="240" w:lineRule="auto"/>
                              <w:rPr>
                                <w:b w:val="0"/>
                                <w:color w:val="auto"/>
                              </w:rPr>
                            </w:pPr>
                            <w:r w:rsidRPr="00D66223">
                              <w:t>Hl. m. Praha</w:t>
                            </w:r>
                            <w:r w:rsidRPr="00992CF3">
                              <w:rPr>
                                <w:b w:val="0"/>
                                <w:color w:val="auto"/>
                              </w:rPr>
                              <w:t xml:space="preserve"> | Na</w:t>
                            </w:r>
                            <w:r>
                              <w:rPr>
                                <w:b w:val="0"/>
                                <w:color w:val="auto"/>
                              </w:rPr>
                              <w:t xml:space="preserve"> padesátém 81, 100 82 Praha 10, </w:t>
                            </w:r>
                            <w:r w:rsidRPr="00992CF3">
                              <w:rPr>
                                <w:b w:val="0"/>
                                <w:color w:val="auto"/>
                              </w:rPr>
                              <w:t>tel.</w:t>
                            </w:r>
                            <w:r w:rsidRPr="007D40DF">
                              <w:rPr>
                                <w:b w:val="0"/>
                                <w:color w:val="auto"/>
                              </w:rPr>
                              <w:t>:</w:t>
                            </w:r>
                            <w:r>
                              <w:rPr>
                                <w:b w:val="0"/>
                                <w:color w:val="auto"/>
                              </w:rPr>
                              <w:t xml:space="preserve"> 274 052 673, </w:t>
                            </w:r>
                            <w:r w:rsidRPr="00992CF3">
                              <w:rPr>
                                <w:b w:val="0"/>
                                <w:color w:val="auto"/>
                              </w:rPr>
                              <w:t>274 054 223</w:t>
                            </w:r>
                          </w:p>
                          <w:p w14:paraId="696DB53E" w14:textId="77777777" w:rsidR="004E684C" w:rsidRPr="00992CF3" w:rsidRDefault="004E684C" w:rsidP="00825C4D">
                            <w:pPr>
                              <w:pStyle w:val="TLKontakty"/>
                              <w:spacing w:after="80" w:line="240" w:lineRule="auto"/>
                              <w:rPr>
                                <w:b w:val="0"/>
                                <w:color w:val="auto"/>
                              </w:rPr>
                            </w:pPr>
                            <w:r w:rsidRPr="00992CF3">
                              <w:rPr>
                                <w:b w:val="0"/>
                                <w:color w:val="auto"/>
                              </w:rPr>
                              <w:t xml:space="preserve">e-mail: infoservispraha@czso.cz | </w:t>
                            </w:r>
                            <w:r w:rsidRPr="00992CF3">
                              <w:rPr>
                                <w:color w:val="auto"/>
                              </w:rPr>
                              <w:t>www.praha.czso.cz</w:t>
                            </w:r>
                          </w:p>
                          <w:p w14:paraId="30CEF2ED" w14:textId="77777777" w:rsidR="004E684C" w:rsidRPr="004A61C5" w:rsidRDefault="004E684C" w:rsidP="00825C4D">
                            <w:pPr>
                              <w:pStyle w:val="TLKontakty"/>
                              <w:spacing w:after="80" w:line="240" w:lineRule="auto"/>
                              <w:rPr>
                                <w:color w:val="auto"/>
                              </w:rPr>
                            </w:pPr>
                          </w:p>
                          <w:p w14:paraId="0E4A3B0D" w14:textId="77777777" w:rsidR="004E684C" w:rsidRPr="00992CF3" w:rsidRDefault="004E684C" w:rsidP="00825C4D">
                            <w:pPr>
                              <w:pStyle w:val="TLKontakty"/>
                              <w:spacing w:after="80" w:line="240" w:lineRule="auto"/>
                              <w:rPr>
                                <w:b w:val="0"/>
                                <w:color w:val="auto"/>
                              </w:rPr>
                            </w:pPr>
                            <w:r w:rsidRPr="00D66223">
                              <w:t>Středočeský kraj</w:t>
                            </w:r>
                            <w:r w:rsidRPr="00992CF3">
                              <w:rPr>
                                <w:b w:val="0"/>
                                <w:color w:val="auto"/>
                              </w:rPr>
                              <w:t xml:space="preserve"> | Na padesátém 81, 100 82 Praha 10, tel.</w:t>
                            </w:r>
                            <w:r>
                              <w:rPr>
                                <w:b w:val="0"/>
                                <w:color w:val="auto"/>
                              </w:rPr>
                              <w:t xml:space="preserve">: </w:t>
                            </w:r>
                            <w:r w:rsidRPr="00992CF3">
                              <w:rPr>
                                <w:b w:val="0"/>
                                <w:color w:val="auto"/>
                              </w:rPr>
                              <w:t>274 054 175</w:t>
                            </w:r>
                          </w:p>
                          <w:p w14:paraId="50C82A1A" w14:textId="77777777" w:rsidR="004E684C" w:rsidRPr="00992CF3" w:rsidRDefault="004E684C" w:rsidP="00825C4D">
                            <w:pPr>
                              <w:pStyle w:val="TLKontakty"/>
                              <w:spacing w:after="80" w:line="240" w:lineRule="auto"/>
                              <w:rPr>
                                <w:color w:val="auto"/>
                              </w:rPr>
                            </w:pPr>
                            <w:r w:rsidRPr="00992CF3">
                              <w:rPr>
                                <w:b w:val="0"/>
                                <w:color w:val="auto"/>
                              </w:rPr>
                              <w:t xml:space="preserve">e-mail: infoservisstc@czso.cz | </w:t>
                            </w:r>
                            <w:r w:rsidRPr="00992CF3">
                              <w:rPr>
                                <w:color w:val="auto"/>
                              </w:rPr>
                              <w:t>www.stredocesky.czso.cz</w:t>
                            </w:r>
                          </w:p>
                          <w:p w14:paraId="2A04131E" w14:textId="77777777" w:rsidR="004E684C" w:rsidRPr="004A61C5" w:rsidRDefault="004E684C" w:rsidP="00825C4D">
                            <w:pPr>
                              <w:pStyle w:val="TLKontakty"/>
                              <w:spacing w:after="80" w:line="240" w:lineRule="auto"/>
                              <w:rPr>
                                <w:color w:val="auto"/>
                              </w:rPr>
                            </w:pPr>
                          </w:p>
                          <w:p w14:paraId="795E4069" w14:textId="77777777" w:rsidR="004E684C" w:rsidRPr="00992CF3" w:rsidRDefault="004E684C" w:rsidP="00825C4D">
                            <w:pPr>
                              <w:pStyle w:val="TLKontakty"/>
                              <w:spacing w:after="80" w:line="240" w:lineRule="auto"/>
                              <w:rPr>
                                <w:b w:val="0"/>
                                <w:color w:val="auto"/>
                              </w:rPr>
                            </w:pPr>
                            <w:r w:rsidRPr="00D66223">
                              <w:t>České Budějovice</w:t>
                            </w:r>
                            <w:r w:rsidRPr="00992CF3">
                              <w:rPr>
                                <w:b w:val="0"/>
                                <w:color w:val="auto"/>
                              </w:rPr>
                              <w:t xml:space="preserve"> | Žižkova 1, 370 77 České Budějovice</w:t>
                            </w:r>
                            <w:r>
                              <w:rPr>
                                <w:b w:val="0"/>
                                <w:color w:val="auto"/>
                              </w:rPr>
                              <w:t xml:space="preserve">, </w:t>
                            </w:r>
                            <w:r w:rsidRPr="00992CF3">
                              <w:rPr>
                                <w:b w:val="0"/>
                                <w:color w:val="auto"/>
                              </w:rPr>
                              <w:t>tel.</w:t>
                            </w:r>
                            <w:r>
                              <w:rPr>
                                <w:b w:val="0"/>
                                <w:color w:val="auto"/>
                              </w:rPr>
                              <w:t xml:space="preserve">: </w:t>
                            </w:r>
                            <w:r w:rsidRPr="00992CF3">
                              <w:rPr>
                                <w:b w:val="0"/>
                                <w:color w:val="auto"/>
                              </w:rPr>
                              <w:t>386 718 440</w:t>
                            </w:r>
                          </w:p>
                          <w:p w14:paraId="2FD9E62B" w14:textId="77777777" w:rsidR="004E684C" w:rsidRPr="00992CF3" w:rsidRDefault="004E684C" w:rsidP="00825C4D">
                            <w:pPr>
                              <w:pStyle w:val="TLKontakty"/>
                              <w:spacing w:after="80" w:line="240" w:lineRule="auto"/>
                              <w:rPr>
                                <w:b w:val="0"/>
                                <w:color w:val="auto"/>
                              </w:rPr>
                            </w:pPr>
                            <w:r w:rsidRPr="00992CF3">
                              <w:rPr>
                                <w:b w:val="0"/>
                                <w:color w:val="auto"/>
                              </w:rPr>
                              <w:t xml:space="preserve">e-mail: infoserviscb@czso.cz | </w:t>
                            </w:r>
                            <w:r w:rsidRPr="00992CF3">
                              <w:rPr>
                                <w:color w:val="auto"/>
                              </w:rPr>
                              <w:t>www.cbudejovice.czso.cz</w:t>
                            </w:r>
                          </w:p>
                          <w:p w14:paraId="555FDA5C" w14:textId="77777777" w:rsidR="004E684C" w:rsidRPr="004A61C5" w:rsidRDefault="004E684C" w:rsidP="00825C4D">
                            <w:pPr>
                              <w:pStyle w:val="TLKontakty"/>
                              <w:spacing w:after="80" w:line="240" w:lineRule="auto"/>
                              <w:rPr>
                                <w:color w:val="auto"/>
                              </w:rPr>
                            </w:pPr>
                          </w:p>
                          <w:p w14:paraId="5948D3FC" w14:textId="77777777" w:rsidR="004E684C" w:rsidRPr="00BC731E" w:rsidRDefault="004E684C" w:rsidP="00825C4D">
                            <w:pPr>
                              <w:pStyle w:val="TLKontakty"/>
                              <w:spacing w:after="80" w:line="240" w:lineRule="auto"/>
                              <w:rPr>
                                <w:b w:val="0"/>
                                <w:color w:val="auto"/>
                              </w:rPr>
                            </w:pPr>
                            <w:r w:rsidRPr="00D66223">
                              <w:t>Plzeň</w:t>
                            </w:r>
                            <w:r w:rsidRPr="004A61C5">
                              <w:rPr>
                                <w:b w:val="0"/>
                                <w:color w:val="auto"/>
                              </w:rPr>
                              <w:t xml:space="preserve"> | Slovanská alej 36, 326 64 Plzeň</w:t>
                            </w:r>
                            <w:r>
                              <w:rPr>
                                <w:b w:val="0"/>
                                <w:color w:val="auto"/>
                              </w:rPr>
                              <w:t xml:space="preserve">, </w:t>
                            </w:r>
                            <w:r w:rsidRPr="004A61C5">
                              <w:rPr>
                                <w:b w:val="0"/>
                                <w:color w:val="auto"/>
                              </w:rPr>
                              <w:t>tel.</w:t>
                            </w:r>
                            <w:r>
                              <w:rPr>
                                <w:b w:val="0"/>
                                <w:color w:val="auto"/>
                              </w:rPr>
                              <w:t xml:space="preserve">: </w:t>
                            </w:r>
                            <w:r w:rsidRPr="004A61C5">
                              <w:rPr>
                                <w:b w:val="0"/>
                                <w:color w:val="auto"/>
                              </w:rPr>
                              <w:t>377 612 108</w:t>
                            </w:r>
                            <w:r w:rsidRPr="00BC731E">
                              <w:rPr>
                                <w:b w:val="0"/>
                                <w:color w:val="auto"/>
                              </w:rPr>
                              <w:t>, 377 612 145</w:t>
                            </w:r>
                          </w:p>
                          <w:p w14:paraId="59F95F35" w14:textId="77777777" w:rsidR="004E684C" w:rsidRPr="004A61C5" w:rsidRDefault="004E684C" w:rsidP="00825C4D">
                            <w:pPr>
                              <w:pStyle w:val="TLKontakty"/>
                              <w:spacing w:after="80" w:line="240" w:lineRule="auto"/>
                              <w:rPr>
                                <w:b w:val="0"/>
                                <w:color w:val="auto"/>
                              </w:rPr>
                            </w:pPr>
                            <w:r w:rsidRPr="004A61C5">
                              <w:rPr>
                                <w:b w:val="0"/>
                                <w:color w:val="auto"/>
                              </w:rPr>
                              <w:t xml:space="preserve">e-mail: infoservisplzen@czso.cz | </w:t>
                            </w:r>
                            <w:r w:rsidRPr="004A61C5">
                              <w:rPr>
                                <w:color w:val="auto"/>
                              </w:rPr>
                              <w:t>www.plzen.czso.cz</w:t>
                            </w:r>
                          </w:p>
                          <w:p w14:paraId="4EC66D56" w14:textId="77777777" w:rsidR="004E684C" w:rsidRPr="004A61C5" w:rsidRDefault="004E684C" w:rsidP="00825C4D">
                            <w:pPr>
                              <w:pStyle w:val="TLKontakty"/>
                              <w:spacing w:after="80" w:line="240" w:lineRule="auto"/>
                              <w:rPr>
                                <w:color w:val="auto"/>
                              </w:rPr>
                            </w:pPr>
                          </w:p>
                          <w:p w14:paraId="2D5D6A77" w14:textId="77777777" w:rsidR="004E684C" w:rsidRPr="004A61C5" w:rsidRDefault="004E684C" w:rsidP="00825C4D">
                            <w:pPr>
                              <w:pStyle w:val="TLKontakty"/>
                              <w:spacing w:after="80" w:line="240" w:lineRule="auto"/>
                              <w:rPr>
                                <w:b w:val="0"/>
                                <w:color w:val="auto"/>
                              </w:rPr>
                            </w:pPr>
                            <w:r w:rsidRPr="00D66223">
                              <w:t>Karlovy Vary</w:t>
                            </w:r>
                            <w:r w:rsidRPr="004A61C5">
                              <w:rPr>
                                <w:b w:val="0"/>
                                <w:color w:val="auto"/>
                              </w:rPr>
                              <w:t xml:space="preserve"> | </w:t>
                            </w:r>
                            <w:r w:rsidRPr="00095135">
                              <w:rPr>
                                <w:b w:val="0"/>
                                <w:color w:val="auto"/>
                              </w:rPr>
                              <w:t>Závodní 360/94, 360 06 Karlovy Vary</w:t>
                            </w:r>
                            <w:r w:rsidRPr="004A61C5">
                              <w:rPr>
                                <w:b w:val="0"/>
                                <w:color w:val="auto"/>
                              </w:rPr>
                              <w:t>, tel.</w:t>
                            </w:r>
                            <w:r>
                              <w:rPr>
                                <w:b w:val="0"/>
                                <w:color w:val="auto"/>
                              </w:rPr>
                              <w:t xml:space="preserve">: </w:t>
                            </w:r>
                            <w:r w:rsidRPr="004A61C5">
                              <w:rPr>
                                <w:b w:val="0"/>
                                <w:color w:val="auto"/>
                              </w:rPr>
                              <w:t>353 114 529, 353 114 525</w:t>
                            </w:r>
                          </w:p>
                          <w:p w14:paraId="73CA121F" w14:textId="77777777" w:rsidR="004E684C" w:rsidRPr="004A61C5" w:rsidRDefault="004E684C" w:rsidP="00825C4D">
                            <w:pPr>
                              <w:pStyle w:val="TLKontakty"/>
                              <w:spacing w:after="80" w:line="240" w:lineRule="auto"/>
                              <w:rPr>
                                <w:b w:val="0"/>
                                <w:color w:val="auto"/>
                              </w:rPr>
                            </w:pPr>
                            <w:r w:rsidRPr="004A61C5">
                              <w:rPr>
                                <w:b w:val="0"/>
                                <w:color w:val="auto"/>
                              </w:rPr>
                              <w:t xml:space="preserve">e-mail: infoserviskv@czso.cz | </w:t>
                            </w:r>
                            <w:r w:rsidRPr="004A61C5">
                              <w:rPr>
                                <w:color w:val="auto"/>
                              </w:rPr>
                              <w:t>www.kvary.czso.cz</w:t>
                            </w:r>
                          </w:p>
                          <w:p w14:paraId="2A2626A0" w14:textId="77777777" w:rsidR="004E684C" w:rsidRPr="004A61C5" w:rsidRDefault="004E684C" w:rsidP="00825C4D">
                            <w:pPr>
                              <w:pStyle w:val="TLKontakty"/>
                              <w:spacing w:after="80" w:line="240" w:lineRule="auto"/>
                              <w:rPr>
                                <w:color w:val="auto"/>
                              </w:rPr>
                            </w:pPr>
                          </w:p>
                          <w:p w14:paraId="14A4893E" w14:textId="77777777" w:rsidR="004E684C" w:rsidRPr="004A61C5" w:rsidRDefault="004E684C" w:rsidP="00825C4D">
                            <w:pPr>
                              <w:pStyle w:val="TLKontakty"/>
                              <w:spacing w:after="80" w:line="240" w:lineRule="auto"/>
                              <w:rPr>
                                <w:b w:val="0"/>
                                <w:color w:val="auto"/>
                              </w:rPr>
                            </w:pPr>
                            <w:r w:rsidRPr="00D66223">
                              <w:t>Ústí nad Labem</w:t>
                            </w:r>
                            <w:r w:rsidRPr="004A61C5">
                              <w:rPr>
                                <w:b w:val="0"/>
                                <w:color w:val="auto"/>
                              </w:rPr>
                              <w:t xml:space="preserve"> | Špálova 2684, 400 11 Ústí nad Labem</w:t>
                            </w:r>
                            <w:r>
                              <w:rPr>
                                <w:b w:val="0"/>
                                <w:color w:val="auto"/>
                              </w:rPr>
                              <w:t xml:space="preserve">, </w:t>
                            </w:r>
                            <w:r w:rsidRPr="004A61C5">
                              <w:rPr>
                                <w:b w:val="0"/>
                                <w:color w:val="auto"/>
                              </w:rPr>
                              <w:t>tel.</w:t>
                            </w:r>
                            <w:r>
                              <w:rPr>
                                <w:b w:val="0"/>
                                <w:color w:val="auto"/>
                              </w:rPr>
                              <w:t xml:space="preserve">: </w:t>
                            </w:r>
                            <w:r w:rsidRPr="004A61C5">
                              <w:rPr>
                                <w:b w:val="0"/>
                                <w:color w:val="auto"/>
                              </w:rPr>
                              <w:t>472 706 176,</w:t>
                            </w:r>
                            <w:r>
                              <w:rPr>
                                <w:b w:val="0"/>
                                <w:color w:val="auto"/>
                              </w:rPr>
                              <w:t xml:space="preserve"> </w:t>
                            </w:r>
                            <w:r w:rsidRPr="004A61C5">
                              <w:rPr>
                                <w:b w:val="0"/>
                                <w:color w:val="auto"/>
                              </w:rPr>
                              <w:t>472 706 121</w:t>
                            </w:r>
                          </w:p>
                          <w:p w14:paraId="0731BD15" w14:textId="77777777" w:rsidR="004E684C" w:rsidRPr="004A61C5" w:rsidRDefault="004E684C" w:rsidP="00825C4D">
                            <w:pPr>
                              <w:pStyle w:val="TLKontakty"/>
                              <w:spacing w:after="80" w:line="240" w:lineRule="auto"/>
                              <w:rPr>
                                <w:b w:val="0"/>
                                <w:color w:val="auto"/>
                              </w:rPr>
                            </w:pPr>
                            <w:r w:rsidRPr="004A61C5">
                              <w:rPr>
                                <w:b w:val="0"/>
                                <w:color w:val="auto"/>
                              </w:rPr>
                              <w:t xml:space="preserve">e-mail: infoservisul@czso.cz | </w:t>
                            </w:r>
                            <w:r w:rsidRPr="004A61C5">
                              <w:rPr>
                                <w:color w:val="auto"/>
                              </w:rPr>
                              <w:t>www.ustinadlabem.czso.cz</w:t>
                            </w:r>
                          </w:p>
                          <w:p w14:paraId="1A2F92E4" w14:textId="77777777" w:rsidR="004E684C" w:rsidRPr="004A61C5" w:rsidRDefault="004E684C" w:rsidP="00825C4D">
                            <w:pPr>
                              <w:pStyle w:val="TLKontakty"/>
                              <w:spacing w:after="80" w:line="240" w:lineRule="auto"/>
                              <w:rPr>
                                <w:color w:val="auto"/>
                              </w:rPr>
                            </w:pPr>
                          </w:p>
                          <w:p w14:paraId="2E22FA83" w14:textId="55B83C7F" w:rsidR="004E684C" w:rsidRPr="004A61C5" w:rsidRDefault="004E684C" w:rsidP="00825C4D">
                            <w:pPr>
                              <w:pStyle w:val="TLKontakty"/>
                              <w:spacing w:after="80" w:line="240" w:lineRule="auto"/>
                              <w:rPr>
                                <w:b w:val="0"/>
                                <w:color w:val="auto"/>
                              </w:rPr>
                            </w:pPr>
                            <w:r w:rsidRPr="00D66223">
                              <w:t>Liberec</w:t>
                            </w:r>
                            <w:r w:rsidRPr="004A61C5">
                              <w:rPr>
                                <w:b w:val="0"/>
                                <w:color w:val="auto"/>
                              </w:rPr>
                              <w:t xml:space="preserve"> | </w:t>
                            </w:r>
                            <w:r>
                              <w:rPr>
                                <w:b w:val="0"/>
                                <w:color w:val="auto"/>
                              </w:rPr>
                              <w:t>n</w:t>
                            </w:r>
                            <w:r w:rsidRPr="004A61C5">
                              <w:rPr>
                                <w:b w:val="0"/>
                                <w:color w:val="auto"/>
                              </w:rPr>
                              <w:t>ám. Dr. Edvarda Beneše 585/26, 460 01 Liberec 1, tel.</w:t>
                            </w:r>
                            <w:r>
                              <w:rPr>
                                <w:b w:val="0"/>
                                <w:color w:val="auto"/>
                              </w:rPr>
                              <w:t xml:space="preserve">: </w:t>
                            </w:r>
                            <w:r w:rsidRPr="004A61C5">
                              <w:rPr>
                                <w:b w:val="0"/>
                                <w:color w:val="auto"/>
                              </w:rPr>
                              <w:t>485 238 811</w:t>
                            </w:r>
                          </w:p>
                          <w:p w14:paraId="0EF14A96" w14:textId="77777777" w:rsidR="004E684C" w:rsidRPr="004A61C5" w:rsidRDefault="004E684C" w:rsidP="00825C4D">
                            <w:pPr>
                              <w:pStyle w:val="TLKontakty"/>
                              <w:spacing w:after="80" w:line="240" w:lineRule="auto"/>
                              <w:rPr>
                                <w:b w:val="0"/>
                                <w:color w:val="auto"/>
                              </w:rPr>
                            </w:pPr>
                            <w:r w:rsidRPr="004A61C5">
                              <w:rPr>
                                <w:b w:val="0"/>
                                <w:color w:val="auto"/>
                              </w:rPr>
                              <w:t xml:space="preserve">e-mail: infoservislbc@czso.cz | </w:t>
                            </w:r>
                            <w:r w:rsidRPr="004A61C5">
                              <w:rPr>
                                <w:color w:val="auto"/>
                              </w:rPr>
                              <w:t>www.liberec.czso.cz</w:t>
                            </w:r>
                          </w:p>
                          <w:p w14:paraId="59C70B8C" w14:textId="77777777" w:rsidR="004E684C" w:rsidRPr="004A61C5" w:rsidRDefault="004E684C" w:rsidP="00825C4D">
                            <w:pPr>
                              <w:pStyle w:val="TLKontakty"/>
                              <w:spacing w:after="80" w:line="240" w:lineRule="auto"/>
                              <w:rPr>
                                <w:b w:val="0"/>
                                <w:color w:val="auto"/>
                              </w:rPr>
                            </w:pPr>
                          </w:p>
                          <w:p w14:paraId="4412D665" w14:textId="77777777" w:rsidR="004E684C" w:rsidRPr="004A61C5" w:rsidRDefault="004E684C" w:rsidP="00825C4D">
                            <w:pPr>
                              <w:pStyle w:val="TLKontakty"/>
                              <w:spacing w:after="80" w:line="240" w:lineRule="auto"/>
                              <w:rPr>
                                <w:b w:val="0"/>
                                <w:color w:val="auto"/>
                              </w:rPr>
                            </w:pPr>
                            <w:r w:rsidRPr="00D66223">
                              <w:t>Hradec Králové</w:t>
                            </w:r>
                            <w:r w:rsidRPr="004A61C5">
                              <w:rPr>
                                <w:b w:val="0"/>
                                <w:color w:val="auto"/>
                              </w:rPr>
                              <w:t xml:space="preserve"> | Myslivečkova 914, 500 03 Hradec Králové 3, </w:t>
                            </w:r>
                            <w:r>
                              <w:rPr>
                                <w:b w:val="0"/>
                                <w:color w:val="auto"/>
                              </w:rPr>
                              <w:t>tel.</w:t>
                            </w:r>
                            <w:r w:rsidRPr="007D40DF">
                              <w:rPr>
                                <w:b w:val="0"/>
                                <w:color w:val="auto"/>
                              </w:rPr>
                              <w:t>:</w:t>
                            </w:r>
                            <w:r>
                              <w:rPr>
                                <w:b w:val="0"/>
                                <w:color w:val="auto"/>
                              </w:rPr>
                              <w:t xml:space="preserve"> </w:t>
                            </w:r>
                            <w:r w:rsidRPr="004A61C5">
                              <w:rPr>
                                <w:b w:val="0"/>
                                <w:color w:val="auto"/>
                              </w:rPr>
                              <w:t>495 762 322,</w:t>
                            </w:r>
                            <w:r>
                              <w:rPr>
                                <w:b w:val="0"/>
                                <w:color w:val="auto"/>
                              </w:rPr>
                              <w:t xml:space="preserve"> </w:t>
                            </w:r>
                            <w:r w:rsidRPr="004A61C5">
                              <w:rPr>
                                <w:b w:val="0"/>
                                <w:color w:val="auto"/>
                              </w:rPr>
                              <w:t>495 762 317</w:t>
                            </w:r>
                          </w:p>
                          <w:p w14:paraId="21B7C70C" w14:textId="77777777" w:rsidR="004E684C" w:rsidRPr="004A61C5" w:rsidRDefault="004E684C" w:rsidP="00825C4D">
                            <w:pPr>
                              <w:pStyle w:val="TLKontakty"/>
                              <w:spacing w:after="80" w:line="240" w:lineRule="auto"/>
                              <w:rPr>
                                <w:b w:val="0"/>
                                <w:color w:val="auto"/>
                              </w:rPr>
                            </w:pPr>
                            <w:r w:rsidRPr="004A61C5">
                              <w:rPr>
                                <w:b w:val="0"/>
                                <w:color w:val="auto"/>
                              </w:rPr>
                              <w:t xml:space="preserve">e-mail: infoservishk@czso.cz | </w:t>
                            </w:r>
                            <w:r w:rsidRPr="004A61C5">
                              <w:rPr>
                                <w:color w:val="auto"/>
                              </w:rPr>
                              <w:t>www.hradeckralove.czso.cz</w:t>
                            </w:r>
                          </w:p>
                          <w:p w14:paraId="225BCF7C" w14:textId="77777777" w:rsidR="004E684C" w:rsidRPr="004A61C5" w:rsidRDefault="004E684C" w:rsidP="00825C4D">
                            <w:pPr>
                              <w:pStyle w:val="TLKontakty"/>
                              <w:spacing w:after="80" w:line="240" w:lineRule="auto"/>
                              <w:rPr>
                                <w:color w:val="auto"/>
                              </w:rPr>
                            </w:pPr>
                          </w:p>
                          <w:p w14:paraId="37337D66" w14:textId="77777777" w:rsidR="004E684C" w:rsidRPr="004A61C5" w:rsidRDefault="004E684C" w:rsidP="00825C4D">
                            <w:pPr>
                              <w:pStyle w:val="TLKontakty"/>
                              <w:spacing w:after="80" w:line="240" w:lineRule="auto"/>
                              <w:rPr>
                                <w:b w:val="0"/>
                                <w:color w:val="auto"/>
                              </w:rPr>
                            </w:pPr>
                            <w:r w:rsidRPr="00D66223">
                              <w:t>Pardubice</w:t>
                            </w:r>
                            <w:r w:rsidRPr="004A61C5">
                              <w:rPr>
                                <w:b w:val="0"/>
                                <w:color w:val="auto"/>
                              </w:rPr>
                              <w:t xml:space="preserve"> | V Ráji 872, 531 53 Pardubice</w:t>
                            </w:r>
                            <w:r>
                              <w:rPr>
                                <w:b w:val="0"/>
                                <w:color w:val="auto"/>
                              </w:rPr>
                              <w:t xml:space="preserve">, </w:t>
                            </w:r>
                            <w:r w:rsidRPr="004A61C5">
                              <w:rPr>
                                <w:b w:val="0"/>
                                <w:color w:val="auto"/>
                              </w:rPr>
                              <w:t>tel.</w:t>
                            </w:r>
                            <w:r>
                              <w:rPr>
                                <w:b w:val="0"/>
                                <w:color w:val="auto"/>
                              </w:rPr>
                              <w:t>:</w:t>
                            </w:r>
                            <w:r w:rsidRPr="004A61C5">
                              <w:rPr>
                                <w:b w:val="0"/>
                                <w:color w:val="auto"/>
                              </w:rPr>
                              <w:t xml:space="preserve"> 466 743 480, 466 743 418</w:t>
                            </w:r>
                          </w:p>
                          <w:p w14:paraId="4D5E721E" w14:textId="77777777" w:rsidR="004E684C" w:rsidRPr="004A61C5" w:rsidRDefault="004E684C" w:rsidP="00825C4D">
                            <w:pPr>
                              <w:pStyle w:val="TLKontakty"/>
                              <w:spacing w:after="80" w:line="240" w:lineRule="auto"/>
                              <w:rPr>
                                <w:b w:val="0"/>
                                <w:color w:val="auto"/>
                              </w:rPr>
                            </w:pPr>
                            <w:r w:rsidRPr="004A61C5">
                              <w:rPr>
                                <w:b w:val="0"/>
                                <w:color w:val="auto"/>
                              </w:rPr>
                              <w:t xml:space="preserve">e-mail: infoservispa@czso.cz | </w:t>
                            </w:r>
                            <w:r w:rsidRPr="004A61C5">
                              <w:rPr>
                                <w:color w:val="auto"/>
                              </w:rPr>
                              <w:t>www.pardubice.czso.cz</w:t>
                            </w:r>
                          </w:p>
                          <w:p w14:paraId="3B4CCE5A" w14:textId="77777777" w:rsidR="004E684C" w:rsidRPr="004A61C5" w:rsidRDefault="004E684C" w:rsidP="00825C4D">
                            <w:pPr>
                              <w:pStyle w:val="TLKontakty"/>
                              <w:spacing w:after="80" w:line="240" w:lineRule="auto"/>
                              <w:rPr>
                                <w:b w:val="0"/>
                                <w:color w:val="auto"/>
                              </w:rPr>
                            </w:pPr>
                          </w:p>
                          <w:p w14:paraId="0C952A4A" w14:textId="77777777" w:rsidR="004E684C" w:rsidRPr="004A61C5" w:rsidRDefault="004E684C" w:rsidP="00825C4D">
                            <w:pPr>
                              <w:pStyle w:val="TLKontakty"/>
                              <w:spacing w:after="80" w:line="240" w:lineRule="auto"/>
                              <w:rPr>
                                <w:b w:val="0"/>
                                <w:color w:val="auto"/>
                              </w:rPr>
                            </w:pPr>
                            <w:r w:rsidRPr="00D66223">
                              <w:t>Jihlava</w:t>
                            </w:r>
                            <w:r w:rsidRPr="004A61C5">
                              <w:rPr>
                                <w:b w:val="0"/>
                                <w:color w:val="auto"/>
                              </w:rPr>
                              <w:t xml:space="preserve"> | Ke Skalce 30,</w:t>
                            </w:r>
                            <w:r>
                              <w:rPr>
                                <w:b w:val="0"/>
                                <w:color w:val="auto"/>
                              </w:rPr>
                              <w:t xml:space="preserve"> 586 01 Jihlava, tel.: </w:t>
                            </w:r>
                            <w:r w:rsidRPr="004A61C5">
                              <w:rPr>
                                <w:b w:val="0"/>
                                <w:color w:val="auto"/>
                              </w:rPr>
                              <w:t xml:space="preserve">567 109 </w:t>
                            </w:r>
                            <w:r w:rsidRPr="00BC731E">
                              <w:rPr>
                                <w:b w:val="0"/>
                                <w:color w:val="auto"/>
                              </w:rPr>
                              <w:t>062, 567 109 073</w:t>
                            </w:r>
                          </w:p>
                          <w:p w14:paraId="51841952" w14:textId="77777777" w:rsidR="004E684C" w:rsidRPr="004A61C5" w:rsidRDefault="004E684C" w:rsidP="00825C4D">
                            <w:pPr>
                              <w:pStyle w:val="TLKontakty"/>
                              <w:spacing w:after="80" w:line="240" w:lineRule="auto"/>
                              <w:rPr>
                                <w:b w:val="0"/>
                                <w:color w:val="auto"/>
                              </w:rPr>
                            </w:pPr>
                            <w:r w:rsidRPr="004A61C5">
                              <w:rPr>
                                <w:b w:val="0"/>
                                <w:color w:val="auto"/>
                              </w:rPr>
                              <w:t xml:space="preserve">e-mail: infoservisvys@czso.cz | </w:t>
                            </w:r>
                            <w:r w:rsidRPr="004A61C5">
                              <w:rPr>
                                <w:color w:val="auto"/>
                              </w:rPr>
                              <w:t>www.jihlava.czso.cz</w:t>
                            </w:r>
                          </w:p>
                          <w:p w14:paraId="53CC40B8" w14:textId="77777777" w:rsidR="004E684C" w:rsidRDefault="004E684C" w:rsidP="00825C4D">
                            <w:pPr>
                              <w:pStyle w:val="TLKontakty"/>
                              <w:spacing w:after="80" w:line="240" w:lineRule="auto"/>
                            </w:pPr>
                          </w:p>
                          <w:p w14:paraId="5DDBBC31" w14:textId="46420281" w:rsidR="004E684C" w:rsidRPr="00BC731E" w:rsidRDefault="004E684C" w:rsidP="00825C4D">
                            <w:pPr>
                              <w:pStyle w:val="TLKontakty"/>
                              <w:spacing w:after="80" w:line="240" w:lineRule="auto"/>
                              <w:rPr>
                                <w:b w:val="0"/>
                                <w:color w:val="auto"/>
                              </w:rPr>
                            </w:pPr>
                            <w:r w:rsidRPr="00D66223">
                              <w:t>Brno</w:t>
                            </w:r>
                            <w:r w:rsidRPr="004A61C5">
                              <w:rPr>
                                <w:b w:val="0"/>
                                <w:color w:val="auto"/>
                              </w:rPr>
                              <w:t xml:space="preserve"> | Jezuitská 2, 601 59 Brno, </w:t>
                            </w:r>
                            <w:r>
                              <w:rPr>
                                <w:b w:val="0"/>
                                <w:color w:val="auto"/>
                              </w:rPr>
                              <w:t xml:space="preserve">tel.: </w:t>
                            </w:r>
                            <w:r w:rsidRPr="004A61C5">
                              <w:rPr>
                                <w:b w:val="0"/>
                                <w:color w:val="auto"/>
                              </w:rPr>
                              <w:t xml:space="preserve">542 528 </w:t>
                            </w:r>
                            <w:r w:rsidRPr="00BC731E">
                              <w:rPr>
                                <w:b w:val="0"/>
                                <w:color w:val="auto"/>
                              </w:rPr>
                              <w:t>115, 542 528 200</w:t>
                            </w:r>
                          </w:p>
                          <w:p w14:paraId="51CF8C7A" w14:textId="77777777" w:rsidR="004E684C" w:rsidRPr="004A61C5" w:rsidRDefault="004E684C" w:rsidP="00825C4D">
                            <w:pPr>
                              <w:pStyle w:val="TLKontakty"/>
                              <w:spacing w:after="80" w:line="240" w:lineRule="auto"/>
                              <w:rPr>
                                <w:color w:val="auto"/>
                              </w:rPr>
                            </w:pPr>
                            <w:r w:rsidRPr="004A61C5">
                              <w:rPr>
                                <w:b w:val="0"/>
                                <w:color w:val="auto"/>
                              </w:rPr>
                              <w:t xml:space="preserve">e-mail: infoservisbrno@czso.cz | </w:t>
                            </w:r>
                            <w:r w:rsidRPr="004A61C5">
                              <w:rPr>
                                <w:color w:val="auto"/>
                              </w:rPr>
                              <w:t>www.brno.czso.cz</w:t>
                            </w:r>
                          </w:p>
                          <w:p w14:paraId="224CF4A5" w14:textId="77777777" w:rsidR="004E684C" w:rsidRPr="004A61C5" w:rsidRDefault="004E684C" w:rsidP="00825C4D">
                            <w:pPr>
                              <w:pStyle w:val="TLKontakty"/>
                              <w:spacing w:after="80" w:line="240" w:lineRule="auto"/>
                              <w:rPr>
                                <w:b w:val="0"/>
                                <w:color w:val="auto"/>
                              </w:rPr>
                            </w:pPr>
                          </w:p>
                          <w:p w14:paraId="7D522CFD" w14:textId="77777777" w:rsidR="004E684C" w:rsidRPr="005E7C78" w:rsidRDefault="004E684C" w:rsidP="00825C4D">
                            <w:pPr>
                              <w:pStyle w:val="TLKontakty"/>
                              <w:spacing w:after="80" w:line="240" w:lineRule="auto"/>
                              <w:rPr>
                                <w:b w:val="0"/>
                                <w:color w:val="auto"/>
                              </w:rPr>
                            </w:pPr>
                            <w:r w:rsidRPr="00D66223">
                              <w:t>Olomouc</w:t>
                            </w:r>
                            <w:r w:rsidRPr="005E7C78">
                              <w:rPr>
                                <w:b w:val="0"/>
                                <w:color w:val="auto"/>
                              </w:rPr>
                              <w:t xml:space="preserve"> | Jeremenkova 1142/42, 772 11 Olomouc, </w:t>
                            </w:r>
                            <w:r>
                              <w:rPr>
                                <w:b w:val="0"/>
                                <w:color w:val="auto"/>
                              </w:rPr>
                              <w:t xml:space="preserve">tel.: </w:t>
                            </w:r>
                            <w:r w:rsidRPr="005E7C78">
                              <w:rPr>
                                <w:b w:val="0"/>
                                <w:color w:val="auto"/>
                              </w:rPr>
                              <w:t xml:space="preserve">585 731 </w:t>
                            </w:r>
                            <w:r w:rsidRPr="00BC731E">
                              <w:rPr>
                                <w:b w:val="0"/>
                                <w:color w:val="auto"/>
                              </w:rPr>
                              <w:t>516, 585 731 511</w:t>
                            </w:r>
                          </w:p>
                          <w:p w14:paraId="5494D7F3" w14:textId="77777777" w:rsidR="004E684C" w:rsidRPr="005E7C78" w:rsidRDefault="004E684C" w:rsidP="00825C4D">
                            <w:pPr>
                              <w:pStyle w:val="TLKontakty"/>
                              <w:spacing w:after="80" w:line="240" w:lineRule="auto"/>
                              <w:rPr>
                                <w:b w:val="0"/>
                                <w:color w:val="auto"/>
                              </w:rPr>
                            </w:pPr>
                            <w:r w:rsidRPr="005E7C78">
                              <w:rPr>
                                <w:b w:val="0"/>
                                <w:color w:val="auto"/>
                              </w:rPr>
                              <w:t xml:space="preserve">e-mail: infoservisolom@czso.cz | </w:t>
                            </w:r>
                            <w:r w:rsidRPr="005E7C78">
                              <w:rPr>
                                <w:color w:val="auto"/>
                              </w:rPr>
                              <w:t>www.olomouc.czso.cz</w:t>
                            </w:r>
                          </w:p>
                          <w:p w14:paraId="6D2D70CC" w14:textId="77777777" w:rsidR="004E684C" w:rsidRPr="005E7C78" w:rsidRDefault="004E684C" w:rsidP="00825C4D">
                            <w:pPr>
                              <w:pStyle w:val="TLKontakty"/>
                              <w:spacing w:after="80" w:line="240" w:lineRule="auto"/>
                              <w:rPr>
                                <w:b w:val="0"/>
                                <w:color w:val="auto"/>
                              </w:rPr>
                            </w:pPr>
                          </w:p>
                          <w:p w14:paraId="034D350E" w14:textId="77777777" w:rsidR="004E684C" w:rsidRPr="005E7C78" w:rsidRDefault="004E684C" w:rsidP="00825C4D">
                            <w:pPr>
                              <w:pStyle w:val="TLKontakty"/>
                              <w:spacing w:after="80" w:line="240" w:lineRule="auto"/>
                              <w:rPr>
                                <w:b w:val="0"/>
                                <w:color w:val="auto"/>
                              </w:rPr>
                            </w:pPr>
                            <w:r w:rsidRPr="00D66223">
                              <w:t>Zlín</w:t>
                            </w:r>
                            <w:r w:rsidRPr="005E7C78">
                              <w:rPr>
                                <w:b w:val="0"/>
                                <w:color w:val="auto"/>
                              </w:rPr>
                              <w:t xml:space="preserve"> | tř. Tomáše Bati 1565, 761 76 Zlín, </w:t>
                            </w:r>
                            <w:r w:rsidRPr="00BC731E">
                              <w:rPr>
                                <w:b w:val="0"/>
                                <w:color w:val="auto"/>
                              </w:rPr>
                              <w:t>tel.: 577 004 932, 5</w:t>
                            </w:r>
                            <w:r w:rsidRPr="005E7C78">
                              <w:rPr>
                                <w:b w:val="0"/>
                                <w:color w:val="auto"/>
                              </w:rPr>
                              <w:t>77 004 935</w:t>
                            </w:r>
                          </w:p>
                          <w:p w14:paraId="43F8FFC6" w14:textId="77777777" w:rsidR="004E684C" w:rsidRDefault="004E684C" w:rsidP="00825C4D">
                            <w:pPr>
                              <w:pStyle w:val="TLKontakty"/>
                              <w:spacing w:after="80" w:line="240" w:lineRule="auto"/>
                              <w:rPr>
                                <w:color w:val="auto"/>
                              </w:rPr>
                            </w:pPr>
                            <w:r w:rsidRPr="005E7C78">
                              <w:rPr>
                                <w:b w:val="0"/>
                                <w:color w:val="auto"/>
                              </w:rPr>
                              <w:t xml:space="preserve">e-mail: infoservis-zl@czso.cz | </w:t>
                            </w:r>
                            <w:r w:rsidRPr="00227A53">
                              <w:rPr>
                                <w:color w:val="auto"/>
                              </w:rPr>
                              <w:t>www.zlin.czso.cz</w:t>
                            </w:r>
                          </w:p>
                          <w:p w14:paraId="427936C8" w14:textId="77777777" w:rsidR="004E684C" w:rsidRPr="005E7C78" w:rsidRDefault="004E684C" w:rsidP="00095135">
                            <w:pPr>
                              <w:pStyle w:val="TLKontakty"/>
                              <w:spacing w:after="80" w:line="240" w:lineRule="auto"/>
                              <w:rPr>
                                <w:b w:val="0"/>
                                <w:color w:val="auto"/>
                              </w:rPr>
                            </w:pPr>
                          </w:p>
                          <w:p w14:paraId="3F377E0F" w14:textId="77777777" w:rsidR="004E684C" w:rsidRPr="005E7C78" w:rsidRDefault="004E684C" w:rsidP="00095135">
                            <w:pPr>
                              <w:pStyle w:val="TLKontakty"/>
                              <w:spacing w:after="80" w:line="240" w:lineRule="auto"/>
                              <w:rPr>
                                <w:b w:val="0"/>
                                <w:color w:val="auto"/>
                              </w:rPr>
                            </w:pPr>
                            <w:r w:rsidRPr="00D66223">
                              <w:t>Ostrava</w:t>
                            </w:r>
                            <w:r w:rsidRPr="005E7C78">
                              <w:rPr>
                                <w:b w:val="0"/>
                                <w:color w:val="auto"/>
                              </w:rPr>
                              <w:t xml:space="preserve"> | Repinova 17, 702 03 Ostrava,</w:t>
                            </w:r>
                            <w:r>
                              <w:rPr>
                                <w:b w:val="0"/>
                                <w:color w:val="auto"/>
                              </w:rPr>
                              <w:t xml:space="preserve"> tel.: </w:t>
                            </w:r>
                            <w:r w:rsidRPr="005E7C78">
                              <w:rPr>
                                <w:b w:val="0"/>
                                <w:color w:val="auto"/>
                              </w:rPr>
                              <w:t>595 131 230, 595 131 232</w:t>
                            </w:r>
                          </w:p>
                          <w:p w14:paraId="4EEBD266" w14:textId="77777777" w:rsidR="004E684C" w:rsidRPr="00095135" w:rsidRDefault="004E684C" w:rsidP="00825C4D">
                            <w:pPr>
                              <w:pStyle w:val="TLKontakty"/>
                              <w:spacing w:after="80" w:line="240" w:lineRule="auto"/>
                              <w:rPr>
                                <w:b w:val="0"/>
                                <w:color w:val="auto"/>
                              </w:rPr>
                            </w:pPr>
                            <w:r w:rsidRPr="005E7C78">
                              <w:rPr>
                                <w:b w:val="0"/>
                                <w:color w:val="auto"/>
                              </w:rPr>
                              <w:t xml:space="preserve">e-mail: infoservis_ov@czso.cz | </w:t>
                            </w:r>
                            <w:r w:rsidRPr="005E7C78">
                              <w:rPr>
                                <w:color w:val="auto"/>
                              </w:rPr>
                              <w:t>www.ostrava.czso.cz</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3C223A01" id="_x0000_s1030" type="#_x0000_t202" style="position:absolute;left:0;text-align:left;margin-left:57pt;margin-top:113.4pt;width:481.85pt;height:604.2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" filled="f" stroked="f">
                <v:textbox style="mso-fit-shape-to-text:t" inset="0,0,0,0">
                  <w:txbxContent>
                    <w:p w14:paraId="7B7D46EA" w14:textId="77777777" w:rsidR="004E684C" w:rsidRPr="006F5416" w:rsidRDefault="004E684C" w:rsidP="006F5416">
                      <w:pPr>
                        <w:pStyle w:val="TLKontaktyerven"/>
                      </w:pPr>
                      <w:r w:rsidRPr="006F5416">
                        <w:t>KONTAKTY V ÚSTŘEDÍ</w:t>
                      </w:r>
                    </w:p>
                    <w:p w14:paraId="10166F54" w14:textId="77777777" w:rsidR="004E684C" w:rsidRPr="007D40DF" w:rsidRDefault="004E684C" w:rsidP="00825C4D">
                      <w:pPr>
                        <w:pStyle w:val="TLKontakty"/>
                        <w:spacing w:after="80" w:line="240" w:lineRule="auto"/>
                        <w:contextualSpacing w:val="0"/>
                        <w:rPr>
                          <w:b w:val="0"/>
                          <w:color w:val="auto"/>
                        </w:rPr>
                      </w:pPr>
                      <w:r w:rsidRPr="00D66223">
                        <w:t>Český statistický úřad</w:t>
                      </w:r>
                      <w:r w:rsidRPr="007D40DF">
                        <w:rPr>
                          <w:b w:val="0"/>
                          <w:color w:val="auto"/>
                        </w:rPr>
                        <w:t xml:space="preserve"> | Na</w:t>
                      </w:r>
                      <w:r>
                        <w:rPr>
                          <w:b w:val="0"/>
                          <w:color w:val="auto"/>
                        </w:rPr>
                        <w:t xml:space="preserve"> padesátém 81, 100 82 Praha</w:t>
                      </w:r>
                      <w:r w:rsidRPr="007D40DF">
                        <w:rPr>
                          <w:b w:val="0"/>
                          <w:color w:val="auto"/>
                        </w:rPr>
                        <w:t> </w:t>
                      </w:r>
                      <w:r>
                        <w:rPr>
                          <w:b w:val="0"/>
                          <w:color w:val="auto"/>
                        </w:rPr>
                        <w:t xml:space="preserve">10, </w:t>
                      </w:r>
                      <w:r w:rsidRPr="007D40DF">
                        <w:rPr>
                          <w:b w:val="0"/>
                          <w:color w:val="auto"/>
                        </w:rPr>
                        <w:t xml:space="preserve">tel.: 274 051 111 | </w:t>
                      </w:r>
                      <w:r w:rsidRPr="007D40DF">
                        <w:rPr>
                          <w:color w:val="auto"/>
                        </w:rPr>
                        <w:t>www.czso.cz</w:t>
                      </w:r>
                    </w:p>
                    <w:p w14:paraId="47B9A7C8" w14:textId="77777777" w:rsidR="004E684C" w:rsidRPr="00D235B7" w:rsidRDefault="004E684C" w:rsidP="00825C4D">
                      <w:pPr>
                        <w:pStyle w:val="TLKontakty"/>
                        <w:spacing w:after="80" w:line="240" w:lineRule="auto"/>
                        <w:contextualSpacing w:val="0"/>
                        <w:rPr>
                          <w:b w:val="0"/>
                          <w:color w:val="auto"/>
                        </w:rPr>
                      </w:pPr>
                      <w:r w:rsidRPr="00D235B7">
                        <w:rPr>
                          <w:color w:val="auto"/>
                        </w:rPr>
                        <w:t>Oddělení informačních služeb</w:t>
                      </w:r>
                      <w:r w:rsidRPr="00D235B7">
                        <w:rPr>
                          <w:b w:val="0"/>
                          <w:color w:val="auto"/>
                        </w:rPr>
                        <w:t xml:space="preserve"> | tel.: 274 052 304, 274 052 451 | e-mail: infoservis@czso.cz</w:t>
                      </w:r>
                    </w:p>
                    <w:p w14:paraId="38667B53" w14:textId="77777777" w:rsidR="004E684C" w:rsidRPr="00D235B7" w:rsidRDefault="004E684C" w:rsidP="00825C4D">
                      <w:pPr>
                        <w:pStyle w:val="TLKontakty"/>
                        <w:spacing w:after="80" w:line="240" w:lineRule="auto"/>
                        <w:contextualSpacing w:val="0"/>
                        <w:rPr>
                          <w:b w:val="0"/>
                          <w:color w:val="auto"/>
                        </w:rPr>
                      </w:pPr>
                      <w:r w:rsidRPr="00D235B7">
                        <w:rPr>
                          <w:color w:val="auto"/>
                        </w:rPr>
                        <w:t>Prodejna publikací ČSÚ</w:t>
                      </w:r>
                      <w:r w:rsidRPr="00D235B7">
                        <w:rPr>
                          <w:b w:val="0"/>
                          <w:color w:val="auto"/>
                        </w:rPr>
                        <w:t xml:space="preserve"> | tel.: 274 052 361 | e-mail: prodejna@czso.cz</w:t>
                      </w:r>
                    </w:p>
                    <w:p w14:paraId="4E95E68F" w14:textId="77777777" w:rsidR="004E684C" w:rsidRPr="00D235B7" w:rsidRDefault="004E684C" w:rsidP="00825C4D">
                      <w:pPr>
                        <w:pStyle w:val="TLKontakty"/>
                        <w:spacing w:after="80" w:line="240" w:lineRule="auto"/>
                        <w:contextualSpacing w:val="0"/>
                        <w:rPr>
                          <w:b w:val="0"/>
                          <w:color w:val="auto"/>
                        </w:rPr>
                      </w:pPr>
                      <w:r w:rsidRPr="00D235B7">
                        <w:rPr>
                          <w:color w:val="auto"/>
                        </w:rPr>
                        <w:t>Evropská data (ESDS), mezinárodní srovnání</w:t>
                      </w:r>
                      <w:r w:rsidRPr="00D235B7">
                        <w:rPr>
                          <w:b w:val="0"/>
                          <w:color w:val="auto"/>
                        </w:rPr>
                        <w:t xml:space="preserve"> | tel.: 274 052 347 | e-mail: esds@czso.cz</w:t>
                      </w:r>
                    </w:p>
                    <w:p w14:paraId="67BAD9C2" w14:textId="77777777" w:rsidR="004E684C" w:rsidRPr="00D235B7" w:rsidRDefault="004E684C" w:rsidP="00825C4D">
                      <w:pPr>
                        <w:pStyle w:val="TLKontakty"/>
                        <w:spacing w:after="80" w:line="240" w:lineRule="auto"/>
                        <w:contextualSpacing w:val="0"/>
                        <w:rPr>
                          <w:b w:val="0"/>
                          <w:color w:val="auto"/>
                        </w:rPr>
                      </w:pPr>
                      <w:r w:rsidRPr="00D235B7">
                        <w:rPr>
                          <w:color w:val="auto"/>
                        </w:rPr>
                        <w:t>Ústřední statistická knihovna</w:t>
                      </w:r>
                      <w:r w:rsidRPr="00D235B7">
                        <w:rPr>
                          <w:b w:val="0"/>
                          <w:color w:val="auto"/>
                        </w:rPr>
                        <w:t xml:space="preserve"> | tel.: 274 052 361 | e-mail: knihovna@czso.cz</w:t>
                      </w:r>
                    </w:p>
                    <w:p w14:paraId="0640D134" w14:textId="77777777" w:rsidR="004E684C" w:rsidRPr="004A61C5" w:rsidRDefault="004E684C" w:rsidP="00825C4D">
                      <w:pPr>
                        <w:pStyle w:val="TLKontakty"/>
                        <w:spacing w:after="80" w:line="240" w:lineRule="auto"/>
                        <w:contextualSpacing w:val="0"/>
                        <w:rPr>
                          <w:color w:val="auto"/>
                        </w:rPr>
                      </w:pPr>
                    </w:p>
                    <w:p w14:paraId="7FA676AD" w14:textId="77777777" w:rsidR="004E684C" w:rsidRPr="00D66223" w:rsidRDefault="004E684C" w:rsidP="00D66223">
                      <w:pPr>
                        <w:pStyle w:val="TLKontaktyerven"/>
                      </w:pPr>
                      <w:r w:rsidRPr="00D66223">
                        <w:t>INFORMAČNÍ SLUŽBY V REGIONECH</w:t>
                      </w:r>
                    </w:p>
                    <w:p w14:paraId="3023D34B" w14:textId="77777777" w:rsidR="004E684C" w:rsidRPr="00992CF3" w:rsidRDefault="004E684C" w:rsidP="00825C4D">
                      <w:pPr>
                        <w:pStyle w:val="TLKontakty"/>
                        <w:spacing w:after="80" w:line="240" w:lineRule="auto"/>
                        <w:rPr>
                          <w:b w:val="0"/>
                          <w:color w:val="auto"/>
                        </w:rPr>
                      </w:pPr>
                      <w:r w:rsidRPr="00D66223">
                        <w:t>Hl. m. Praha</w:t>
                      </w:r>
                      <w:r w:rsidRPr="00992CF3">
                        <w:rPr>
                          <w:b w:val="0"/>
                          <w:color w:val="auto"/>
                        </w:rPr>
                        <w:t xml:space="preserve"> | Na</w:t>
                      </w:r>
                      <w:r>
                        <w:rPr>
                          <w:b w:val="0"/>
                          <w:color w:val="auto"/>
                        </w:rPr>
                        <w:t xml:space="preserve"> padesátém 81, 100 82 Praha 10, </w:t>
                      </w:r>
                      <w:r w:rsidRPr="00992CF3">
                        <w:rPr>
                          <w:b w:val="0"/>
                          <w:color w:val="auto"/>
                        </w:rPr>
                        <w:t>tel.</w:t>
                      </w:r>
                      <w:r w:rsidRPr="007D40DF">
                        <w:rPr>
                          <w:b w:val="0"/>
                          <w:color w:val="auto"/>
                        </w:rPr>
                        <w:t>:</w:t>
                      </w:r>
                      <w:r>
                        <w:rPr>
                          <w:b w:val="0"/>
                          <w:color w:val="auto"/>
                        </w:rPr>
                        <w:t xml:space="preserve"> 274 052 673, </w:t>
                      </w:r>
                      <w:r w:rsidRPr="00992CF3">
                        <w:rPr>
                          <w:b w:val="0"/>
                          <w:color w:val="auto"/>
                        </w:rPr>
                        <w:t>274 054 223</w:t>
                      </w:r>
                    </w:p>
                    <w:p w14:paraId="696DB53E" w14:textId="77777777" w:rsidR="004E684C" w:rsidRPr="00992CF3" w:rsidRDefault="004E684C" w:rsidP="00825C4D">
                      <w:pPr>
                        <w:pStyle w:val="TLKontakty"/>
                        <w:spacing w:after="80" w:line="240" w:lineRule="auto"/>
                        <w:rPr>
                          <w:b w:val="0"/>
                          <w:color w:val="auto"/>
                        </w:rPr>
                      </w:pPr>
                      <w:r w:rsidRPr="00992CF3">
                        <w:rPr>
                          <w:b w:val="0"/>
                          <w:color w:val="auto"/>
                        </w:rPr>
                        <w:t xml:space="preserve">e-mail: infoservispraha@czso.cz | </w:t>
                      </w:r>
                      <w:r w:rsidRPr="00992CF3">
                        <w:rPr>
                          <w:color w:val="auto"/>
                        </w:rPr>
                        <w:t>www.praha.czso.cz</w:t>
                      </w:r>
                    </w:p>
                    <w:p w14:paraId="30CEF2ED" w14:textId="77777777" w:rsidR="004E684C" w:rsidRPr="004A61C5" w:rsidRDefault="004E684C" w:rsidP="00825C4D">
                      <w:pPr>
                        <w:pStyle w:val="TLKontakty"/>
                        <w:spacing w:after="80" w:line="240" w:lineRule="auto"/>
                        <w:rPr>
                          <w:color w:val="auto"/>
                        </w:rPr>
                      </w:pPr>
                    </w:p>
                    <w:p w14:paraId="0E4A3B0D" w14:textId="77777777" w:rsidR="004E684C" w:rsidRPr="00992CF3" w:rsidRDefault="004E684C" w:rsidP="00825C4D">
                      <w:pPr>
                        <w:pStyle w:val="TLKontakty"/>
                        <w:spacing w:after="80" w:line="240" w:lineRule="auto"/>
                        <w:rPr>
                          <w:b w:val="0"/>
                          <w:color w:val="auto"/>
                        </w:rPr>
                      </w:pPr>
                      <w:r w:rsidRPr="00D66223">
                        <w:t>Středočeský kraj</w:t>
                      </w:r>
                      <w:r w:rsidRPr="00992CF3">
                        <w:rPr>
                          <w:b w:val="0"/>
                          <w:color w:val="auto"/>
                        </w:rPr>
                        <w:t xml:space="preserve"> | Na padesátém 81, 100 82 Praha 10, tel.</w:t>
                      </w:r>
                      <w:r>
                        <w:rPr>
                          <w:b w:val="0"/>
                          <w:color w:val="auto"/>
                        </w:rPr>
                        <w:t xml:space="preserve">: </w:t>
                      </w:r>
                      <w:r w:rsidRPr="00992CF3">
                        <w:rPr>
                          <w:b w:val="0"/>
                          <w:color w:val="auto"/>
                        </w:rPr>
                        <w:t>274 054 175</w:t>
                      </w:r>
                    </w:p>
                    <w:p w14:paraId="50C82A1A" w14:textId="77777777" w:rsidR="004E684C" w:rsidRPr="00992CF3" w:rsidRDefault="004E684C" w:rsidP="00825C4D">
                      <w:pPr>
                        <w:pStyle w:val="TLKontakty"/>
                        <w:spacing w:after="80" w:line="240" w:lineRule="auto"/>
                        <w:rPr>
                          <w:color w:val="auto"/>
                        </w:rPr>
                      </w:pPr>
                      <w:r w:rsidRPr="00992CF3">
                        <w:rPr>
                          <w:b w:val="0"/>
                          <w:color w:val="auto"/>
                        </w:rPr>
                        <w:t xml:space="preserve">e-mail: infoservisstc@czso.cz | </w:t>
                      </w:r>
                      <w:r w:rsidRPr="00992CF3">
                        <w:rPr>
                          <w:color w:val="auto"/>
                        </w:rPr>
                        <w:t>www.stredocesky.czso.cz</w:t>
                      </w:r>
                    </w:p>
                    <w:p w14:paraId="2A04131E" w14:textId="77777777" w:rsidR="004E684C" w:rsidRPr="004A61C5" w:rsidRDefault="004E684C" w:rsidP="00825C4D">
                      <w:pPr>
                        <w:pStyle w:val="TLKontakty"/>
                        <w:spacing w:after="80" w:line="240" w:lineRule="auto"/>
                        <w:rPr>
                          <w:color w:val="auto"/>
                        </w:rPr>
                      </w:pPr>
                    </w:p>
                    <w:p w14:paraId="795E4069" w14:textId="77777777" w:rsidR="004E684C" w:rsidRPr="00992CF3" w:rsidRDefault="004E684C" w:rsidP="00825C4D">
                      <w:pPr>
                        <w:pStyle w:val="TLKontakty"/>
                        <w:spacing w:after="80" w:line="240" w:lineRule="auto"/>
                        <w:rPr>
                          <w:b w:val="0"/>
                          <w:color w:val="auto"/>
                        </w:rPr>
                      </w:pPr>
                      <w:r w:rsidRPr="00D66223">
                        <w:t>České Budějovice</w:t>
                      </w:r>
                      <w:r w:rsidRPr="00992CF3">
                        <w:rPr>
                          <w:b w:val="0"/>
                          <w:color w:val="auto"/>
                        </w:rPr>
                        <w:t xml:space="preserve"> | Žižkova 1, 370 77 České Budějovice</w:t>
                      </w:r>
                      <w:r>
                        <w:rPr>
                          <w:b w:val="0"/>
                          <w:color w:val="auto"/>
                        </w:rPr>
                        <w:t xml:space="preserve">, </w:t>
                      </w:r>
                      <w:r w:rsidRPr="00992CF3">
                        <w:rPr>
                          <w:b w:val="0"/>
                          <w:color w:val="auto"/>
                        </w:rPr>
                        <w:t>tel.</w:t>
                      </w:r>
                      <w:r>
                        <w:rPr>
                          <w:b w:val="0"/>
                          <w:color w:val="auto"/>
                        </w:rPr>
                        <w:t xml:space="preserve">: </w:t>
                      </w:r>
                      <w:r w:rsidRPr="00992CF3">
                        <w:rPr>
                          <w:b w:val="0"/>
                          <w:color w:val="auto"/>
                        </w:rPr>
                        <w:t>386 718 440</w:t>
                      </w:r>
                    </w:p>
                    <w:p w14:paraId="2FD9E62B" w14:textId="77777777" w:rsidR="004E684C" w:rsidRPr="00992CF3" w:rsidRDefault="004E684C" w:rsidP="00825C4D">
                      <w:pPr>
                        <w:pStyle w:val="TLKontakty"/>
                        <w:spacing w:after="80" w:line="240" w:lineRule="auto"/>
                        <w:rPr>
                          <w:b w:val="0"/>
                          <w:color w:val="auto"/>
                        </w:rPr>
                      </w:pPr>
                      <w:r w:rsidRPr="00992CF3">
                        <w:rPr>
                          <w:b w:val="0"/>
                          <w:color w:val="auto"/>
                        </w:rPr>
                        <w:t xml:space="preserve">e-mail: infoserviscb@czso.cz | </w:t>
                      </w:r>
                      <w:r w:rsidRPr="00992CF3">
                        <w:rPr>
                          <w:color w:val="auto"/>
                        </w:rPr>
                        <w:t>www.cbudejovice.czso.cz</w:t>
                      </w:r>
                    </w:p>
                    <w:p w14:paraId="555FDA5C" w14:textId="77777777" w:rsidR="004E684C" w:rsidRPr="004A61C5" w:rsidRDefault="004E684C" w:rsidP="00825C4D">
                      <w:pPr>
                        <w:pStyle w:val="TLKontakty"/>
                        <w:spacing w:after="80" w:line="240" w:lineRule="auto"/>
                        <w:rPr>
                          <w:color w:val="auto"/>
                        </w:rPr>
                      </w:pPr>
                    </w:p>
                    <w:p w14:paraId="5948D3FC" w14:textId="77777777" w:rsidR="004E684C" w:rsidRPr="00BC731E" w:rsidRDefault="004E684C" w:rsidP="00825C4D">
                      <w:pPr>
                        <w:pStyle w:val="TLKontakty"/>
                        <w:spacing w:after="80" w:line="240" w:lineRule="auto"/>
                        <w:rPr>
                          <w:b w:val="0"/>
                          <w:color w:val="auto"/>
                        </w:rPr>
                      </w:pPr>
                      <w:r w:rsidRPr="00D66223">
                        <w:t>Plzeň</w:t>
                      </w:r>
                      <w:r w:rsidRPr="004A61C5">
                        <w:rPr>
                          <w:b w:val="0"/>
                          <w:color w:val="auto"/>
                        </w:rPr>
                        <w:t xml:space="preserve"> | Slovanská alej 36, 326 64 Plzeň</w:t>
                      </w:r>
                      <w:r>
                        <w:rPr>
                          <w:b w:val="0"/>
                          <w:color w:val="auto"/>
                        </w:rPr>
                        <w:t xml:space="preserve">, </w:t>
                      </w:r>
                      <w:r w:rsidRPr="004A61C5">
                        <w:rPr>
                          <w:b w:val="0"/>
                          <w:color w:val="auto"/>
                        </w:rPr>
                        <w:t>tel.</w:t>
                      </w:r>
                      <w:r>
                        <w:rPr>
                          <w:b w:val="0"/>
                          <w:color w:val="auto"/>
                        </w:rPr>
                        <w:t xml:space="preserve">: </w:t>
                      </w:r>
                      <w:r w:rsidRPr="004A61C5">
                        <w:rPr>
                          <w:b w:val="0"/>
                          <w:color w:val="auto"/>
                        </w:rPr>
                        <w:t>377 612 108</w:t>
                      </w:r>
                      <w:r w:rsidRPr="00BC731E">
                        <w:rPr>
                          <w:b w:val="0"/>
                          <w:color w:val="auto"/>
                        </w:rPr>
                        <w:t>, 377 612 145</w:t>
                      </w:r>
                    </w:p>
                    <w:p w14:paraId="59F95F35" w14:textId="77777777" w:rsidR="004E684C" w:rsidRPr="004A61C5" w:rsidRDefault="004E684C" w:rsidP="00825C4D">
                      <w:pPr>
                        <w:pStyle w:val="TLKontakty"/>
                        <w:spacing w:after="80" w:line="240" w:lineRule="auto"/>
                        <w:rPr>
                          <w:b w:val="0"/>
                          <w:color w:val="auto"/>
                        </w:rPr>
                      </w:pPr>
                      <w:r w:rsidRPr="004A61C5">
                        <w:rPr>
                          <w:b w:val="0"/>
                          <w:color w:val="auto"/>
                        </w:rPr>
                        <w:t xml:space="preserve">e-mail: infoservisplzen@czso.cz | </w:t>
                      </w:r>
                      <w:r w:rsidRPr="004A61C5">
                        <w:rPr>
                          <w:color w:val="auto"/>
                        </w:rPr>
                        <w:t>www.plzen.czso.cz</w:t>
                      </w:r>
                    </w:p>
                    <w:p w14:paraId="4EC66D56" w14:textId="77777777" w:rsidR="004E684C" w:rsidRPr="004A61C5" w:rsidRDefault="004E684C" w:rsidP="00825C4D">
                      <w:pPr>
                        <w:pStyle w:val="TLKontakty"/>
                        <w:spacing w:after="80" w:line="240" w:lineRule="auto"/>
                        <w:rPr>
                          <w:color w:val="auto"/>
                        </w:rPr>
                      </w:pPr>
                    </w:p>
                    <w:p w14:paraId="2D5D6A77" w14:textId="77777777" w:rsidR="004E684C" w:rsidRPr="004A61C5" w:rsidRDefault="004E684C" w:rsidP="00825C4D">
                      <w:pPr>
                        <w:pStyle w:val="TLKontakty"/>
                        <w:spacing w:after="80" w:line="240" w:lineRule="auto"/>
                        <w:rPr>
                          <w:b w:val="0"/>
                          <w:color w:val="auto"/>
                        </w:rPr>
                      </w:pPr>
                      <w:r w:rsidRPr="00D66223">
                        <w:t>Karlovy Vary</w:t>
                      </w:r>
                      <w:r w:rsidRPr="004A61C5">
                        <w:rPr>
                          <w:b w:val="0"/>
                          <w:color w:val="auto"/>
                        </w:rPr>
                        <w:t xml:space="preserve"> | </w:t>
                      </w:r>
                      <w:r w:rsidRPr="00095135">
                        <w:rPr>
                          <w:b w:val="0"/>
                          <w:color w:val="auto"/>
                        </w:rPr>
                        <w:t>Závodní 360/94, 360 06 Karlovy Vary</w:t>
                      </w:r>
                      <w:r w:rsidRPr="004A61C5">
                        <w:rPr>
                          <w:b w:val="0"/>
                          <w:color w:val="auto"/>
                        </w:rPr>
                        <w:t>, tel.</w:t>
                      </w:r>
                      <w:r>
                        <w:rPr>
                          <w:b w:val="0"/>
                          <w:color w:val="auto"/>
                        </w:rPr>
                        <w:t xml:space="preserve">: </w:t>
                      </w:r>
                      <w:r w:rsidRPr="004A61C5">
                        <w:rPr>
                          <w:b w:val="0"/>
                          <w:color w:val="auto"/>
                        </w:rPr>
                        <w:t>353 114 529, 353 114 525</w:t>
                      </w:r>
                    </w:p>
                    <w:p w14:paraId="73CA121F" w14:textId="77777777" w:rsidR="004E684C" w:rsidRPr="004A61C5" w:rsidRDefault="004E684C" w:rsidP="00825C4D">
                      <w:pPr>
                        <w:pStyle w:val="TLKontakty"/>
                        <w:spacing w:after="80" w:line="240" w:lineRule="auto"/>
                        <w:rPr>
                          <w:b w:val="0"/>
                          <w:color w:val="auto"/>
                        </w:rPr>
                      </w:pPr>
                      <w:r w:rsidRPr="004A61C5">
                        <w:rPr>
                          <w:b w:val="0"/>
                          <w:color w:val="auto"/>
                        </w:rPr>
                        <w:t xml:space="preserve">e-mail: infoserviskv@czso.cz | </w:t>
                      </w:r>
                      <w:r w:rsidRPr="004A61C5">
                        <w:rPr>
                          <w:color w:val="auto"/>
                        </w:rPr>
                        <w:t>www.kvary.czso.cz</w:t>
                      </w:r>
                    </w:p>
                    <w:p w14:paraId="2A2626A0" w14:textId="77777777" w:rsidR="004E684C" w:rsidRPr="004A61C5" w:rsidRDefault="004E684C" w:rsidP="00825C4D">
                      <w:pPr>
                        <w:pStyle w:val="TLKontakty"/>
                        <w:spacing w:after="80" w:line="240" w:lineRule="auto"/>
                        <w:rPr>
                          <w:color w:val="auto"/>
                        </w:rPr>
                      </w:pPr>
                    </w:p>
                    <w:p w14:paraId="14A4893E" w14:textId="77777777" w:rsidR="004E684C" w:rsidRPr="004A61C5" w:rsidRDefault="004E684C" w:rsidP="00825C4D">
                      <w:pPr>
                        <w:pStyle w:val="TLKontakty"/>
                        <w:spacing w:after="80" w:line="240" w:lineRule="auto"/>
                        <w:rPr>
                          <w:b w:val="0"/>
                          <w:color w:val="auto"/>
                        </w:rPr>
                      </w:pPr>
                      <w:r w:rsidRPr="00D66223">
                        <w:t>Ústí nad Labem</w:t>
                      </w:r>
                      <w:r w:rsidRPr="004A61C5">
                        <w:rPr>
                          <w:b w:val="0"/>
                          <w:color w:val="auto"/>
                        </w:rPr>
                        <w:t xml:space="preserve"> | Špálova 2684, 400 11 Ústí nad Labem</w:t>
                      </w:r>
                      <w:r>
                        <w:rPr>
                          <w:b w:val="0"/>
                          <w:color w:val="auto"/>
                        </w:rPr>
                        <w:t xml:space="preserve">, </w:t>
                      </w:r>
                      <w:r w:rsidRPr="004A61C5">
                        <w:rPr>
                          <w:b w:val="0"/>
                          <w:color w:val="auto"/>
                        </w:rPr>
                        <w:t>tel.</w:t>
                      </w:r>
                      <w:r>
                        <w:rPr>
                          <w:b w:val="0"/>
                          <w:color w:val="auto"/>
                        </w:rPr>
                        <w:t xml:space="preserve">: </w:t>
                      </w:r>
                      <w:r w:rsidRPr="004A61C5">
                        <w:rPr>
                          <w:b w:val="0"/>
                          <w:color w:val="auto"/>
                        </w:rPr>
                        <w:t>472 706 176,</w:t>
                      </w:r>
                      <w:r>
                        <w:rPr>
                          <w:b w:val="0"/>
                          <w:color w:val="auto"/>
                        </w:rPr>
                        <w:t xml:space="preserve"> </w:t>
                      </w:r>
                      <w:r w:rsidRPr="004A61C5">
                        <w:rPr>
                          <w:b w:val="0"/>
                          <w:color w:val="auto"/>
                        </w:rPr>
                        <w:t>472 706 121</w:t>
                      </w:r>
                    </w:p>
                    <w:p w14:paraId="0731BD15" w14:textId="77777777" w:rsidR="004E684C" w:rsidRPr="004A61C5" w:rsidRDefault="004E684C" w:rsidP="00825C4D">
                      <w:pPr>
                        <w:pStyle w:val="TLKontakty"/>
                        <w:spacing w:after="80" w:line="240" w:lineRule="auto"/>
                        <w:rPr>
                          <w:b w:val="0"/>
                          <w:color w:val="auto"/>
                        </w:rPr>
                      </w:pPr>
                      <w:r w:rsidRPr="004A61C5">
                        <w:rPr>
                          <w:b w:val="0"/>
                          <w:color w:val="auto"/>
                        </w:rPr>
                        <w:t xml:space="preserve">e-mail: infoservisul@czso.cz | </w:t>
                      </w:r>
                      <w:r w:rsidRPr="004A61C5">
                        <w:rPr>
                          <w:color w:val="auto"/>
                        </w:rPr>
                        <w:t>www.ustinadlabem.czso.cz</w:t>
                      </w:r>
                    </w:p>
                    <w:p w14:paraId="1A2F92E4" w14:textId="77777777" w:rsidR="004E684C" w:rsidRPr="004A61C5" w:rsidRDefault="004E684C" w:rsidP="00825C4D">
                      <w:pPr>
                        <w:pStyle w:val="TLKontakty"/>
                        <w:spacing w:after="80" w:line="240" w:lineRule="auto"/>
                        <w:rPr>
                          <w:color w:val="auto"/>
                        </w:rPr>
                      </w:pPr>
                    </w:p>
                    <w:p w14:paraId="2E22FA83" w14:textId="55B83C7F" w:rsidR="004E684C" w:rsidRPr="004A61C5" w:rsidRDefault="004E684C" w:rsidP="00825C4D">
                      <w:pPr>
                        <w:pStyle w:val="TLKontakty"/>
                        <w:spacing w:after="80" w:line="240" w:lineRule="auto"/>
                        <w:rPr>
                          <w:b w:val="0"/>
                          <w:color w:val="auto"/>
                        </w:rPr>
                      </w:pPr>
                      <w:r w:rsidRPr="00D66223">
                        <w:t>Liberec</w:t>
                      </w:r>
                      <w:r w:rsidRPr="004A61C5">
                        <w:rPr>
                          <w:b w:val="0"/>
                          <w:color w:val="auto"/>
                        </w:rPr>
                        <w:t xml:space="preserve"> | </w:t>
                      </w:r>
                      <w:r>
                        <w:rPr>
                          <w:b w:val="0"/>
                          <w:color w:val="auto"/>
                        </w:rPr>
                        <w:t>n</w:t>
                      </w:r>
                      <w:r w:rsidRPr="004A61C5">
                        <w:rPr>
                          <w:b w:val="0"/>
                          <w:color w:val="auto"/>
                        </w:rPr>
                        <w:t>ám. Dr. Edvarda Beneše 585/26, 460 01 Liberec 1, tel.</w:t>
                      </w:r>
                      <w:r>
                        <w:rPr>
                          <w:b w:val="0"/>
                          <w:color w:val="auto"/>
                        </w:rPr>
                        <w:t xml:space="preserve">: </w:t>
                      </w:r>
                      <w:r w:rsidRPr="004A61C5">
                        <w:rPr>
                          <w:b w:val="0"/>
                          <w:color w:val="auto"/>
                        </w:rPr>
                        <w:t>485 238 811</w:t>
                      </w:r>
                    </w:p>
                    <w:p w14:paraId="0EF14A96" w14:textId="77777777" w:rsidR="004E684C" w:rsidRPr="004A61C5" w:rsidRDefault="004E684C" w:rsidP="00825C4D">
                      <w:pPr>
                        <w:pStyle w:val="TLKontakty"/>
                        <w:spacing w:after="80" w:line="240" w:lineRule="auto"/>
                        <w:rPr>
                          <w:b w:val="0"/>
                          <w:color w:val="auto"/>
                        </w:rPr>
                      </w:pPr>
                      <w:r w:rsidRPr="004A61C5">
                        <w:rPr>
                          <w:b w:val="0"/>
                          <w:color w:val="auto"/>
                        </w:rPr>
                        <w:t xml:space="preserve">e-mail: infoservislbc@czso.cz | </w:t>
                      </w:r>
                      <w:r w:rsidRPr="004A61C5">
                        <w:rPr>
                          <w:color w:val="auto"/>
                        </w:rPr>
                        <w:t>www.liberec.czso.cz</w:t>
                      </w:r>
                    </w:p>
                    <w:p w14:paraId="59C70B8C" w14:textId="77777777" w:rsidR="004E684C" w:rsidRPr="004A61C5" w:rsidRDefault="004E684C" w:rsidP="00825C4D">
                      <w:pPr>
                        <w:pStyle w:val="TLKontakty"/>
                        <w:spacing w:after="80" w:line="240" w:lineRule="auto"/>
                        <w:rPr>
                          <w:b w:val="0"/>
                          <w:color w:val="auto"/>
                        </w:rPr>
                      </w:pPr>
                    </w:p>
                    <w:p w14:paraId="4412D665" w14:textId="77777777" w:rsidR="004E684C" w:rsidRPr="004A61C5" w:rsidRDefault="004E684C" w:rsidP="00825C4D">
                      <w:pPr>
                        <w:pStyle w:val="TLKontakty"/>
                        <w:spacing w:after="80" w:line="240" w:lineRule="auto"/>
                        <w:rPr>
                          <w:b w:val="0"/>
                          <w:color w:val="auto"/>
                        </w:rPr>
                      </w:pPr>
                      <w:r w:rsidRPr="00D66223">
                        <w:t>Hradec Králové</w:t>
                      </w:r>
                      <w:r w:rsidRPr="004A61C5">
                        <w:rPr>
                          <w:b w:val="0"/>
                          <w:color w:val="auto"/>
                        </w:rPr>
                        <w:t xml:space="preserve"> | Myslivečkova 914, 500 03 Hradec Králové 3, </w:t>
                      </w:r>
                      <w:r>
                        <w:rPr>
                          <w:b w:val="0"/>
                          <w:color w:val="auto"/>
                        </w:rPr>
                        <w:t>tel.</w:t>
                      </w:r>
                      <w:r w:rsidRPr="007D40DF">
                        <w:rPr>
                          <w:b w:val="0"/>
                          <w:color w:val="auto"/>
                        </w:rPr>
                        <w:t>:</w:t>
                      </w:r>
                      <w:r>
                        <w:rPr>
                          <w:b w:val="0"/>
                          <w:color w:val="auto"/>
                        </w:rPr>
                        <w:t xml:space="preserve"> </w:t>
                      </w:r>
                      <w:r w:rsidRPr="004A61C5">
                        <w:rPr>
                          <w:b w:val="0"/>
                          <w:color w:val="auto"/>
                        </w:rPr>
                        <w:t>495 762 322,</w:t>
                      </w:r>
                      <w:r>
                        <w:rPr>
                          <w:b w:val="0"/>
                          <w:color w:val="auto"/>
                        </w:rPr>
                        <w:t xml:space="preserve"> </w:t>
                      </w:r>
                      <w:r w:rsidRPr="004A61C5">
                        <w:rPr>
                          <w:b w:val="0"/>
                          <w:color w:val="auto"/>
                        </w:rPr>
                        <w:t>495 762 317</w:t>
                      </w:r>
                    </w:p>
                    <w:p w14:paraId="21B7C70C" w14:textId="77777777" w:rsidR="004E684C" w:rsidRPr="004A61C5" w:rsidRDefault="004E684C" w:rsidP="00825C4D">
                      <w:pPr>
                        <w:pStyle w:val="TLKontakty"/>
                        <w:spacing w:after="80" w:line="240" w:lineRule="auto"/>
                        <w:rPr>
                          <w:b w:val="0"/>
                          <w:color w:val="auto"/>
                        </w:rPr>
                      </w:pPr>
                      <w:r w:rsidRPr="004A61C5">
                        <w:rPr>
                          <w:b w:val="0"/>
                          <w:color w:val="auto"/>
                        </w:rPr>
                        <w:t xml:space="preserve">e-mail: infoservishk@czso.cz | </w:t>
                      </w:r>
                      <w:r w:rsidRPr="004A61C5">
                        <w:rPr>
                          <w:color w:val="auto"/>
                        </w:rPr>
                        <w:t>www.hradeckralove.czso.cz</w:t>
                      </w:r>
                    </w:p>
                    <w:p w14:paraId="225BCF7C" w14:textId="77777777" w:rsidR="004E684C" w:rsidRPr="004A61C5" w:rsidRDefault="004E684C" w:rsidP="00825C4D">
                      <w:pPr>
                        <w:pStyle w:val="TLKontakty"/>
                        <w:spacing w:after="80" w:line="240" w:lineRule="auto"/>
                        <w:rPr>
                          <w:color w:val="auto"/>
                        </w:rPr>
                      </w:pPr>
                    </w:p>
                    <w:p w14:paraId="37337D66" w14:textId="77777777" w:rsidR="004E684C" w:rsidRPr="004A61C5" w:rsidRDefault="004E684C" w:rsidP="00825C4D">
                      <w:pPr>
                        <w:pStyle w:val="TLKontakty"/>
                        <w:spacing w:after="80" w:line="240" w:lineRule="auto"/>
                        <w:rPr>
                          <w:b w:val="0"/>
                          <w:color w:val="auto"/>
                        </w:rPr>
                      </w:pPr>
                      <w:r w:rsidRPr="00D66223">
                        <w:t>Pardubice</w:t>
                      </w:r>
                      <w:r w:rsidRPr="004A61C5">
                        <w:rPr>
                          <w:b w:val="0"/>
                          <w:color w:val="auto"/>
                        </w:rPr>
                        <w:t xml:space="preserve"> | V Ráji 872, 531 53 Pardubice</w:t>
                      </w:r>
                      <w:r>
                        <w:rPr>
                          <w:b w:val="0"/>
                          <w:color w:val="auto"/>
                        </w:rPr>
                        <w:t xml:space="preserve">, </w:t>
                      </w:r>
                      <w:r w:rsidRPr="004A61C5">
                        <w:rPr>
                          <w:b w:val="0"/>
                          <w:color w:val="auto"/>
                        </w:rPr>
                        <w:t>tel.</w:t>
                      </w:r>
                      <w:r>
                        <w:rPr>
                          <w:b w:val="0"/>
                          <w:color w:val="auto"/>
                        </w:rPr>
                        <w:t>:</w:t>
                      </w:r>
                      <w:r w:rsidRPr="004A61C5">
                        <w:rPr>
                          <w:b w:val="0"/>
                          <w:color w:val="auto"/>
                        </w:rPr>
                        <w:t xml:space="preserve"> 466 743 480, 466 743 418</w:t>
                      </w:r>
                    </w:p>
                    <w:p w14:paraId="4D5E721E" w14:textId="77777777" w:rsidR="004E684C" w:rsidRPr="004A61C5" w:rsidRDefault="004E684C" w:rsidP="00825C4D">
                      <w:pPr>
                        <w:pStyle w:val="TLKontakty"/>
                        <w:spacing w:after="80" w:line="240" w:lineRule="auto"/>
                        <w:rPr>
                          <w:b w:val="0"/>
                          <w:color w:val="auto"/>
                        </w:rPr>
                      </w:pPr>
                      <w:r w:rsidRPr="004A61C5">
                        <w:rPr>
                          <w:b w:val="0"/>
                          <w:color w:val="auto"/>
                        </w:rPr>
                        <w:t xml:space="preserve">e-mail: infoservispa@czso.cz | </w:t>
                      </w:r>
                      <w:r w:rsidRPr="004A61C5">
                        <w:rPr>
                          <w:color w:val="auto"/>
                        </w:rPr>
                        <w:t>www.pardubice.czso.cz</w:t>
                      </w:r>
                    </w:p>
                    <w:p w14:paraId="3B4CCE5A" w14:textId="77777777" w:rsidR="004E684C" w:rsidRPr="004A61C5" w:rsidRDefault="004E684C" w:rsidP="00825C4D">
                      <w:pPr>
                        <w:pStyle w:val="TLKontakty"/>
                        <w:spacing w:after="80" w:line="240" w:lineRule="auto"/>
                        <w:rPr>
                          <w:b w:val="0"/>
                          <w:color w:val="auto"/>
                        </w:rPr>
                      </w:pPr>
                    </w:p>
                    <w:p w14:paraId="0C952A4A" w14:textId="77777777" w:rsidR="004E684C" w:rsidRPr="004A61C5" w:rsidRDefault="004E684C" w:rsidP="00825C4D">
                      <w:pPr>
                        <w:pStyle w:val="TLKontakty"/>
                        <w:spacing w:after="80" w:line="240" w:lineRule="auto"/>
                        <w:rPr>
                          <w:b w:val="0"/>
                          <w:color w:val="auto"/>
                        </w:rPr>
                      </w:pPr>
                      <w:r w:rsidRPr="00D66223">
                        <w:t>Jihlava</w:t>
                      </w:r>
                      <w:r w:rsidRPr="004A61C5">
                        <w:rPr>
                          <w:b w:val="0"/>
                          <w:color w:val="auto"/>
                        </w:rPr>
                        <w:t xml:space="preserve"> | Ke Skalce 30,</w:t>
                      </w:r>
                      <w:r>
                        <w:rPr>
                          <w:b w:val="0"/>
                          <w:color w:val="auto"/>
                        </w:rPr>
                        <w:t xml:space="preserve"> 586 01 Jihlava, tel.: </w:t>
                      </w:r>
                      <w:r w:rsidRPr="004A61C5">
                        <w:rPr>
                          <w:b w:val="0"/>
                          <w:color w:val="auto"/>
                        </w:rPr>
                        <w:t xml:space="preserve">567 109 </w:t>
                      </w:r>
                      <w:r w:rsidRPr="00BC731E">
                        <w:rPr>
                          <w:b w:val="0"/>
                          <w:color w:val="auto"/>
                        </w:rPr>
                        <w:t>062, 567 109 073</w:t>
                      </w:r>
                    </w:p>
                    <w:p w14:paraId="51841952" w14:textId="77777777" w:rsidR="004E684C" w:rsidRPr="004A61C5" w:rsidRDefault="004E684C" w:rsidP="00825C4D">
                      <w:pPr>
                        <w:pStyle w:val="TLKontakty"/>
                        <w:spacing w:after="80" w:line="240" w:lineRule="auto"/>
                        <w:rPr>
                          <w:b w:val="0"/>
                          <w:color w:val="auto"/>
                        </w:rPr>
                      </w:pPr>
                      <w:r w:rsidRPr="004A61C5">
                        <w:rPr>
                          <w:b w:val="0"/>
                          <w:color w:val="auto"/>
                        </w:rPr>
                        <w:t xml:space="preserve">e-mail: infoservisvys@czso.cz | </w:t>
                      </w:r>
                      <w:r w:rsidRPr="004A61C5">
                        <w:rPr>
                          <w:color w:val="auto"/>
                        </w:rPr>
                        <w:t>www.jihlava.czso.cz</w:t>
                      </w:r>
                    </w:p>
                    <w:p w14:paraId="53CC40B8" w14:textId="77777777" w:rsidR="004E684C" w:rsidRDefault="004E684C" w:rsidP="00825C4D">
                      <w:pPr>
                        <w:pStyle w:val="TLKontakty"/>
                        <w:spacing w:after="80" w:line="240" w:lineRule="auto"/>
                      </w:pPr>
                    </w:p>
                    <w:p w14:paraId="5DDBBC31" w14:textId="46420281" w:rsidR="004E684C" w:rsidRPr="00BC731E" w:rsidRDefault="004E684C" w:rsidP="00825C4D">
                      <w:pPr>
                        <w:pStyle w:val="TLKontakty"/>
                        <w:spacing w:after="80" w:line="240" w:lineRule="auto"/>
                        <w:rPr>
                          <w:b w:val="0"/>
                          <w:color w:val="auto"/>
                        </w:rPr>
                      </w:pPr>
                      <w:r w:rsidRPr="00D66223">
                        <w:t>Brno</w:t>
                      </w:r>
                      <w:r w:rsidRPr="004A61C5">
                        <w:rPr>
                          <w:b w:val="0"/>
                          <w:color w:val="auto"/>
                        </w:rPr>
                        <w:t xml:space="preserve"> | Jezuitská 2, 601 59 Brno, </w:t>
                      </w:r>
                      <w:r>
                        <w:rPr>
                          <w:b w:val="0"/>
                          <w:color w:val="auto"/>
                        </w:rPr>
                        <w:t xml:space="preserve">tel.: </w:t>
                      </w:r>
                      <w:r w:rsidRPr="004A61C5">
                        <w:rPr>
                          <w:b w:val="0"/>
                          <w:color w:val="auto"/>
                        </w:rPr>
                        <w:t xml:space="preserve">542 528 </w:t>
                      </w:r>
                      <w:r w:rsidRPr="00BC731E">
                        <w:rPr>
                          <w:b w:val="0"/>
                          <w:color w:val="auto"/>
                        </w:rPr>
                        <w:t>115, 542 528 200</w:t>
                      </w:r>
                    </w:p>
                    <w:p w14:paraId="51CF8C7A" w14:textId="77777777" w:rsidR="004E684C" w:rsidRPr="004A61C5" w:rsidRDefault="004E684C" w:rsidP="00825C4D">
                      <w:pPr>
                        <w:pStyle w:val="TLKontakty"/>
                        <w:spacing w:after="80" w:line="240" w:lineRule="auto"/>
                        <w:rPr>
                          <w:color w:val="auto"/>
                        </w:rPr>
                      </w:pPr>
                      <w:r w:rsidRPr="004A61C5">
                        <w:rPr>
                          <w:b w:val="0"/>
                          <w:color w:val="auto"/>
                        </w:rPr>
                        <w:t xml:space="preserve">e-mail: infoservisbrno@czso.cz | </w:t>
                      </w:r>
                      <w:r w:rsidRPr="004A61C5">
                        <w:rPr>
                          <w:color w:val="auto"/>
                        </w:rPr>
                        <w:t>www.brno.czso.cz</w:t>
                      </w:r>
                    </w:p>
                    <w:p w14:paraId="224CF4A5" w14:textId="77777777" w:rsidR="004E684C" w:rsidRPr="004A61C5" w:rsidRDefault="004E684C" w:rsidP="00825C4D">
                      <w:pPr>
                        <w:pStyle w:val="TLKontakty"/>
                        <w:spacing w:after="80" w:line="240" w:lineRule="auto"/>
                        <w:rPr>
                          <w:b w:val="0"/>
                          <w:color w:val="auto"/>
                        </w:rPr>
                      </w:pPr>
                    </w:p>
                    <w:p w14:paraId="7D522CFD" w14:textId="77777777" w:rsidR="004E684C" w:rsidRPr="005E7C78" w:rsidRDefault="004E684C" w:rsidP="00825C4D">
                      <w:pPr>
                        <w:pStyle w:val="TLKontakty"/>
                        <w:spacing w:after="80" w:line="240" w:lineRule="auto"/>
                        <w:rPr>
                          <w:b w:val="0"/>
                          <w:color w:val="auto"/>
                        </w:rPr>
                      </w:pPr>
                      <w:r w:rsidRPr="00D66223">
                        <w:t>Olomouc</w:t>
                      </w:r>
                      <w:r w:rsidRPr="005E7C78">
                        <w:rPr>
                          <w:b w:val="0"/>
                          <w:color w:val="auto"/>
                        </w:rPr>
                        <w:t xml:space="preserve"> | Jeremenkova 1142/42, 772 11 Olomouc, </w:t>
                      </w:r>
                      <w:r>
                        <w:rPr>
                          <w:b w:val="0"/>
                          <w:color w:val="auto"/>
                        </w:rPr>
                        <w:t xml:space="preserve">tel.: </w:t>
                      </w:r>
                      <w:r w:rsidRPr="005E7C78">
                        <w:rPr>
                          <w:b w:val="0"/>
                          <w:color w:val="auto"/>
                        </w:rPr>
                        <w:t xml:space="preserve">585 731 </w:t>
                      </w:r>
                      <w:r w:rsidRPr="00BC731E">
                        <w:rPr>
                          <w:b w:val="0"/>
                          <w:color w:val="auto"/>
                        </w:rPr>
                        <w:t>516, 585 731 511</w:t>
                      </w:r>
                    </w:p>
                    <w:p w14:paraId="5494D7F3" w14:textId="77777777" w:rsidR="004E684C" w:rsidRPr="005E7C78" w:rsidRDefault="004E684C" w:rsidP="00825C4D">
                      <w:pPr>
                        <w:pStyle w:val="TLKontakty"/>
                        <w:spacing w:after="80" w:line="240" w:lineRule="auto"/>
                        <w:rPr>
                          <w:b w:val="0"/>
                          <w:color w:val="auto"/>
                        </w:rPr>
                      </w:pPr>
                      <w:r w:rsidRPr="005E7C78">
                        <w:rPr>
                          <w:b w:val="0"/>
                          <w:color w:val="auto"/>
                        </w:rPr>
                        <w:t xml:space="preserve">e-mail: infoservisolom@czso.cz | </w:t>
                      </w:r>
                      <w:r w:rsidRPr="005E7C78">
                        <w:rPr>
                          <w:color w:val="auto"/>
                        </w:rPr>
                        <w:t>www.olomouc.czso.cz</w:t>
                      </w:r>
                    </w:p>
                    <w:p w14:paraId="6D2D70CC" w14:textId="77777777" w:rsidR="004E684C" w:rsidRPr="005E7C78" w:rsidRDefault="004E684C" w:rsidP="00825C4D">
                      <w:pPr>
                        <w:pStyle w:val="TLKontakty"/>
                        <w:spacing w:after="80" w:line="240" w:lineRule="auto"/>
                        <w:rPr>
                          <w:b w:val="0"/>
                          <w:color w:val="auto"/>
                        </w:rPr>
                      </w:pPr>
                    </w:p>
                    <w:p w14:paraId="034D350E" w14:textId="77777777" w:rsidR="004E684C" w:rsidRPr="005E7C78" w:rsidRDefault="004E684C" w:rsidP="00825C4D">
                      <w:pPr>
                        <w:pStyle w:val="TLKontakty"/>
                        <w:spacing w:after="80" w:line="240" w:lineRule="auto"/>
                        <w:rPr>
                          <w:b w:val="0"/>
                          <w:color w:val="auto"/>
                        </w:rPr>
                      </w:pPr>
                      <w:r w:rsidRPr="00D66223">
                        <w:t>Zlín</w:t>
                      </w:r>
                      <w:r w:rsidRPr="005E7C78">
                        <w:rPr>
                          <w:b w:val="0"/>
                          <w:color w:val="auto"/>
                        </w:rPr>
                        <w:t xml:space="preserve"> | tř. Tomáše Bati 1565, 761 76 Zlín, </w:t>
                      </w:r>
                      <w:r w:rsidRPr="00BC731E">
                        <w:rPr>
                          <w:b w:val="0"/>
                          <w:color w:val="auto"/>
                        </w:rPr>
                        <w:t>tel.: 577 004 932, 5</w:t>
                      </w:r>
                      <w:r w:rsidRPr="005E7C78">
                        <w:rPr>
                          <w:b w:val="0"/>
                          <w:color w:val="auto"/>
                        </w:rPr>
                        <w:t>77 004 935</w:t>
                      </w:r>
                    </w:p>
                    <w:p w14:paraId="43F8FFC6" w14:textId="77777777" w:rsidR="004E684C" w:rsidRDefault="004E684C" w:rsidP="00825C4D">
                      <w:pPr>
                        <w:pStyle w:val="TLKontakty"/>
                        <w:spacing w:after="80" w:line="240" w:lineRule="auto"/>
                        <w:rPr>
                          <w:color w:val="auto"/>
                        </w:rPr>
                      </w:pPr>
                      <w:r w:rsidRPr="005E7C78">
                        <w:rPr>
                          <w:b w:val="0"/>
                          <w:color w:val="auto"/>
                        </w:rPr>
                        <w:t xml:space="preserve">e-mail: infoservis-zl@czso.cz | </w:t>
                      </w:r>
                      <w:r w:rsidRPr="00227A53">
                        <w:rPr>
                          <w:color w:val="auto"/>
                        </w:rPr>
                        <w:t>www.zlin.czso.cz</w:t>
                      </w:r>
                    </w:p>
                    <w:p w14:paraId="427936C8" w14:textId="77777777" w:rsidR="004E684C" w:rsidRPr="005E7C78" w:rsidRDefault="004E684C" w:rsidP="00095135">
                      <w:pPr>
                        <w:pStyle w:val="TLKontakty"/>
                        <w:spacing w:after="80" w:line="240" w:lineRule="auto"/>
                        <w:rPr>
                          <w:b w:val="0"/>
                          <w:color w:val="auto"/>
                        </w:rPr>
                      </w:pPr>
                    </w:p>
                    <w:p w14:paraId="3F377E0F" w14:textId="77777777" w:rsidR="004E684C" w:rsidRPr="005E7C78" w:rsidRDefault="004E684C" w:rsidP="00095135">
                      <w:pPr>
                        <w:pStyle w:val="TLKontakty"/>
                        <w:spacing w:after="80" w:line="240" w:lineRule="auto"/>
                        <w:rPr>
                          <w:b w:val="0"/>
                          <w:color w:val="auto"/>
                        </w:rPr>
                      </w:pPr>
                      <w:r w:rsidRPr="00D66223">
                        <w:t>Ostrava</w:t>
                      </w:r>
                      <w:r w:rsidRPr="005E7C78">
                        <w:rPr>
                          <w:b w:val="0"/>
                          <w:color w:val="auto"/>
                        </w:rPr>
                        <w:t xml:space="preserve"> | Repinova 17, 702 03 Ostrava,</w:t>
                      </w:r>
                      <w:r>
                        <w:rPr>
                          <w:b w:val="0"/>
                          <w:color w:val="auto"/>
                        </w:rPr>
                        <w:t xml:space="preserve"> tel.: </w:t>
                      </w:r>
                      <w:r w:rsidRPr="005E7C78">
                        <w:rPr>
                          <w:b w:val="0"/>
                          <w:color w:val="auto"/>
                        </w:rPr>
                        <w:t>595 131 230, 595 131 232</w:t>
                      </w:r>
                    </w:p>
                    <w:p w14:paraId="4EEBD266" w14:textId="77777777" w:rsidR="004E684C" w:rsidRPr="00095135" w:rsidRDefault="004E684C" w:rsidP="00825C4D">
                      <w:pPr>
                        <w:pStyle w:val="TLKontakty"/>
                        <w:spacing w:after="80" w:line="240" w:lineRule="auto"/>
                        <w:rPr>
                          <w:b w:val="0"/>
                          <w:color w:val="auto"/>
                        </w:rPr>
                      </w:pPr>
                      <w:r w:rsidRPr="005E7C78">
                        <w:rPr>
                          <w:b w:val="0"/>
                          <w:color w:val="auto"/>
                        </w:rPr>
                        <w:t xml:space="preserve">e-mail: infoservis_ov@czso.cz | </w:t>
                      </w:r>
                      <w:r w:rsidRPr="005E7C78">
                        <w:rPr>
                          <w:color w:val="auto"/>
                        </w:rPr>
                        <w:t>www.ostrava.czso.cz</w:t>
                      </w:r>
                    </w:p>
                  </w:txbxContent>
                </v:textbox>
                <w10:wrap anchorx="page" anchory="page"/>
                <w10:anchorlock/>
              </v:shape>
            </w:pict>
          </mc:Fallback>
        </mc:AlternateContent>
      </w:r>
      <w:r>
        <w:rPr>
          <w:noProof/>
        </w:rPr>
        <mc:AlternateContent>
          <mc:Choice Requires="wps">
            <w:drawing>
              <wp:anchor distT="0" distB="0" distL="114300" distR="114300" simplePos="0" relativeHeight="251661824" behindDoc="0" locked="1" layoutInCell="1" allowOverlap="1" wp14:anchorId="1AF88F2C" wp14:editId="4C995A09">
                <wp:simplePos x="0" y="0"/>
                <wp:positionH relativeFrom="page">
                  <wp:posOffset>720090</wp:posOffset>
                </wp:positionH>
                <wp:positionV relativeFrom="page">
                  <wp:posOffset>9486900</wp:posOffset>
                </wp:positionV>
                <wp:extent cx="6120130" cy="360045"/>
                <wp:effectExtent l="0" t="0" r="0" b="0"/>
                <wp:wrapNone/>
                <wp:docPr id="23"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360045"/>
                        </a:xfrm>
                        <a:prstGeom prst="rect">
                          <a:avLst/>
                        </a:prstGeom>
                        <a:noFill/>
                        <a:ln>
                          <a:noFill/>
                        </a:ln>
                        <a:extLst>
                          <a:ext uri="{909E8E84-426E-40dd-AFC4-6F175D3DCCD1}">
                            <a14:hiddenFil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o="urn:schemas-microsoft-com:office:office" xmlns:v="urn:schemas-microsoft-com:vml" xmlns:w10="urn:schemas-microsoft-com:office:word" xmlns:w="http://schemas.openxmlformats.org/wordprocessingml/2006/main" xmlns:a14="http://schemas.microsoft.com/office/drawing/2010/main" xmlns="">
                              <a:solidFill>
                                <a:srgbClr val="FFFFFF"/>
                              </a:solidFill>
                            </a14:hiddenFill>
                          </a:ext>
                          <a:ext uri="{91240B29-F687-4f45-9708-019B960494DF}">
                            <a14:hiddenLine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miter lim="800000"/>
                              <a:headEnd/>
                              <a:tailEnd/>
                            </a14:hiddenLine>
                          </a:ext>
                        </a:extLst>
                      </wps:spPr>
                      <wps:txbx>
                        <w:txbxContent>
                          <w:p w14:paraId="63C75AC8" w14:textId="77777777" w:rsidR="004E684C" w:rsidRPr="00321924" w:rsidRDefault="004E684C" w:rsidP="00A16E1D">
                            <w:pPr>
                              <w:jc w:val="left"/>
                            </w:pPr>
                            <w:r w:rsidRPr="008E69C0">
                              <w:rPr>
                                <w:szCs w:val="26"/>
                              </w:rPr>
                              <w:t>ISBN XX-XXXX-XXX-X</w:t>
                            </w:r>
                            <w:r>
                              <w:rPr>
                                <w:szCs w:val="26"/>
                              </w:rPr>
                              <w:t> </w:t>
                            </w:r>
                            <w:r w:rsidRPr="00321924">
                              <w:t>(pouze u</w:t>
                            </w:r>
                            <w:r>
                              <w:t> </w:t>
                            </w:r>
                            <w:r w:rsidRPr="00321924">
                              <w:t>nepravidelných a</w:t>
                            </w:r>
                            <w:r>
                              <w:t> </w:t>
                            </w:r>
                            <w:r w:rsidRPr="00321924">
                              <w:t>ročních publikací)</w:t>
                            </w:r>
                            <w:r w:rsidRPr="00321924">
                              <w:br/>
                              <w:t xml:space="preserve">© Český statistický úřad, </w:t>
                            </w:r>
                            <w:r>
                              <w:t>Praha, 2019</w:t>
                            </w:r>
                          </w:p>
                          <w:p w14:paraId="71F2852B" w14:textId="77777777" w:rsidR="004E684C" w:rsidRDefault="004E684C"/>
                          <w:p w14:paraId="7FEBACA4" w14:textId="77777777" w:rsidR="004E684C" w:rsidRPr="00841D9F" w:rsidRDefault="004E684C" w:rsidP="000A3A2C">
                            <w:r w:rsidRPr="00841D9F">
                              <w:rPr>
                                <w:szCs w:val="26"/>
                              </w:rPr>
                              <w:t>ISBN XX-XXXX-XXX-X</w:t>
                            </w:r>
                            <w:r>
                              <w:rPr>
                                <w:szCs w:val="26"/>
                              </w:rPr>
                              <w:t> </w:t>
                            </w:r>
                            <w:r w:rsidRPr="00841D9F">
                              <w:rPr>
                                <w:szCs w:val="26"/>
                              </w:rPr>
                              <w:t xml:space="preserve"> </w:t>
                            </w:r>
                            <w:r w:rsidRPr="00841D9F">
                              <w:t>(pouze u</w:t>
                            </w:r>
                            <w:r>
                              <w:t> </w:t>
                            </w:r>
                            <w:r w:rsidRPr="00841D9F">
                              <w:t>nepravidelných a</w:t>
                            </w:r>
                            <w:r>
                              <w:t> </w:t>
                            </w:r>
                            <w:r w:rsidRPr="00841D9F">
                              <w:t>ročních publikací)</w:t>
                            </w:r>
                          </w:p>
                          <w:p w14:paraId="0F4B10AF" w14:textId="77777777" w:rsidR="004E684C" w:rsidRPr="00AF2852" w:rsidRDefault="004E684C" w:rsidP="000A3A2C">
                            <w:r w:rsidRPr="00841D9F">
                              <w:t>© Český sta</w:t>
                            </w:r>
                            <w:r>
                              <w:t xml:space="preserve">tistický úřad / </w:t>
                            </w:r>
                            <w:r w:rsidRPr="009A1902">
                              <w:rPr>
                                <w:i/>
                              </w:rPr>
                              <w:t xml:space="preserve">Czech </w:t>
                            </w:r>
                            <w:r w:rsidRPr="009A1902">
                              <w:rPr>
                                <w:rFonts w:cs="Arial"/>
                                <w:i/>
                                <w:szCs w:val="20"/>
                              </w:rPr>
                              <w:t>Statistical Office</w:t>
                            </w:r>
                            <w:r>
                              <w:t>, místo, rok vydání</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AF88F2C" id="_x0000_s1031" type="#_x0000_t202" style="position:absolute;left:0;text-align:left;margin-left:56.7pt;margin-top:747pt;width:481.9pt;height:28.35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" filled="f" stroked="f">
                <v:textbox inset="0,0,0,0">
                  <w:txbxContent>
                    <w:p w14:paraId="63C75AC8" w14:textId="77777777" w:rsidR="004E684C" w:rsidRPr="00321924" w:rsidRDefault="004E684C" w:rsidP="00A16E1D">
                      <w:pPr>
                        <w:jc w:val="left"/>
                      </w:pPr>
                      <w:r w:rsidRPr="008E69C0">
                        <w:rPr>
                          <w:szCs w:val="26"/>
                        </w:rPr>
                        <w:t>ISBN XX-XXXX-XXX-X</w:t>
                      </w:r>
                      <w:r>
                        <w:rPr>
                          <w:szCs w:val="26"/>
                        </w:rPr>
                        <w:t> </w:t>
                      </w:r>
                      <w:r w:rsidRPr="00321924">
                        <w:t>(pouze u</w:t>
                      </w:r>
                      <w:r>
                        <w:t> </w:t>
                      </w:r>
                      <w:r w:rsidRPr="00321924">
                        <w:t>nepravidelných a</w:t>
                      </w:r>
                      <w:r>
                        <w:t> </w:t>
                      </w:r>
                      <w:r w:rsidRPr="00321924">
                        <w:t>ročních publikací)</w:t>
                      </w:r>
                      <w:r w:rsidRPr="00321924">
                        <w:br/>
                        <w:t xml:space="preserve">© Český statistický úřad, </w:t>
                      </w:r>
                      <w:r>
                        <w:t>Praha, 2019</w:t>
                      </w:r>
                    </w:p>
                    <w:p w14:paraId="71F2852B" w14:textId="77777777" w:rsidR="004E684C" w:rsidRDefault="004E684C"/>
                    <w:p w14:paraId="7FEBACA4" w14:textId="77777777" w:rsidR="004E684C" w:rsidRPr="00841D9F" w:rsidRDefault="004E684C" w:rsidP="000A3A2C">
                      <w:r w:rsidRPr="00841D9F">
                        <w:rPr>
                          <w:szCs w:val="26"/>
                        </w:rPr>
                        <w:t>ISBN XX-XXXX-XXX-X</w:t>
                      </w:r>
                      <w:r>
                        <w:rPr>
                          <w:szCs w:val="26"/>
                        </w:rPr>
                        <w:t> </w:t>
                      </w:r>
                      <w:r w:rsidRPr="00841D9F">
                        <w:rPr>
                          <w:szCs w:val="26"/>
                        </w:rPr>
                        <w:t xml:space="preserve"> </w:t>
                      </w:r>
                      <w:r w:rsidRPr="00841D9F">
                        <w:t>(pouze u</w:t>
                      </w:r>
                      <w:r>
                        <w:t> </w:t>
                      </w:r>
                      <w:r w:rsidRPr="00841D9F">
                        <w:t>nepravidelných a</w:t>
                      </w:r>
                      <w:r>
                        <w:t> </w:t>
                      </w:r>
                      <w:r w:rsidRPr="00841D9F">
                        <w:t>ročních publikací)</w:t>
                      </w:r>
                    </w:p>
                    <w:p w14:paraId="0F4B10AF" w14:textId="77777777" w:rsidR="004E684C" w:rsidRPr="00AF2852" w:rsidRDefault="004E684C" w:rsidP="000A3A2C">
                      <w:r w:rsidRPr="00841D9F">
                        <w:t>© Český sta</w:t>
                      </w:r>
                      <w:r>
                        <w:t xml:space="preserve">tistický úřad / </w:t>
                      </w:r>
                      <w:r w:rsidRPr="009A1902">
                        <w:rPr>
                          <w:i/>
                        </w:rPr>
                        <w:t xml:space="preserve">Czech </w:t>
                      </w:r>
                      <w:r w:rsidRPr="009A1902">
                        <w:rPr>
                          <w:rFonts w:cs="Arial"/>
                          <w:i/>
                          <w:szCs w:val="20"/>
                        </w:rPr>
                        <w:t>Statistical Office</w:t>
                      </w:r>
                      <w:r>
                        <w:t>, místo, rok vydání</w:t>
                      </w:r>
                    </w:p>
                  </w:txbxContent>
                </v:textbox>
                <w10:wrap anchorx="page" anchory="page"/>
                <w10:anchorlock/>
              </v:shape>
            </w:pict>
          </mc:Fallback>
        </mc:AlternateContent>
      </w:r>
      <w:r>
        <w:rPr>
          <w:noProof/>
        </w:rPr>
        <mc:AlternateContent>
          <mc:Choice Requires="wps">
            <w:drawing>
              <wp:anchor distT="0" distB="0" distL="114300" distR="114300" simplePos="0" relativeHeight="251660800" behindDoc="0" locked="1" layoutInCell="1" allowOverlap="1" wp14:anchorId="321FD6F3" wp14:editId="0A85ED4A">
                <wp:simplePos x="0" y="0"/>
                <wp:positionH relativeFrom="page">
                  <wp:posOffset>723265</wp:posOffset>
                </wp:positionH>
                <wp:positionV relativeFrom="page">
                  <wp:posOffset>723265</wp:posOffset>
                </wp:positionV>
                <wp:extent cx="6119495" cy="555625"/>
                <wp:effectExtent l="0" t="0" r="0" b="0"/>
                <wp:wrapNone/>
                <wp:docPr id="5"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9495" cy="555625"/>
                        </a:xfrm>
                        <a:prstGeom prst="rect">
                          <a:avLst/>
                        </a:prstGeom>
                        <a:noFill/>
                        <a:ln>
                          <a:noFill/>
                        </a:ln>
                        <a:extLst>
                          <a:ext uri="{909E8E84-426E-40dd-AFC4-6F175D3DCCD1}">
                            <a14:hiddenFil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o="urn:schemas-microsoft-com:office:office" xmlns:v="urn:schemas-microsoft-com:vml" xmlns:w10="urn:schemas-microsoft-com:office:word" xmlns:w="http://schemas.openxmlformats.org/wordprocessingml/2006/main" xmlns:a14="http://schemas.microsoft.com/office/drawing/2010/main" xmlns="">
                              <a:solidFill>
                                <a:srgbClr val="FFFFFF"/>
                              </a:solidFill>
                            </a14:hiddenFill>
                          </a:ext>
                          <a:ext uri="{91240B29-F687-4f45-9708-019B960494DF}">
                            <a14:hiddenLine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miter lim="800000"/>
                              <a:headEnd/>
                              <a:tailEnd/>
                            </a14:hiddenLine>
                          </a:ext>
                        </a:extLst>
                      </wps:spPr>
                      <wps:txbx>
                        <w:txbxContent>
                          <w:p w14:paraId="1BF26F77" w14:textId="17F5C894" w:rsidR="004E684C" w:rsidRPr="009A1902" w:rsidRDefault="004E684C" w:rsidP="000A3A2C">
                            <w:pPr>
                              <w:rPr>
                                <w:b/>
                                <w:bCs/>
                                <w:i/>
                                <w:sz w:val="24"/>
                              </w:rPr>
                            </w:pPr>
                            <w:r w:rsidRPr="00B95F50">
                              <w:rPr>
                                <w:b/>
                                <w:color w:val="0071BC"/>
                                <w:sz w:val="24"/>
                              </w:rPr>
                              <w:t xml:space="preserve">Zajímají </w:t>
                            </w:r>
                            <w:r>
                              <w:rPr>
                                <w:b/>
                                <w:color w:val="0071BC"/>
                                <w:sz w:val="24"/>
                              </w:rPr>
                              <w:t>v</w:t>
                            </w:r>
                            <w:r w:rsidRPr="00B95F50">
                              <w:rPr>
                                <w:b/>
                                <w:color w:val="0071BC"/>
                                <w:sz w:val="24"/>
                              </w:rPr>
                              <w:t>ás nejnovější údaje o</w:t>
                            </w:r>
                            <w:r>
                              <w:rPr>
                                <w:b/>
                                <w:color w:val="0071BC"/>
                                <w:sz w:val="24"/>
                              </w:rPr>
                              <w:t> </w:t>
                            </w:r>
                            <w:r w:rsidRPr="00B95F50">
                              <w:rPr>
                                <w:b/>
                                <w:color w:val="0071BC"/>
                                <w:sz w:val="24"/>
                              </w:rPr>
                              <w:t xml:space="preserve">inflaci, HDP, obyvatelstvu, průměrných mzdách </w:t>
                            </w:r>
                            <w:r>
                              <w:rPr>
                                <w:b/>
                                <w:color w:val="0071BC"/>
                                <w:sz w:val="24"/>
                              </w:rPr>
                              <w:br/>
                            </w:r>
                            <w:r w:rsidRPr="00B95F50">
                              <w:rPr>
                                <w:b/>
                                <w:color w:val="0071BC"/>
                                <w:sz w:val="24"/>
                              </w:rPr>
                              <w:t>a</w:t>
                            </w:r>
                            <w:r>
                              <w:rPr>
                                <w:b/>
                                <w:color w:val="0071BC"/>
                                <w:sz w:val="24"/>
                              </w:rPr>
                              <w:t> </w:t>
                            </w:r>
                            <w:r w:rsidRPr="00B95F50">
                              <w:rPr>
                                <w:b/>
                                <w:color w:val="0071BC"/>
                                <w:sz w:val="24"/>
                              </w:rPr>
                              <w:t xml:space="preserve">mnohé další? Najdete je na stránkách ČSÚ na internetu: </w:t>
                            </w:r>
                            <w:r>
                              <w:rPr>
                                <w:b/>
                                <w:bCs/>
                                <w:sz w:val="24"/>
                              </w:rPr>
                              <w:t>www.czso.cz</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321FD6F3" id="_x0000_s1032" type="#_x0000_t202" style="position:absolute;left:0;text-align:left;margin-left:56.95pt;margin-top:56.95pt;width:481.85pt;height:43.75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" filled="f" stroked="f">
                <v:textbox style="mso-fit-shape-to-text:t" inset="0,0,0,0">
                  <w:txbxContent>
                    <w:p w14:paraId="1BF26F77" w14:textId="17F5C894" w:rsidR="004E684C" w:rsidRPr="009A1902" w:rsidRDefault="004E684C" w:rsidP="000A3A2C">
                      <w:pPr>
                        <w:rPr>
                          <w:b/>
                          <w:bCs/>
                          <w:i/>
                          <w:sz w:val="24"/>
                        </w:rPr>
                      </w:pPr>
                      <w:r w:rsidRPr="00B95F50">
                        <w:rPr>
                          <w:b/>
                          <w:color w:val="0071BC"/>
                          <w:sz w:val="24"/>
                        </w:rPr>
                        <w:t xml:space="preserve">Zajímají </w:t>
                      </w:r>
                      <w:r>
                        <w:rPr>
                          <w:b/>
                          <w:color w:val="0071BC"/>
                          <w:sz w:val="24"/>
                        </w:rPr>
                        <w:t>v</w:t>
                      </w:r>
                      <w:r w:rsidRPr="00B95F50">
                        <w:rPr>
                          <w:b/>
                          <w:color w:val="0071BC"/>
                          <w:sz w:val="24"/>
                        </w:rPr>
                        <w:t>ás nejnovější údaje o</w:t>
                      </w:r>
                      <w:r>
                        <w:rPr>
                          <w:b/>
                          <w:color w:val="0071BC"/>
                          <w:sz w:val="24"/>
                        </w:rPr>
                        <w:t> </w:t>
                      </w:r>
                      <w:r w:rsidRPr="00B95F50">
                        <w:rPr>
                          <w:b/>
                          <w:color w:val="0071BC"/>
                          <w:sz w:val="24"/>
                        </w:rPr>
                        <w:t xml:space="preserve">inflaci, HDP, obyvatelstvu, průměrných mzdách </w:t>
                      </w:r>
                      <w:r>
                        <w:rPr>
                          <w:b/>
                          <w:color w:val="0071BC"/>
                          <w:sz w:val="24"/>
                        </w:rPr>
                        <w:br/>
                      </w:r>
                      <w:r w:rsidRPr="00B95F50">
                        <w:rPr>
                          <w:b/>
                          <w:color w:val="0071BC"/>
                          <w:sz w:val="24"/>
                        </w:rPr>
                        <w:t>a</w:t>
                      </w:r>
                      <w:r>
                        <w:rPr>
                          <w:b/>
                          <w:color w:val="0071BC"/>
                          <w:sz w:val="24"/>
                        </w:rPr>
                        <w:t> </w:t>
                      </w:r>
                      <w:r w:rsidRPr="00B95F50">
                        <w:rPr>
                          <w:b/>
                          <w:color w:val="0071BC"/>
                          <w:sz w:val="24"/>
                        </w:rPr>
                        <w:t xml:space="preserve">mnohé další? Najdete je na stránkách ČSÚ na internetu: </w:t>
                      </w:r>
                      <w:r>
                        <w:rPr>
                          <w:b/>
                          <w:bCs/>
                          <w:sz w:val="24"/>
                        </w:rPr>
                        <w:t>www.czso.cz</w:t>
                      </w:r>
                    </w:p>
                  </w:txbxContent>
                </v:textbox>
                <w10:wrap anchorx="page" anchory="page"/>
                <w10:anchorlock/>
              </v:shape>
            </w:pict>
          </mc:Fallback>
        </mc:AlternateContent>
      </w:r>
    </w:p>
    <w:sdt>
      <w:sdtPr>
        <w:rPr>
          <w:b w:val="0"/>
          <w:color w:val="auto"/>
          <w:sz w:val="20"/>
        </w:rPr>
        <w:id w:val="5357999"/>
        <w:docPartObj>
          <w:docPartGallery w:val="Table of Contents"/>
          <w:docPartUnique/>
        </w:docPartObj>
      </w:sdtPr>
      <w:sdtEndPr>
        <w:rPr>
          <w:rFonts w:eastAsiaTheme="minorEastAsia"/>
          <w:noProof/>
          <w:lang w:eastAsia="en-US"/>
        </w:rPr>
      </w:sdtEndPr>
      <w:sdtContent>
        <w:p w14:paraId="5A8BA5BC" w14:textId="77777777" w:rsidR="00F46502" w:rsidRPr="00360DE3" w:rsidRDefault="00F46502" w:rsidP="00F46502">
          <w:pPr>
            <w:pStyle w:val="Obsah"/>
          </w:pPr>
          <w:r w:rsidRPr="00360DE3">
            <w:t>Obsah</w:t>
          </w:r>
        </w:p>
        <w:p w14:paraId="3A6213C2" w14:textId="77777777" w:rsidR="00EA0840" w:rsidRDefault="00EA0840" w:rsidP="00BB5D2C">
          <w:pPr>
            <w:pStyle w:val="Obsah1"/>
            <w:spacing w:line="312" w:lineRule="auto"/>
          </w:pPr>
        </w:p>
        <w:p w14:paraId="5F9CD9FC" w14:textId="1491BDD4" w:rsidR="000F6340" w:rsidRDefault="00A20028" w:rsidP="00BB5D2C">
          <w:pPr>
            <w:pStyle w:val="Obsah1"/>
            <w:spacing w:line="312" w:lineRule="auto"/>
            <w:rPr>
              <w:rFonts w:asciiTheme="minorHAnsi" w:eastAsiaTheme="minorEastAsia" w:hAnsiTheme="minorHAnsi" w:cstheme="minorBidi"/>
              <w:sz w:val="22"/>
              <w:szCs w:val="22"/>
              <w:lang w:eastAsia="cs-CZ"/>
            </w:rPr>
          </w:pPr>
          <w:r w:rsidRPr="00360DE3">
            <w:fldChar w:fldCharType="begin"/>
          </w:r>
          <w:r w:rsidR="00F46502" w:rsidRPr="00360DE3">
            <w:instrText xml:space="preserve"> TOC \o "1-3" \h \z \u </w:instrText>
          </w:r>
          <w:r w:rsidRPr="00360DE3">
            <w:fldChar w:fldCharType="separate"/>
          </w:r>
          <w:hyperlink w:anchor="_Toc17873162" w:history="1">
            <w:r w:rsidR="000F6340" w:rsidRPr="00D46622">
              <w:rPr>
                <w:rStyle w:val="Hypertextovodkaz"/>
              </w:rPr>
              <w:t>Shrnutí</w:t>
            </w:r>
            <w:r w:rsidR="00BB5D2C">
              <w:rPr>
                <w:webHidden/>
              </w:rPr>
              <w:t xml:space="preserve">…………………………………………………………………………………………………………………… </w:t>
            </w:r>
            <w:r w:rsidR="000F6340">
              <w:rPr>
                <w:webHidden/>
              </w:rPr>
              <w:fldChar w:fldCharType="begin"/>
            </w:r>
            <w:r w:rsidR="000F6340">
              <w:rPr>
                <w:webHidden/>
              </w:rPr>
              <w:instrText xml:space="preserve"> PAGEREF _Toc17873162 \h </w:instrText>
            </w:r>
            <w:r w:rsidR="000F6340">
              <w:rPr>
                <w:webHidden/>
              </w:rPr>
            </w:r>
            <w:r w:rsidR="000F6340">
              <w:rPr>
                <w:webHidden/>
              </w:rPr>
              <w:fldChar w:fldCharType="separate"/>
            </w:r>
            <w:r w:rsidR="0019361E">
              <w:rPr>
                <w:webHidden/>
              </w:rPr>
              <w:t>4</w:t>
            </w:r>
            <w:r w:rsidR="000F6340">
              <w:rPr>
                <w:webHidden/>
              </w:rPr>
              <w:fldChar w:fldCharType="end"/>
            </w:r>
          </w:hyperlink>
        </w:p>
        <w:p w14:paraId="1F637097" w14:textId="5940EB96" w:rsidR="000F6340" w:rsidRDefault="004E684C" w:rsidP="00BB5D2C">
          <w:pPr>
            <w:pStyle w:val="Obsah1"/>
            <w:tabs>
              <w:tab w:val="left" w:pos="400"/>
            </w:tabs>
            <w:spacing w:line="312" w:lineRule="auto"/>
            <w:rPr>
              <w:rStyle w:val="Hypertextovodkaz"/>
            </w:rPr>
          </w:pPr>
          <w:hyperlink w:anchor="_Toc17873163" w:history="1">
            <w:r w:rsidR="000F6340" w:rsidRPr="00D46622">
              <w:rPr>
                <w:rStyle w:val="Hypertextovodkaz"/>
              </w:rPr>
              <w:t>1.</w:t>
            </w:r>
            <w:r w:rsidR="000F6340">
              <w:rPr>
                <w:rFonts w:asciiTheme="minorHAnsi" w:eastAsiaTheme="minorEastAsia" w:hAnsiTheme="minorHAnsi" w:cstheme="minorBidi"/>
                <w:sz w:val="22"/>
                <w:szCs w:val="22"/>
                <w:lang w:eastAsia="cs-CZ"/>
              </w:rPr>
              <w:tab/>
            </w:r>
            <w:r w:rsidR="000F6340" w:rsidRPr="00D46622">
              <w:rPr>
                <w:rStyle w:val="Hypertextovodkaz"/>
              </w:rPr>
              <w:t>Ekonomická aktivita, z</w:t>
            </w:r>
            <w:r w:rsidR="008849B4">
              <w:rPr>
                <w:rStyle w:val="Hypertextovodkaz"/>
              </w:rPr>
              <w:t xml:space="preserve">aměstnanost </w:t>
            </w:r>
            <w:r w:rsidR="00BC7833">
              <w:rPr>
                <w:rStyle w:val="Hypertextovodkaz"/>
              </w:rPr>
              <w:t>a </w:t>
            </w:r>
            <w:r w:rsidR="008849B4">
              <w:rPr>
                <w:rStyle w:val="Hypertextovodkaz"/>
              </w:rPr>
              <w:t xml:space="preserve">produktivita práce…………………………………………………….. </w:t>
            </w:r>
            <w:r w:rsidR="000F6340">
              <w:rPr>
                <w:webHidden/>
              </w:rPr>
              <w:fldChar w:fldCharType="begin"/>
            </w:r>
            <w:r w:rsidR="000F6340">
              <w:rPr>
                <w:webHidden/>
              </w:rPr>
              <w:instrText xml:space="preserve"> PAGEREF _Toc17873163 \h </w:instrText>
            </w:r>
            <w:r w:rsidR="000F6340">
              <w:rPr>
                <w:webHidden/>
              </w:rPr>
            </w:r>
            <w:r w:rsidR="000F6340">
              <w:rPr>
                <w:webHidden/>
              </w:rPr>
              <w:fldChar w:fldCharType="separate"/>
            </w:r>
            <w:r w:rsidR="0019361E">
              <w:rPr>
                <w:webHidden/>
              </w:rPr>
              <w:t>6</w:t>
            </w:r>
            <w:r w:rsidR="000F6340">
              <w:rPr>
                <w:webHidden/>
              </w:rPr>
              <w:fldChar w:fldCharType="end"/>
            </w:r>
          </w:hyperlink>
        </w:p>
        <w:p w14:paraId="44E314BE" w14:textId="413713D7" w:rsidR="000F6340" w:rsidRDefault="000F6340" w:rsidP="00BB5D2C">
          <w:pPr>
            <w:pStyle w:val="Obsahpoloky"/>
            <w:spacing w:line="312" w:lineRule="auto"/>
            <w:ind w:left="397"/>
            <w:rPr>
              <w:rFonts w:eastAsiaTheme="minorEastAsia"/>
              <w:noProof/>
              <w:lang w:eastAsia="en-US"/>
            </w:rPr>
          </w:pPr>
          <w:r>
            <w:rPr>
              <w:rFonts w:eastAsiaTheme="minorEastAsia"/>
              <w:noProof/>
              <w:lang w:eastAsia="en-US"/>
            </w:rPr>
            <w:t>1.1. Ekonomická aktivita obyvatelstva</w:t>
          </w:r>
          <w:r w:rsidR="0019361E">
            <w:rPr>
              <w:rFonts w:eastAsiaTheme="minorEastAsia"/>
              <w:noProof/>
              <w:lang w:eastAsia="en-US"/>
            </w:rPr>
            <w:t>………………………………………………………………………….. 6</w:t>
          </w:r>
        </w:p>
        <w:p w14:paraId="569F863A" w14:textId="2F77B431" w:rsidR="000F6340" w:rsidRDefault="000F6340" w:rsidP="00BB5D2C">
          <w:pPr>
            <w:pStyle w:val="Obsahpoloky"/>
            <w:spacing w:line="312" w:lineRule="auto"/>
            <w:ind w:left="397"/>
            <w:rPr>
              <w:rFonts w:eastAsiaTheme="minorEastAsia"/>
              <w:noProof/>
              <w:lang w:eastAsia="en-US"/>
            </w:rPr>
          </w:pPr>
          <w:r>
            <w:rPr>
              <w:rFonts w:eastAsiaTheme="minorEastAsia"/>
              <w:noProof/>
              <w:lang w:eastAsia="en-US"/>
            </w:rPr>
            <w:t xml:space="preserve">1.2. Celková zaměstnanost </w:t>
          </w:r>
          <w:r w:rsidR="00BC7833">
            <w:rPr>
              <w:rFonts w:eastAsiaTheme="minorEastAsia"/>
              <w:noProof/>
              <w:lang w:eastAsia="en-US"/>
            </w:rPr>
            <w:t>a </w:t>
          </w:r>
          <w:r>
            <w:rPr>
              <w:rFonts w:eastAsiaTheme="minorEastAsia"/>
              <w:noProof/>
              <w:lang w:eastAsia="en-US"/>
            </w:rPr>
            <w:t>odvětvová skladba……………………………………………………………</w:t>
          </w:r>
          <w:r w:rsidR="0019361E">
            <w:rPr>
              <w:rFonts w:eastAsiaTheme="minorEastAsia"/>
              <w:noProof/>
              <w:lang w:eastAsia="en-US"/>
            </w:rPr>
            <w:t>..10</w:t>
          </w:r>
        </w:p>
        <w:p w14:paraId="40ED4AAB" w14:textId="49CA382E" w:rsidR="000F6340" w:rsidRDefault="000F6340" w:rsidP="00BB5D2C">
          <w:pPr>
            <w:pStyle w:val="Obsahpoloky"/>
            <w:spacing w:line="312" w:lineRule="auto"/>
            <w:ind w:left="397"/>
            <w:rPr>
              <w:rFonts w:eastAsiaTheme="minorEastAsia"/>
              <w:noProof/>
              <w:lang w:eastAsia="en-US"/>
            </w:rPr>
          </w:pPr>
          <w:r>
            <w:rPr>
              <w:rFonts w:eastAsiaTheme="minorEastAsia"/>
              <w:noProof/>
              <w:lang w:eastAsia="en-US"/>
            </w:rPr>
            <w:t>1.3. Produktiv</w:t>
          </w:r>
          <w:r w:rsidR="00B02051">
            <w:rPr>
              <w:rFonts w:eastAsiaTheme="minorEastAsia"/>
              <w:noProof/>
              <w:lang w:eastAsia="en-US"/>
            </w:rPr>
            <w:t>i</w:t>
          </w:r>
          <w:r>
            <w:rPr>
              <w:rFonts w:eastAsiaTheme="minorEastAsia"/>
              <w:noProof/>
              <w:lang w:eastAsia="en-US"/>
            </w:rPr>
            <w:t>ta práce………………</w:t>
          </w:r>
          <w:r w:rsidR="00B02051">
            <w:rPr>
              <w:rFonts w:eastAsiaTheme="minorEastAsia"/>
              <w:noProof/>
              <w:lang w:eastAsia="en-US"/>
            </w:rPr>
            <w:t>..</w:t>
          </w:r>
          <w:r>
            <w:rPr>
              <w:rFonts w:eastAsiaTheme="minorEastAsia"/>
              <w:noProof/>
              <w:lang w:eastAsia="en-US"/>
            </w:rPr>
            <w:t>……………………………………………………..........................</w:t>
          </w:r>
          <w:r w:rsidR="008849B4">
            <w:rPr>
              <w:rFonts w:eastAsiaTheme="minorEastAsia"/>
              <w:noProof/>
              <w:lang w:eastAsia="en-US"/>
            </w:rPr>
            <w:t xml:space="preserve">... </w:t>
          </w:r>
          <w:r w:rsidR="0019361E">
            <w:rPr>
              <w:rFonts w:eastAsiaTheme="minorEastAsia"/>
              <w:noProof/>
              <w:lang w:eastAsia="en-US"/>
            </w:rPr>
            <w:t>14</w:t>
          </w:r>
        </w:p>
        <w:p w14:paraId="6A5655AA" w14:textId="6CF3B150" w:rsidR="000F6340" w:rsidRDefault="008849B4" w:rsidP="00BB5D2C">
          <w:pPr>
            <w:pStyle w:val="Obsahpoloky"/>
            <w:spacing w:line="312" w:lineRule="auto"/>
            <w:ind w:left="397"/>
            <w:rPr>
              <w:rFonts w:eastAsiaTheme="minorEastAsia"/>
              <w:noProof/>
              <w:lang w:eastAsia="en-US"/>
            </w:rPr>
          </w:pPr>
          <w:r>
            <w:rPr>
              <w:rFonts w:eastAsiaTheme="minorEastAsia"/>
              <w:noProof/>
              <w:lang w:eastAsia="en-US"/>
            </w:rPr>
            <w:t>1.4. Zaměstnanost c</w:t>
          </w:r>
          <w:r w:rsidR="000F6340">
            <w:rPr>
              <w:rFonts w:eastAsiaTheme="minorEastAsia"/>
              <w:noProof/>
              <w:lang w:eastAsia="en-US"/>
            </w:rPr>
            <w:t>iz</w:t>
          </w:r>
          <w:r w:rsidR="00B02051">
            <w:rPr>
              <w:rFonts w:eastAsiaTheme="minorEastAsia"/>
              <w:noProof/>
              <w:lang w:eastAsia="en-US"/>
            </w:rPr>
            <w:t>i</w:t>
          </w:r>
          <w:r w:rsidR="000F6340">
            <w:rPr>
              <w:rFonts w:eastAsiaTheme="minorEastAsia"/>
              <w:noProof/>
              <w:lang w:eastAsia="en-US"/>
            </w:rPr>
            <w:t>nců……</w:t>
          </w:r>
          <w:r w:rsidR="00B02051">
            <w:rPr>
              <w:rFonts w:eastAsiaTheme="minorEastAsia"/>
              <w:noProof/>
              <w:lang w:eastAsia="en-US"/>
            </w:rPr>
            <w:t>...</w:t>
          </w:r>
          <w:r w:rsidR="000F6340">
            <w:rPr>
              <w:rFonts w:eastAsiaTheme="minorEastAsia"/>
              <w:noProof/>
              <w:lang w:eastAsia="en-US"/>
            </w:rPr>
            <w:t>……………………………………………………………………………….</w:t>
          </w:r>
          <w:r>
            <w:rPr>
              <w:rFonts w:eastAsiaTheme="minorEastAsia"/>
              <w:noProof/>
              <w:lang w:eastAsia="en-US"/>
            </w:rPr>
            <w:t xml:space="preserve"> </w:t>
          </w:r>
          <w:r w:rsidR="0019361E">
            <w:rPr>
              <w:rFonts w:eastAsiaTheme="minorEastAsia"/>
              <w:noProof/>
              <w:lang w:eastAsia="en-US"/>
            </w:rPr>
            <w:t>18</w:t>
          </w:r>
        </w:p>
        <w:p w14:paraId="0D2148E8" w14:textId="77682FBB" w:rsidR="000F6340" w:rsidRPr="000F6340" w:rsidRDefault="000F6340" w:rsidP="00BB5D2C">
          <w:pPr>
            <w:pStyle w:val="Obsahpoloky"/>
            <w:spacing w:line="312" w:lineRule="auto"/>
            <w:ind w:left="397"/>
            <w:rPr>
              <w:rFonts w:eastAsiaTheme="minorEastAsia"/>
              <w:noProof/>
              <w:lang w:eastAsia="en-US"/>
            </w:rPr>
          </w:pPr>
          <w:r>
            <w:rPr>
              <w:rFonts w:eastAsiaTheme="minorEastAsia"/>
              <w:noProof/>
              <w:lang w:eastAsia="en-US"/>
            </w:rPr>
            <w:t>1.5.</w:t>
          </w:r>
          <w:r w:rsidR="00BC7833">
            <w:rPr>
              <w:rFonts w:eastAsiaTheme="minorEastAsia"/>
              <w:noProof/>
              <w:lang w:eastAsia="en-US"/>
            </w:rPr>
            <w:t xml:space="preserve"> </w:t>
          </w:r>
          <w:r w:rsidR="00392364">
            <w:rPr>
              <w:rFonts w:eastAsiaTheme="minorEastAsia"/>
              <w:noProof/>
              <w:lang w:eastAsia="en-US"/>
            </w:rPr>
            <w:t>Kvalitativní aspekty zaměstnanosti…………</w:t>
          </w:r>
          <w:r w:rsidR="00B02051">
            <w:rPr>
              <w:rFonts w:eastAsiaTheme="minorEastAsia"/>
              <w:noProof/>
              <w:lang w:eastAsia="en-US"/>
            </w:rPr>
            <w:t>..</w:t>
          </w:r>
          <w:r w:rsidR="00392364">
            <w:rPr>
              <w:rFonts w:eastAsiaTheme="minorEastAsia"/>
              <w:noProof/>
              <w:lang w:eastAsia="en-US"/>
            </w:rPr>
            <w:t>…………………………………………………………</w:t>
          </w:r>
          <w:r w:rsidR="008849B4">
            <w:rPr>
              <w:rFonts w:eastAsiaTheme="minorEastAsia"/>
              <w:noProof/>
              <w:lang w:eastAsia="en-US"/>
            </w:rPr>
            <w:t xml:space="preserve">... </w:t>
          </w:r>
          <w:r w:rsidR="0019361E">
            <w:rPr>
              <w:rFonts w:eastAsiaTheme="minorEastAsia"/>
              <w:noProof/>
              <w:lang w:eastAsia="en-US"/>
            </w:rPr>
            <w:t>27</w:t>
          </w:r>
        </w:p>
        <w:p w14:paraId="50F6A035" w14:textId="0E039CDA" w:rsidR="000F6340" w:rsidRDefault="004E684C" w:rsidP="00BB5D2C">
          <w:pPr>
            <w:pStyle w:val="Obsah1"/>
            <w:tabs>
              <w:tab w:val="left" w:pos="400"/>
            </w:tabs>
            <w:spacing w:line="312" w:lineRule="auto"/>
            <w:rPr>
              <w:rStyle w:val="Hypertextovodkaz"/>
            </w:rPr>
          </w:pPr>
          <w:hyperlink w:anchor="_Toc17873164" w:history="1">
            <w:r w:rsidR="000F6340" w:rsidRPr="00D46622">
              <w:rPr>
                <w:rStyle w:val="Hypertextovodkaz"/>
              </w:rPr>
              <w:t>2.</w:t>
            </w:r>
            <w:r w:rsidR="000F6340">
              <w:rPr>
                <w:rFonts w:asciiTheme="minorHAnsi" w:eastAsiaTheme="minorEastAsia" w:hAnsiTheme="minorHAnsi" w:cstheme="minorBidi"/>
                <w:sz w:val="22"/>
                <w:szCs w:val="22"/>
                <w:lang w:eastAsia="cs-CZ"/>
              </w:rPr>
              <w:tab/>
            </w:r>
            <w:r w:rsidR="000F6340" w:rsidRPr="00D46622">
              <w:rPr>
                <w:rStyle w:val="Hypertextovodkaz"/>
              </w:rPr>
              <w:t>Nezaměstnanost</w:t>
            </w:r>
            <w:r w:rsidR="00BB5D2C">
              <w:rPr>
                <w:webHidden/>
              </w:rPr>
              <w:t xml:space="preserve">…………………………………………………………………………………………………. </w:t>
            </w:r>
            <w:r w:rsidR="000F6340">
              <w:rPr>
                <w:webHidden/>
              </w:rPr>
              <w:fldChar w:fldCharType="begin"/>
            </w:r>
            <w:r w:rsidR="000F6340">
              <w:rPr>
                <w:webHidden/>
              </w:rPr>
              <w:instrText xml:space="preserve"> PAGEREF _Toc17873164 \h </w:instrText>
            </w:r>
            <w:r w:rsidR="000F6340">
              <w:rPr>
                <w:webHidden/>
              </w:rPr>
            </w:r>
            <w:r w:rsidR="000F6340">
              <w:rPr>
                <w:webHidden/>
              </w:rPr>
              <w:fldChar w:fldCharType="separate"/>
            </w:r>
            <w:r w:rsidR="0019361E">
              <w:rPr>
                <w:webHidden/>
              </w:rPr>
              <w:t>32</w:t>
            </w:r>
            <w:r w:rsidR="000F6340">
              <w:rPr>
                <w:webHidden/>
              </w:rPr>
              <w:fldChar w:fldCharType="end"/>
            </w:r>
          </w:hyperlink>
        </w:p>
        <w:p w14:paraId="206CE660" w14:textId="5F7BC373" w:rsidR="006169F2" w:rsidRDefault="00BB5D2C" w:rsidP="00BB5D2C">
          <w:pPr>
            <w:pStyle w:val="Obsahpoloky"/>
            <w:spacing w:line="312" w:lineRule="auto"/>
            <w:ind w:left="397"/>
            <w:rPr>
              <w:rFonts w:eastAsiaTheme="minorEastAsia"/>
              <w:noProof/>
              <w:lang w:eastAsia="en-US"/>
            </w:rPr>
          </w:pPr>
          <w:r>
            <w:rPr>
              <w:rFonts w:eastAsiaTheme="minorEastAsia"/>
              <w:noProof/>
              <w:lang w:eastAsia="en-US"/>
            </w:rPr>
            <w:t xml:space="preserve">2.1. </w:t>
          </w:r>
          <w:r w:rsidR="006169F2">
            <w:rPr>
              <w:rFonts w:eastAsiaTheme="minorEastAsia"/>
              <w:noProof/>
              <w:lang w:eastAsia="en-US"/>
            </w:rPr>
            <w:t xml:space="preserve">Míry nezaměstnanosti……………………………………………………………………………………... </w:t>
          </w:r>
          <w:r w:rsidR="0019361E">
            <w:rPr>
              <w:rFonts w:eastAsiaTheme="minorEastAsia"/>
              <w:noProof/>
              <w:lang w:eastAsia="en-US"/>
            </w:rPr>
            <w:t>32</w:t>
          </w:r>
        </w:p>
        <w:p w14:paraId="0CCEB18B" w14:textId="0B43222F" w:rsidR="006169F2" w:rsidRPr="00BB5D2C" w:rsidRDefault="006169F2" w:rsidP="00BB5D2C">
          <w:pPr>
            <w:pStyle w:val="Obsahpoloky"/>
            <w:spacing w:line="312" w:lineRule="auto"/>
            <w:ind w:left="397"/>
            <w:rPr>
              <w:rFonts w:eastAsiaTheme="minorEastAsia"/>
              <w:noProof/>
              <w:lang w:eastAsia="en-US"/>
            </w:rPr>
          </w:pPr>
          <w:r w:rsidRPr="006169F2">
            <w:rPr>
              <w:rFonts w:eastAsiaTheme="minorEastAsia"/>
              <w:noProof/>
              <w:lang w:eastAsia="en-US"/>
            </w:rPr>
            <w:t xml:space="preserve">2.2. Registrovaní uchazeči </w:t>
          </w:r>
          <w:r w:rsidR="00BC7833" w:rsidRPr="006169F2">
            <w:rPr>
              <w:rFonts w:eastAsiaTheme="minorEastAsia"/>
              <w:noProof/>
              <w:lang w:eastAsia="en-US"/>
            </w:rPr>
            <w:t>o</w:t>
          </w:r>
          <w:r w:rsidR="00BC7833">
            <w:rPr>
              <w:rFonts w:eastAsiaTheme="minorEastAsia"/>
              <w:noProof/>
              <w:lang w:eastAsia="en-US"/>
            </w:rPr>
            <w:t> </w:t>
          </w:r>
          <w:r w:rsidRPr="006169F2">
            <w:rPr>
              <w:rFonts w:eastAsiaTheme="minorEastAsia"/>
              <w:noProof/>
              <w:lang w:eastAsia="en-US"/>
            </w:rPr>
            <w:t xml:space="preserve">práci </w:t>
          </w:r>
          <w:r w:rsidR="00BC7833" w:rsidRPr="006169F2">
            <w:rPr>
              <w:rFonts w:eastAsiaTheme="minorEastAsia"/>
              <w:noProof/>
              <w:lang w:eastAsia="en-US"/>
            </w:rPr>
            <w:t>a</w:t>
          </w:r>
          <w:r w:rsidR="00BC7833">
            <w:rPr>
              <w:rFonts w:eastAsiaTheme="minorEastAsia"/>
              <w:noProof/>
              <w:lang w:eastAsia="en-US"/>
            </w:rPr>
            <w:t> </w:t>
          </w:r>
          <w:r w:rsidRPr="006169F2">
            <w:rPr>
              <w:rFonts w:eastAsiaTheme="minorEastAsia"/>
              <w:noProof/>
              <w:lang w:eastAsia="en-US"/>
            </w:rPr>
            <w:t>volná pracovní místa</w:t>
          </w:r>
          <w:r w:rsidR="0019361E">
            <w:rPr>
              <w:rFonts w:eastAsiaTheme="minorEastAsia"/>
              <w:noProof/>
              <w:lang w:eastAsia="en-US"/>
            </w:rPr>
            <w:t>…………………………………………..……... 35</w:t>
          </w:r>
        </w:p>
        <w:p w14:paraId="707DCB9A" w14:textId="484BFAFD" w:rsidR="00A500A7" w:rsidRPr="00A500A7" w:rsidRDefault="004E684C" w:rsidP="00A500A7">
          <w:pPr>
            <w:pStyle w:val="Obsah1"/>
            <w:tabs>
              <w:tab w:val="left" w:pos="400"/>
            </w:tabs>
            <w:spacing w:line="312" w:lineRule="auto"/>
            <w:rPr>
              <w:color w:val="0000FF"/>
              <w:u w:val="single"/>
            </w:rPr>
          </w:pPr>
          <w:hyperlink w:anchor="_Toc17873165" w:history="1">
            <w:r w:rsidR="000F6340" w:rsidRPr="00D46622">
              <w:rPr>
                <w:rStyle w:val="Hypertextovodkaz"/>
              </w:rPr>
              <w:t>3.</w:t>
            </w:r>
            <w:r w:rsidR="000F6340">
              <w:rPr>
                <w:rFonts w:asciiTheme="minorHAnsi" w:eastAsiaTheme="minorEastAsia" w:hAnsiTheme="minorHAnsi" w:cstheme="minorBidi"/>
                <w:sz w:val="22"/>
                <w:szCs w:val="22"/>
                <w:lang w:eastAsia="cs-CZ"/>
              </w:rPr>
              <w:tab/>
            </w:r>
            <w:r w:rsidR="000F6340" w:rsidRPr="00D46622">
              <w:rPr>
                <w:rStyle w:val="Hypertextovodkaz"/>
              </w:rPr>
              <w:t xml:space="preserve">Mzdy </w:t>
            </w:r>
            <w:r w:rsidR="00BC7833" w:rsidRPr="00D46622">
              <w:rPr>
                <w:rStyle w:val="Hypertextovodkaz"/>
              </w:rPr>
              <w:t>a</w:t>
            </w:r>
            <w:r w:rsidR="00BC7833">
              <w:rPr>
                <w:rStyle w:val="Hypertextovodkaz"/>
              </w:rPr>
              <w:t> </w:t>
            </w:r>
            <w:r w:rsidR="000F6340" w:rsidRPr="00D46622">
              <w:rPr>
                <w:rStyle w:val="Hypertextovodkaz"/>
              </w:rPr>
              <w:t>jejich diferenciace</w:t>
            </w:r>
            <w:r w:rsidR="00BB5D2C">
              <w:rPr>
                <w:webHidden/>
              </w:rPr>
              <w:t xml:space="preserve">………………………………………………………………………………………. </w:t>
            </w:r>
            <w:r w:rsidR="000F6340">
              <w:rPr>
                <w:webHidden/>
              </w:rPr>
              <w:fldChar w:fldCharType="begin"/>
            </w:r>
            <w:r w:rsidR="000F6340">
              <w:rPr>
                <w:webHidden/>
              </w:rPr>
              <w:instrText xml:space="preserve"> PAGEREF _Toc17873165 \h </w:instrText>
            </w:r>
            <w:r w:rsidR="000F6340">
              <w:rPr>
                <w:webHidden/>
              </w:rPr>
            </w:r>
            <w:r w:rsidR="000F6340">
              <w:rPr>
                <w:webHidden/>
              </w:rPr>
              <w:fldChar w:fldCharType="separate"/>
            </w:r>
            <w:r w:rsidR="0019361E">
              <w:rPr>
                <w:webHidden/>
              </w:rPr>
              <w:t>40</w:t>
            </w:r>
            <w:r w:rsidR="000F6340">
              <w:rPr>
                <w:webHidden/>
              </w:rPr>
              <w:fldChar w:fldCharType="end"/>
            </w:r>
          </w:hyperlink>
        </w:p>
        <w:p w14:paraId="24F8D64C" w14:textId="384E9AEA" w:rsidR="006F14C9" w:rsidRDefault="006F14C9" w:rsidP="006F14C9">
          <w:pPr>
            <w:pStyle w:val="Obsahpoloky"/>
            <w:spacing w:line="312" w:lineRule="auto"/>
            <w:ind w:left="397"/>
            <w:rPr>
              <w:rFonts w:eastAsiaTheme="minorEastAsia"/>
              <w:noProof/>
              <w:lang w:eastAsia="en-US"/>
            </w:rPr>
          </w:pPr>
          <w:r>
            <w:rPr>
              <w:rFonts w:eastAsiaTheme="minorEastAsia"/>
              <w:noProof/>
              <w:lang w:eastAsia="en-US"/>
            </w:rPr>
            <w:t>3.1</w:t>
          </w:r>
          <w:r w:rsidRPr="006F14C9">
            <w:rPr>
              <w:rFonts w:eastAsiaTheme="minorEastAsia"/>
              <w:noProof/>
              <w:lang w:eastAsia="en-US"/>
            </w:rPr>
            <w:t xml:space="preserve">. </w:t>
          </w:r>
          <w:r>
            <w:rPr>
              <w:rFonts w:eastAsiaTheme="minorEastAsia"/>
              <w:noProof/>
              <w:lang w:eastAsia="en-US"/>
            </w:rPr>
            <w:t>Pr</w:t>
          </w:r>
          <w:r w:rsidRPr="006F14C9">
            <w:rPr>
              <w:rFonts w:eastAsiaTheme="minorEastAsia"/>
              <w:noProof/>
              <w:lang w:eastAsia="en-US"/>
            </w:rPr>
            <w:t xml:space="preserve">ůměrné mzdy podle odvětví </w:t>
          </w:r>
          <w:r w:rsidR="00BC7833" w:rsidRPr="006F14C9">
            <w:rPr>
              <w:rFonts w:eastAsiaTheme="minorEastAsia"/>
              <w:noProof/>
              <w:lang w:eastAsia="en-US"/>
            </w:rPr>
            <w:t>a</w:t>
          </w:r>
          <w:r w:rsidR="00BC7833">
            <w:rPr>
              <w:rFonts w:eastAsiaTheme="minorEastAsia"/>
              <w:noProof/>
              <w:lang w:eastAsia="en-US"/>
            </w:rPr>
            <w:t> </w:t>
          </w:r>
          <w:r w:rsidRPr="006F14C9">
            <w:rPr>
              <w:rFonts w:eastAsiaTheme="minorEastAsia"/>
              <w:noProof/>
              <w:lang w:eastAsia="en-US"/>
            </w:rPr>
            <w:t>regionů</w:t>
          </w:r>
          <w:r w:rsidR="0019361E">
            <w:rPr>
              <w:rFonts w:eastAsiaTheme="minorEastAsia"/>
              <w:noProof/>
              <w:lang w:eastAsia="en-US"/>
            </w:rPr>
            <w:t>………………………………………………………………… 40</w:t>
          </w:r>
        </w:p>
        <w:p w14:paraId="7941E51E" w14:textId="10F47203" w:rsidR="00A500A7" w:rsidRPr="006F14C9" w:rsidRDefault="00A500A7" w:rsidP="00A500A7">
          <w:pPr>
            <w:pStyle w:val="Obsahpoloky"/>
            <w:spacing w:line="312" w:lineRule="auto"/>
            <w:ind w:left="397"/>
            <w:rPr>
              <w:rFonts w:eastAsiaTheme="minorEastAsia"/>
              <w:noProof/>
              <w:lang w:eastAsia="en-US"/>
            </w:rPr>
          </w:pPr>
          <w:r>
            <w:rPr>
              <w:rFonts w:eastAsiaTheme="minorEastAsia"/>
              <w:noProof/>
              <w:lang w:eastAsia="en-US"/>
            </w:rPr>
            <w:t xml:space="preserve">3.2. </w:t>
          </w:r>
          <w:r w:rsidRPr="006F14C9">
            <w:rPr>
              <w:rFonts w:eastAsiaTheme="minorEastAsia"/>
              <w:noProof/>
              <w:lang w:eastAsia="en-US"/>
            </w:rPr>
            <w:t>Mzdová diferenciace</w:t>
          </w:r>
          <w:r>
            <w:rPr>
              <w:rFonts w:eastAsiaTheme="minorEastAsia"/>
              <w:noProof/>
              <w:lang w:eastAsia="en-US"/>
            </w:rPr>
            <w:t>………………</w:t>
          </w:r>
          <w:r w:rsidR="0019361E">
            <w:rPr>
              <w:rFonts w:eastAsiaTheme="minorEastAsia"/>
              <w:noProof/>
              <w:lang w:eastAsia="en-US"/>
            </w:rPr>
            <w:t>……………………………………………………………………….. 42</w:t>
          </w:r>
        </w:p>
        <w:p w14:paraId="6FFFA2FC" w14:textId="77777777" w:rsidR="00F46502" w:rsidRPr="00A500A7" w:rsidRDefault="00A20028" w:rsidP="00A500A7">
          <w:pPr>
            <w:pStyle w:val="Obsahpoloky"/>
            <w:spacing w:line="312" w:lineRule="auto"/>
          </w:pPr>
          <w:r w:rsidRPr="00360DE3">
            <w:fldChar w:fldCharType="end"/>
          </w:r>
        </w:p>
      </w:sdtContent>
    </w:sdt>
    <w:p w14:paraId="3D1C9DC0" w14:textId="77777777" w:rsidR="00F46502" w:rsidRPr="00360DE3" w:rsidRDefault="00F46502" w:rsidP="00F46502">
      <w:pPr>
        <w:pStyle w:val="Textpoznpodarou"/>
        <w:jc w:val="both"/>
        <w:rPr>
          <w:rFonts w:cs="Arial"/>
          <w:color w:val="000000"/>
        </w:rPr>
      </w:pPr>
    </w:p>
    <w:p w14:paraId="0DDCA080" w14:textId="77777777" w:rsidR="00F46502" w:rsidRDefault="00F46502" w:rsidP="00F46502">
      <w:pPr>
        <w:pStyle w:val="Textpoznpodarou"/>
        <w:jc w:val="both"/>
        <w:rPr>
          <w:rFonts w:cs="Arial"/>
          <w:color w:val="000000"/>
        </w:rPr>
      </w:pPr>
    </w:p>
    <w:p w14:paraId="6406087E" w14:textId="77777777" w:rsidR="00F46502" w:rsidRPr="00360DE3" w:rsidRDefault="00F46502" w:rsidP="00F46502">
      <w:pPr>
        <w:pStyle w:val="Textpoznpodarou"/>
        <w:jc w:val="both"/>
        <w:rPr>
          <w:rFonts w:cs="Arial"/>
          <w:color w:val="000000"/>
        </w:rPr>
      </w:pPr>
    </w:p>
    <w:p w14:paraId="5680BA3D" w14:textId="77777777" w:rsidR="00F46502" w:rsidRPr="00360DE3" w:rsidRDefault="00F46502" w:rsidP="00F46502">
      <w:pPr>
        <w:pStyle w:val="Textpoznpodarou"/>
        <w:jc w:val="both"/>
        <w:rPr>
          <w:rFonts w:cs="Arial"/>
          <w:color w:val="000000"/>
        </w:rPr>
      </w:pPr>
      <w:r w:rsidRPr="00360DE3">
        <w:rPr>
          <w:rFonts w:cs="Arial"/>
          <w:color w:val="000000"/>
        </w:rPr>
        <w:t xml:space="preserve">Zdroje dat v celé analýze: ČSÚ, </w:t>
      </w:r>
      <w:r w:rsidR="004F534A">
        <w:rPr>
          <w:rFonts w:cs="Arial"/>
          <w:color w:val="000000"/>
        </w:rPr>
        <w:t>MPSV</w:t>
      </w:r>
      <w:r w:rsidR="000B525B">
        <w:rPr>
          <w:rFonts w:cs="Arial"/>
          <w:color w:val="000000"/>
        </w:rPr>
        <w:t xml:space="preserve">, </w:t>
      </w:r>
      <w:r w:rsidR="004F534A">
        <w:rPr>
          <w:rFonts w:cs="Arial"/>
          <w:color w:val="000000"/>
        </w:rPr>
        <w:t>MPO</w:t>
      </w:r>
      <w:r w:rsidRPr="00360DE3">
        <w:rPr>
          <w:rFonts w:cs="Arial"/>
          <w:color w:val="000000"/>
        </w:rPr>
        <w:t>, Eurostat, propočty ČSÚ.</w:t>
      </w:r>
    </w:p>
    <w:p w14:paraId="2375A8A7" w14:textId="77777777" w:rsidR="00F46502" w:rsidRPr="00360DE3" w:rsidRDefault="00F46502" w:rsidP="00F46502">
      <w:pPr>
        <w:pStyle w:val="Textpoznpodarou"/>
        <w:jc w:val="both"/>
        <w:rPr>
          <w:rFonts w:cs="Arial"/>
          <w:color w:val="000000"/>
        </w:rPr>
      </w:pPr>
      <w:r w:rsidRPr="00360DE3">
        <w:rPr>
          <w:rFonts w:cs="Arial"/>
          <w:color w:val="000000"/>
        </w:rPr>
        <w:t xml:space="preserve">Poslední informace uváděné v této publikaci pocházejí </w:t>
      </w:r>
      <w:r w:rsidR="00BC0E31">
        <w:rPr>
          <w:rFonts w:cs="Arial"/>
          <w:color w:val="000000"/>
        </w:rPr>
        <w:t>z</w:t>
      </w:r>
      <w:r w:rsidR="00B97434">
        <w:rPr>
          <w:rFonts w:cs="Arial"/>
          <w:color w:val="000000"/>
        </w:rPr>
        <w:t> 1.</w:t>
      </w:r>
      <w:r w:rsidR="00833BF2" w:rsidRPr="00833BF2">
        <w:rPr>
          <w:rFonts w:cs="Arial"/>
          <w:color w:val="000000"/>
        </w:rPr>
        <w:t> </w:t>
      </w:r>
      <w:r w:rsidR="004F534A">
        <w:rPr>
          <w:rFonts w:cs="Arial"/>
          <w:color w:val="000000"/>
        </w:rPr>
        <w:t>srpna</w:t>
      </w:r>
      <w:r w:rsidRPr="00833BF2">
        <w:rPr>
          <w:rFonts w:cs="Arial"/>
          <w:color w:val="000000"/>
        </w:rPr>
        <w:t xml:space="preserve"> 201</w:t>
      </w:r>
      <w:r w:rsidR="00B97434">
        <w:rPr>
          <w:rFonts w:cs="Arial"/>
          <w:color w:val="000000"/>
        </w:rPr>
        <w:t>9</w:t>
      </w:r>
      <w:r w:rsidRPr="00833BF2">
        <w:rPr>
          <w:rFonts w:cs="Arial"/>
          <w:color w:val="000000"/>
        </w:rPr>
        <w:t>.</w:t>
      </w:r>
    </w:p>
    <w:p w14:paraId="73D3D71F" w14:textId="77777777" w:rsidR="00EE4B1B" w:rsidRPr="00360DE3" w:rsidRDefault="00F46502" w:rsidP="00F46502">
      <w:pPr>
        <w:pStyle w:val="Nadpis11"/>
      </w:pPr>
      <w:r w:rsidRPr="00360DE3">
        <w:br w:type="page"/>
      </w:r>
      <w:bookmarkStart w:id="0" w:name="_Toc17873162"/>
      <w:r w:rsidRPr="00360DE3">
        <w:lastRenderedPageBreak/>
        <w:t>Shrnutí</w:t>
      </w:r>
      <w:bookmarkEnd w:id="0"/>
    </w:p>
    <w:p w14:paraId="20F0B2E7" w14:textId="74037C04" w:rsidR="009E674A" w:rsidRDefault="009675EE" w:rsidP="004F534A">
      <w:pPr>
        <w:pStyle w:val="Normalodrka"/>
        <w:spacing w:after="160"/>
        <w:rPr>
          <w:spacing w:val="-4"/>
        </w:rPr>
      </w:pPr>
      <w:r>
        <w:rPr>
          <w:spacing w:val="-4"/>
        </w:rPr>
        <w:t xml:space="preserve">Trh </w:t>
      </w:r>
      <w:r w:rsidR="000A52EF">
        <w:rPr>
          <w:spacing w:val="-4"/>
        </w:rPr>
        <w:t>práce se v roce 2018 nacházel ve stavu odpovídající</w:t>
      </w:r>
      <w:r w:rsidR="00E56FE9">
        <w:rPr>
          <w:spacing w:val="-4"/>
        </w:rPr>
        <w:t>m</w:t>
      </w:r>
      <w:r w:rsidR="000A52EF">
        <w:rPr>
          <w:spacing w:val="-4"/>
        </w:rPr>
        <w:t xml:space="preserve"> </w:t>
      </w:r>
      <w:r w:rsidR="00302262">
        <w:rPr>
          <w:spacing w:val="-4"/>
        </w:rPr>
        <w:t>vrcholné fázi hospodářského cykl</w:t>
      </w:r>
      <w:r w:rsidR="000A52EF">
        <w:rPr>
          <w:spacing w:val="-4"/>
        </w:rPr>
        <w:t>u. Celková zaměstnanost</w:t>
      </w:r>
      <w:r w:rsidR="000A52EF" w:rsidRPr="000A52EF">
        <w:rPr>
          <w:vertAlign w:val="superscript"/>
        </w:rPr>
        <w:footnoteReference w:id="1"/>
      </w:r>
      <w:r w:rsidR="000A52EF">
        <w:rPr>
          <w:spacing w:val="-4"/>
        </w:rPr>
        <w:t xml:space="preserve"> meziročně rostla již počtvrté </w:t>
      </w:r>
      <w:r w:rsidR="00BC7833">
        <w:rPr>
          <w:spacing w:val="-4"/>
        </w:rPr>
        <w:t>v </w:t>
      </w:r>
      <w:r w:rsidR="000A52EF">
        <w:rPr>
          <w:spacing w:val="-4"/>
        </w:rPr>
        <w:t xml:space="preserve">řadě svižným neměnným tepem. Při faktickém vyčerpání snadno dosažitelných rezerv volné pracovní síly v tuzemsku se podniky stále častěji uchylovaly k najímání zahraničních pracovníků. Obecná míra nezaměstnanosti narážela </w:t>
      </w:r>
      <w:r w:rsidR="00E56FE9">
        <w:rPr>
          <w:spacing w:val="-4"/>
        </w:rPr>
        <w:t xml:space="preserve">na </w:t>
      </w:r>
      <w:r w:rsidR="000A52EF">
        <w:rPr>
          <w:spacing w:val="-4"/>
        </w:rPr>
        <w:t xml:space="preserve">své přirozené limity, </w:t>
      </w:r>
      <w:r w:rsidR="00BC7833">
        <w:rPr>
          <w:spacing w:val="-4"/>
        </w:rPr>
        <w:t>i </w:t>
      </w:r>
      <w:r w:rsidR="000A52EF">
        <w:rPr>
          <w:spacing w:val="-4"/>
        </w:rPr>
        <w:t xml:space="preserve">tak </w:t>
      </w:r>
      <w:r w:rsidR="00E56FE9">
        <w:rPr>
          <w:spacing w:val="-4"/>
        </w:rPr>
        <w:t xml:space="preserve">ale </w:t>
      </w:r>
      <w:r w:rsidR="000A52EF">
        <w:rPr>
          <w:spacing w:val="-4"/>
        </w:rPr>
        <w:t xml:space="preserve">dál přepisovala svá novodobá historická minima. To platilo </w:t>
      </w:r>
      <w:r w:rsidR="00BC7833">
        <w:rPr>
          <w:spacing w:val="-4"/>
        </w:rPr>
        <w:t>i o </w:t>
      </w:r>
      <w:r w:rsidR="000A52EF">
        <w:rPr>
          <w:spacing w:val="-4"/>
        </w:rPr>
        <w:t>nabídce volných pracovních míst. Z této situace profitovali hlavně noví</w:t>
      </w:r>
      <w:r w:rsidR="00525824">
        <w:rPr>
          <w:spacing w:val="-4"/>
        </w:rPr>
        <w:t>, ale</w:t>
      </w:r>
      <w:r w:rsidR="000A52EF">
        <w:rPr>
          <w:spacing w:val="-4"/>
        </w:rPr>
        <w:t xml:space="preserve"> </w:t>
      </w:r>
      <w:r w:rsidR="00BC7833">
        <w:rPr>
          <w:spacing w:val="-4"/>
        </w:rPr>
        <w:t>i </w:t>
      </w:r>
      <w:r w:rsidR="000A52EF">
        <w:rPr>
          <w:spacing w:val="-4"/>
        </w:rPr>
        <w:t xml:space="preserve">stávající zaměstnanci. Neuspokojená silná poptávka po pracovnících spolu </w:t>
      </w:r>
      <w:r w:rsidR="00BC7833">
        <w:rPr>
          <w:spacing w:val="-4"/>
        </w:rPr>
        <w:t>s </w:t>
      </w:r>
      <w:r w:rsidR="000A52EF" w:rsidRPr="009675EE">
        <w:rPr>
          <w:spacing w:val="-4"/>
        </w:rPr>
        <w:t>pokračujícím pozitivním ekon</w:t>
      </w:r>
      <w:r w:rsidR="000A52EF">
        <w:rPr>
          <w:spacing w:val="-4"/>
        </w:rPr>
        <w:t>o</w:t>
      </w:r>
      <w:r w:rsidR="000A52EF" w:rsidRPr="009675EE">
        <w:rPr>
          <w:spacing w:val="-4"/>
        </w:rPr>
        <w:t>mickým senti</w:t>
      </w:r>
      <w:r w:rsidR="000A52EF">
        <w:rPr>
          <w:spacing w:val="-4"/>
        </w:rPr>
        <w:t>m</w:t>
      </w:r>
      <w:r w:rsidR="000A52EF" w:rsidRPr="009675EE">
        <w:rPr>
          <w:spacing w:val="-4"/>
        </w:rPr>
        <w:t xml:space="preserve">entem v klíčových odvětvích </w:t>
      </w:r>
      <w:r w:rsidR="00BC7833" w:rsidRPr="009675EE">
        <w:rPr>
          <w:spacing w:val="-4"/>
        </w:rPr>
        <w:t>i</w:t>
      </w:r>
      <w:r w:rsidR="00BC7833">
        <w:rPr>
          <w:spacing w:val="-4"/>
        </w:rPr>
        <w:t> </w:t>
      </w:r>
      <w:r w:rsidR="000A52EF" w:rsidRPr="009675EE">
        <w:rPr>
          <w:spacing w:val="-4"/>
        </w:rPr>
        <w:t xml:space="preserve">aktivitou státu vedly k dynamickému mzdovému růstu, srovnatelnému s vrcholem konjunktury minulé dekády. Pro podniky představoval tento vývoj zátěž, jež se promítla v dalším poklesu míry zisku </w:t>
      </w:r>
      <w:r w:rsidR="00BC7833" w:rsidRPr="009675EE">
        <w:rPr>
          <w:spacing w:val="-4"/>
        </w:rPr>
        <w:t>a</w:t>
      </w:r>
      <w:r w:rsidR="00BC7833">
        <w:rPr>
          <w:spacing w:val="-4"/>
        </w:rPr>
        <w:t> </w:t>
      </w:r>
      <w:r w:rsidR="00AE538C">
        <w:rPr>
          <w:spacing w:val="-4"/>
        </w:rPr>
        <w:t>zároveň zvýšením tlaku na</w:t>
      </w:r>
      <w:r w:rsidR="000A52EF" w:rsidRPr="009675EE">
        <w:rPr>
          <w:spacing w:val="-4"/>
        </w:rPr>
        <w:t xml:space="preserve"> investice do technologií posilující</w:t>
      </w:r>
      <w:r w:rsidR="00E56FE9">
        <w:rPr>
          <w:spacing w:val="-4"/>
        </w:rPr>
        <w:t>ch</w:t>
      </w:r>
      <w:r w:rsidR="000A52EF">
        <w:rPr>
          <w:spacing w:val="-4"/>
        </w:rPr>
        <w:t xml:space="preserve"> produktivitu práce </w:t>
      </w:r>
      <w:r w:rsidR="00BC7833">
        <w:rPr>
          <w:spacing w:val="-4"/>
        </w:rPr>
        <w:t>i </w:t>
      </w:r>
      <w:r w:rsidR="000A52EF">
        <w:rPr>
          <w:spacing w:val="-4"/>
        </w:rPr>
        <w:t>orientaci</w:t>
      </w:r>
      <w:r w:rsidR="000A52EF" w:rsidRPr="009675EE">
        <w:rPr>
          <w:spacing w:val="-4"/>
        </w:rPr>
        <w:t xml:space="preserve"> na </w:t>
      </w:r>
      <w:r w:rsidR="000A52EF">
        <w:rPr>
          <w:spacing w:val="-4"/>
        </w:rPr>
        <w:t>méně pracovně náročné</w:t>
      </w:r>
      <w:r w:rsidR="000A52EF" w:rsidRPr="009675EE">
        <w:rPr>
          <w:spacing w:val="-4"/>
        </w:rPr>
        <w:t xml:space="preserve"> činnosti </w:t>
      </w:r>
      <w:r w:rsidR="00BC7833" w:rsidRPr="009675EE">
        <w:rPr>
          <w:spacing w:val="-4"/>
        </w:rPr>
        <w:t>s</w:t>
      </w:r>
      <w:r w:rsidR="00BC7833">
        <w:rPr>
          <w:spacing w:val="-4"/>
        </w:rPr>
        <w:t> </w:t>
      </w:r>
      <w:r w:rsidR="000A52EF" w:rsidRPr="009675EE">
        <w:rPr>
          <w:spacing w:val="-4"/>
        </w:rPr>
        <w:t>vyšší přidanou</w:t>
      </w:r>
      <w:r w:rsidR="000A52EF">
        <w:rPr>
          <w:spacing w:val="-4"/>
        </w:rPr>
        <w:t xml:space="preserve"> hodnotou.</w:t>
      </w:r>
    </w:p>
    <w:p w14:paraId="4D0C1E76" w14:textId="5BB25E83" w:rsidR="00CA4551" w:rsidRPr="005D0DB2" w:rsidRDefault="00CA4551" w:rsidP="00CA4551">
      <w:pPr>
        <w:pStyle w:val="Normalodrka"/>
        <w:spacing w:after="160"/>
        <w:rPr>
          <w:spacing w:val="-4"/>
        </w:rPr>
      </w:pPr>
      <w:r>
        <w:rPr>
          <w:rFonts w:cs="Arial"/>
          <w:color w:val="0D0D0D" w:themeColor="text1" w:themeTint="F2"/>
          <w:spacing w:val="-4"/>
        </w:rPr>
        <w:t>Míra ekonomické aktivity populace v produktivním věku 15</w:t>
      </w:r>
      <w:r w:rsidRPr="00E316A0">
        <w:rPr>
          <w:spacing w:val="-4"/>
        </w:rPr>
        <w:t>–</w:t>
      </w:r>
      <w:r>
        <w:rPr>
          <w:spacing w:val="-4"/>
        </w:rPr>
        <w:t>6</w:t>
      </w:r>
      <w:r w:rsidR="006454CC">
        <w:rPr>
          <w:spacing w:val="-4"/>
        </w:rPr>
        <w:t>4 </w:t>
      </w:r>
      <w:r>
        <w:rPr>
          <w:spacing w:val="-4"/>
        </w:rPr>
        <w:t>let</w:t>
      </w:r>
      <w:r>
        <w:rPr>
          <w:rFonts w:cs="Arial"/>
          <w:color w:val="0D0D0D" w:themeColor="text1" w:themeTint="F2"/>
          <w:spacing w:val="-4"/>
        </w:rPr>
        <w:t xml:space="preserve"> narůstala již desátým rokem v řadě. Loni dosáhla 76,</w:t>
      </w:r>
      <w:r w:rsidR="006454CC">
        <w:rPr>
          <w:rFonts w:cs="Arial"/>
          <w:color w:val="0D0D0D" w:themeColor="text1" w:themeTint="F2"/>
          <w:spacing w:val="-4"/>
        </w:rPr>
        <w:t>6 </w:t>
      </w:r>
      <w:r>
        <w:rPr>
          <w:rFonts w:cs="Arial"/>
          <w:color w:val="0D0D0D" w:themeColor="text1" w:themeTint="F2"/>
          <w:spacing w:val="-4"/>
        </w:rPr>
        <w:t xml:space="preserve">% </w:t>
      </w:r>
      <w:r w:rsidR="00BC7833">
        <w:rPr>
          <w:rFonts w:cs="Arial"/>
          <w:color w:val="0D0D0D" w:themeColor="text1" w:themeTint="F2"/>
          <w:spacing w:val="-4"/>
        </w:rPr>
        <w:t>a </w:t>
      </w:r>
      <w:r>
        <w:rPr>
          <w:rFonts w:cs="Arial"/>
          <w:color w:val="0D0D0D" w:themeColor="text1" w:themeTint="F2"/>
          <w:spacing w:val="-4"/>
        </w:rPr>
        <w:t xml:space="preserve">meziročně posílila </w:t>
      </w:r>
      <w:r w:rsidR="00BC7833">
        <w:rPr>
          <w:rFonts w:cs="Arial"/>
          <w:color w:val="0D0D0D" w:themeColor="text1" w:themeTint="F2"/>
          <w:spacing w:val="-4"/>
        </w:rPr>
        <w:t>o </w:t>
      </w:r>
      <w:r>
        <w:rPr>
          <w:rFonts w:cs="Arial"/>
          <w:color w:val="0D0D0D" w:themeColor="text1" w:themeTint="F2"/>
          <w:spacing w:val="-4"/>
        </w:rPr>
        <w:t>0,</w:t>
      </w:r>
      <w:r w:rsidR="006454CC">
        <w:rPr>
          <w:rFonts w:cs="Arial"/>
          <w:color w:val="0D0D0D" w:themeColor="text1" w:themeTint="F2"/>
          <w:spacing w:val="-4"/>
        </w:rPr>
        <w:t>7 </w:t>
      </w:r>
      <w:r>
        <w:rPr>
          <w:rFonts w:cs="Arial"/>
          <w:color w:val="0D0D0D" w:themeColor="text1" w:themeTint="F2"/>
          <w:spacing w:val="-4"/>
        </w:rPr>
        <w:t>procentního bodu (p.</w:t>
      </w:r>
      <w:r w:rsidR="006454CC">
        <w:rPr>
          <w:rFonts w:cs="Arial"/>
          <w:color w:val="0D0D0D" w:themeColor="text1" w:themeTint="F2"/>
          <w:spacing w:val="-4"/>
        </w:rPr>
        <w:t> </w:t>
      </w:r>
      <w:r>
        <w:rPr>
          <w:rFonts w:cs="Arial"/>
          <w:color w:val="0D0D0D" w:themeColor="text1" w:themeTint="F2"/>
          <w:spacing w:val="-4"/>
        </w:rPr>
        <w:t xml:space="preserve">b.). K tomuto vývoji významně přispívá prodlužování </w:t>
      </w:r>
      <w:r w:rsidR="001A6DB4">
        <w:rPr>
          <w:rFonts w:cs="Arial"/>
          <w:color w:val="0D0D0D" w:themeColor="text1" w:themeTint="F2"/>
          <w:spacing w:val="-4"/>
        </w:rPr>
        <w:t xml:space="preserve">hranice </w:t>
      </w:r>
      <w:r>
        <w:rPr>
          <w:rFonts w:cs="Arial"/>
          <w:color w:val="0D0D0D" w:themeColor="text1" w:themeTint="F2"/>
          <w:spacing w:val="-4"/>
        </w:rPr>
        <w:t>zákonného důchodového věku. Míra aktivity se napříč věkovými skupinami zvyšuje se stupněm dosaženého vzdělání. Míra aktivity v Česku mírně převyšovala (</w:t>
      </w:r>
      <w:r w:rsidR="00BC7833">
        <w:rPr>
          <w:rFonts w:cs="Arial"/>
          <w:color w:val="0D0D0D" w:themeColor="text1" w:themeTint="F2"/>
          <w:spacing w:val="-4"/>
        </w:rPr>
        <w:t>o </w:t>
      </w:r>
      <w:r w:rsidR="005F21D8">
        <w:rPr>
          <w:rFonts w:cs="Arial"/>
          <w:color w:val="0D0D0D" w:themeColor="text1" w:themeTint="F2"/>
          <w:spacing w:val="-4"/>
        </w:rPr>
        <w:t>2,9</w:t>
      </w:r>
      <w:r w:rsidR="006454CC">
        <w:rPr>
          <w:rFonts w:cs="Arial"/>
          <w:color w:val="0D0D0D" w:themeColor="text1" w:themeTint="F2"/>
          <w:spacing w:val="-4"/>
        </w:rPr>
        <w:t> p. b.</w:t>
      </w:r>
      <w:r>
        <w:rPr>
          <w:rFonts w:cs="Arial"/>
          <w:color w:val="0D0D0D" w:themeColor="text1" w:themeTint="F2"/>
          <w:spacing w:val="-4"/>
        </w:rPr>
        <w:t>) úroveň v EU, především vlivem vysokých intenzit ve středních věkových skupinách (40</w:t>
      </w:r>
      <w:r w:rsidRPr="00E316A0">
        <w:rPr>
          <w:spacing w:val="-4"/>
        </w:rPr>
        <w:t>–</w:t>
      </w:r>
      <w:r>
        <w:rPr>
          <w:rFonts w:cs="Arial"/>
          <w:color w:val="0D0D0D" w:themeColor="text1" w:themeTint="F2"/>
          <w:spacing w:val="-4"/>
        </w:rPr>
        <w:t>5</w:t>
      </w:r>
      <w:r w:rsidR="00D82A1E">
        <w:rPr>
          <w:rFonts w:cs="Arial"/>
          <w:color w:val="0D0D0D" w:themeColor="text1" w:themeTint="F2"/>
          <w:spacing w:val="-4"/>
        </w:rPr>
        <w:t>4 </w:t>
      </w:r>
      <w:r>
        <w:rPr>
          <w:rFonts w:cs="Arial"/>
          <w:color w:val="0D0D0D" w:themeColor="text1" w:themeTint="F2"/>
          <w:spacing w:val="-4"/>
        </w:rPr>
        <w:t>let).</w:t>
      </w:r>
    </w:p>
    <w:p w14:paraId="64F966D6" w14:textId="7B7D658C" w:rsidR="00CA4551" w:rsidRDefault="00CA4551" w:rsidP="00CA4551">
      <w:pPr>
        <w:pStyle w:val="Normalodrka"/>
        <w:spacing w:after="160"/>
        <w:rPr>
          <w:spacing w:val="-4"/>
        </w:rPr>
      </w:pPr>
      <w:r>
        <w:rPr>
          <w:spacing w:val="-4"/>
        </w:rPr>
        <w:t xml:space="preserve">Celková zaměstnanost loni meziročně posílila </w:t>
      </w:r>
      <w:r w:rsidR="00BC7833">
        <w:rPr>
          <w:spacing w:val="-4"/>
        </w:rPr>
        <w:t>o </w:t>
      </w:r>
      <w:r>
        <w:rPr>
          <w:spacing w:val="-4"/>
        </w:rPr>
        <w:t>1,3</w:t>
      </w:r>
      <w:r w:rsidR="006454CC">
        <w:rPr>
          <w:spacing w:val="-4"/>
        </w:rPr>
        <w:t> %</w:t>
      </w:r>
      <w:r>
        <w:rPr>
          <w:spacing w:val="-4"/>
        </w:rPr>
        <w:t>. Podobně jako v roce 20</w:t>
      </w:r>
      <w:r w:rsidR="007079A6">
        <w:rPr>
          <w:spacing w:val="-4"/>
        </w:rPr>
        <w:t>1</w:t>
      </w:r>
      <w:r>
        <w:rPr>
          <w:spacing w:val="-4"/>
        </w:rPr>
        <w:t xml:space="preserve">7 přispěli k růstu jak zaměstnanci, tak </w:t>
      </w:r>
      <w:r w:rsidR="00BC7833">
        <w:rPr>
          <w:spacing w:val="-4"/>
        </w:rPr>
        <w:t>i </w:t>
      </w:r>
      <w:r>
        <w:rPr>
          <w:spacing w:val="-4"/>
        </w:rPr>
        <w:t>sebezaměstnaní. Těžiště růstu zaměstnanosti se dále přesouvalo do služeb, kde vykázala nejvyšší relativní růst odvětví s vysokým podílem práce specialistů (např.</w:t>
      </w:r>
      <w:r w:rsidR="007079A6">
        <w:rPr>
          <w:spacing w:val="-4"/>
        </w:rPr>
        <w:t> </w:t>
      </w:r>
      <w:r>
        <w:rPr>
          <w:spacing w:val="-4"/>
        </w:rPr>
        <w:t xml:space="preserve">IT). Naopak v průmyslu </w:t>
      </w:r>
      <w:r w:rsidR="001A6DB4">
        <w:rPr>
          <w:spacing w:val="-4"/>
        </w:rPr>
        <w:t xml:space="preserve">příslušné </w:t>
      </w:r>
      <w:r>
        <w:rPr>
          <w:spacing w:val="-4"/>
        </w:rPr>
        <w:t xml:space="preserve">tempo již třetím rokem v řadě sláblo, především vlivem vývoje v automobilovém průmyslu </w:t>
      </w:r>
      <w:r w:rsidR="00BC7833">
        <w:rPr>
          <w:spacing w:val="-4"/>
        </w:rPr>
        <w:t>a </w:t>
      </w:r>
      <w:r>
        <w:rPr>
          <w:spacing w:val="-4"/>
        </w:rPr>
        <w:t xml:space="preserve">jeho návazných </w:t>
      </w:r>
      <w:r w:rsidR="007079A6">
        <w:rPr>
          <w:spacing w:val="-4"/>
        </w:rPr>
        <w:t>oborech</w:t>
      </w:r>
      <w:r>
        <w:rPr>
          <w:spacing w:val="-4"/>
        </w:rPr>
        <w:t xml:space="preserve">. Loni zvolnilo také tempo </w:t>
      </w:r>
      <w:r w:rsidR="001A6DB4">
        <w:rPr>
          <w:spacing w:val="-4"/>
        </w:rPr>
        <w:t xml:space="preserve">růstu </w:t>
      </w:r>
      <w:r>
        <w:rPr>
          <w:spacing w:val="-4"/>
        </w:rPr>
        <w:t>zaměstnanosti ve veřejných službách.</w:t>
      </w:r>
    </w:p>
    <w:p w14:paraId="4EEB1501" w14:textId="7BB5958F" w:rsidR="00CA4551" w:rsidRDefault="00CA4551" w:rsidP="00CA4551">
      <w:pPr>
        <w:pStyle w:val="Normalodrka"/>
        <w:spacing w:after="160"/>
        <w:rPr>
          <w:spacing w:val="-4"/>
        </w:rPr>
      </w:pPr>
      <w:r>
        <w:rPr>
          <w:spacing w:val="-4"/>
        </w:rPr>
        <w:t>Pokračoval strmý růst počtu cizinců. Na konci roku 2018 jich v Česku legálně pracovalo 65</w:t>
      </w:r>
      <w:r w:rsidR="00D82A1E">
        <w:rPr>
          <w:spacing w:val="-4"/>
        </w:rPr>
        <w:t>9 </w:t>
      </w:r>
      <w:r>
        <w:rPr>
          <w:spacing w:val="-4"/>
        </w:rPr>
        <w:t>tis., meziročně o</w:t>
      </w:r>
      <w:r w:rsidRPr="009675EE">
        <w:rPr>
          <w:spacing w:val="-4"/>
        </w:rPr>
        <w:t> </w:t>
      </w:r>
      <w:r>
        <w:rPr>
          <w:spacing w:val="-4"/>
        </w:rPr>
        <w:t>bezmála 10</w:t>
      </w:r>
      <w:r w:rsidR="00D82A1E">
        <w:rPr>
          <w:spacing w:val="-4"/>
        </w:rPr>
        <w:t>0 </w:t>
      </w:r>
      <w:r>
        <w:rPr>
          <w:spacing w:val="-4"/>
        </w:rPr>
        <w:t xml:space="preserve">tis. více. Cizinci tak tvořili osminu pracovní síly v ČR, dvojnásobek výše platné za konjunktury minulé dekády. Již druhým rokem přispěli k růstu </w:t>
      </w:r>
      <w:r w:rsidR="007079A6">
        <w:rPr>
          <w:spacing w:val="-4"/>
        </w:rPr>
        <w:t xml:space="preserve">počtu </w:t>
      </w:r>
      <w:r>
        <w:rPr>
          <w:spacing w:val="-4"/>
        </w:rPr>
        <w:t>všech pracujících cizinců nejvíce občané Ukrajiny (loni ze 40</w:t>
      </w:r>
      <w:r w:rsidRPr="009675EE">
        <w:rPr>
          <w:spacing w:val="-4"/>
        </w:rPr>
        <w:t> </w:t>
      </w:r>
      <w:r>
        <w:rPr>
          <w:spacing w:val="-4"/>
        </w:rPr>
        <w:t xml:space="preserve">%). Rychle přibývalo také občanů EU ze zemí střední </w:t>
      </w:r>
      <w:r w:rsidR="00BC7833">
        <w:rPr>
          <w:spacing w:val="-4"/>
        </w:rPr>
        <w:t>a </w:t>
      </w:r>
      <w:r>
        <w:rPr>
          <w:spacing w:val="-4"/>
        </w:rPr>
        <w:t xml:space="preserve">východní Evropy. Mezi početně zastoupenými skupinami cizinců vykazují v posledních letech nejnižší dynamiku občané Vietnamu, především vlivem jejich úbytku v kategorii podnikatelů. V relaci k počtu bydlících obyvatel v produktivním věku bylo loni pracujících cizinců nejvíce v Praze </w:t>
      </w:r>
      <w:r w:rsidR="00BC7833">
        <w:rPr>
          <w:spacing w:val="-4"/>
        </w:rPr>
        <w:t>a </w:t>
      </w:r>
      <w:r>
        <w:rPr>
          <w:spacing w:val="-4"/>
        </w:rPr>
        <w:t xml:space="preserve">také Plzeňském kraji, v němž se jejich počet za posledních sedm let takřka ztrojnásobil. Kvalifikační skladba cizinců byla v průměru nižší než </w:t>
      </w:r>
      <w:r w:rsidR="00BC7833">
        <w:rPr>
          <w:spacing w:val="-4"/>
        </w:rPr>
        <w:t>u </w:t>
      </w:r>
      <w:r>
        <w:rPr>
          <w:spacing w:val="-4"/>
        </w:rPr>
        <w:t>všech pracujících v ČR. K nejvíce kvalifikovaným patřili občané ze starších členských zemí EU, opačný pól představovali cizinci z tzv.</w:t>
      </w:r>
      <w:r w:rsidR="007079A6">
        <w:rPr>
          <w:spacing w:val="-4"/>
        </w:rPr>
        <w:t> </w:t>
      </w:r>
      <w:r w:rsidR="00302262">
        <w:rPr>
          <w:spacing w:val="-4"/>
        </w:rPr>
        <w:t>„třetích zemí“</w:t>
      </w:r>
      <w:r>
        <w:rPr>
          <w:spacing w:val="-4"/>
        </w:rPr>
        <w:t>.</w:t>
      </w:r>
    </w:p>
    <w:p w14:paraId="2B91AB78" w14:textId="2DE8920D" w:rsidR="00CA4551" w:rsidRPr="00C03EE0" w:rsidRDefault="00CA4551" w:rsidP="00CA4551">
      <w:pPr>
        <w:pStyle w:val="Normalodrka"/>
        <w:spacing w:after="160"/>
        <w:rPr>
          <w:spacing w:val="-2"/>
        </w:rPr>
      </w:pPr>
      <w:r w:rsidRPr="00C03EE0">
        <w:rPr>
          <w:spacing w:val="-2"/>
        </w:rPr>
        <w:t xml:space="preserve">Výhodné postavení zaměstnanců na pracovním trhu v éře konjunktury se vedle mzdového růstu projevovalo také postupným mírným posilováním flexibilních forem pracovních úvazků. Ty častěji využívaly </w:t>
      </w:r>
      <w:r w:rsidR="00BC7833" w:rsidRPr="00C03EE0">
        <w:rPr>
          <w:spacing w:val="-2"/>
        </w:rPr>
        <w:t>i</w:t>
      </w:r>
      <w:r w:rsidR="00BC7833">
        <w:rPr>
          <w:spacing w:val="-2"/>
        </w:rPr>
        <w:t> </w:t>
      </w:r>
      <w:r w:rsidRPr="00C03EE0">
        <w:rPr>
          <w:spacing w:val="-2"/>
        </w:rPr>
        <w:t xml:space="preserve">ženy s dětmi předškolního věku. Snížilo se také zastoupení prekérních forem úvazků, </w:t>
      </w:r>
      <w:r w:rsidR="00BC7833" w:rsidRPr="00C03EE0">
        <w:rPr>
          <w:spacing w:val="-2"/>
        </w:rPr>
        <w:t>a</w:t>
      </w:r>
      <w:r w:rsidR="00BC7833">
        <w:rPr>
          <w:spacing w:val="-2"/>
        </w:rPr>
        <w:t> </w:t>
      </w:r>
      <w:r w:rsidRPr="00C03EE0">
        <w:rPr>
          <w:spacing w:val="-2"/>
        </w:rPr>
        <w:t xml:space="preserve">to </w:t>
      </w:r>
      <w:r w:rsidR="00BC7833" w:rsidRPr="00C03EE0">
        <w:rPr>
          <w:spacing w:val="-2"/>
        </w:rPr>
        <w:t>i</w:t>
      </w:r>
      <w:r w:rsidR="00BC7833">
        <w:rPr>
          <w:spacing w:val="-2"/>
        </w:rPr>
        <w:t> </w:t>
      </w:r>
      <w:r w:rsidR="00BC7833" w:rsidRPr="00C03EE0">
        <w:rPr>
          <w:spacing w:val="-2"/>
        </w:rPr>
        <w:t>u</w:t>
      </w:r>
      <w:r w:rsidR="00BC7833">
        <w:rPr>
          <w:spacing w:val="-2"/>
        </w:rPr>
        <w:t> </w:t>
      </w:r>
      <w:r w:rsidRPr="00C03EE0">
        <w:rPr>
          <w:spacing w:val="-2"/>
        </w:rPr>
        <w:t xml:space="preserve">agenturních pracovníků. Podíl osob nedobrovolně zaměstnaných na dobu určitou klesl mezi roky 2015 </w:t>
      </w:r>
      <w:r w:rsidR="00BC7833" w:rsidRPr="00C03EE0">
        <w:rPr>
          <w:spacing w:val="-2"/>
        </w:rPr>
        <w:t>a</w:t>
      </w:r>
      <w:r w:rsidR="00BC7833">
        <w:rPr>
          <w:spacing w:val="-2"/>
        </w:rPr>
        <w:t> </w:t>
      </w:r>
      <w:r w:rsidRPr="00C03EE0">
        <w:rPr>
          <w:spacing w:val="-2"/>
        </w:rPr>
        <w:t>2018 z 8,4</w:t>
      </w:r>
      <w:r w:rsidR="006454CC">
        <w:rPr>
          <w:spacing w:val="-2"/>
        </w:rPr>
        <w:t> %</w:t>
      </w:r>
      <w:r w:rsidRPr="00C03EE0">
        <w:rPr>
          <w:spacing w:val="-2"/>
        </w:rPr>
        <w:t xml:space="preserve"> na 5,1</w:t>
      </w:r>
      <w:r w:rsidR="006454CC">
        <w:rPr>
          <w:spacing w:val="-2"/>
        </w:rPr>
        <w:t> %</w:t>
      </w:r>
      <w:r w:rsidRPr="00C03EE0">
        <w:rPr>
          <w:spacing w:val="-2"/>
        </w:rPr>
        <w:t xml:space="preserve">. Pokračoval </w:t>
      </w:r>
      <w:r w:rsidR="00BC7833" w:rsidRPr="00C03EE0">
        <w:rPr>
          <w:spacing w:val="-2"/>
        </w:rPr>
        <w:t>i</w:t>
      </w:r>
      <w:r w:rsidR="00BC7833">
        <w:rPr>
          <w:spacing w:val="-2"/>
        </w:rPr>
        <w:t> </w:t>
      </w:r>
      <w:r w:rsidRPr="00C03EE0">
        <w:rPr>
          <w:spacing w:val="-2"/>
        </w:rPr>
        <w:t xml:space="preserve">dlouhodobější pokles podílu osob obvykle pracujících </w:t>
      </w:r>
      <w:r w:rsidR="00BC7833" w:rsidRPr="00C03EE0">
        <w:rPr>
          <w:spacing w:val="-2"/>
        </w:rPr>
        <w:t>o</w:t>
      </w:r>
      <w:r w:rsidR="00BC7833">
        <w:rPr>
          <w:spacing w:val="-2"/>
        </w:rPr>
        <w:t> </w:t>
      </w:r>
      <w:r w:rsidRPr="00C03EE0">
        <w:rPr>
          <w:spacing w:val="-2"/>
        </w:rPr>
        <w:t xml:space="preserve">víkendech </w:t>
      </w:r>
      <w:r w:rsidR="00BC7833" w:rsidRPr="00C03EE0">
        <w:rPr>
          <w:spacing w:val="-2"/>
        </w:rPr>
        <w:t>i</w:t>
      </w:r>
      <w:r w:rsidR="00BC7833">
        <w:rPr>
          <w:spacing w:val="-2"/>
        </w:rPr>
        <w:t> </w:t>
      </w:r>
      <w:r w:rsidRPr="00C03EE0">
        <w:rPr>
          <w:spacing w:val="-2"/>
        </w:rPr>
        <w:t xml:space="preserve">těch, </w:t>
      </w:r>
      <w:r w:rsidR="00CA4E9E" w:rsidRPr="00C03EE0">
        <w:rPr>
          <w:spacing w:val="-2"/>
        </w:rPr>
        <w:t>kte</w:t>
      </w:r>
      <w:r w:rsidR="00CA4E9E">
        <w:rPr>
          <w:spacing w:val="-2"/>
        </w:rPr>
        <w:t>ré</w:t>
      </w:r>
      <w:r w:rsidR="00CA4E9E" w:rsidRPr="00C03EE0">
        <w:rPr>
          <w:spacing w:val="-2"/>
        </w:rPr>
        <w:t xml:space="preserve"> odpracoval</w:t>
      </w:r>
      <w:r w:rsidR="00CA4E9E">
        <w:rPr>
          <w:spacing w:val="-2"/>
        </w:rPr>
        <w:t>y</w:t>
      </w:r>
      <w:r w:rsidR="00CA4E9E" w:rsidRPr="00C03EE0">
        <w:rPr>
          <w:spacing w:val="-2"/>
        </w:rPr>
        <w:t xml:space="preserve"> </w:t>
      </w:r>
      <w:r w:rsidRPr="00C03EE0">
        <w:rPr>
          <w:spacing w:val="-2"/>
        </w:rPr>
        <w:t>více než 4</w:t>
      </w:r>
      <w:r w:rsidR="00D82A1E" w:rsidRPr="00C03EE0">
        <w:rPr>
          <w:spacing w:val="-2"/>
        </w:rPr>
        <w:t>8</w:t>
      </w:r>
      <w:r w:rsidR="00D82A1E">
        <w:rPr>
          <w:spacing w:val="-2"/>
        </w:rPr>
        <w:t> </w:t>
      </w:r>
      <w:r w:rsidRPr="00C03EE0">
        <w:rPr>
          <w:spacing w:val="-2"/>
        </w:rPr>
        <w:t xml:space="preserve">hodin týdně. Na </w:t>
      </w:r>
      <w:r w:rsidR="00CA4E9E" w:rsidRPr="00C03EE0">
        <w:rPr>
          <w:spacing w:val="-2"/>
        </w:rPr>
        <w:t>druh</w:t>
      </w:r>
      <w:r w:rsidR="00CA4E9E">
        <w:rPr>
          <w:spacing w:val="-2"/>
        </w:rPr>
        <w:t>é</w:t>
      </w:r>
      <w:r w:rsidR="00CA4E9E" w:rsidRPr="00C03EE0">
        <w:rPr>
          <w:spacing w:val="-2"/>
        </w:rPr>
        <w:t xml:space="preserve"> stran</w:t>
      </w:r>
      <w:r w:rsidR="00CA4E9E">
        <w:rPr>
          <w:spacing w:val="-2"/>
        </w:rPr>
        <w:t>ě</w:t>
      </w:r>
      <w:r w:rsidR="00CA4E9E" w:rsidRPr="00C03EE0">
        <w:rPr>
          <w:spacing w:val="-2"/>
        </w:rPr>
        <w:t xml:space="preserve"> </w:t>
      </w:r>
      <w:r w:rsidRPr="00C03EE0">
        <w:rPr>
          <w:spacing w:val="-2"/>
        </w:rPr>
        <w:t xml:space="preserve">přetrvával relativně vysoký podíl zaměstnanců pracujících na směny. </w:t>
      </w:r>
      <w:r w:rsidR="00BC7833" w:rsidRPr="00C03EE0">
        <w:rPr>
          <w:spacing w:val="-2"/>
        </w:rPr>
        <w:t>I</w:t>
      </w:r>
      <w:r w:rsidR="00BC7833">
        <w:rPr>
          <w:spacing w:val="-2"/>
        </w:rPr>
        <w:t> </w:t>
      </w:r>
      <w:r w:rsidRPr="00C03EE0">
        <w:rPr>
          <w:spacing w:val="-2"/>
        </w:rPr>
        <w:t xml:space="preserve">vlivem vyššího zastoupení odvětví s typickým využíváním směnného provozu byl podíl takto pracujících zaměstnanců v ČR </w:t>
      </w:r>
      <w:r w:rsidR="00BC7833" w:rsidRPr="00C03EE0">
        <w:rPr>
          <w:spacing w:val="-2"/>
        </w:rPr>
        <w:t>o</w:t>
      </w:r>
      <w:r w:rsidR="00BC7833">
        <w:rPr>
          <w:spacing w:val="-2"/>
        </w:rPr>
        <w:t> </w:t>
      </w:r>
      <w:r w:rsidRPr="00C03EE0">
        <w:rPr>
          <w:spacing w:val="-2"/>
        </w:rPr>
        <w:t>10</w:t>
      </w:r>
      <w:r w:rsidR="006454CC">
        <w:rPr>
          <w:spacing w:val="-2"/>
        </w:rPr>
        <w:t> p. b.</w:t>
      </w:r>
      <w:r w:rsidRPr="00C03EE0">
        <w:rPr>
          <w:spacing w:val="-2"/>
        </w:rPr>
        <w:t xml:space="preserve"> vyšší než v EU, kde činil 18</w:t>
      </w:r>
      <w:r w:rsidR="006454CC">
        <w:rPr>
          <w:spacing w:val="-2"/>
        </w:rPr>
        <w:t> %</w:t>
      </w:r>
      <w:r w:rsidRPr="00C03EE0">
        <w:rPr>
          <w:spacing w:val="-2"/>
        </w:rPr>
        <w:t>.</w:t>
      </w:r>
    </w:p>
    <w:p w14:paraId="0E6BE7D9" w14:textId="6654398D" w:rsidR="0059286B" w:rsidRPr="0059286B" w:rsidRDefault="00CA4551" w:rsidP="00CA4551">
      <w:pPr>
        <w:pStyle w:val="Normalodrka"/>
        <w:spacing w:after="160"/>
        <w:rPr>
          <w:spacing w:val="-4"/>
        </w:rPr>
      </w:pPr>
      <w:r>
        <w:t>Míra obecné nezaměstnanosti loni nadále klesala, avšak výrazně skromnějším tempem než v předešlých letech. Za celý rok činila</w:t>
      </w:r>
      <w:r>
        <w:rPr>
          <w:spacing w:val="-2"/>
        </w:rPr>
        <w:t xml:space="preserve"> </w:t>
      </w:r>
      <w:r w:rsidR="00BC7833">
        <w:rPr>
          <w:spacing w:val="-2"/>
        </w:rPr>
        <w:t>u </w:t>
      </w:r>
      <w:r>
        <w:rPr>
          <w:spacing w:val="-2"/>
        </w:rPr>
        <w:t>mužů 1,8</w:t>
      </w:r>
      <w:r w:rsidR="006454CC">
        <w:rPr>
          <w:spacing w:val="-2"/>
        </w:rPr>
        <w:t> %</w:t>
      </w:r>
      <w:r>
        <w:rPr>
          <w:spacing w:val="-2"/>
        </w:rPr>
        <w:t xml:space="preserve">, </w:t>
      </w:r>
      <w:r w:rsidR="00BC7833">
        <w:rPr>
          <w:spacing w:val="-2"/>
        </w:rPr>
        <w:t>u </w:t>
      </w:r>
      <w:r>
        <w:rPr>
          <w:spacing w:val="-2"/>
        </w:rPr>
        <w:t>žen 2,8</w:t>
      </w:r>
      <w:r w:rsidR="006454CC">
        <w:rPr>
          <w:spacing w:val="-2"/>
        </w:rPr>
        <w:t> %</w:t>
      </w:r>
      <w:r w:rsidRPr="000D0BB2">
        <w:rPr>
          <w:spacing w:val="-2"/>
        </w:rPr>
        <w:t xml:space="preserve">. Již pátým rokem v řadě se míra nezaměstnanosti žen snižovala dynamičtěji než </w:t>
      </w:r>
      <w:r w:rsidR="00BC7833" w:rsidRPr="000D0BB2">
        <w:rPr>
          <w:spacing w:val="-2"/>
        </w:rPr>
        <w:t>u</w:t>
      </w:r>
      <w:r w:rsidR="00BC7833">
        <w:rPr>
          <w:spacing w:val="-2"/>
        </w:rPr>
        <w:t> </w:t>
      </w:r>
      <w:r w:rsidRPr="000D0BB2">
        <w:rPr>
          <w:spacing w:val="-2"/>
        </w:rPr>
        <w:t>mu</w:t>
      </w:r>
      <w:r>
        <w:rPr>
          <w:spacing w:val="-2"/>
        </w:rPr>
        <w:t xml:space="preserve">žů. Rozdíl v dosažené úrovni těchto ukazatelů </w:t>
      </w:r>
      <w:r w:rsidRPr="000D0BB2">
        <w:rPr>
          <w:spacing w:val="-2"/>
        </w:rPr>
        <w:t>mezi pohlavími byl loni zároveň nejnižší v novodobé historii.</w:t>
      </w:r>
      <w:r>
        <w:rPr>
          <w:spacing w:val="-2"/>
        </w:rPr>
        <w:t xml:space="preserve"> Meziroční po</w:t>
      </w:r>
      <w:r w:rsidRPr="00BE5FAF">
        <w:rPr>
          <w:color w:val="0D0D0D" w:themeColor="text1" w:themeTint="F2"/>
        </w:rPr>
        <w:t xml:space="preserve">kles celkové nezaměstnanosti </w:t>
      </w:r>
      <w:r>
        <w:rPr>
          <w:color w:val="0D0D0D" w:themeColor="text1" w:themeTint="F2"/>
        </w:rPr>
        <w:t>(</w:t>
      </w:r>
      <w:r w:rsidR="00BC7833">
        <w:rPr>
          <w:color w:val="0D0D0D" w:themeColor="text1" w:themeTint="F2"/>
        </w:rPr>
        <w:t>o </w:t>
      </w:r>
      <w:r>
        <w:rPr>
          <w:color w:val="0D0D0D" w:themeColor="text1" w:themeTint="F2"/>
        </w:rPr>
        <w:t>3</w:t>
      </w:r>
      <w:r w:rsidR="00D82A1E">
        <w:rPr>
          <w:color w:val="0D0D0D" w:themeColor="text1" w:themeTint="F2"/>
        </w:rPr>
        <w:t>4 </w:t>
      </w:r>
      <w:r>
        <w:rPr>
          <w:color w:val="0D0D0D" w:themeColor="text1" w:themeTint="F2"/>
        </w:rPr>
        <w:t xml:space="preserve">tis. osob) byl </w:t>
      </w:r>
      <w:r w:rsidRPr="00BE5FAF">
        <w:rPr>
          <w:color w:val="0D0D0D" w:themeColor="text1" w:themeTint="F2"/>
        </w:rPr>
        <w:t>z poloviny tažen redukcí počtu lidí, kteří neměli práci déle než rok.</w:t>
      </w:r>
    </w:p>
    <w:p w14:paraId="5CAA2DB9" w14:textId="16A3A215" w:rsidR="00CA4551" w:rsidRPr="000402E5" w:rsidRDefault="00CA4551" w:rsidP="00CA4551">
      <w:pPr>
        <w:pStyle w:val="Normalodrka"/>
        <w:spacing w:after="160"/>
        <w:rPr>
          <w:spacing w:val="-4"/>
        </w:rPr>
      </w:pPr>
      <w:r>
        <w:t xml:space="preserve">Nabídka volných míst prostřednictvím úřadů práce v první polovině roku akcelerovala, v jeho zbylé části růstové tempo ochabovalo. </w:t>
      </w:r>
      <w:r w:rsidRPr="00B074F5">
        <w:rPr>
          <w:rFonts w:cs="Arial"/>
          <w:color w:val="0D0D0D" w:themeColor="text1" w:themeTint="F2"/>
          <w:spacing w:val="-2"/>
        </w:rPr>
        <w:t>Na ko</w:t>
      </w:r>
      <w:r>
        <w:rPr>
          <w:rFonts w:cs="Arial"/>
          <w:color w:val="0D0D0D" w:themeColor="text1" w:themeTint="F2"/>
          <w:spacing w:val="-2"/>
        </w:rPr>
        <w:t xml:space="preserve">nci roku 2018 bylo </w:t>
      </w:r>
      <w:r w:rsidR="00BC7833">
        <w:rPr>
          <w:rFonts w:cs="Arial"/>
          <w:color w:val="0D0D0D" w:themeColor="text1" w:themeTint="F2"/>
          <w:spacing w:val="-2"/>
        </w:rPr>
        <w:t>k </w:t>
      </w:r>
      <w:r>
        <w:rPr>
          <w:rFonts w:cs="Arial"/>
          <w:color w:val="0D0D0D" w:themeColor="text1" w:themeTint="F2"/>
          <w:spacing w:val="-2"/>
        </w:rPr>
        <w:t>dispozici 324,</w:t>
      </w:r>
      <w:r w:rsidR="00D82A1E">
        <w:rPr>
          <w:rFonts w:cs="Arial"/>
          <w:color w:val="0D0D0D" w:themeColor="text1" w:themeTint="F2"/>
          <w:spacing w:val="-2"/>
        </w:rPr>
        <w:t>4 </w:t>
      </w:r>
      <w:r>
        <w:rPr>
          <w:rFonts w:cs="Arial"/>
          <w:color w:val="0D0D0D" w:themeColor="text1" w:themeTint="F2"/>
          <w:spacing w:val="-2"/>
        </w:rPr>
        <w:t xml:space="preserve">tis. míst, meziročně </w:t>
      </w:r>
      <w:r w:rsidR="00BC7833">
        <w:rPr>
          <w:rFonts w:cs="Arial"/>
          <w:color w:val="0D0D0D" w:themeColor="text1" w:themeTint="F2"/>
          <w:spacing w:val="-2"/>
        </w:rPr>
        <w:t>o </w:t>
      </w:r>
      <w:r>
        <w:rPr>
          <w:rFonts w:cs="Arial"/>
          <w:color w:val="0D0D0D" w:themeColor="text1" w:themeTint="F2"/>
          <w:spacing w:val="-2"/>
        </w:rPr>
        <w:t>107,</w:t>
      </w:r>
      <w:r w:rsidR="00D82A1E">
        <w:rPr>
          <w:rFonts w:cs="Arial"/>
          <w:color w:val="0D0D0D" w:themeColor="text1" w:themeTint="F2"/>
          <w:spacing w:val="-2"/>
        </w:rPr>
        <w:t>8 </w:t>
      </w:r>
      <w:r>
        <w:rPr>
          <w:rFonts w:cs="Arial"/>
          <w:color w:val="0D0D0D" w:themeColor="text1" w:themeTint="F2"/>
          <w:spacing w:val="-2"/>
        </w:rPr>
        <w:t>tis. více. Celých 87</w:t>
      </w:r>
      <w:r w:rsidR="006454CC">
        <w:rPr>
          <w:rFonts w:cs="Arial"/>
          <w:color w:val="0D0D0D" w:themeColor="text1" w:themeTint="F2"/>
          <w:spacing w:val="-2"/>
        </w:rPr>
        <w:t> %</w:t>
      </w:r>
      <w:r>
        <w:rPr>
          <w:rFonts w:cs="Arial"/>
          <w:color w:val="0D0D0D" w:themeColor="text1" w:themeTint="F2"/>
          <w:spacing w:val="-2"/>
        </w:rPr>
        <w:t xml:space="preserve"> z</w:t>
      </w:r>
      <w:r>
        <w:rPr>
          <w:spacing w:val="-4"/>
        </w:rPr>
        <w:t> </w:t>
      </w:r>
      <w:r>
        <w:rPr>
          <w:rFonts w:cs="Arial"/>
          <w:color w:val="0D0D0D" w:themeColor="text1" w:themeTint="F2"/>
          <w:spacing w:val="-2"/>
        </w:rPr>
        <w:t>loňského přírůstku volných míst připadalo na pozice</w:t>
      </w:r>
      <w:r w:rsidRPr="0040263F">
        <w:rPr>
          <w:rFonts w:cs="Arial"/>
          <w:color w:val="0D0D0D" w:themeColor="text1" w:themeTint="F2"/>
          <w:spacing w:val="-2"/>
        </w:rPr>
        <w:t xml:space="preserve"> s minimálními deklarovanými </w:t>
      </w:r>
      <w:r w:rsidRPr="0040263F">
        <w:rPr>
          <w:rFonts w:cs="Arial"/>
          <w:color w:val="0D0D0D" w:themeColor="text1" w:themeTint="F2"/>
          <w:spacing w:val="-2"/>
        </w:rPr>
        <w:lastRenderedPageBreak/>
        <w:t>kvalifikačními nároky (na něž post</w:t>
      </w:r>
      <w:r>
        <w:rPr>
          <w:rFonts w:cs="Arial"/>
          <w:color w:val="0D0D0D" w:themeColor="text1" w:themeTint="F2"/>
          <w:spacing w:val="-2"/>
        </w:rPr>
        <w:t xml:space="preserve">ačovalo základní vzdělání). </w:t>
      </w:r>
      <w:r w:rsidR="0059286B">
        <w:rPr>
          <w:spacing w:val="-2"/>
        </w:rPr>
        <w:t>Během dubna 2018 převýšil počet volných míst četnost registrovaných uchazečů o</w:t>
      </w:r>
      <w:r w:rsidR="0059286B" w:rsidRPr="008529B6">
        <w:rPr>
          <w:rFonts w:cs="Arial"/>
          <w:color w:val="0D0D0D" w:themeColor="text1" w:themeTint="F2"/>
          <w:spacing w:val="-4"/>
        </w:rPr>
        <w:t> </w:t>
      </w:r>
      <w:r w:rsidR="001A6DB4">
        <w:rPr>
          <w:spacing w:val="-2"/>
        </w:rPr>
        <w:t>zaměstnání. N</w:t>
      </w:r>
      <w:r w:rsidR="0059286B">
        <w:rPr>
          <w:spacing w:val="-2"/>
        </w:rPr>
        <w:t xml:space="preserve">a konci </w:t>
      </w:r>
      <w:r w:rsidR="001A6DB4">
        <w:rPr>
          <w:spacing w:val="-2"/>
        </w:rPr>
        <w:t xml:space="preserve">loňského </w:t>
      </w:r>
      <w:r w:rsidR="0059286B">
        <w:rPr>
          <w:spacing w:val="-2"/>
        </w:rPr>
        <w:t>roku připadalo na</w:t>
      </w:r>
      <w:r w:rsidR="0059286B" w:rsidRPr="008529B6">
        <w:rPr>
          <w:rFonts w:cs="Arial"/>
          <w:color w:val="0D0D0D" w:themeColor="text1" w:themeTint="F2"/>
          <w:spacing w:val="-4"/>
        </w:rPr>
        <w:t xml:space="preserve"> jedno volné místo</w:t>
      </w:r>
      <w:r w:rsidR="0059286B">
        <w:rPr>
          <w:rFonts w:cs="Arial"/>
          <w:color w:val="0D0D0D" w:themeColor="text1" w:themeTint="F2"/>
          <w:spacing w:val="-4"/>
        </w:rPr>
        <w:t xml:space="preserve"> již pouze 0,</w:t>
      </w:r>
      <w:r w:rsidR="00D82A1E">
        <w:rPr>
          <w:rFonts w:cs="Arial"/>
          <w:color w:val="0D0D0D" w:themeColor="text1" w:themeTint="F2"/>
          <w:spacing w:val="-4"/>
        </w:rPr>
        <w:t>7 </w:t>
      </w:r>
      <w:r w:rsidR="0059286B">
        <w:rPr>
          <w:rFonts w:cs="Arial"/>
          <w:color w:val="0D0D0D" w:themeColor="text1" w:themeTint="F2"/>
          <w:spacing w:val="-4"/>
        </w:rPr>
        <w:t>uchazeče (o</w:t>
      </w:r>
      <w:r w:rsidR="0059286B">
        <w:rPr>
          <w:spacing w:val="-2"/>
        </w:rPr>
        <w:t> </w:t>
      </w:r>
      <w:r w:rsidR="0059286B">
        <w:rPr>
          <w:rFonts w:cs="Arial"/>
          <w:color w:val="0D0D0D" w:themeColor="text1" w:themeTint="F2"/>
          <w:spacing w:val="-4"/>
        </w:rPr>
        <w:t xml:space="preserve">polovinu méně než v prosinci 2017). </w:t>
      </w:r>
      <w:r w:rsidR="0059286B">
        <w:t xml:space="preserve">Převis nabídky volných míst nad poptávkou ze strany uchazečů </w:t>
      </w:r>
      <w:r w:rsidR="00BC7833">
        <w:t>o </w:t>
      </w:r>
      <w:r w:rsidR="0059286B">
        <w:t>práci registrovala mírně nadpoloviční část okresů</w:t>
      </w:r>
      <w:r w:rsidR="001D37E6">
        <w:t> </w:t>
      </w:r>
      <w:r w:rsidR="0059286B">
        <w:t>ČR.</w:t>
      </w:r>
    </w:p>
    <w:p w14:paraId="07A8ED66" w14:textId="4874F4B4" w:rsidR="00CA4551" w:rsidRPr="00014537" w:rsidRDefault="00BC7833" w:rsidP="00CA4551">
      <w:pPr>
        <w:pStyle w:val="Normalodrka"/>
        <w:spacing w:after="160"/>
        <w:rPr>
          <w:spacing w:val="-4"/>
        </w:rPr>
      </w:pPr>
      <w:r>
        <w:rPr>
          <w:spacing w:val="-3"/>
        </w:rPr>
        <w:t>V </w:t>
      </w:r>
      <w:r w:rsidR="00CA4551">
        <w:rPr>
          <w:spacing w:val="-3"/>
        </w:rPr>
        <w:t>roce 2018</w:t>
      </w:r>
      <w:r w:rsidR="006454CC">
        <w:rPr>
          <w:spacing w:val="-3"/>
        </w:rPr>
        <w:t xml:space="preserve"> </w:t>
      </w:r>
      <w:r w:rsidR="00CA4551">
        <w:rPr>
          <w:rFonts w:cs="Arial"/>
          <w:szCs w:val="20"/>
        </w:rPr>
        <w:t xml:space="preserve">dosáhla </w:t>
      </w:r>
      <w:r w:rsidR="00CA4551">
        <w:rPr>
          <w:rFonts w:cs="Arial"/>
          <w:color w:val="0D0D0D" w:themeColor="text1" w:themeTint="F2"/>
          <w:spacing w:val="-4"/>
        </w:rPr>
        <w:t>průměrná hrubá nominální mzda zaměstnance v ekonomice 31 86</w:t>
      </w:r>
      <w:r w:rsidR="00D82A1E">
        <w:rPr>
          <w:rFonts w:cs="Arial"/>
          <w:color w:val="0D0D0D" w:themeColor="text1" w:themeTint="F2"/>
          <w:spacing w:val="-4"/>
        </w:rPr>
        <w:t>8 </w:t>
      </w:r>
      <w:r w:rsidR="00CA4551">
        <w:rPr>
          <w:rFonts w:cs="Arial"/>
          <w:color w:val="0D0D0D" w:themeColor="text1" w:themeTint="F2"/>
          <w:spacing w:val="-4"/>
        </w:rPr>
        <w:t>korun</w:t>
      </w:r>
      <w:r w:rsidR="00CA4551">
        <w:rPr>
          <w:rStyle w:val="Znakapoznpodarou"/>
          <w:rFonts w:cs="Arial"/>
          <w:color w:val="0D0D0D" w:themeColor="text1" w:themeTint="F2"/>
          <w:spacing w:val="-4"/>
        </w:rPr>
        <w:footnoteReference w:id="2"/>
      </w:r>
      <w:r w:rsidR="00CA4551">
        <w:rPr>
          <w:rFonts w:cs="Arial"/>
          <w:color w:val="0D0D0D" w:themeColor="text1" w:themeTint="F2"/>
          <w:spacing w:val="-4"/>
        </w:rPr>
        <w:t xml:space="preserve"> </w:t>
      </w:r>
      <w:r>
        <w:rPr>
          <w:rFonts w:cs="Arial"/>
          <w:color w:val="0D0D0D" w:themeColor="text1" w:themeTint="F2"/>
          <w:spacing w:val="-4"/>
        </w:rPr>
        <w:t>a </w:t>
      </w:r>
      <w:r w:rsidR="00CA4551">
        <w:rPr>
          <w:rFonts w:cs="Arial"/>
          <w:color w:val="0D0D0D" w:themeColor="text1" w:themeTint="F2"/>
          <w:spacing w:val="-4"/>
        </w:rPr>
        <w:t xml:space="preserve">meziročně se zvýšila </w:t>
      </w:r>
      <w:r>
        <w:rPr>
          <w:rFonts w:cs="Arial"/>
          <w:color w:val="0D0D0D" w:themeColor="text1" w:themeTint="F2"/>
          <w:spacing w:val="-4"/>
        </w:rPr>
        <w:t>o </w:t>
      </w:r>
      <w:r w:rsidR="00CA4551">
        <w:rPr>
          <w:rFonts w:cs="Arial"/>
          <w:color w:val="0D0D0D" w:themeColor="text1" w:themeTint="F2"/>
          <w:spacing w:val="-4"/>
        </w:rPr>
        <w:t>7,5</w:t>
      </w:r>
      <w:r w:rsidR="006454CC">
        <w:rPr>
          <w:rFonts w:cs="Arial"/>
          <w:color w:val="0D0D0D" w:themeColor="text1" w:themeTint="F2"/>
          <w:spacing w:val="-4"/>
        </w:rPr>
        <w:t> %</w:t>
      </w:r>
      <w:r w:rsidR="00CA4551">
        <w:rPr>
          <w:rFonts w:cs="Arial"/>
          <w:color w:val="0D0D0D" w:themeColor="text1" w:themeTint="F2"/>
          <w:spacing w:val="-4"/>
        </w:rPr>
        <w:t xml:space="preserve">. Celoroční tempo se navyšovalo již pátým rokem v řadě. </w:t>
      </w:r>
      <w:r w:rsidR="00CA4551">
        <w:t xml:space="preserve">Rozdíly ve mzdové dynamice mezi odvětvími se loni mírně snížily. Nejvíce rostly výdělky v odvětvích s dominancí veřejného sektoru. </w:t>
      </w:r>
      <w:r w:rsidR="00CA4551">
        <w:rPr>
          <w:rFonts w:cs="Arial"/>
          <w:color w:val="0D0D0D" w:themeColor="text1" w:themeTint="F2"/>
          <w:spacing w:val="-4"/>
        </w:rPr>
        <w:t xml:space="preserve">To platilo hlavně </w:t>
      </w:r>
      <w:r>
        <w:rPr>
          <w:rFonts w:cs="Arial"/>
          <w:color w:val="0D0D0D" w:themeColor="text1" w:themeTint="F2"/>
          <w:spacing w:val="-4"/>
        </w:rPr>
        <w:t>o </w:t>
      </w:r>
      <w:r w:rsidR="00CA4551">
        <w:rPr>
          <w:rFonts w:cs="Arial"/>
          <w:color w:val="0D0D0D" w:themeColor="text1" w:themeTint="F2"/>
          <w:spacing w:val="-4"/>
        </w:rPr>
        <w:t>vzdělávání (+10,7</w:t>
      </w:r>
      <w:r w:rsidR="006454CC">
        <w:rPr>
          <w:rFonts w:cs="Arial"/>
          <w:color w:val="0D0D0D" w:themeColor="text1" w:themeTint="F2"/>
          <w:spacing w:val="-4"/>
        </w:rPr>
        <w:t> %</w:t>
      </w:r>
      <w:r w:rsidR="00CA4551">
        <w:rPr>
          <w:rFonts w:cs="Arial"/>
          <w:color w:val="0D0D0D" w:themeColor="text1" w:themeTint="F2"/>
          <w:spacing w:val="-4"/>
        </w:rPr>
        <w:t xml:space="preserve">), v menší míře </w:t>
      </w:r>
      <w:r>
        <w:rPr>
          <w:rFonts w:cs="Arial"/>
          <w:color w:val="0D0D0D" w:themeColor="text1" w:themeTint="F2"/>
          <w:spacing w:val="-4"/>
        </w:rPr>
        <w:t>o </w:t>
      </w:r>
      <w:r w:rsidR="00CA4551">
        <w:rPr>
          <w:rFonts w:cs="Arial"/>
          <w:color w:val="0D0D0D" w:themeColor="text1" w:themeTint="F2"/>
          <w:spacing w:val="-4"/>
        </w:rPr>
        <w:t>z</w:t>
      </w:r>
      <w:r w:rsidR="00CA4551" w:rsidRPr="00FB162A">
        <w:rPr>
          <w:rFonts w:cs="Arial"/>
          <w:color w:val="0D0D0D" w:themeColor="text1" w:themeTint="F2"/>
          <w:spacing w:val="-4"/>
        </w:rPr>
        <w:t xml:space="preserve">dravotní </w:t>
      </w:r>
      <w:r w:rsidRPr="00FB162A">
        <w:rPr>
          <w:rFonts w:cs="Arial"/>
          <w:color w:val="0D0D0D" w:themeColor="text1" w:themeTint="F2"/>
          <w:spacing w:val="-4"/>
        </w:rPr>
        <w:t>a</w:t>
      </w:r>
      <w:r w:rsidR="00CA4551">
        <w:rPr>
          <w:rFonts w:cs="Arial"/>
          <w:color w:val="0D0D0D" w:themeColor="text1" w:themeTint="F2"/>
          <w:spacing w:val="-4"/>
        </w:rPr>
        <w:t> sociální péči (+8,4</w:t>
      </w:r>
      <w:r w:rsidR="006454CC">
        <w:rPr>
          <w:rFonts w:cs="Arial"/>
          <w:color w:val="0D0D0D" w:themeColor="text1" w:themeTint="F2"/>
          <w:spacing w:val="-4"/>
        </w:rPr>
        <w:t> %</w:t>
      </w:r>
      <w:r w:rsidR="00CA4551">
        <w:rPr>
          <w:rFonts w:cs="Arial"/>
          <w:color w:val="0D0D0D" w:themeColor="text1" w:themeTint="F2"/>
          <w:spacing w:val="-4"/>
        </w:rPr>
        <w:t>). Z tržních odvětví se loni nejvíce dařilo stavebnictví, kde se nedostatek pracovníků umocněný souběžným svižným růstem zásoby práce projevoval nejpalčivěji. Mzdové tempo se zde oproti roku 2017 téměř zdvojnásobilo (na +7,9</w:t>
      </w:r>
      <w:r w:rsidR="006454CC">
        <w:rPr>
          <w:rFonts w:cs="Arial"/>
          <w:color w:val="0D0D0D" w:themeColor="text1" w:themeTint="F2"/>
          <w:spacing w:val="-4"/>
        </w:rPr>
        <w:t> %</w:t>
      </w:r>
      <w:r w:rsidR="00CA4551">
        <w:rPr>
          <w:rFonts w:cs="Arial"/>
          <w:color w:val="0D0D0D" w:themeColor="text1" w:themeTint="F2"/>
          <w:spacing w:val="-4"/>
        </w:rPr>
        <w:t xml:space="preserve">). Ve zpracovatelském průmyslu výdělky vzrostly o 7,0 % </w:t>
      </w:r>
      <w:r>
        <w:rPr>
          <w:rFonts w:cs="Arial"/>
          <w:color w:val="0D0D0D" w:themeColor="text1" w:themeTint="F2"/>
          <w:spacing w:val="-4"/>
        </w:rPr>
        <w:t>a </w:t>
      </w:r>
      <w:r w:rsidR="00CA4551">
        <w:rPr>
          <w:rFonts w:cs="Arial"/>
          <w:color w:val="0D0D0D" w:themeColor="text1" w:themeTint="F2"/>
          <w:spacing w:val="-4"/>
        </w:rPr>
        <w:t>při skromném posílení zaměstnanosti zde poprvé od roku 2009</w:t>
      </w:r>
      <w:r w:rsidR="00CA4551" w:rsidRPr="003607F1">
        <w:rPr>
          <w:rFonts w:cs="Arial"/>
          <w:color w:val="0D0D0D" w:themeColor="text1" w:themeTint="F2"/>
          <w:spacing w:val="-4"/>
        </w:rPr>
        <w:t xml:space="preserve"> objem vyplacených mezd za tempem v celé ekonomice</w:t>
      </w:r>
      <w:r w:rsidR="00CA4551">
        <w:rPr>
          <w:rFonts w:cs="Arial"/>
          <w:color w:val="0D0D0D" w:themeColor="text1" w:themeTint="F2"/>
          <w:spacing w:val="-4"/>
        </w:rPr>
        <w:t xml:space="preserve"> </w:t>
      </w:r>
      <w:r w:rsidR="00CA4551" w:rsidRPr="003607F1">
        <w:rPr>
          <w:rFonts w:cs="Arial"/>
          <w:color w:val="0D0D0D" w:themeColor="text1" w:themeTint="F2"/>
          <w:spacing w:val="-4"/>
        </w:rPr>
        <w:t>zaostal.</w:t>
      </w:r>
    </w:p>
    <w:p w14:paraId="76A817B3" w14:textId="0733D4D5" w:rsidR="00CA4551" w:rsidRPr="006220C1" w:rsidRDefault="00CA4551" w:rsidP="00CA4551">
      <w:pPr>
        <w:pStyle w:val="Normalodrka"/>
        <w:spacing w:after="160"/>
        <w:rPr>
          <w:spacing w:val="-4"/>
        </w:rPr>
      </w:pPr>
      <w:r>
        <w:rPr>
          <w:rFonts w:cs="Arial"/>
          <w:color w:val="0D0D0D" w:themeColor="text1" w:themeTint="F2"/>
          <w:spacing w:val="-4"/>
        </w:rPr>
        <w:t xml:space="preserve">Navzdory svižnému růstu spotřebitelských cen vzrostla loni kupní síla průměrných výdělků </w:t>
      </w:r>
      <w:r w:rsidR="001D37E6">
        <w:rPr>
          <w:rFonts w:cs="Arial"/>
          <w:color w:val="0D0D0D" w:themeColor="text1" w:themeTint="F2"/>
          <w:spacing w:val="-4"/>
        </w:rPr>
        <w:t xml:space="preserve">spotřebitelů </w:t>
      </w:r>
      <w:r w:rsidR="00BC7833">
        <w:rPr>
          <w:rFonts w:cs="Arial"/>
          <w:color w:val="0D0D0D" w:themeColor="text1" w:themeTint="F2"/>
          <w:spacing w:val="-4"/>
        </w:rPr>
        <w:t>o </w:t>
      </w:r>
      <w:r>
        <w:rPr>
          <w:rFonts w:cs="Arial"/>
          <w:color w:val="0D0D0D" w:themeColor="text1" w:themeTint="F2"/>
          <w:spacing w:val="-4"/>
        </w:rPr>
        <w:t>5,3 %, nejsilněji za posledních patnáct l</w:t>
      </w:r>
      <w:r w:rsidR="002660F5">
        <w:rPr>
          <w:rFonts w:cs="Arial"/>
          <w:color w:val="0D0D0D" w:themeColor="text1" w:themeTint="F2"/>
          <w:spacing w:val="-4"/>
        </w:rPr>
        <w:t>et. Významné posílení koupěschopnosti</w:t>
      </w:r>
      <w:r>
        <w:rPr>
          <w:rFonts w:cs="Arial"/>
          <w:color w:val="0D0D0D" w:themeColor="text1" w:themeTint="F2"/>
          <w:spacing w:val="-4"/>
        </w:rPr>
        <w:t xml:space="preserve"> pocítili zaměstnanci napříč všemi hlavními odvětvími </w:t>
      </w:r>
      <w:r w:rsidR="00BC7833">
        <w:rPr>
          <w:rFonts w:cs="Arial"/>
          <w:color w:val="0D0D0D" w:themeColor="text1" w:themeTint="F2"/>
          <w:spacing w:val="-4"/>
        </w:rPr>
        <w:t>a </w:t>
      </w:r>
      <w:r>
        <w:rPr>
          <w:rFonts w:cs="Arial"/>
          <w:color w:val="0D0D0D" w:themeColor="text1" w:themeTint="F2"/>
          <w:spacing w:val="-4"/>
        </w:rPr>
        <w:t>také ve všech krajích ČR.</w:t>
      </w:r>
      <w:r>
        <w:rPr>
          <w:spacing w:val="-4"/>
        </w:rPr>
        <w:t xml:space="preserve"> </w:t>
      </w:r>
      <w:r w:rsidRPr="006220C1">
        <w:rPr>
          <w:rFonts w:cs="Arial"/>
          <w:color w:val="0D0D0D" w:themeColor="text1" w:themeTint="F2"/>
          <w:spacing w:val="-4"/>
        </w:rPr>
        <w:t xml:space="preserve">Pozitivním </w:t>
      </w:r>
      <w:r>
        <w:rPr>
          <w:rFonts w:cs="Arial"/>
          <w:color w:val="0D0D0D" w:themeColor="text1" w:themeTint="F2"/>
          <w:spacing w:val="-4"/>
        </w:rPr>
        <w:t>trendem</w:t>
      </w:r>
      <w:r w:rsidRPr="006220C1">
        <w:rPr>
          <w:rFonts w:cs="Arial"/>
          <w:color w:val="0D0D0D" w:themeColor="text1" w:themeTint="F2"/>
          <w:spacing w:val="-4"/>
        </w:rPr>
        <w:t xml:space="preserve"> byl také pokračující mí</w:t>
      </w:r>
      <w:r>
        <w:rPr>
          <w:rFonts w:cs="Arial"/>
          <w:color w:val="0D0D0D" w:themeColor="text1" w:themeTint="F2"/>
          <w:spacing w:val="-4"/>
        </w:rPr>
        <w:t>rný pokles mz</w:t>
      </w:r>
      <w:r w:rsidRPr="006220C1">
        <w:rPr>
          <w:rFonts w:cs="Arial"/>
          <w:color w:val="0D0D0D" w:themeColor="text1" w:themeTint="F2"/>
          <w:spacing w:val="-4"/>
        </w:rPr>
        <w:t>d</w:t>
      </w:r>
      <w:r>
        <w:rPr>
          <w:rFonts w:cs="Arial"/>
          <w:color w:val="0D0D0D" w:themeColor="text1" w:themeTint="F2"/>
          <w:spacing w:val="-4"/>
        </w:rPr>
        <w:t>o</w:t>
      </w:r>
      <w:r w:rsidRPr="006220C1">
        <w:rPr>
          <w:rFonts w:cs="Arial"/>
          <w:color w:val="0D0D0D" w:themeColor="text1" w:themeTint="F2"/>
          <w:spacing w:val="-4"/>
        </w:rPr>
        <w:t xml:space="preserve">vé diferenciace, na níž se stále významně podílelo zvyšování hranice minimální mzdy. </w:t>
      </w:r>
      <w:r>
        <w:rPr>
          <w:rFonts w:cs="Arial"/>
          <w:color w:val="0D0D0D" w:themeColor="text1" w:themeTint="F2"/>
          <w:spacing w:val="-4"/>
        </w:rPr>
        <w:t xml:space="preserve">Mzdový medián loni vzrostl </w:t>
      </w:r>
      <w:r w:rsidR="00BC7833">
        <w:rPr>
          <w:rFonts w:cs="Arial"/>
          <w:color w:val="0D0D0D" w:themeColor="text1" w:themeTint="F2"/>
          <w:spacing w:val="-4"/>
        </w:rPr>
        <w:t>o </w:t>
      </w:r>
      <w:r>
        <w:rPr>
          <w:rFonts w:cs="Arial"/>
          <w:color w:val="0D0D0D" w:themeColor="text1" w:themeTint="F2"/>
          <w:spacing w:val="-4"/>
        </w:rPr>
        <w:t>8,7</w:t>
      </w:r>
      <w:r w:rsidR="006454CC">
        <w:rPr>
          <w:rFonts w:cs="Arial"/>
          <w:color w:val="0D0D0D" w:themeColor="text1" w:themeTint="F2"/>
          <w:spacing w:val="-4"/>
        </w:rPr>
        <w:t> %</w:t>
      </w:r>
      <w:r>
        <w:rPr>
          <w:rFonts w:cs="Arial"/>
          <w:color w:val="0D0D0D" w:themeColor="text1" w:themeTint="F2"/>
          <w:spacing w:val="-4"/>
        </w:rPr>
        <w:t>, tedy vyšším tempem než průměrná mzda.</w:t>
      </w:r>
    </w:p>
    <w:p w14:paraId="4E24DB8F" w14:textId="77777777" w:rsidR="006220C1" w:rsidRPr="00CA4551" w:rsidRDefault="006220C1" w:rsidP="00CA4551">
      <w:pPr>
        <w:pStyle w:val="Normalodrka"/>
        <w:numPr>
          <w:ilvl w:val="0"/>
          <w:numId w:val="0"/>
        </w:numPr>
        <w:spacing w:after="160"/>
        <w:rPr>
          <w:spacing w:val="-4"/>
        </w:rPr>
      </w:pPr>
    </w:p>
    <w:p w14:paraId="7707DD01" w14:textId="77777777" w:rsidR="006220C1" w:rsidRDefault="006220C1" w:rsidP="006220C1">
      <w:pPr>
        <w:pStyle w:val="Normalodrka"/>
        <w:numPr>
          <w:ilvl w:val="0"/>
          <w:numId w:val="0"/>
        </w:numPr>
        <w:spacing w:after="160"/>
        <w:ind w:left="357" w:hanging="357"/>
        <w:rPr>
          <w:spacing w:val="-4"/>
        </w:rPr>
      </w:pPr>
    </w:p>
    <w:p w14:paraId="03B66A53" w14:textId="77777777" w:rsidR="006220C1" w:rsidRDefault="006220C1" w:rsidP="006220C1">
      <w:pPr>
        <w:pStyle w:val="Normalodrka"/>
        <w:numPr>
          <w:ilvl w:val="0"/>
          <w:numId w:val="0"/>
        </w:numPr>
        <w:spacing w:after="160"/>
        <w:ind w:left="357" w:hanging="357"/>
        <w:rPr>
          <w:spacing w:val="-4"/>
        </w:rPr>
      </w:pPr>
    </w:p>
    <w:p w14:paraId="0819A87B" w14:textId="77777777" w:rsidR="006220C1" w:rsidRDefault="006220C1" w:rsidP="006220C1">
      <w:pPr>
        <w:pStyle w:val="Normalodrka"/>
        <w:numPr>
          <w:ilvl w:val="0"/>
          <w:numId w:val="0"/>
        </w:numPr>
        <w:spacing w:after="160"/>
        <w:ind w:left="357" w:hanging="357"/>
        <w:rPr>
          <w:spacing w:val="-4"/>
        </w:rPr>
      </w:pPr>
    </w:p>
    <w:p w14:paraId="5B611E3F" w14:textId="77777777" w:rsidR="006220C1" w:rsidRDefault="006220C1" w:rsidP="006220C1">
      <w:pPr>
        <w:pStyle w:val="Normalodrka"/>
        <w:numPr>
          <w:ilvl w:val="0"/>
          <w:numId w:val="0"/>
        </w:numPr>
        <w:spacing w:after="160"/>
        <w:ind w:left="357" w:hanging="357"/>
        <w:rPr>
          <w:spacing w:val="-4"/>
        </w:rPr>
      </w:pPr>
    </w:p>
    <w:p w14:paraId="37D22D21" w14:textId="77777777" w:rsidR="006220C1" w:rsidRDefault="006220C1" w:rsidP="00CA4551">
      <w:pPr>
        <w:pStyle w:val="Normalodrka"/>
        <w:numPr>
          <w:ilvl w:val="0"/>
          <w:numId w:val="0"/>
        </w:numPr>
        <w:spacing w:after="160"/>
        <w:rPr>
          <w:spacing w:val="-4"/>
        </w:rPr>
      </w:pPr>
    </w:p>
    <w:p w14:paraId="151A2774" w14:textId="77777777" w:rsidR="006220C1" w:rsidRDefault="006220C1" w:rsidP="006220C1">
      <w:pPr>
        <w:pStyle w:val="Normalodrka"/>
        <w:numPr>
          <w:ilvl w:val="0"/>
          <w:numId w:val="0"/>
        </w:numPr>
        <w:spacing w:after="160"/>
        <w:ind w:left="357" w:hanging="357"/>
        <w:rPr>
          <w:spacing w:val="-4"/>
        </w:rPr>
      </w:pPr>
    </w:p>
    <w:p w14:paraId="2768462A" w14:textId="77777777" w:rsidR="006220C1" w:rsidRDefault="006220C1" w:rsidP="006220C1">
      <w:pPr>
        <w:pStyle w:val="Normalodrka"/>
        <w:numPr>
          <w:ilvl w:val="0"/>
          <w:numId w:val="0"/>
        </w:numPr>
        <w:spacing w:after="160"/>
        <w:ind w:left="357" w:hanging="357"/>
        <w:rPr>
          <w:spacing w:val="-4"/>
        </w:rPr>
      </w:pPr>
    </w:p>
    <w:p w14:paraId="66587580" w14:textId="77777777" w:rsidR="006220C1" w:rsidRDefault="006220C1" w:rsidP="006220C1">
      <w:pPr>
        <w:pStyle w:val="Normalodrka"/>
        <w:numPr>
          <w:ilvl w:val="0"/>
          <w:numId w:val="0"/>
        </w:numPr>
        <w:spacing w:after="160"/>
        <w:ind w:left="357" w:hanging="357"/>
        <w:rPr>
          <w:spacing w:val="-4"/>
        </w:rPr>
      </w:pPr>
    </w:p>
    <w:p w14:paraId="6AA08AD6" w14:textId="77777777" w:rsidR="006220C1" w:rsidRDefault="006220C1" w:rsidP="006220C1">
      <w:pPr>
        <w:pStyle w:val="Normalodrka"/>
        <w:numPr>
          <w:ilvl w:val="0"/>
          <w:numId w:val="0"/>
        </w:numPr>
        <w:spacing w:after="160"/>
        <w:ind w:left="357" w:hanging="357"/>
        <w:rPr>
          <w:spacing w:val="-4"/>
        </w:rPr>
      </w:pPr>
    </w:p>
    <w:p w14:paraId="2BFB1DB1" w14:textId="77777777" w:rsidR="006220C1" w:rsidRDefault="006220C1" w:rsidP="00CA4551">
      <w:pPr>
        <w:pStyle w:val="Normalodrka"/>
        <w:numPr>
          <w:ilvl w:val="0"/>
          <w:numId w:val="0"/>
        </w:numPr>
        <w:spacing w:after="160"/>
        <w:rPr>
          <w:spacing w:val="-4"/>
        </w:rPr>
      </w:pPr>
    </w:p>
    <w:p w14:paraId="5BAEE2FF" w14:textId="77777777" w:rsidR="006220C1" w:rsidRDefault="006220C1" w:rsidP="00CA4551">
      <w:pPr>
        <w:pStyle w:val="Normalodrka"/>
        <w:numPr>
          <w:ilvl w:val="0"/>
          <w:numId w:val="0"/>
        </w:numPr>
        <w:spacing w:after="160"/>
        <w:rPr>
          <w:spacing w:val="-4"/>
        </w:rPr>
      </w:pPr>
    </w:p>
    <w:p w14:paraId="5F47265A" w14:textId="77777777" w:rsidR="006220C1" w:rsidRDefault="006220C1" w:rsidP="0059286B">
      <w:pPr>
        <w:pStyle w:val="Normalodrka"/>
        <w:numPr>
          <w:ilvl w:val="0"/>
          <w:numId w:val="0"/>
        </w:numPr>
        <w:spacing w:after="160"/>
        <w:rPr>
          <w:spacing w:val="-4"/>
        </w:rPr>
      </w:pPr>
    </w:p>
    <w:p w14:paraId="4797431B" w14:textId="77777777" w:rsidR="006220C1" w:rsidRDefault="006220C1" w:rsidP="006220C1">
      <w:pPr>
        <w:pStyle w:val="Normalodrka"/>
        <w:numPr>
          <w:ilvl w:val="0"/>
          <w:numId w:val="0"/>
        </w:numPr>
        <w:spacing w:after="160"/>
        <w:ind w:left="357" w:hanging="357"/>
        <w:rPr>
          <w:spacing w:val="-4"/>
        </w:rPr>
      </w:pPr>
    </w:p>
    <w:p w14:paraId="10F638AE" w14:textId="77777777" w:rsidR="006220C1" w:rsidRDefault="006220C1" w:rsidP="006220C1">
      <w:pPr>
        <w:pStyle w:val="Normalodrka"/>
        <w:numPr>
          <w:ilvl w:val="0"/>
          <w:numId w:val="0"/>
        </w:numPr>
        <w:spacing w:after="160"/>
        <w:ind w:left="357" w:hanging="357"/>
        <w:rPr>
          <w:spacing w:val="-4"/>
        </w:rPr>
      </w:pPr>
    </w:p>
    <w:p w14:paraId="50E924D5" w14:textId="77777777" w:rsidR="006220C1" w:rsidRDefault="006220C1" w:rsidP="006220C1">
      <w:pPr>
        <w:pStyle w:val="Normalodrka"/>
        <w:numPr>
          <w:ilvl w:val="0"/>
          <w:numId w:val="0"/>
        </w:numPr>
        <w:spacing w:after="160"/>
        <w:ind w:left="357" w:hanging="357"/>
        <w:rPr>
          <w:spacing w:val="-4"/>
        </w:rPr>
      </w:pPr>
    </w:p>
    <w:p w14:paraId="1B36CD02" w14:textId="77777777" w:rsidR="009E674A" w:rsidRPr="006220C1" w:rsidRDefault="009E674A" w:rsidP="006220C1">
      <w:pPr>
        <w:pStyle w:val="Normalodrka"/>
        <w:numPr>
          <w:ilvl w:val="0"/>
          <w:numId w:val="0"/>
        </w:numPr>
        <w:spacing w:after="160"/>
        <w:ind w:left="357" w:hanging="357"/>
        <w:rPr>
          <w:spacing w:val="-4"/>
        </w:rPr>
      </w:pPr>
      <w:r w:rsidRPr="006220C1">
        <w:rPr>
          <w:spacing w:val="-4"/>
        </w:rPr>
        <w:br w:type="page"/>
      </w:r>
    </w:p>
    <w:p w14:paraId="20638019" w14:textId="77777777" w:rsidR="009E674A" w:rsidRDefault="009E674A" w:rsidP="00B02051">
      <w:pPr>
        <w:pStyle w:val="Nadpis1"/>
        <w:numPr>
          <w:ilvl w:val="0"/>
          <w:numId w:val="26"/>
        </w:numPr>
        <w:tabs>
          <w:tab w:val="left" w:pos="709"/>
        </w:tabs>
        <w:spacing w:after="0"/>
        <w:ind w:left="709" w:hanging="709"/>
      </w:pPr>
      <w:bookmarkStart w:id="1" w:name="_Toc17873163"/>
      <w:r>
        <w:lastRenderedPageBreak/>
        <w:t xml:space="preserve">Ekonomická aktivita, zaměstnanost </w:t>
      </w:r>
      <w:r w:rsidR="00BC7833">
        <w:t>a </w:t>
      </w:r>
      <w:r>
        <w:t>produktivita práce</w:t>
      </w:r>
      <w:bookmarkEnd w:id="1"/>
    </w:p>
    <w:p w14:paraId="243605AB" w14:textId="77777777" w:rsidR="009E674A" w:rsidRPr="002A5986" w:rsidRDefault="009E674A" w:rsidP="009E674A">
      <w:pPr>
        <w:pStyle w:val="Odstavecseseznamem"/>
        <w:numPr>
          <w:ilvl w:val="1"/>
          <w:numId w:val="26"/>
        </w:numPr>
        <w:spacing w:after="0"/>
        <w:rPr>
          <w:rFonts w:eastAsia="MS Gothic"/>
          <w:b/>
          <w:bCs/>
          <w:color w:val="71818C"/>
          <w:sz w:val="28"/>
          <w:szCs w:val="28"/>
        </w:rPr>
      </w:pPr>
      <w:r w:rsidRPr="002A5986">
        <w:rPr>
          <w:rFonts w:eastAsia="MS Gothic"/>
          <w:b/>
          <w:bCs/>
          <w:color w:val="71818C"/>
          <w:sz w:val="28"/>
          <w:szCs w:val="28"/>
        </w:rPr>
        <w:t>Ekonomická aktivita obyvatel</w:t>
      </w:r>
      <w:r w:rsidR="000F6340">
        <w:rPr>
          <w:rFonts w:eastAsia="MS Gothic"/>
          <w:b/>
          <w:bCs/>
          <w:color w:val="71818C"/>
          <w:sz w:val="28"/>
          <w:szCs w:val="28"/>
        </w:rPr>
        <w:t>stva</w:t>
      </w:r>
    </w:p>
    <w:tbl>
      <w:tblPr>
        <w:tblW w:w="9644"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firstRow="1" w:lastRow="0" w:firstColumn="1" w:lastColumn="0" w:noHBand="0" w:noVBand="0"/>
      </w:tblPr>
      <w:tblGrid>
        <w:gridCol w:w="1976"/>
        <w:gridCol w:w="277"/>
        <w:gridCol w:w="7391"/>
      </w:tblGrid>
      <w:tr w:rsidR="009E674A" w14:paraId="008D658B" w14:textId="77777777" w:rsidTr="006F668F">
        <w:trPr>
          <w:trHeight w:val="145"/>
        </w:trPr>
        <w:tc>
          <w:tcPr>
            <w:tcW w:w="1976" w:type="dxa"/>
            <w:tcBorders>
              <w:top w:val="nil"/>
              <w:left w:val="nil"/>
              <w:bottom w:val="nil"/>
              <w:right w:val="nil"/>
            </w:tcBorders>
          </w:tcPr>
          <w:p w14:paraId="478428A5" w14:textId="4FAD858A" w:rsidR="009E674A" w:rsidRDefault="009E674A" w:rsidP="006F668F">
            <w:pPr>
              <w:pStyle w:val="Marginlie"/>
            </w:pPr>
            <w:r>
              <w:t>Počet osob v produktivním věku se dále snižoval. Ekonomicky aktivních ale přibývalo díky sílící míře participace ve většině věkových skupin,…</w:t>
            </w:r>
          </w:p>
        </w:tc>
        <w:tc>
          <w:tcPr>
            <w:tcW w:w="277" w:type="dxa"/>
            <w:tcBorders>
              <w:top w:val="nil"/>
              <w:left w:val="nil"/>
              <w:bottom w:val="nil"/>
              <w:right w:val="nil"/>
            </w:tcBorders>
          </w:tcPr>
          <w:p w14:paraId="34180C45" w14:textId="77777777" w:rsidR="009E674A" w:rsidRPr="005E4483" w:rsidRDefault="009E674A" w:rsidP="006F668F">
            <w:pPr>
              <w:pStyle w:val="Textpoznpodarou"/>
              <w:jc w:val="both"/>
              <w:rPr>
                <w:spacing w:val="-4"/>
              </w:rPr>
            </w:pPr>
          </w:p>
        </w:tc>
        <w:tc>
          <w:tcPr>
            <w:tcW w:w="7391" w:type="dxa"/>
            <w:tcBorders>
              <w:top w:val="nil"/>
              <w:left w:val="nil"/>
              <w:bottom w:val="nil"/>
              <w:right w:val="nil"/>
            </w:tcBorders>
          </w:tcPr>
          <w:p w14:paraId="199B941A" w14:textId="637D1558" w:rsidR="009E674A" w:rsidRDefault="009E674A" w:rsidP="006F668F">
            <w:pPr>
              <w:spacing w:after="220"/>
              <w:rPr>
                <w:rFonts w:cs="Arial"/>
                <w:color w:val="0D0D0D" w:themeColor="text1" w:themeTint="F2"/>
                <w:spacing w:val="-4"/>
              </w:rPr>
            </w:pPr>
            <w:r>
              <w:rPr>
                <w:rFonts w:cs="Arial"/>
                <w:color w:val="0D0D0D" w:themeColor="text1" w:themeTint="F2"/>
                <w:spacing w:val="-4"/>
              </w:rPr>
              <w:t>Navzdory pokračujícímu procesu demografického stárnutí se ekonomická aktivita (participace) obyvatelstva ČR dlouhodobě zvyšuje. Zatímco počet obyvatel v produktivním věku (15 až 6</w:t>
            </w:r>
            <w:r w:rsidR="00D82A1E">
              <w:rPr>
                <w:rFonts w:cs="Arial"/>
                <w:color w:val="0D0D0D" w:themeColor="text1" w:themeTint="F2"/>
                <w:spacing w:val="-4"/>
              </w:rPr>
              <w:t>4 </w:t>
            </w:r>
            <w:r>
              <w:rPr>
                <w:rFonts w:cs="Arial"/>
                <w:color w:val="0D0D0D" w:themeColor="text1" w:themeTint="F2"/>
                <w:spacing w:val="-4"/>
              </w:rPr>
              <w:t>let) se v poslední dekádě plynule redukoval (dle údajů z výběrového šetření v domácnostech byl proti roku 2009 loni nižší o více než 55</w:t>
            </w:r>
            <w:r w:rsidR="00D82A1E">
              <w:rPr>
                <w:rFonts w:cs="Arial"/>
                <w:color w:val="0D0D0D" w:themeColor="text1" w:themeTint="F2"/>
                <w:spacing w:val="-4"/>
              </w:rPr>
              <w:t>2 </w:t>
            </w:r>
            <w:r>
              <w:rPr>
                <w:rFonts w:cs="Arial"/>
                <w:color w:val="0D0D0D" w:themeColor="text1" w:themeTint="F2"/>
                <w:spacing w:val="-4"/>
              </w:rPr>
              <w:t>tis. osob, resp.</w:t>
            </w:r>
            <w:r w:rsidR="00F724F9">
              <w:rPr>
                <w:rFonts w:cs="Arial"/>
                <w:color w:val="0D0D0D" w:themeColor="text1" w:themeTint="F2"/>
                <w:spacing w:val="-4"/>
              </w:rPr>
              <w:t> </w:t>
            </w:r>
            <w:r>
              <w:rPr>
                <w:rFonts w:cs="Arial"/>
                <w:color w:val="0D0D0D" w:themeColor="text1" w:themeTint="F2"/>
                <w:spacing w:val="-4"/>
              </w:rPr>
              <w:t>7,4</w:t>
            </w:r>
            <w:r w:rsidR="006454CC">
              <w:rPr>
                <w:rFonts w:cs="Arial"/>
                <w:color w:val="0D0D0D" w:themeColor="text1" w:themeTint="F2"/>
                <w:spacing w:val="-4"/>
              </w:rPr>
              <w:t> %</w:t>
            </w:r>
            <w:r>
              <w:rPr>
                <w:rFonts w:cs="Arial"/>
                <w:color w:val="0D0D0D" w:themeColor="text1" w:themeTint="F2"/>
                <w:spacing w:val="-4"/>
              </w:rPr>
              <w:t>), ekonomicky aktivních naopak přibývalo. Výsledkem byl růst míry ekonomické aktivity populace v produktivním věku. Ta rostla již desátým rokem v řadě, když loni dosáhla 76,6</w:t>
            </w:r>
            <w:r w:rsidR="006454CC">
              <w:rPr>
                <w:rFonts w:cs="Arial"/>
                <w:color w:val="0D0D0D" w:themeColor="text1" w:themeTint="F2"/>
                <w:spacing w:val="-4"/>
              </w:rPr>
              <w:t> %</w:t>
            </w:r>
            <w:r>
              <w:rPr>
                <w:rFonts w:cs="Arial"/>
                <w:color w:val="0D0D0D" w:themeColor="text1" w:themeTint="F2"/>
                <w:spacing w:val="-4"/>
              </w:rPr>
              <w:t xml:space="preserve"> </w:t>
            </w:r>
            <w:r w:rsidR="00BC7833">
              <w:rPr>
                <w:rFonts w:cs="Arial"/>
                <w:color w:val="0D0D0D" w:themeColor="text1" w:themeTint="F2"/>
                <w:spacing w:val="-4"/>
              </w:rPr>
              <w:t>a </w:t>
            </w:r>
            <w:r>
              <w:rPr>
                <w:rFonts w:cs="Arial"/>
                <w:color w:val="0D0D0D" w:themeColor="text1" w:themeTint="F2"/>
                <w:spacing w:val="-4"/>
              </w:rPr>
              <w:t xml:space="preserve">meziročně posílila </w:t>
            </w:r>
            <w:r w:rsidR="00BC7833">
              <w:rPr>
                <w:rFonts w:cs="Arial"/>
                <w:color w:val="0D0D0D" w:themeColor="text1" w:themeTint="F2"/>
                <w:spacing w:val="-4"/>
              </w:rPr>
              <w:t>o </w:t>
            </w:r>
            <w:r>
              <w:rPr>
                <w:rFonts w:cs="Arial"/>
                <w:color w:val="0D0D0D" w:themeColor="text1" w:themeTint="F2"/>
                <w:spacing w:val="-4"/>
              </w:rPr>
              <w:t>0,</w:t>
            </w:r>
            <w:r w:rsidR="00D82A1E">
              <w:rPr>
                <w:rFonts w:cs="Arial"/>
                <w:color w:val="0D0D0D" w:themeColor="text1" w:themeTint="F2"/>
                <w:spacing w:val="-4"/>
              </w:rPr>
              <w:t>7 </w:t>
            </w:r>
            <w:r>
              <w:rPr>
                <w:rFonts w:cs="Arial"/>
                <w:color w:val="0D0D0D" w:themeColor="text1" w:themeTint="F2"/>
                <w:spacing w:val="-4"/>
              </w:rPr>
              <w:t xml:space="preserve">procentního bodu. Od roku 2016 se tak </w:t>
            </w:r>
            <w:r w:rsidR="00F724F9">
              <w:rPr>
                <w:rFonts w:cs="Arial"/>
                <w:color w:val="0D0D0D" w:themeColor="text1" w:themeTint="F2"/>
                <w:spacing w:val="-4"/>
              </w:rPr>
              <w:t xml:space="preserve">nacházely </w:t>
            </w:r>
            <w:r>
              <w:rPr>
                <w:rFonts w:cs="Arial"/>
                <w:color w:val="0D0D0D" w:themeColor="text1" w:themeTint="F2"/>
                <w:spacing w:val="-4"/>
              </w:rPr>
              <w:t>ve stavu zaměstnaných či nezaměstnaných více než tři čtvrtiny obyvatel produktivního věku.</w:t>
            </w:r>
          </w:p>
        </w:tc>
      </w:tr>
      <w:tr w:rsidR="009E674A" w14:paraId="2398AB05" w14:textId="77777777" w:rsidTr="006F668F">
        <w:trPr>
          <w:trHeight w:val="145"/>
        </w:trPr>
        <w:tc>
          <w:tcPr>
            <w:tcW w:w="1976" w:type="dxa"/>
            <w:tcBorders>
              <w:top w:val="nil"/>
              <w:left w:val="nil"/>
              <w:bottom w:val="nil"/>
              <w:right w:val="nil"/>
            </w:tcBorders>
          </w:tcPr>
          <w:p w14:paraId="4B7D2C89" w14:textId="4EE8D440" w:rsidR="009E674A" w:rsidRDefault="009E674A" w:rsidP="006F668F">
            <w:pPr>
              <w:pStyle w:val="Marginlie"/>
            </w:pPr>
            <w:r>
              <w:t>…</w:t>
            </w:r>
            <w:r w:rsidR="00626D21">
              <w:t> </w:t>
            </w:r>
            <w:r>
              <w:t xml:space="preserve">ale </w:t>
            </w:r>
            <w:r w:rsidR="00BC7833">
              <w:t>i </w:t>
            </w:r>
            <w:r>
              <w:t>posunu populačně silných ročníků do věkových skupin s nejvyšší mírou ekonomické aktivity.</w:t>
            </w:r>
          </w:p>
        </w:tc>
        <w:tc>
          <w:tcPr>
            <w:tcW w:w="277" w:type="dxa"/>
            <w:tcBorders>
              <w:top w:val="nil"/>
              <w:left w:val="nil"/>
              <w:bottom w:val="nil"/>
              <w:right w:val="nil"/>
            </w:tcBorders>
          </w:tcPr>
          <w:p w14:paraId="1C224F9A" w14:textId="77777777" w:rsidR="009E674A" w:rsidRPr="005E4483" w:rsidRDefault="009E674A" w:rsidP="006F668F">
            <w:pPr>
              <w:pStyle w:val="Textpoznpodarou"/>
              <w:jc w:val="both"/>
              <w:rPr>
                <w:spacing w:val="-4"/>
              </w:rPr>
            </w:pPr>
          </w:p>
        </w:tc>
        <w:tc>
          <w:tcPr>
            <w:tcW w:w="7391" w:type="dxa"/>
            <w:tcBorders>
              <w:top w:val="nil"/>
              <w:left w:val="nil"/>
              <w:bottom w:val="nil"/>
              <w:right w:val="nil"/>
            </w:tcBorders>
          </w:tcPr>
          <w:p w14:paraId="6B547EFD" w14:textId="2C29FD9C" w:rsidR="009E674A" w:rsidRPr="00C87BFB" w:rsidRDefault="009E674A" w:rsidP="006F668F">
            <w:pPr>
              <w:spacing w:after="220"/>
              <w:rPr>
                <w:rFonts w:cs="Arial"/>
                <w:color w:val="0D0D0D" w:themeColor="text1" w:themeTint="F2"/>
                <w:spacing w:val="-4"/>
              </w:rPr>
            </w:pPr>
            <w:r>
              <w:rPr>
                <w:rFonts w:cs="Arial"/>
                <w:color w:val="0D0D0D" w:themeColor="text1" w:themeTint="F2"/>
                <w:spacing w:val="-4"/>
              </w:rPr>
              <w:t>Počet všech ekonomicky aktivních čítal loni 5 41</w:t>
            </w:r>
            <w:r w:rsidR="00D82A1E">
              <w:rPr>
                <w:rFonts w:cs="Arial"/>
                <w:color w:val="0D0D0D" w:themeColor="text1" w:themeTint="F2"/>
                <w:spacing w:val="-4"/>
              </w:rPr>
              <w:t>5 </w:t>
            </w:r>
            <w:r>
              <w:rPr>
                <w:rFonts w:cs="Arial"/>
                <w:color w:val="0D0D0D" w:themeColor="text1" w:themeTint="F2"/>
                <w:spacing w:val="-4"/>
              </w:rPr>
              <w:t>tis. osob. K jeho navyšování přispěla v poslední dekádě</w:t>
            </w:r>
            <w:r>
              <w:rPr>
                <w:rStyle w:val="Znakapoznpodarou"/>
                <w:rFonts w:cs="Arial"/>
                <w:color w:val="0D0D0D" w:themeColor="text1" w:themeTint="F2"/>
                <w:spacing w:val="-4"/>
              </w:rPr>
              <w:footnoteReference w:id="3"/>
            </w:r>
            <w:r>
              <w:rPr>
                <w:rFonts w:cs="Arial"/>
                <w:color w:val="0D0D0D" w:themeColor="text1" w:themeTint="F2"/>
                <w:spacing w:val="-4"/>
              </w:rPr>
              <w:t xml:space="preserve"> hlavně vyšší míra participace</w:t>
            </w:r>
            <w:r>
              <w:rPr>
                <w:rStyle w:val="Znakapoznpodarou"/>
                <w:rFonts w:cs="Arial"/>
                <w:color w:val="0D0D0D" w:themeColor="text1" w:themeTint="F2"/>
                <w:spacing w:val="-4"/>
              </w:rPr>
              <w:footnoteReference w:id="4"/>
            </w:r>
            <w:r>
              <w:rPr>
                <w:rFonts w:cs="Arial"/>
                <w:color w:val="0D0D0D" w:themeColor="text1" w:themeTint="F2"/>
                <w:spacing w:val="-4"/>
              </w:rPr>
              <w:t xml:space="preserve">, jež na jedné straně odrážela efekt hospodářského růstu (projevující se sílící poptávkou po pracovní síle), na druhé straně ale </w:t>
            </w:r>
            <w:r w:rsidR="00BC7833">
              <w:rPr>
                <w:rFonts w:cs="Arial"/>
                <w:color w:val="0D0D0D" w:themeColor="text1" w:themeTint="F2"/>
                <w:spacing w:val="-4"/>
              </w:rPr>
              <w:t>i </w:t>
            </w:r>
            <w:r>
              <w:rPr>
                <w:rFonts w:cs="Arial"/>
                <w:color w:val="0D0D0D" w:themeColor="text1" w:themeTint="F2"/>
                <w:spacing w:val="-4"/>
              </w:rPr>
              <w:t>významný dopad legislativních změn v oblasti pracovního trhu (především plynulé zvyšování zákonného důchodového věku). Vedle toho byl ale stále významněji patrný i tzv.</w:t>
            </w:r>
            <w:r w:rsidR="00F724F9">
              <w:rPr>
                <w:rFonts w:cs="Arial"/>
                <w:color w:val="0D0D0D" w:themeColor="text1" w:themeTint="F2"/>
                <w:spacing w:val="-4"/>
              </w:rPr>
              <w:t> </w:t>
            </w:r>
            <w:r>
              <w:rPr>
                <w:rFonts w:cs="Arial"/>
                <w:color w:val="0D0D0D" w:themeColor="text1" w:themeTint="F2"/>
                <w:spacing w:val="-4"/>
              </w:rPr>
              <w:t>demografický efekt</w:t>
            </w:r>
            <w:r>
              <w:rPr>
                <w:rStyle w:val="Znakapoznpodarou"/>
                <w:rFonts w:cs="Arial"/>
                <w:color w:val="0D0D0D" w:themeColor="text1" w:themeTint="F2"/>
                <w:spacing w:val="-4"/>
              </w:rPr>
              <w:footnoteReference w:id="5"/>
            </w:r>
            <w:r w:rsidR="00F724F9">
              <w:rPr>
                <w:rFonts w:cs="Arial"/>
                <w:color w:val="0D0D0D" w:themeColor="text1" w:themeTint="F2"/>
                <w:spacing w:val="-4"/>
              </w:rPr>
              <w:t xml:space="preserve">, </w:t>
            </w:r>
            <w:r>
              <w:rPr>
                <w:rFonts w:cs="Arial"/>
                <w:color w:val="0D0D0D" w:themeColor="text1" w:themeTint="F2"/>
                <w:spacing w:val="-4"/>
              </w:rPr>
              <w:t xml:space="preserve">spočívající v proměně věkové skladby osob v rámci produktivního věku (posun početně silných kohort narozených v 70. </w:t>
            </w:r>
            <w:r w:rsidR="00BC7833">
              <w:rPr>
                <w:rFonts w:cs="Arial"/>
                <w:color w:val="0D0D0D" w:themeColor="text1" w:themeTint="F2"/>
                <w:spacing w:val="-4"/>
              </w:rPr>
              <w:t>a </w:t>
            </w:r>
            <w:r>
              <w:rPr>
                <w:rFonts w:cs="Arial"/>
                <w:color w:val="0D0D0D" w:themeColor="text1" w:themeTint="F2"/>
                <w:spacing w:val="-4"/>
              </w:rPr>
              <w:t>8</w:t>
            </w:r>
            <w:r w:rsidR="00BC7833">
              <w:rPr>
                <w:rFonts w:cs="Arial"/>
                <w:color w:val="0D0D0D" w:themeColor="text1" w:themeTint="F2"/>
                <w:spacing w:val="-4"/>
              </w:rPr>
              <w:t>0. </w:t>
            </w:r>
            <w:r>
              <w:rPr>
                <w:rFonts w:cs="Arial"/>
                <w:color w:val="0D0D0D" w:themeColor="text1" w:themeTint="F2"/>
                <w:spacing w:val="-4"/>
              </w:rPr>
              <w:t>letech do věku s nejvyšší mírou ekonomické aktivity).</w:t>
            </w:r>
          </w:p>
        </w:tc>
      </w:tr>
      <w:tr w:rsidR="009E674A" w14:paraId="298ADC7D" w14:textId="77777777" w:rsidTr="006F668F">
        <w:trPr>
          <w:trHeight w:val="145"/>
        </w:trPr>
        <w:tc>
          <w:tcPr>
            <w:tcW w:w="1976" w:type="dxa"/>
            <w:tcBorders>
              <w:top w:val="nil"/>
              <w:left w:val="nil"/>
              <w:bottom w:val="nil"/>
              <w:right w:val="nil"/>
            </w:tcBorders>
          </w:tcPr>
          <w:p w14:paraId="32E5A314" w14:textId="77777777" w:rsidR="009E674A" w:rsidRDefault="009E674A" w:rsidP="006F668F">
            <w:pPr>
              <w:pStyle w:val="Marginlie"/>
            </w:pPr>
          </w:p>
        </w:tc>
        <w:tc>
          <w:tcPr>
            <w:tcW w:w="277" w:type="dxa"/>
            <w:tcBorders>
              <w:top w:val="nil"/>
              <w:left w:val="nil"/>
              <w:bottom w:val="nil"/>
              <w:right w:val="nil"/>
            </w:tcBorders>
          </w:tcPr>
          <w:p w14:paraId="2EADFBF3" w14:textId="77777777" w:rsidR="009E674A" w:rsidRPr="005E4483" w:rsidRDefault="009E674A" w:rsidP="006F668F">
            <w:pPr>
              <w:pStyle w:val="Textpoznpodarou"/>
              <w:jc w:val="both"/>
              <w:rPr>
                <w:spacing w:val="-4"/>
              </w:rPr>
            </w:pPr>
          </w:p>
        </w:tc>
        <w:tc>
          <w:tcPr>
            <w:tcW w:w="7391" w:type="dxa"/>
            <w:tcBorders>
              <w:top w:val="nil"/>
              <w:left w:val="nil"/>
              <w:bottom w:val="nil"/>
              <w:right w:val="nil"/>
            </w:tcBorders>
          </w:tcPr>
          <w:p w14:paraId="63A77044" w14:textId="7BA65BFC" w:rsidR="009E674A" w:rsidRDefault="009E674A" w:rsidP="006F668F">
            <w:pPr>
              <w:spacing w:after="0"/>
              <w:jc w:val="left"/>
              <w:rPr>
                <w:rFonts w:cs="Arial"/>
                <w:color w:val="0D0D0D" w:themeColor="text1" w:themeTint="F2"/>
                <w:spacing w:val="-4"/>
              </w:rPr>
            </w:pPr>
            <w:r>
              <w:rPr>
                <w:b/>
              </w:rPr>
              <w:t xml:space="preserve">Graf </w:t>
            </w:r>
            <w:r w:rsidR="009A4F91">
              <w:rPr>
                <w:b/>
              </w:rPr>
              <w:t>č.</w:t>
            </w:r>
            <w:r w:rsidR="00BA35F3">
              <w:rPr>
                <w:b/>
              </w:rPr>
              <w:t> </w:t>
            </w:r>
            <w:r w:rsidR="00BC7833">
              <w:rPr>
                <w:b/>
              </w:rPr>
              <w:t>1</w:t>
            </w:r>
            <w:r w:rsidR="00BA35F3">
              <w:rPr>
                <w:b/>
              </w:rPr>
              <w:t xml:space="preserve"> </w:t>
            </w:r>
            <w:r>
              <w:rPr>
                <w:b/>
              </w:rPr>
              <w:t xml:space="preserve"> Míra ekonomické aktivity obyvatel dle pohlaví </w:t>
            </w:r>
            <w:r w:rsidR="00BC7833">
              <w:rPr>
                <w:b/>
              </w:rPr>
              <w:t>a </w:t>
            </w:r>
            <w:r>
              <w:rPr>
                <w:b/>
              </w:rPr>
              <w:t xml:space="preserve">věku </w:t>
            </w:r>
            <w:r>
              <w:rPr>
                <w:spacing w:val="-3"/>
              </w:rPr>
              <w:t>(</w:t>
            </w:r>
            <w:r w:rsidRPr="000D13CF">
              <w:rPr>
                <w:spacing w:val="-3"/>
              </w:rPr>
              <w:t>v</w:t>
            </w:r>
            <w:r w:rsidR="006454CC">
              <w:rPr>
                <w:spacing w:val="-3"/>
              </w:rPr>
              <w:t> %</w:t>
            </w:r>
            <w:r w:rsidRPr="000D13CF">
              <w:rPr>
                <w:spacing w:val="-3"/>
              </w:rPr>
              <w:t>)</w:t>
            </w:r>
            <w:r>
              <w:rPr>
                <w:spacing w:val="-3"/>
              </w:rPr>
              <w:t xml:space="preserve"> </w:t>
            </w:r>
            <w:r w:rsidR="00BC7833" w:rsidRPr="00021653">
              <w:rPr>
                <w:b/>
                <w:spacing w:val="-3"/>
              </w:rPr>
              <w:t>a</w:t>
            </w:r>
            <w:r w:rsidR="00BC7833">
              <w:rPr>
                <w:b/>
                <w:spacing w:val="-3"/>
              </w:rPr>
              <w:t> </w:t>
            </w:r>
            <w:r w:rsidRPr="00021653">
              <w:rPr>
                <w:b/>
                <w:spacing w:val="-3"/>
              </w:rPr>
              <w:t>počet ekonomicky aktivních obyvatel</w:t>
            </w:r>
            <w:r>
              <w:rPr>
                <w:spacing w:val="-3"/>
              </w:rPr>
              <w:t xml:space="preserve"> (úroveň roku 2000</w:t>
            </w:r>
            <w:r w:rsidR="00BF67DD">
              <w:rPr>
                <w:spacing w:val="-3"/>
              </w:rPr>
              <w:t xml:space="preserve"> </w:t>
            </w:r>
            <w:r>
              <w:rPr>
                <w:spacing w:val="-3"/>
              </w:rPr>
              <w:t>=</w:t>
            </w:r>
            <w:r w:rsidR="00BF67DD">
              <w:rPr>
                <w:spacing w:val="-3"/>
              </w:rPr>
              <w:t xml:space="preserve"> </w:t>
            </w:r>
            <w:r>
              <w:rPr>
                <w:spacing w:val="-3"/>
              </w:rPr>
              <w:t>100, pravá osa)</w:t>
            </w:r>
          </w:p>
        </w:tc>
      </w:tr>
      <w:tr w:rsidR="009E674A" w14:paraId="3521A156" w14:textId="77777777" w:rsidTr="00525824">
        <w:tblPrEx>
          <w:tblCellMar>
            <w:left w:w="70" w:type="dxa"/>
            <w:right w:w="70" w:type="dxa"/>
          </w:tblCellMar>
        </w:tblPrEx>
        <w:trPr>
          <w:trHeight w:val="145"/>
        </w:trPr>
        <w:tc>
          <w:tcPr>
            <w:tcW w:w="1976" w:type="dxa"/>
            <w:tcBorders>
              <w:top w:val="nil"/>
              <w:left w:val="nil"/>
              <w:bottom w:val="nil"/>
              <w:right w:val="nil"/>
            </w:tcBorders>
          </w:tcPr>
          <w:p w14:paraId="4F395D95" w14:textId="77777777" w:rsidR="009E674A" w:rsidRDefault="009E674A" w:rsidP="006F668F">
            <w:pPr>
              <w:pStyle w:val="Marginlie"/>
            </w:pPr>
          </w:p>
        </w:tc>
        <w:tc>
          <w:tcPr>
            <w:tcW w:w="277" w:type="dxa"/>
            <w:tcBorders>
              <w:top w:val="nil"/>
              <w:left w:val="nil"/>
              <w:bottom w:val="nil"/>
              <w:right w:val="nil"/>
            </w:tcBorders>
          </w:tcPr>
          <w:p w14:paraId="66C8037B" w14:textId="77777777" w:rsidR="009E674A" w:rsidRPr="005E4483" w:rsidRDefault="009E674A" w:rsidP="006F668F">
            <w:pPr>
              <w:pStyle w:val="Textpoznpodarou"/>
              <w:jc w:val="both"/>
              <w:rPr>
                <w:spacing w:val="-4"/>
              </w:rPr>
            </w:pPr>
          </w:p>
        </w:tc>
        <w:tc>
          <w:tcPr>
            <w:tcW w:w="7391" w:type="dxa"/>
            <w:tcBorders>
              <w:top w:val="nil"/>
              <w:left w:val="nil"/>
              <w:bottom w:val="nil"/>
              <w:right w:val="nil"/>
            </w:tcBorders>
          </w:tcPr>
          <w:p w14:paraId="223A642C" w14:textId="19C4E7E3" w:rsidR="009E674A" w:rsidRDefault="00525824" w:rsidP="006F668F">
            <w:pPr>
              <w:spacing w:after="0"/>
              <w:rPr>
                <w:rFonts w:cs="Arial"/>
                <w:color w:val="0D0D0D" w:themeColor="text1" w:themeTint="F2"/>
                <w:spacing w:val="-4"/>
              </w:rPr>
            </w:pPr>
            <w:r>
              <w:rPr>
                <w:noProof/>
              </w:rPr>
              <w:drawing>
                <wp:inline distT="0" distB="0" distL="0" distR="0" wp14:anchorId="3200A8B6" wp14:editId="5F606E5D">
                  <wp:extent cx="4513194" cy="3390487"/>
                  <wp:effectExtent l="0" t="0" r="1905" b="635"/>
                  <wp:docPr id="21" name="Graf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tc>
      </w:tr>
      <w:tr w:rsidR="009E674A" w14:paraId="67650055" w14:textId="77777777" w:rsidTr="006F668F">
        <w:trPr>
          <w:trHeight w:val="145"/>
        </w:trPr>
        <w:tc>
          <w:tcPr>
            <w:tcW w:w="1976" w:type="dxa"/>
            <w:tcBorders>
              <w:top w:val="nil"/>
              <w:left w:val="nil"/>
              <w:bottom w:val="nil"/>
              <w:right w:val="nil"/>
            </w:tcBorders>
          </w:tcPr>
          <w:p w14:paraId="6637204E" w14:textId="77777777" w:rsidR="009E674A" w:rsidRDefault="009E674A" w:rsidP="006F668F">
            <w:pPr>
              <w:pStyle w:val="Marginlie"/>
            </w:pPr>
          </w:p>
        </w:tc>
        <w:tc>
          <w:tcPr>
            <w:tcW w:w="277" w:type="dxa"/>
            <w:tcBorders>
              <w:top w:val="nil"/>
              <w:left w:val="nil"/>
              <w:bottom w:val="nil"/>
              <w:right w:val="nil"/>
            </w:tcBorders>
          </w:tcPr>
          <w:p w14:paraId="6BDF35C9" w14:textId="77777777" w:rsidR="009E674A" w:rsidRPr="005E4483" w:rsidRDefault="009E674A" w:rsidP="006F668F">
            <w:pPr>
              <w:pStyle w:val="Textpoznpodarou"/>
              <w:jc w:val="both"/>
              <w:rPr>
                <w:spacing w:val="-4"/>
              </w:rPr>
            </w:pPr>
          </w:p>
        </w:tc>
        <w:tc>
          <w:tcPr>
            <w:tcW w:w="7391" w:type="dxa"/>
            <w:tcBorders>
              <w:top w:val="nil"/>
              <w:left w:val="nil"/>
              <w:bottom w:val="nil"/>
              <w:right w:val="nil"/>
            </w:tcBorders>
          </w:tcPr>
          <w:p w14:paraId="6D1F5DF9" w14:textId="55538360" w:rsidR="009E674A" w:rsidRPr="004E0BFC" w:rsidRDefault="009E674A" w:rsidP="006F668F">
            <w:pPr>
              <w:spacing w:after="220"/>
              <w:rPr>
                <w:rFonts w:cs="Arial"/>
                <w:sz w:val="14"/>
                <w:szCs w:val="14"/>
              </w:rPr>
            </w:pPr>
            <w:r>
              <w:rPr>
                <w:rFonts w:cs="Arial"/>
                <w:sz w:val="14"/>
                <w:szCs w:val="14"/>
              </w:rPr>
              <w:t>Zdroj: ČSÚ (výběrové šetření pracovních sil</w:t>
            </w:r>
            <w:r w:rsidR="0037734D">
              <w:rPr>
                <w:rFonts w:cs="Arial"/>
                <w:sz w:val="14"/>
                <w:szCs w:val="14"/>
              </w:rPr>
              <w:t xml:space="preserve"> – </w:t>
            </w:r>
            <w:r>
              <w:rPr>
                <w:rFonts w:cs="Arial"/>
                <w:sz w:val="14"/>
                <w:szCs w:val="14"/>
              </w:rPr>
              <w:t>VŠPS).</w:t>
            </w:r>
          </w:p>
        </w:tc>
      </w:tr>
      <w:tr w:rsidR="009E674A" w14:paraId="5BC13627" w14:textId="77777777" w:rsidTr="006F668F">
        <w:trPr>
          <w:trHeight w:val="145"/>
        </w:trPr>
        <w:tc>
          <w:tcPr>
            <w:tcW w:w="1976" w:type="dxa"/>
            <w:tcBorders>
              <w:top w:val="nil"/>
              <w:left w:val="nil"/>
              <w:bottom w:val="nil"/>
              <w:right w:val="nil"/>
            </w:tcBorders>
          </w:tcPr>
          <w:p w14:paraId="28CAA5DB" w14:textId="77777777" w:rsidR="009E674A" w:rsidRDefault="009E674A" w:rsidP="006F668F">
            <w:pPr>
              <w:pStyle w:val="Marginlie"/>
            </w:pPr>
            <w:r>
              <w:lastRenderedPageBreak/>
              <w:t xml:space="preserve">Míra ekonomické aktivity roste znatelně dynamičtěji u žen, především vlivem svižnějšího zvyšování důchodového věku. Přibývá ale </w:t>
            </w:r>
            <w:r w:rsidR="00BC7833">
              <w:t>i </w:t>
            </w:r>
            <w:r>
              <w:t>pracujících nad 6</w:t>
            </w:r>
            <w:r w:rsidR="00D82A1E">
              <w:t>4 </w:t>
            </w:r>
            <w:r>
              <w:t>let.</w:t>
            </w:r>
          </w:p>
        </w:tc>
        <w:tc>
          <w:tcPr>
            <w:tcW w:w="277" w:type="dxa"/>
            <w:tcBorders>
              <w:top w:val="nil"/>
              <w:left w:val="nil"/>
              <w:bottom w:val="nil"/>
              <w:right w:val="nil"/>
            </w:tcBorders>
          </w:tcPr>
          <w:p w14:paraId="01498865" w14:textId="77777777" w:rsidR="009E674A" w:rsidRPr="005E4483" w:rsidRDefault="009E674A" w:rsidP="006F668F">
            <w:pPr>
              <w:pStyle w:val="Textpoznpodarou"/>
              <w:jc w:val="both"/>
              <w:rPr>
                <w:spacing w:val="-4"/>
              </w:rPr>
            </w:pPr>
          </w:p>
        </w:tc>
        <w:tc>
          <w:tcPr>
            <w:tcW w:w="7391" w:type="dxa"/>
            <w:tcBorders>
              <w:top w:val="nil"/>
              <w:left w:val="nil"/>
              <w:bottom w:val="nil"/>
              <w:right w:val="nil"/>
            </w:tcBorders>
          </w:tcPr>
          <w:p w14:paraId="7D024941" w14:textId="22468FC7" w:rsidR="009E674A" w:rsidRDefault="00BC7833" w:rsidP="006F668F">
            <w:pPr>
              <w:spacing w:after="220"/>
              <w:rPr>
                <w:rFonts w:cs="Arial"/>
                <w:color w:val="0D0D0D" w:themeColor="text1" w:themeTint="F2"/>
                <w:spacing w:val="-4"/>
              </w:rPr>
            </w:pPr>
            <w:r>
              <w:rPr>
                <w:rFonts w:cs="Arial"/>
                <w:color w:val="0D0D0D" w:themeColor="text1" w:themeTint="F2"/>
                <w:spacing w:val="-4"/>
              </w:rPr>
              <w:t>K </w:t>
            </w:r>
            <w:r w:rsidR="009E674A">
              <w:rPr>
                <w:rFonts w:cs="Arial"/>
                <w:color w:val="0D0D0D" w:themeColor="text1" w:themeTint="F2"/>
                <w:spacing w:val="-4"/>
              </w:rPr>
              <w:t>rostoucí míře participace přispívají v posledních letech více ženy, u nichž se projevuje zejména vliv rychlejšího zvyšování zákonného důchodového věku. Zatímco v roce 2008 se ve věku 60 až 6</w:t>
            </w:r>
            <w:r w:rsidR="00D82A1E">
              <w:rPr>
                <w:rFonts w:cs="Arial"/>
                <w:color w:val="0D0D0D" w:themeColor="text1" w:themeTint="F2"/>
                <w:spacing w:val="-4"/>
              </w:rPr>
              <w:t>4 </w:t>
            </w:r>
            <w:r w:rsidR="009E674A">
              <w:rPr>
                <w:rFonts w:cs="Arial"/>
                <w:color w:val="0D0D0D" w:themeColor="text1" w:themeTint="F2"/>
                <w:spacing w:val="-4"/>
              </w:rPr>
              <w:t xml:space="preserve">let mezi ekonomicky aktivní řadila zhruba jen sedmina </w:t>
            </w:r>
            <w:r>
              <w:rPr>
                <w:rFonts w:cs="Arial"/>
                <w:color w:val="0D0D0D" w:themeColor="text1" w:themeTint="F2"/>
                <w:spacing w:val="-4"/>
              </w:rPr>
              <w:t>z </w:t>
            </w:r>
            <w:r w:rsidR="009E674A">
              <w:rPr>
                <w:rFonts w:cs="Arial"/>
                <w:color w:val="0D0D0D" w:themeColor="text1" w:themeTint="F2"/>
                <w:spacing w:val="-4"/>
              </w:rPr>
              <w:t>nich, o deset let později již více než třetina (mezi muži v tomto věku přesahovala ovšem loni míra aktivity 60</w:t>
            </w:r>
            <w:r w:rsidR="006454CC">
              <w:rPr>
                <w:rFonts w:cs="Arial"/>
                <w:color w:val="0D0D0D" w:themeColor="text1" w:themeTint="F2"/>
                <w:spacing w:val="-4"/>
              </w:rPr>
              <w:t> %</w:t>
            </w:r>
            <w:r w:rsidR="009E674A">
              <w:rPr>
                <w:rFonts w:cs="Arial"/>
                <w:color w:val="0D0D0D" w:themeColor="text1" w:themeTint="F2"/>
                <w:spacing w:val="-4"/>
              </w:rPr>
              <w:t xml:space="preserve">). Nedostatečně saturovaná poptávka po pracovnících zvyšující úroveň potenciálních výdělků (podpořená </w:t>
            </w:r>
            <w:r>
              <w:rPr>
                <w:rFonts w:cs="Arial"/>
                <w:color w:val="0D0D0D" w:themeColor="text1" w:themeTint="F2"/>
                <w:spacing w:val="-4"/>
              </w:rPr>
              <w:t>i </w:t>
            </w:r>
            <w:r w:rsidR="009E674A">
              <w:rPr>
                <w:rFonts w:cs="Arial"/>
                <w:color w:val="0D0D0D" w:themeColor="text1" w:themeTint="F2"/>
                <w:spacing w:val="-4"/>
              </w:rPr>
              <w:t xml:space="preserve">navyšováním minimální mzdy </w:t>
            </w:r>
            <w:r w:rsidR="00E402A5">
              <w:rPr>
                <w:rFonts w:cs="Arial"/>
                <w:color w:val="0D0D0D" w:themeColor="text1" w:themeTint="F2"/>
                <w:spacing w:val="-4"/>
              </w:rPr>
              <w:t>a</w:t>
            </w:r>
            <w:r w:rsidR="009E674A">
              <w:rPr>
                <w:rFonts w:cs="Arial"/>
                <w:color w:val="0D0D0D" w:themeColor="text1" w:themeTint="F2"/>
                <w:spacing w:val="-4"/>
              </w:rPr>
              <w:t xml:space="preserve"> daňovými úlevami) </w:t>
            </w:r>
            <w:r w:rsidR="00E402A5">
              <w:rPr>
                <w:rFonts w:cs="Arial"/>
                <w:color w:val="0D0D0D" w:themeColor="text1" w:themeTint="F2"/>
                <w:spacing w:val="-4"/>
              </w:rPr>
              <w:t xml:space="preserve">a naproti tomu </w:t>
            </w:r>
            <w:r w:rsidR="009E674A">
              <w:rPr>
                <w:rFonts w:cs="Arial"/>
                <w:color w:val="0D0D0D" w:themeColor="text1" w:themeTint="F2"/>
                <w:spacing w:val="-4"/>
              </w:rPr>
              <w:t>rostoucí výdaje domácností seniorů spojené s bydlením vytvář</w:t>
            </w:r>
            <w:r w:rsidR="00D64026">
              <w:rPr>
                <w:rFonts w:cs="Arial"/>
                <w:color w:val="0D0D0D" w:themeColor="text1" w:themeTint="F2"/>
                <w:spacing w:val="-4"/>
              </w:rPr>
              <w:t>ej</w:t>
            </w:r>
            <w:r w:rsidR="009E674A">
              <w:rPr>
                <w:rFonts w:cs="Arial"/>
                <w:color w:val="0D0D0D" w:themeColor="text1" w:themeTint="F2"/>
                <w:spacing w:val="-4"/>
              </w:rPr>
              <w:t>í příznivé podmínky pro větší zapojení lidí v poproduktivním věku na pracovní</w:t>
            </w:r>
            <w:r w:rsidR="00D64026">
              <w:rPr>
                <w:rFonts w:cs="Arial"/>
                <w:color w:val="0D0D0D" w:themeColor="text1" w:themeTint="F2"/>
                <w:spacing w:val="-4"/>
              </w:rPr>
              <w:t>m</w:t>
            </w:r>
            <w:r w:rsidR="009E674A">
              <w:rPr>
                <w:rFonts w:cs="Arial"/>
                <w:color w:val="0D0D0D" w:themeColor="text1" w:themeTint="F2"/>
                <w:spacing w:val="-4"/>
              </w:rPr>
              <w:t xml:space="preserve"> trh</w:t>
            </w:r>
            <w:r w:rsidR="00D64026">
              <w:rPr>
                <w:rFonts w:cs="Arial"/>
                <w:color w:val="0D0D0D" w:themeColor="text1" w:themeTint="F2"/>
                <w:spacing w:val="-4"/>
              </w:rPr>
              <w:t>u</w:t>
            </w:r>
            <w:r w:rsidR="009E674A">
              <w:rPr>
                <w:rFonts w:cs="Arial"/>
                <w:color w:val="0D0D0D" w:themeColor="text1" w:themeTint="F2"/>
                <w:spacing w:val="-4"/>
              </w:rPr>
              <w:t>. Míra ekonomické aktivity seniorů ve věku 65 až 7</w:t>
            </w:r>
            <w:r w:rsidR="00D82A1E">
              <w:rPr>
                <w:rFonts w:cs="Arial"/>
                <w:color w:val="0D0D0D" w:themeColor="text1" w:themeTint="F2"/>
                <w:spacing w:val="-4"/>
              </w:rPr>
              <w:t>4 </w:t>
            </w:r>
            <w:r w:rsidR="009E674A">
              <w:rPr>
                <w:rFonts w:cs="Arial"/>
                <w:color w:val="0D0D0D" w:themeColor="text1" w:themeTint="F2"/>
                <w:spacing w:val="-4"/>
              </w:rPr>
              <w:t>let se za poslední čtyři roky zvýšila o polovinu. V roce 2018 tak pracovalo 14</w:t>
            </w:r>
            <w:r w:rsidR="006454CC">
              <w:rPr>
                <w:rFonts w:cs="Arial"/>
                <w:color w:val="0D0D0D" w:themeColor="text1" w:themeTint="F2"/>
                <w:spacing w:val="-4"/>
              </w:rPr>
              <w:t> %</w:t>
            </w:r>
            <w:r w:rsidR="009E674A">
              <w:rPr>
                <w:rFonts w:cs="Arial"/>
                <w:color w:val="0D0D0D" w:themeColor="text1" w:themeTint="F2"/>
                <w:spacing w:val="-4"/>
              </w:rPr>
              <w:t xml:space="preserve"> mužů </w:t>
            </w:r>
            <w:r>
              <w:rPr>
                <w:rFonts w:cs="Arial"/>
                <w:color w:val="0D0D0D" w:themeColor="text1" w:themeTint="F2"/>
                <w:spacing w:val="-4"/>
              </w:rPr>
              <w:t>a </w:t>
            </w:r>
            <w:r w:rsidR="009E674A">
              <w:rPr>
                <w:rFonts w:cs="Arial"/>
                <w:color w:val="0D0D0D" w:themeColor="text1" w:themeTint="F2"/>
                <w:spacing w:val="-4"/>
              </w:rPr>
              <w:t>8</w:t>
            </w:r>
            <w:r w:rsidR="006454CC">
              <w:rPr>
                <w:rFonts w:cs="Arial"/>
                <w:color w:val="0D0D0D" w:themeColor="text1" w:themeTint="F2"/>
                <w:spacing w:val="-4"/>
              </w:rPr>
              <w:t> %</w:t>
            </w:r>
            <w:r w:rsidR="009E674A">
              <w:rPr>
                <w:rFonts w:cs="Arial"/>
                <w:color w:val="0D0D0D" w:themeColor="text1" w:themeTint="F2"/>
                <w:spacing w:val="-4"/>
              </w:rPr>
              <w:t xml:space="preserve"> žen v tomto věku.</w:t>
            </w:r>
          </w:p>
        </w:tc>
      </w:tr>
      <w:tr w:rsidR="009E674A" w14:paraId="41580431" w14:textId="77777777" w:rsidTr="006F668F">
        <w:trPr>
          <w:trHeight w:val="145"/>
        </w:trPr>
        <w:tc>
          <w:tcPr>
            <w:tcW w:w="1976" w:type="dxa"/>
            <w:tcBorders>
              <w:top w:val="nil"/>
              <w:left w:val="nil"/>
              <w:bottom w:val="nil"/>
              <w:right w:val="nil"/>
            </w:tcBorders>
          </w:tcPr>
          <w:p w14:paraId="1E475EFF" w14:textId="1CA08534" w:rsidR="009E674A" w:rsidRDefault="009E674A" w:rsidP="006F668F">
            <w:pPr>
              <w:pStyle w:val="Marginlie"/>
            </w:pPr>
            <w:r>
              <w:t>Míra aktivity mladých do 2</w:t>
            </w:r>
            <w:r w:rsidR="00D82A1E">
              <w:t>5 </w:t>
            </w:r>
            <w:r>
              <w:t xml:space="preserve">let </w:t>
            </w:r>
            <w:r w:rsidR="00D64026">
              <w:t xml:space="preserve">se </w:t>
            </w:r>
            <w:r>
              <w:t>mírně snížila. Klesla i participace žen ve věku 30 až 3</w:t>
            </w:r>
            <w:r w:rsidR="00D82A1E">
              <w:t>4 </w:t>
            </w:r>
            <w:r>
              <w:t xml:space="preserve">let. </w:t>
            </w:r>
            <w:r w:rsidR="00BC7833">
              <w:t>U </w:t>
            </w:r>
            <w:r>
              <w:t>osob ve</w:t>
            </w:r>
            <w:r w:rsidR="00D64026">
              <w:t> </w:t>
            </w:r>
            <w:r>
              <w:t>středních věkových skupinách aktivita stagnovala na vysoké úrovni.</w:t>
            </w:r>
          </w:p>
        </w:tc>
        <w:tc>
          <w:tcPr>
            <w:tcW w:w="277" w:type="dxa"/>
            <w:tcBorders>
              <w:top w:val="nil"/>
              <w:left w:val="nil"/>
              <w:bottom w:val="nil"/>
              <w:right w:val="nil"/>
            </w:tcBorders>
          </w:tcPr>
          <w:p w14:paraId="33141489" w14:textId="77777777" w:rsidR="009E674A" w:rsidRPr="005E4483" w:rsidRDefault="009E674A" w:rsidP="006F668F">
            <w:pPr>
              <w:pStyle w:val="Textpoznpodarou"/>
              <w:jc w:val="both"/>
              <w:rPr>
                <w:spacing w:val="-4"/>
              </w:rPr>
            </w:pPr>
          </w:p>
        </w:tc>
        <w:tc>
          <w:tcPr>
            <w:tcW w:w="7391" w:type="dxa"/>
            <w:tcBorders>
              <w:top w:val="nil"/>
              <w:left w:val="nil"/>
              <w:bottom w:val="nil"/>
              <w:right w:val="nil"/>
            </w:tcBorders>
          </w:tcPr>
          <w:p w14:paraId="24649294" w14:textId="0A6324E3" w:rsidR="009E674A" w:rsidRDefault="009E674A" w:rsidP="006F668F">
            <w:pPr>
              <w:spacing w:after="220"/>
              <w:rPr>
                <w:rFonts w:cs="Arial"/>
                <w:color w:val="0D0D0D" w:themeColor="text1" w:themeTint="F2"/>
                <w:spacing w:val="-4"/>
              </w:rPr>
            </w:pPr>
            <w:r>
              <w:rPr>
                <w:rFonts w:cs="Arial"/>
                <w:color w:val="0D0D0D" w:themeColor="text1" w:themeTint="F2"/>
                <w:spacing w:val="-4"/>
              </w:rPr>
              <w:t xml:space="preserve">Vedle hospodářského růstu </w:t>
            </w:r>
            <w:r w:rsidR="00BC7833">
              <w:rPr>
                <w:rFonts w:cs="Arial"/>
                <w:color w:val="0D0D0D" w:themeColor="text1" w:themeTint="F2"/>
                <w:spacing w:val="-4"/>
              </w:rPr>
              <w:t>a </w:t>
            </w:r>
            <w:r>
              <w:rPr>
                <w:rFonts w:cs="Arial"/>
                <w:color w:val="0D0D0D" w:themeColor="text1" w:themeTint="F2"/>
                <w:spacing w:val="-4"/>
              </w:rPr>
              <w:t xml:space="preserve">posunu důchodového věku působí dlouhodobě na ekonomickou aktivitu také rostoucí zapojení do terciárního vzdělávání </w:t>
            </w:r>
            <w:r w:rsidR="00BC7833">
              <w:rPr>
                <w:rFonts w:cs="Arial"/>
                <w:color w:val="0D0D0D" w:themeColor="text1" w:themeTint="F2"/>
                <w:spacing w:val="-4"/>
              </w:rPr>
              <w:t>a u </w:t>
            </w:r>
            <w:r>
              <w:rPr>
                <w:rFonts w:cs="Arial"/>
                <w:color w:val="0D0D0D" w:themeColor="text1" w:themeTint="F2"/>
                <w:spacing w:val="-4"/>
              </w:rPr>
              <w:t xml:space="preserve">žen změny v reprodukčním chování </w:t>
            </w:r>
            <w:r w:rsidR="00BC7833">
              <w:rPr>
                <w:rFonts w:cs="Arial"/>
                <w:color w:val="0D0D0D" w:themeColor="text1" w:themeTint="F2"/>
                <w:spacing w:val="-4"/>
              </w:rPr>
              <w:t>i v </w:t>
            </w:r>
            <w:r>
              <w:rPr>
                <w:rFonts w:cs="Arial"/>
                <w:color w:val="0D0D0D" w:themeColor="text1" w:themeTint="F2"/>
                <w:spacing w:val="-4"/>
              </w:rPr>
              <w:t xml:space="preserve">možnostech slaďování pracovního </w:t>
            </w:r>
            <w:r w:rsidR="00BC7833">
              <w:rPr>
                <w:rFonts w:cs="Arial"/>
                <w:color w:val="0D0D0D" w:themeColor="text1" w:themeTint="F2"/>
                <w:spacing w:val="-4"/>
              </w:rPr>
              <w:t>a </w:t>
            </w:r>
            <w:r>
              <w:rPr>
                <w:rFonts w:cs="Arial"/>
                <w:color w:val="0D0D0D" w:themeColor="text1" w:themeTint="F2"/>
                <w:spacing w:val="-4"/>
              </w:rPr>
              <w:t>rodinného života. V roce 2018 mírně klesla ekonomická participace mladých do 2</w:t>
            </w:r>
            <w:r w:rsidR="00D82A1E">
              <w:rPr>
                <w:rFonts w:cs="Arial"/>
                <w:color w:val="0D0D0D" w:themeColor="text1" w:themeTint="F2"/>
                <w:spacing w:val="-4"/>
              </w:rPr>
              <w:t>5 </w:t>
            </w:r>
            <w:r>
              <w:rPr>
                <w:rFonts w:cs="Arial"/>
                <w:color w:val="0D0D0D" w:themeColor="text1" w:themeTint="F2"/>
                <w:spacing w:val="-4"/>
              </w:rPr>
              <w:t>let –</w:t>
            </w:r>
            <w:r w:rsidR="00D64026">
              <w:rPr>
                <w:rFonts w:cs="Arial"/>
                <w:color w:val="0D0D0D" w:themeColor="text1" w:themeTint="F2"/>
                <w:spacing w:val="-4"/>
              </w:rPr>
              <w:t> </w:t>
            </w:r>
            <w:r>
              <w:rPr>
                <w:rFonts w:cs="Arial"/>
                <w:color w:val="0D0D0D" w:themeColor="text1" w:themeTint="F2"/>
                <w:spacing w:val="-4"/>
              </w:rPr>
              <w:t>ve skupině 15 až</w:t>
            </w:r>
            <w:r w:rsidR="00D82A1E">
              <w:rPr>
                <w:rFonts w:cs="Arial"/>
                <w:color w:val="0D0D0D" w:themeColor="text1" w:themeTint="F2"/>
                <w:spacing w:val="-4"/>
              </w:rPr>
              <w:t xml:space="preserve"> </w:t>
            </w:r>
            <w:r>
              <w:rPr>
                <w:rFonts w:cs="Arial"/>
                <w:color w:val="0D0D0D" w:themeColor="text1" w:themeTint="F2"/>
                <w:spacing w:val="-4"/>
              </w:rPr>
              <w:t>19</w:t>
            </w:r>
            <w:r w:rsidR="00D82A1E">
              <w:rPr>
                <w:rFonts w:cs="Arial"/>
                <w:color w:val="0D0D0D" w:themeColor="text1" w:themeTint="F2"/>
                <w:spacing w:val="-4"/>
              </w:rPr>
              <w:t> </w:t>
            </w:r>
            <w:r>
              <w:rPr>
                <w:rFonts w:cs="Arial"/>
                <w:color w:val="0D0D0D" w:themeColor="text1" w:themeTint="F2"/>
                <w:spacing w:val="-4"/>
              </w:rPr>
              <w:t>let jich pracovalo pouze 6</w:t>
            </w:r>
            <w:r w:rsidR="006454CC">
              <w:rPr>
                <w:rFonts w:cs="Arial"/>
                <w:color w:val="0D0D0D" w:themeColor="text1" w:themeTint="F2"/>
                <w:spacing w:val="-4"/>
              </w:rPr>
              <w:t> %</w:t>
            </w:r>
            <w:r>
              <w:rPr>
                <w:rFonts w:cs="Arial"/>
                <w:color w:val="0D0D0D" w:themeColor="text1" w:themeTint="F2"/>
                <w:spacing w:val="-4"/>
              </w:rPr>
              <w:t xml:space="preserve"> </w:t>
            </w:r>
            <w:r w:rsidR="00BC7833">
              <w:rPr>
                <w:rFonts w:cs="Arial"/>
                <w:color w:val="0D0D0D" w:themeColor="text1" w:themeTint="F2"/>
                <w:spacing w:val="-4"/>
              </w:rPr>
              <w:t>a </w:t>
            </w:r>
            <w:r>
              <w:rPr>
                <w:rFonts w:cs="Arial"/>
                <w:color w:val="0D0D0D" w:themeColor="text1" w:themeTint="F2"/>
                <w:spacing w:val="-4"/>
              </w:rPr>
              <w:t>mezi 20</w:t>
            </w:r>
            <w:r w:rsidR="00D64026">
              <w:rPr>
                <w:rFonts w:cs="Arial"/>
                <w:color w:val="0D0D0D" w:themeColor="text1" w:themeTint="F2"/>
                <w:spacing w:val="-4"/>
              </w:rPr>
              <w:t>-</w:t>
            </w:r>
            <w:r>
              <w:rPr>
                <w:rFonts w:cs="Arial"/>
                <w:color w:val="0D0D0D" w:themeColor="text1" w:themeTint="F2"/>
                <w:spacing w:val="-4"/>
              </w:rPr>
              <w:t xml:space="preserve"> až 24letými polovina (</w:t>
            </w:r>
            <w:r w:rsidR="00BC7833">
              <w:rPr>
                <w:rFonts w:cs="Arial"/>
                <w:color w:val="0D0D0D" w:themeColor="text1" w:themeTint="F2"/>
                <w:spacing w:val="-4"/>
              </w:rPr>
              <w:t>s </w:t>
            </w:r>
            <w:r>
              <w:rPr>
                <w:rFonts w:cs="Arial"/>
                <w:color w:val="0D0D0D" w:themeColor="text1" w:themeTint="F2"/>
                <w:spacing w:val="-4"/>
              </w:rPr>
              <w:t>výraznější převahou mužů). Meziročně se snížila také aktivita žen ve věku 30 až 3</w:t>
            </w:r>
            <w:r w:rsidR="00D82A1E">
              <w:rPr>
                <w:rFonts w:cs="Arial"/>
                <w:color w:val="0D0D0D" w:themeColor="text1" w:themeTint="F2"/>
                <w:spacing w:val="-4"/>
              </w:rPr>
              <w:t>4 </w:t>
            </w:r>
            <w:r>
              <w:rPr>
                <w:rFonts w:cs="Arial"/>
                <w:color w:val="0D0D0D" w:themeColor="text1" w:themeTint="F2"/>
                <w:spacing w:val="-4"/>
              </w:rPr>
              <w:t>let (</w:t>
            </w:r>
            <w:r w:rsidR="00BC7833">
              <w:rPr>
                <w:rFonts w:cs="Arial"/>
                <w:color w:val="0D0D0D" w:themeColor="text1" w:themeTint="F2"/>
                <w:spacing w:val="-4"/>
              </w:rPr>
              <w:t>o </w:t>
            </w:r>
            <w:r>
              <w:rPr>
                <w:rFonts w:cs="Arial"/>
                <w:color w:val="0D0D0D" w:themeColor="text1" w:themeTint="F2"/>
                <w:spacing w:val="-4"/>
              </w:rPr>
              <w:t>3</w:t>
            </w:r>
            <w:r w:rsidR="00D82A1E">
              <w:rPr>
                <w:rFonts w:cs="Arial"/>
                <w:color w:val="0D0D0D" w:themeColor="text1" w:themeTint="F2"/>
                <w:spacing w:val="-4"/>
              </w:rPr>
              <w:t> </w:t>
            </w:r>
            <w:r>
              <w:rPr>
                <w:rFonts w:cs="Arial"/>
                <w:color w:val="0D0D0D" w:themeColor="text1" w:themeTint="F2"/>
                <w:spacing w:val="-4"/>
              </w:rPr>
              <w:t>p.</w:t>
            </w:r>
            <w:r w:rsidR="00D82A1E">
              <w:rPr>
                <w:rFonts w:cs="Arial"/>
                <w:color w:val="0D0D0D" w:themeColor="text1" w:themeTint="F2"/>
                <w:spacing w:val="-4"/>
              </w:rPr>
              <w:t> </w:t>
            </w:r>
            <w:r>
              <w:rPr>
                <w:rFonts w:cs="Arial"/>
                <w:color w:val="0D0D0D" w:themeColor="text1" w:themeTint="F2"/>
                <w:spacing w:val="-4"/>
              </w:rPr>
              <w:t>b. na 65,5</w:t>
            </w:r>
            <w:r w:rsidR="006454CC">
              <w:rPr>
                <w:rFonts w:cs="Arial"/>
                <w:color w:val="0D0D0D" w:themeColor="text1" w:themeTint="F2"/>
                <w:spacing w:val="-4"/>
              </w:rPr>
              <w:t> %</w:t>
            </w:r>
            <w:r>
              <w:rPr>
                <w:rFonts w:cs="Arial"/>
                <w:color w:val="0D0D0D" w:themeColor="text1" w:themeTint="F2"/>
                <w:spacing w:val="-4"/>
              </w:rPr>
              <w:t xml:space="preserve">), což bylo částečně kompenzováno posílením </w:t>
            </w:r>
            <w:r w:rsidR="00BC7833">
              <w:rPr>
                <w:rFonts w:cs="Arial"/>
                <w:color w:val="0D0D0D" w:themeColor="text1" w:themeTint="F2"/>
                <w:spacing w:val="-4"/>
              </w:rPr>
              <w:t>u </w:t>
            </w:r>
            <w:r>
              <w:rPr>
                <w:rFonts w:cs="Arial"/>
                <w:color w:val="0D0D0D" w:themeColor="text1" w:themeTint="F2"/>
                <w:spacing w:val="-4"/>
              </w:rPr>
              <w:t>35</w:t>
            </w:r>
            <w:r w:rsidR="00D64026">
              <w:rPr>
                <w:rFonts w:cs="Arial"/>
                <w:color w:val="0D0D0D" w:themeColor="text1" w:themeTint="F2"/>
                <w:spacing w:val="-4"/>
              </w:rPr>
              <w:t>-</w:t>
            </w:r>
            <w:r>
              <w:rPr>
                <w:rFonts w:cs="Arial"/>
                <w:color w:val="0D0D0D" w:themeColor="text1" w:themeTint="F2"/>
                <w:spacing w:val="-4"/>
              </w:rPr>
              <w:t xml:space="preserve"> až 39letých. Ve středních věkových skupinách (40 až 5</w:t>
            </w:r>
            <w:r w:rsidR="00D82A1E">
              <w:rPr>
                <w:rFonts w:cs="Arial"/>
                <w:color w:val="0D0D0D" w:themeColor="text1" w:themeTint="F2"/>
                <w:spacing w:val="-4"/>
              </w:rPr>
              <w:t>4 </w:t>
            </w:r>
            <w:r>
              <w:rPr>
                <w:rFonts w:cs="Arial"/>
                <w:color w:val="0D0D0D" w:themeColor="text1" w:themeTint="F2"/>
                <w:spacing w:val="-4"/>
              </w:rPr>
              <w:t>let) nedochází v posledních letech k významnějším změnám, míry aktivity zde dlouhodobě převyšují 90</w:t>
            </w:r>
            <w:r w:rsidR="006454CC">
              <w:rPr>
                <w:rFonts w:cs="Arial"/>
                <w:color w:val="0D0D0D" w:themeColor="text1" w:themeTint="F2"/>
                <w:spacing w:val="-4"/>
              </w:rPr>
              <w:t> %</w:t>
            </w:r>
            <w:r>
              <w:rPr>
                <w:rFonts w:cs="Arial"/>
                <w:color w:val="0D0D0D" w:themeColor="text1" w:themeTint="F2"/>
                <w:spacing w:val="-4"/>
              </w:rPr>
              <w:t xml:space="preserve"> </w:t>
            </w:r>
            <w:r w:rsidR="00BC7833">
              <w:rPr>
                <w:rFonts w:cs="Arial"/>
                <w:color w:val="0D0D0D" w:themeColor="text1" w:themeTint="F2"/>
                <w:spacing w:val="-4"/>
              </w:rPr>
              <w:t>a </w:t>
            </w:r>
            <w:r>
              <w:rPr>
                <w:rFonts w:cs="Arial"/>
                <w:color w:val="0D0D0D" w:themeColor="text1" w:themeTint="F2"/>
                <w:spacing w:val="-4"/>
              </w:rPr>
              <w:t xml:space="preserve">patří v rámci této skupiny k nejvyšším i v evropském kontextu. Míra ekonomické aktivity je tradičně u mužů vyšší než </w:t>
            </w:r>
            <w:r w:rsidR="00BC7833">
              <w:rPr>
                <w:rFonts w:cs="Arial"/>
                <w:color w:val="0D0D0D" w:themeColor="text1" w:themeTint="F2"/>
                <w:spacing w:val="-4"/>
              </w:rPr>
              <w:t>u </w:t>
            </w:r>
            <w:r>
              <w:rPr>
                <w:rFonts w:cs="Arial"/>
                <w:color w:val="0D0D0D" w:themeColor="text1" w:themeTint="F2"/>
                <w:spacing w:val="-4"/>
              </w:rPr>
              <w:t>žen, a to ve všech věkových skupinách. Největší rozdíl byl loni nepřekvapivě ve skupině 30 až 3</w:t>
            </w:r>
            <w:r w:rsidR="00D82A1E">
              <w:rPr>
                <w:rFonts w:cs="Arial"/>
                <w:color w:val="0D0D0D" w:themeColor="text1" w:themeTint="F2"/>
                <w:spacing w:val="-4"/>
              </w:rPr>
              <w:t>4 </w:t>
            </w:r>
            <w:r>
              <w:rPr>
                <w:rFonts w:cs="Arial"/>
                <w:color w:val="0D0D0D" w:themeColor="text1" w:themeTint="F2"/>
                <w:spacing w:val="-4"/>
              </w:rPr>
              <w:t>let, kde bylo neaktivních jen 2,5</w:t>
            </w:r>
            <w:r w:rsidR="006454CC">
              <w:rPr>
                <w:rFonts w:cs="Arial"/>
                <w:color w:val="0D0D0D" w:themeColor="text1" w:themeTint="F2"/>
                <w:spacing w:val="-4"/>
              </w:rPr>
              <w:t> %</w:t>
            </w:r>
            <w:r>
              <w:rPr>
                <w:rFonts w:cs="Arial"/>
                <w:color w:val="0D0D0D" w:themeColor="text1" w:themeTint="F2"/>
                <w:spacing w:val="-4"/>
              </w:rPr>
              <w:t xml:space="preserve"> mužů, ale více než třetina žen. Nejmenší odstup lze nalézt </w:t>
            </w:r>
            <w:r w:rsidR="00BC7833">
              <w:rPr>
                <w:rFonts w:cs="Arial"/>
                <w:color w:val="0D0D0D" w:themeColor="text1" w:themeTint="F2"/>
                <w:spacing w:val="-4"/>
              </w:rPr>
              <w:t>u </w:t>
            </w:r>
            <w:r>
              <w:rPr>
                <w:rFonts w:cs="Arial"/>
                <w:color w:val="0D0D0D" w:themeColor="text1" w:themeTint="F2"/>
                <w:spacing w:val="-4"/>
              </w:rPr>
              <w:t>skupiny do 2</w:t>
            </w:r>
            <w:r w:rsidR="00D82A1E">
              <w:rPr>
                <w:rFonts w:cs="Arial"/>
                <w:color w:val="0D0D0D" w:themeColor="text1" w:themeTint="F2"/>
                <w:spacing w:val="-4"/>
              </w:rPr>
              <w:t>0 </w:t>
            </w:r>
            <w:r>
              <w:rPr>
                <w:rFonts w:cs="Arial"/>
                <w:color w:val="0D0D0D" w:themeColor="text1" w:themeTint="F2"/>
                <w:spacing w:val="-4"/>
              </w:rPr>
              <w:t>let (jen 1,6</w:t>
            </w:r>
            <w:r w:rsidR="006454CC">
              <w:rPr>
                <w:rFonts w:cs="Arial"/>
                <w:color w:val="0D0D0D" w:themeColor="text1" w:themeTint="F2"/>
                <w:spacing w:val="-4"/>
              </w:rPr>
              <w:t> p. b.</w:t>
            </w:r>
            <w:r>
              <w:rPr>
                <w:rFonts w:cs="Arial"/>
                <w:color w:val="0D0D0D" w:themeColor="text1" w:themeTint="F2"/>
                <w:spacing w:val="-4"/>
              </w:rPr>
              <w:t xml:space="preserve">), z váhově významnějších skupin pracujících pak </w:t>
            </w:r>
            <w:r w:rsidR="00BC7833">
              <w:rPr>
                <w:rFonts w:cs="Arial"/>
                <w:color w:val="0D0D0D" w:themeColor="text1" w:themeTint="F2"/>
                <w:spacing w:val="-4"/>
              </w:rPr>
              <w:t>u </w:t>
            </w:r>
            <w:r>
              <w:rPr>
                <w:rFonts w:cs="Arial"/>
                <w:color w:val="0D0D0D" w:themeColor="text1" w:themeTint="F2"/>
                <w:spacing w:val="-4"/>
              </w:rPr>
              <w:t>50</w:t>
            </w:r>
            <w:r w:rsidR="00D64026">
              <w:rPr>
                <w:rFonts w:cs="Arial"/>
                <w:color w:val="0D0D0D" w:themeColor="text1" w:themeTint="F2"/>
                <w:spacing w:val="-4"/>
              </w:rPr>
              <w:t>-</w:t>
            </w:r>
            <w:r>
              <w:rPr>
                <w:rFonts w:cs="Arial"/>
                <w:color w:val="0D0D0D" w:themeColor="text1" w:themeTint="F2"/>
                <w:spacing w:val="-4"/>
              </w:rPr>
              <w:t xml:space="preserve"> až 54letých (1,9</w:t>
            </w:r>
            <w:r w:rsidR="006454CC">
              <w:rPr>
                <w:rFonts w:cs="Arial"/>
                <w:color w:val="0D0D0D" w:themeColor="text1" w:themeTint="F2"/>
                <w:spacing w:val="-4"/>
              </w:rPr>
              <w:t> p. b.</w:t>
            </w:r>
            <w:r>
              <w:rPr>
                <w:rFonts w:cs="Arial"/>
                <w:color w:val="0D0D0D" w:themeColor="text1" w:themeTint="F2"/>
                <w:spacing w:val="-4"/>
              </w:rPr>
              <w:t>).</w:t>
            </w:r>
          </w:p>
        </w:tc>
      </w:tr>
      <w:tr w:rsidR="009E674A" w14:paraId="4EB97431" w14:textId="77777777" w:rsidTr="006F668F">
        <w:trPr>
          <w:trHeight w:val="145"/>
        </w:trPr>
        <w:tc>
          <w:tcPr>
            <w:tcW w:w="1976" w:type="dxa"/>
            <w:tcBorders>
              <w:top w:val="nil"/>
              <w:left w:val="nil"/>
              <w:bottom w:val="nil"/>
              <w:right w:val="nil"/>
            </w:tcBorders>
          </w:tcPr>
          <w:p w14:paraId="68A5B021" w14:textId="77777777" w:rsidR="009E674A" w:rsidRDefault="009E674A" w:rsidP="006F668F">
            <w:pPr>
              <w:pStyle w:val="Marginlie"/>
            </w:pPr>
          </w:p>
        </w:tc>
        <w:tc>
          <w:tcPr>
            <w:tcW w:w="277" w:type="dxa"/>
            <w:tcBorders>
              <w:top w:val="nil"/>
              <w:left w:val="nil"/>
              <w:bottom w:val="nil"/>
              <w:right w:val="nil"/>
            </w:tcBorders>
          </w:tcPr>
          <w:p w14:paraId="3762C425" w14:textId="77777777" w:rsidR="009E674A" w:rsidRPr="005E4483" w:rsidRDefault="009E674A" w:rsidP="006F668F">
            <w:pPr>
              <w:pStyle w:val="Textpoznpodarou"/>
              <w:jc w:val="both"/>
              <w:rPr>
                <w:spacing w:val="-4"/>
              </w:rPr>
            </w:pPr>
          </w:p>
        </w:tc>
        <w:tc>
          <w:tcPr>
            <w:tcW w:w="7391" w:type="dxa"/>
            <w:tcBorders>
              <w:top w:val="nil"/>
              <w:left w:val="nil"/>
              <w:bottom w:val="nil"/>
              <w:right w:val="nil"/>
            </w:tcBorders>
          </w:tcPr>
          <w:p w14:paraId="630B9755" w14:textId="77777777" w:rsidR="009E674A" w:rsidRPr="003D48FD" w:rsidRDefault="009E674A" w:rsidP="006F668F">
            <w:pPr>
              <w:spacing w:after="0"/>
              <w:jc w:val="left"/>
              <w:rPr>
                <w:b/>
                <w:spacing w:val="-2"/>
              </w:rPr>
            </w:pPr>
            <w:r w:rsidRPr="00EE6974">
              <w:rPr>
                <w:b/>
                <w:spacing w:val="-2"/>
              </w:rPr>
              <w:t xml:space="preserve">Graf </w:t>
            </w:r>
            <w:r w:rsidR="00BA35F3">
              <w:rPr>
                <w:b/>
                <w:spacing w:val="-2"/>
              </w:rPr>
              <w:t>č. </w:t>
            </w:r>
            <w:r w:rsidR="00BC7833">
              <w:rPr>
                <w:b/>
                <w:spacing w:val="-2"/>
              </w:rPr>
              <w:t>2</w:t>
            </w:r>
            <w:r w:rsidR="009F47E7">
              <w:rPr>
                <w:b/>
                <w:spacing w:val="-2"/>
              </w:rPr>
              <w:t xml:space="preserve">  </w:t>
            </w:r>
            <w:r>
              <w:rPr>
                <w:b/>
              </w:rPr>
              <w:t xml:space="preserve">Míra ekonomické aktivity obyvatel dle pohlaví </w:t>
            </w:r>
            <w:r w:rsidR="00BC7833">
              <w:rPr>
                <w:b/>
              </w:rPr>
              <w:t>a </w:t>
            </w:r>
            <w:r>
              <w:rPr>
                <w:b/>
              </w:rPr>
              <w:t xml:space="preserve">stupně vzdělání v letech 2008 </w:t>
            </w:r>
            <w:r w:rsidR="00BC7833">
              <w:rPr>
                <w:b/>
              </w:rPr>
              <w:t>a </w:t>
            </w:r>
            <w:r>
              <w:rPr>
                <w:b/>
              </w:rPr>
              <w:t xml:space="preserve">2018 </w:t>
            </w:r>
            <w:r>
              <w:rPr>
                <w:spacing w:val="-2"/>
              </w:rPr>
              <w:t>(</w:t>
            </w:r>
            <w:r w:rsidRPr="00EE6974">
              <w:rPr>
                <w:spacing w:val="-2"/>
              </w:rPr>
              <w:t>v</w:t>
            </w:r>
            <w:r w:rsidR="006454CC">
              <w:rPr>
                <w:spacing w:val="-2"/>
              </w:rPr>
              <w:t> %</w:t>
            </w:r>
            <w:r w:rsidRPr="00EE6974">
              <w:rPr>
                <w:spacing w:val="-2"/>
              </w:rPr>
              <w:t>)</w:t>
            </w:r>
          </w:p>
        </w:tc>
      </w:tr>
      <w:tr w:rsidR="009E674A" w14:paraId="3036F118" w14:textId="77777777" w:rsidTr="007B1C79">
        <w:tblPrEx>
          <w:tblCellMar>
            <w:left w:w="70" w:type="dxa"/>
            <w:right w:w="70" w:type="dxa"/>
          </w:tblCellMar>
        </w:tblPrEx>
        <w:trPr>
          <w:trHeight w:val="145"/>
        </w:trPr>
        <w:tc>
          <w:tcPr>
            <w:tcW w:w="1976" w:type="dxa"/>
            <w:tcBorders>
              <w:top w:val="nil"/>
              <w:left w:val="nil"/>
              <w:bottom w:val="nil"/>
              <w:right w:val="nil"/>
            </w:tcBorders>
          </w:tcPr>
          <w:p w14:paraId="3BAB4D40" w14:textId="77777777" w:rsidR="009E674A" w:rsidRDefault="009E674A" w:rsidP="006F668F">
            <w:pPr>
              <w:pStyle w:val="Marginlie"/>
            </w:pPr>
          </w:p>
        </w:tc>
        <w:tc>
          <w:tcPr>
            <w:tcW w:w="277" w:type="dxa"/>
            <w:tcBorders>
              <w:top w:val="nil"/>
              <w:left w:val="nil"/>
              <w:bottom w:val="nil"/>
              <w:right w:val="nil"/>
            </w:tcBorders>
          </w:tcPr>
          <w:p w14:paraId="35BF54BC" w14:textId="77777777" w:rsidR="009E674A" w:rsidRPr="005E4483" w:rsidRDefault="009E674A" w:rsidP="006F668F">
            <w:pPr>
              <w:pStyle w:val="Textpoznpodarou"/>
              <w:jc w:val="both"/>
              <w:rPr>
                <w:spacing w:val="-4"/>
              </w:rPr>
            </w:pPr>
          </w:p>
        </w:tc>
        <w:tc>
          <w:tcPr>
            <w:tcW w:w="7391" w:type="dxa"/>
            <w:tcBorders>
              <w:top w:val="nil"/>
              <w:left w:val="nil"/>
              <w:bottom w:val="nil"/>
              <w:right w:val="nil"/>
            </w:tcBorders>
          </w:tcPr>
          <w:p w14:paraId="08228AE4" w14:textId="493BCD4B" w:rsidR="009E674A" w:rsidRDefault="007B1C79" w:rsidP="006F668F">
            <w:pPr>
              <w:spacing w:after="0"/>
              <w:rPr>
                <w:rFonts w:cs="Arial"/>
                <w:color w:val="0D0D0D" w:themeColor="text1" w:themeTint="F2"/>
                <w:spacing w:val="-4"/>
              </w:rPr>
            </w:pPr>
            <w:r>
              <w:rPr>
                <w:noProof/>
              </w:rPr>
              <w:drawing>
                <wp:inline distT="0" distB="0" distL="0" distR="0" wp14:anchorId="163F9ABA" wp14:editId="7F4E56E1">
                  <wp:extent cx="4553683" cy="3467100"/>
                  <wp:effectExtent l="0" t="0" r="0" b="0"/>
                  <wp:docPr id="1" name="Graf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tc>
      </w:tr>
      <w:tr w:rsidR="009E674A" w14:paraId="5D902878" w14:textId="77777777" w:rsidTr="006F668F">
        <w:trPr>
          <w:trHeight w:val="145"/>
        </w:trPr>
        <w:tc>
          <w:tcPr>
            <w:tcW w:w="1976" w:type="dxa"/>
            <w:tcBorders>
              <w:top w:val="nil"/>
              <w:left w:val="nil"/>
              <w:bottom w:val="nil"/>
              <w:right w:val="nil"/>
            </w:tcBorders>
          </w:tcPr>
          <w:p w14:paraId="46CBFC43" w14:textId="77777777" w:rsidR="009E674A" w:rsidRDefault="009E674A" w:rsidP="006F668F">
            <w:pPr>
              <w:pStyle w:val="Marginlie"/>
            </w:pPr>
          </w:p>
        </w:tc>
        <w:tc>
          <w:tcPr>
            <w:tcW w:w="277" w:type="dxa"/>
            <w:tcBorders>
              <w:top w:val="nil"/>
              <w:left w:val="nil"/>
              <w:bottom w:val="nil"/>
              <w:right w:val="nil"/>
            </w:tcBorders>
          </w:tcPr>
          <w:p w14:paraId="1A996850" w14:textId="77777777" w:rsidR="009E674A" w:rsidRPr="005E4483" w:rsidRDefault="009E674A" w:rsidP="006F668F">
            <w:pPr>
              <w:pStyle w:val="Textpoznpodarou"/>
              <w:jc w:val="both"/>
              <w:rPr>
                <w:spacing w:val="-4"/>
              </w:rPr>
            </w:pPr>
          </w:p>
        </w:tc>
        <w:tc>
          <w:tcPr>
            <w:tcW w:w="7391" w:type="dxa"/>
            <w:tcBorders>
              <w:top w:val="nil"/>
              <w:left w:val="nil"/>
              <w:bottom w:val="nil"/>
              <w:right w:val="nil"/>
            </w:tcBorders>
          </w:tcPr>
          <w:p w14:paraId="0A4393F7" w14:textId="77777777" w:rsidR="009E674A" w:rsidRPr="00711FC2" w:rsidRDefault="009E674A" w:rsidP="006F668F">
            <w:r>
              <w:rPr>
                <w:rFonts w:cs="Arial"/>
                <w:sz w:val="14"/>
                <w:szCs w:val="14"/>
              </w:rPr>
              <w:t xml:space="preserve">Poznámka: čísla v závorce </w:t>
            </w:r>
            <w:r w:rsidR="00BC7833">
              <w:rPr>
                <w:rFonts w:cs="Arial"/>
                <w:sz w:val="14"/>
                <w:szCs w:val="14"/>
              </w:rPr>
              <w:t>u </w:t>
            </w:r>
            <w:r>
              <w:rPr>
                <w:rFonts w:cs="Arial"/>
                <w:sz w:val="14"/>
                <w:szCs w:val="14"/>
              </w:rPr>
              <w:t>stupňů vzdělání vyjadřují kódy dle klasifikace ISCED.                          Zdroj: ČSÚ (VŠPS)</w:t>
            </w:r>
          </w:p>
        </w:tc>
      </w:tr>
      <w:tr w:rsidR="009E674A" w14:paraId="645D4C42" w14:textId="77777777" w:rsidTr="006F668F">
        <w:trPr>
          <w:trHeight w:val="145"/>
        </w:trPr>
        <w:tc>
          <w:tcPr>
            <w:tcW w:w="1976" w:type="dxa"/>
            <w:tcBorders>
              <w:top w:val="nil"/>
              <w:left w:val="nil"/>
              <w:bottom w:val="nil"/>
              <w:right w:val="nil"/>
            </w:tcBorders>
          </w:tcPr>
          <w:p w14:paraId="7E6D7734" w14:textId="546D8306" w:rsidR="009E674A" w:rsidRDefault="009E674A" w:rsidP="006F668F">
            <w:pPr>
              <w:pStyle w:val="Marginlie"/>
            </w:pPr>
            <w:r>
              <w:t>Vysoké rozdíly v míře ekonomické aktivity dle vzdělání přetrvávaly. Mezi 25</w:t>
            </w:r>
            <w:r w:rsidR="00B936B1">
              <w:t>-</w:t>
            </w:r>
            <w:r>
              <w:t xml:space="preserve"> až 74letými dosahovala </w:t>
            </w:r>
            <w:r>
              <w:lastRenderedPageBreak/>
              <w:t>u osob se základním vzděláním aktivita jen poloviny úrovně vysokoškoláků.</w:t>
            </w:r>
          </w:p>
        </w:tc>
        <w:tc>
          <w:tcPr>
            <w:tcW w:w="277" w:type="dxa"/>
            <w:tcBorders>
              <w:top w:val="nil"/>
              <w:left w:val="nil"/>
              <w:bottom w:val="nil"/>
              <w:right w:val="nil"/>
            </w:tcBorders>
          </w:tcPr>
          <w:p w14:paraId="48831082" w14:textId="77777777" w:rsidR="009E674A" w:rsidRPr="005E4483" w:rsidRDefault="009E674A" w:rsidP="006F668F">
            <w:pPr>
              <w:pStyle w:val="Textpoznpodarou"/>
              <w:jc w:val="both"/>
              <w:rPr>
                <w:spacing w:val="-4"/>
              </w:rPr>
            </w:pPr>
          </w:p>
        </w:tc>
        <w:tc>
          <w:tcPr>
            <w:tcW w:w="7391" w:type="dxa"/>
            <w:tcBorders>
              <w:top w:val="nil"/>
              <w:left w:val="nil"/>
              <w:bottom w:val="nil"/>
              <w:right w:val="nil"/>
            </w:tcBorders>
          </w:tcPr>
          <w:p w14:paraId="671D2690" w14:textId="5A6A4A8C" w:rsidR="009E674A" w:rsidRPr="00EF1C11" w:rsidRDefault="009E674A" w:rsidP="006F668F">
            <w:pPr>
              <w:spacing w:after="220"/>
              <w:rPr>
                <w:rFonts w:cs="Arial"/>
                <w:color w:val="0D0D0D" w:themeColor="text1" w:themeTint="F2"/>
                <w:spacing w:val="-3"/>
              </w:rPr>
            </w:pPr>
            <w:r>
              <w:rPr>
                <w:rFonts w:cs="Arial"/>
                <w:color w:val="0D0D0D" w:themeColor="text1" w:themeTint="F2"/>
                <w:spacing w:val="-3"/>
              </w:rPr>
              <w:t xml:space="preserve">Kromě věku či pohlaví představuje významný diferenční faktor ekonomické participace obyvatelstva </w:t>
            </w:r>
            <w:r w:rsidR="00BC7833">
              <w:rPr>
                <w:rFonts w:cs="Arial"/>
                <w:color w:val="0D0D0D" w:themeColor="text1" w:themeTint="F2"/>
                <w:spacing w:val="-3"/>
              </w:rPr>
              <w:t>i </w:t>
            </w:r>
            <w:r>
              <w:rPr>
                <w:rFonts w:cs="Arial"/>
                <w:color w:val="0D0D0D" w:themeColor="text1" w:themeTint="F2"/>
                <w:spacing w:val="-3"/>
              </w:rPr>
              <w:t>stupeň dosaženého vzdělání. Jestliže mezi osobami ve věku 25 až 7</w:t>
            </w:r>
            <w:r w:rsidR="00D82A1E">
              <w:rPr>
                <w:rFonts w:cs="Arial"/>
                <w:color w:val="0D0D0D" w:themeColor="text1" w:themeTint="F2"/>
                <w:spacing w:val="-3"/>
              </w:rPr>
              <w:t>4 </w:t>
            </w:r>
            <w:r>
              <w:rPr>
                <w:rFonts w:cs="Arial"/>
                <w:color w:val="0D0D0D" w:themeColor="text1" w:themeTint="F2"/>
                <w:spacing w:val="-3"/>
              </w:rPr>
              <w:t>let s primárním či nižším sekundárním vzděláním (zjednodušeně odpovídající</w:t>
            </w:r>
            <w:r w:rsidR="00B936B1">
              <w:rPr>
                <w:rFonts w:cs="Arial"/>
                <w:color w:val="0D0D0D" w:themeColor="text1" w:themeTint="F2"/>
                <w:spacing w:val="-3"/>
              </w:rPr>
              <w:t>m</w:t>
            </w:r>
            <w:r>
              <w:rPr>
                <w:rFonts w:cs="Arial"/>
                <w:color w:val="0D0D0D" w:themeColor="text1" w:themeTint="F2"/>
                <w:spacing w:val="-3"/>
              </w:rPr>
              <w:t xml:space="preserve"> </w:t>
            </w:r>
            <w:r>
              <w:rPr>
                <w:rFonts w:cs="Arial"/>
                <w:color w:val="0D0D0D" w:themeColor="text1" w:themeTint="F2"/>
                <w:spacing w:val="-3"/>
              </w:rPr>
              <w:lastRenderedPageBreak/>
              <w:t>základnímu vzdělání, v</w:t>
            </w:r>
            <w:r w:rsidR="00BA35F3">
              <w:rPr>
                <w:rFonts w:cs="Arial"/>
                <w:color w:val="0D0D0D" w:themeColor="text1" w:themeTint="F2"/>
                <w:spacing w:val="-3"/>
              </w:rPr>
              <w:t>č. </w:t>
            </w:r>
            <w:r>
              <w:rPr>
                <w:rFonts w:cs="Arial"/>
                <w:color w:val="0D0D0D" w:themeColor="text1" w:themeTint="F2"/>
                <w:spacing w:val="-3"/>
              </w:rPr>
              <w:t>neukončeného) bylo loni ekonomicky aktivních jen 40</w:t>
            </w:r>
            <w:r w:rsidR="006454CC">
              <w:rPr>
                <w:rFonts w:cs="Arial"/>
                <w:color w:val="0D0D0D" w:themeColor="text1" w:themeTint="F2"/>
                <w:spacing w:val="-3"/>
              </w:rPr>
              <w:t> %</w:t>
            </w:r>
            <w:r>
              <w:rPr>
                <w:rFonts w:cs="Arial"/>
                <w:color w:val="0D0D0D" w:themeColor="text1" w:themeTint="F2"/>
                <w:spacing w:val="-3"/>
              </w:rPr>
              <w:t>, u středoškoláků již necelých 71</w:t>
            </w:r>
            <w:r w:rsidR="006454CC">
              <w:rPr>
                <w:rFonts w:cs="Arial"/>
                <w:color w:val="0D0D0D" w:themeColor="text1" w:themeTint="F2"/>
                <w:spacing w:val="-3"/>
              </w:rPr>
              <w:t> %</w:t>
            </w:r>
            <w:r>
              <w:rPr>
                <w:rFonts w:cs="Arial"/>
                <w:color w:val="0D0D0D" w:themeColor="text1" w:themeTint="F2"/>
                <w:spacing w:val="-3"/>
              </w:rPr>
              <w:t xml:space="preserve"> </w:t>
            </w:r>
            <w:r w:rsidR="00BC7833">
              <w:rPr>
                <w:rFonts w:cs="Arial"/>
                <w:color w:val="0D0D0D" w:themeColor="text1" w:themeTint="F2"/>
                <w:spacing w:val="-3"/>
              </w:rPr>
              <w:t>a </w:t>
            </w:r>
            <w:r>
              <w:rPr>
                <w:rFonts w:cs="Arial"/>
                <w:color w:val="0D0D0D" w:themeColor="text1" w:themeTint="F2"/>
                <w:spacing w:val="-3"/>
              </w:rPr>
              <w:t xml:space="preserve">mezi absolventy terciárního vzdělání (vyššího odborného </w:t>
            </w:r>
            <w:r w:rsidR="00BC7833">
              <w:rPr>
                <w:rFonts w:cs="Arial"/>
                <w:color w:val="0D0D0D" w:themeColor="text1" w:themeTint="F2"/>
                <w:spacing w:val="-3"/>
              </w:rPr>
              <w:t>a </w:t>
            </w:r>
            <w:r>
              <w:rPr>
                <w:rFonts w:cs="Arial"/>
                <w:color w:val="0D0D0D" w:themeColor="text1" w:themeTint="F2"/>
                <w:spacing w:val="-3"/>
              </w:rPr>
              <w:t>vysokoškolského vzdělání) 82</w:t>
            </w:r>
            <w:r w:rsidR="006454CC">
              <w:rPr>
                <w:rFonts w:cs="Arial"/>
                <w:color w:val="0D0D0D" w:themeColor="text1" w:themeTint="F2"/>
                <w:spacing w:val="-3"/>
              </w:rPr>
              <w:t> %</w:t>
            </w:r>
            <w:r>
              <w:rPr>
                <w:rFonts w:cs="Arial"/>
                <w:color w:val="0D0D0D" w:themeColor="text1" w:themeTint="F2"/>
                <w:spacing w:val="-3"/>
              </w:rPr>
              <w:t xml:space="preserve">. Oproti roku 2008 (představujícímu na pracovním trhu vrchol konjunktury minulé dekády) došlo jen k minimálním posunům. Ve srovnání s rokem 2015 byl patrný náznak velmi mírného zvýšení míry participace, hlavně </w:t>
            </w:r>
            <w:r w:rsidR="00BC7833">
              <w:rPr>
                <w:rFonts w:cs="Arial"/>
                <w:color w:val="0D0D0D" w:themeColor="text1" w:themeTint="F2"/>
                <w:spacing w:val="-3"/>
              </w:rPr>
              <w:t>u </w:t>
            </w:r>
            <w:r>
              <w:rPr>
                <w:rFonts w:cs="Arial"/>
                <w:color w:val="0D0D0D" w:themeColor="text1" w:themeTint="F2"/>
                <w:spacing w:val="-3"/>
              </w:rPr>
              <w:t>osob s vyšším vzděláním.</w:t>
            </w:r>
          </w:p>
        </w:tc>
      </w:tr>
      <w:tr w:rsidR="009E674A" w14:paraId="573D79FE" w14:textId="77777777" w:rsidTr="006F668F">
        <w:trPr>
          <w:trHeight w:val="145"/>
        </w:trPr>
        <w:tc>
          <w:tcPr>
            <w:tcW w:w="1976" w:type="dxa"/>
            <w:tcBorders>
              <w:top w:val="nil"/>
              <w:left w:val="nil"/>
              <w:bottom w:val="nil"/>
              <w:right w:val="nil"/>
            </w:tcBorders>
          </w:tcPr>
          <w:p w14:paraId="6A437A08" w14:textId="77777777" w:rsidR="009E674A" w:rsidRDefault="009E674A" w:rsidP="006F668F">
            <w:pPr>
              <w:pStyle w:val="Marginlie"/>
            </w:pPr>
            <w:r>
              <w:lastRenderedPageBreak/>
              <w:t>Mezi ženami věku 25 až 2</w:t>
            </w:r>
            <w:r w:rsidR="00D82A1E">
              <w:t>9 </w:t>
            </w:r>
            <w:r>
              <w:t>let s nejvyšším stupněm vzdělání se míra aktivity blížila 80</w:t>
            </w:r>
            <w:r w:rsidR="006454CC">
              <w:t> %</w:t>
            </w:r>
            <w:r>
              <w:t xml:space="preserve"> </w:t>
            </w:r>
            <w:r w:rsidR="00BC7833">
              <w:t>a </w:t>
            </w:r>
            <w:r>
              <w:t>dokládala vysoké pracovní aspirace žen předcházející potenciálnímu založení rodiny.</w:t>
            </w:r>
          </w:p>
          <w:p w14:paraId="39AD80FD" w14:textId="77777777" w:rsidR="009E674A" w:rsidRDefault="009E674A" w:rsidP="006F668F">
            <w:pPr>
              <w:pStyle w:val="Marginlie"/>
            </w:pPr>
          </w:p>
        </w:tc>
        <w:tc>
          <w:tcPr>
            <w:tcW w:w="277" w:type="dxa"/>
            <w:tcBorders>
              <w:top w:val="nil"/>
              <w:left w:val="nil"/>
              <w:bottom w:val="nil"/>
              <w:right w:val="nil"/>
            </w:tcBorders>
          </w:tcPr>
          <w:p w14:paraId="503A3BF5" w14:textId="77777777" w:rsidR="009E674A" w:rsidRPr="005E4483" w:rsidRDefault="009E674A" w:rsidP="006F668F">
            <w:pPr>
              <w:pStyle w:val="Textpoznpodarou"/>
              <w:jc w:val="both"/>
              <w:rPr>
                <w:spacing w:val="-4"/>
              </w:rPr>
            </w:pPr>
            <w:r>
              <w:rPr>
                <w:spacing w:val="-4"/>
              </w:rPr>
              <w:t xml:space="preserve"> </w:t>
            </w:r>
          </w:p>
        </w:tc>
        <w:tc>
          <w:tcPr>
            <w:tcW w:w="7391" w:type="dxa"/>
            <w:tcBorders>
              <w:top w:val="nil"/>
              <w:left w:val="nil"/>
              <w:bottom w:val="nil"/>
              <w:right w:val="nil"/>
            </w:tcBorders>
          </w:tcPr>
          <w:p w14:paraId="651AFBDF" w14:textId="472DC28E" w:rsidR="009E674A" w:rsidRDefault="009E674A" w:rsidP="006F668F">
            <w:pPr>
              <w:spacing w:after="220"/>
              <w:rPr>
                <w:rFonts w:cs="Arial"/>
                <w:color w:val="0D0D0D" w:themeColor="text1" w:themeTint="F2"/>
                <w:spacing w:val="-4"/>
              </w:rPr>
            </w:pPr>
            <w:r>
              <w:rPr>
                <w:rFonts w:cs="Arial"/>
                <w:color w:val="0D0D0D" w:themeColor="text1" w:themeTint="F2"/>
                <w:spacing w:val="-3"/>
              </w:rPr>
              <w:t xml:space="preserve">Růst míry participace spolu s úrovní dosaženého vzdělání vykazovaly prakticky všechny věkové skupiny u obou pohlaví. Výjimkou byli muži </w:t>
            </w:r>
            <w:r w:rsidR="00BC7833">
              <w:rPr>
                <w:rFonts w:cs="Arial"/>
                <w:color w:val="0D0D0D" w:themeColor="text1" w:themeTint="F2"/>
                <w:spacing w:val="-3"/>
              </w:rPr>
              <w:t>v </w:t>
            </w:r>
            <w:r>
              <w:rPr>
                <w:rFonts w:cs="Arial"/>
                <w:color w:val="0D0D0D" w:themeColor="text1" w:themeTint="F2"/>
                <w:spacing w:val="-3"/>
              </w:rPr>
              <w:t>pásmu 20 až 2</w:t>
            </w:r>
            <w:r w:rsidR="00D82A1E">
              <w:rPr>
                <w:rFonts w:cs="Arial"/>
                <w:color w:val="0D0D0D" w:themeColor="text1" w:themeTint="F2"/>
                <w:spacing w:val="-3"/>
              </w:rPr>
              <w:t>9 </w:t>
            </w:r>
            <w:r>
              <w:rPr>
                <w:rFonts w:cs="Arial"/>
                <w:color w:val="0D0D0D" w:themeColor="text1" w:themeTint="F2"/>
                <w:spacing w:val="-3"/>
              </w:rPr>
              <w:t xml:space="preserve">let (kde relativně nižší míry aktivity osob </w:t>
            </w:r>
            <w:r w:rsidR="00BC7833">
              <w:rPr>
                <w:rFonts w:cs="Arial"/>
                <w:color w:val="0D0D0D" w:themeColor="text1" w:themeTint="F2"/>
                <w:spacing w:val="-3"/>
              </w:rPr>
              <w:t>s </w:t>
            </w:r>
            <w:r>
              <w:rPr>
                <w:rFonts w:cs="Arial"/>
                <w:color w:val="0D0D0D" w:themeColor="text1" w:themeTint="F2"/>
                <w:spacing w:val="-3"/>
              </w:rPr>
              <w:t xml:space="preserve">terciárním vzděláním souvisely s delší přípravou na budoucí povolání) </w:t>
            </w:r>
            <w:r w:rsidR="00BC7833">
              <w:rPr>
                <w:rFonts w:cs="Arial"/>
                <w:color w:val="0D0D0D" w:themeColor="text1" w:themeTint="F2"/>
                <w:spacing w:val="-3"/>
              </w:rPr>
              <w:t>a </w:t>
            </w:r>
            <w:r>
              <w:rPr>
                <w:rFonts w:cs="Arial"/>
                <w:color w:val="0D0D0D" w:themeColor="text1" w:themeTint="F2"/>
                <w:spacing w:val="-3"/>
              </w:rPr>
              <w:t>ženy ve věku 30 až 4</w:t>
            </w:r>
            <w:r w:rsidR="00D82A1E">
              <w:rPr>
                <w:rFonts w:cs="Arial"/>
                <w:color w:val="0D0D0D" w:themeColor="text1" w:themeTint="F2"/>
                <w:spacing w:val="-3"/>
              </w:rPr>
              <w:t>4 </w:t>
            </w:r>
            <w:r>
              <w:rPr>
                <w:rFonts w:cs="Arial"/>
                <w:color w:val="0D0D0D" w:themeColor="text1" w:themeTint="F2"/>
                <w:spacing w:val="-3"/>
              </w:rPr>
              <w:t>let (</w:t>
            </w:r>
            <w:r w:rsidR="00BC7833">
              <w:rPr>
                <w:rFonts w:cs="Arial"/>
                <w:color w:val="0D0D0D" w:themeColor="text1" w:themeTint="F2"/>
                <w:spacing w:val="-3"/>
              </w:rPr>
              <w:t>v </w:t>
            </w:r>
            <w:r>
              <w:rPr>
                <w:rFonts w:cs="Arial"/>
                <w:color w:val="0D0D0D" w:themeColor="text1" w:themeTint="F2"/>
                <w:spacing w:val="-3"/>
              </w:rPr>
              <w:t xml:space="preserve">němž vykazovaly nejvyšší aktivitu středoškolačky). Odlišné postavení mladších žen odráželo rozdílné modely reprodukčního chování i možnosti sladění pracovní </w:t>
            </w:r>
            <w:r w:rsidR="00D0260C">
              <w:rPr>
                <w:rFonts w:cs="Arial"/>
                <w:color w:val="0D0D0D" w:themeColor="text1" w:themeTint="F2"/>
                <w:spacing w:val="-3"/>
              </w:rPr>
              <w:t>a</w:t>
            </w:r>
            <w:r>
              <w:rPr>
                <w:rFonts w:cs="Arial"/>
                <w:color w:val="0D0D0D" w:themeColor="text1" w:themeTint="F2"/>
                <w:spacing w:val="-3"/>
              </w:rPr>
              <w:t xml:space="preserve"> rodinné dráhy. </w:t>
            </w:r>
            <w:r w:rsidR="00BC7833">
              <w:rPr>
                <w:rFonts w:cs="Arial"/>
                <w:color w:val="0D0D0D" w:themeColor="text1" w:themeTint="F2"/>
                <w:spacing w:val="-3"/>
              </w:rPr>
              <w:t>U </w:t>
            </w:r>
            <w:r>
              <w:rPr>
                <w:rFonts w:cs="Arial"/>
                <w:color w:val="0D0D0D" w:themeColor="text1" w:themeTint="F2"/>
                <w:spacing w:val="-3"/>
              </w:rPr>
              <w:t>nejvzdělanější skupiny žen ve věku 25 až 2</w:t>
            </w:r>
            <w:r w:rsidR="00D82A1E">
              <w:rPr>
                <w:rFonts w:cs="Arial"/>
                <w:color w:val="0D0D0D" w:themeColor="text1" w:themeTint="F2"/>
                <w:spacing w:val="-3"/>
              </w:rPr>
              <w:t>9 </w:t>
            </w:r>
            <w:r>
              <w:rPr>
                <w:rFonts w:cs="Arial"/>
                <w:color w:val="0D0D0D" w:themeColor="text1" w:themeTint="F2"/>
                <w:spacing w:val="-3"/>
              </w:rPr>
              <w:t xml:space="preserve">let ekonomická aktivita prudce stoupá (na téměř dvojnásobnou úroveň proti ženám se základním vzděláním). Výrazně </w:t>
            </w:r>
            <w:r w:rsidR="002634D9">
              <w:rPr>
                <w:rFonts w:cs="Arial"/>
                <w:color w:val="0D0D0D" w:themeColor="text1" w:themeTint="F2"/>
                <w:spacing w:val="-3"/>
              </w:rPr>
              <w:t>tato věková skupina</w:t>
            </w:r>
            <w:r>
              <w:rPr>
                <w:rFonts w:cs="Arial"/>
                <w:color w:val="0D0D0D" w:themeColor="text1" w:themeTint="F2"/>
                <w:spacing w:val="-3"/>
              </w:rPr>
              <w:t xml:space="preserve"> nezaostává ani za muži (78 % ku 91</w:t>
            </w:r>
            <w:r w:rsidR="006454CC">
              <w:rPr>
                <w:rFonts w:cs="Arial"/>
                <w:color w:val="0D0D0D" w:themeColor="text1" w:themeTint="F2"/>
                <w:spacing w:val="-3"/>
              </w:rPr>
              <w:t> %</w:t>
            </w:r>
            <w:r>
              <w:rPr>
                <w:rFonts w:cs="Arial"/>
                <w:color w:val="0D0D0D" w:themeColor="text1" w:themeTint="F2"/>
                <w:spacing w:val="-3"/>
              </w:rPr>
              <w:t xml:space="preserve">), neboť vysoký podíl těchto žen zde zůstává ještě bezdětných. Podstatné rozdíly mezi ženami nacházíme </w:t>
            </w:r>
            <w:r w:rsidR="00BC7833">
              <w:rPr>
                <w:rFonts w:cs="Arial"/>
                <w:color w:val="0D0D0D" w:themeColor="text1" w:themeTint="F2"/>
                <w:spacing w:val="-3"/>
              </w:rPr>
              <w:t>i </w:t>
            </w:r>
            <w:r>
              <w:rPr>
                <w:rFonts w:cs="Arial"/>
                <w:color w:val="0D0D0D" w:themeColor="text1" w:themeTint="F2"/>
                <w:spacing w:val="-3"/>
              </w:rPr>
              <w:t>ve věku vrcholící intenzity ekonomické aktivity –</w:t>
            </w:r>
            <w:r w:rsidR="002634D9">
              <w:rPr>
                <w:rFonts w:cs="Arial"/>
                <w:color w:val="0D0D0D" w:themeColor="text1" w:themeTint="F2"/>
                <w:spacing w:val="-3"/>
              </w:rPr>
              <w:t> </w:t>
            </w:r>
            <w:r>
              <w:rPr>
                <w:rFonts w:cs="Arial"/>
                <w:color w:val="0D0D0D" w:themeColor="text1" w:themeTint="F2"/>
                <w:spacing w:val="-3"/>
              </w:rPr>
              <w:t>ve skupině 45</w:t>
            </w:r>
            <w:r w:rsidR="002634D9">
              <w:rPr>
                <w:rFonts w:cs="Arial"/>
                <w:color w:val="0D0D0D" w:themeColor="text1" w:themeTint="F2"/>
                <w:spacing w:val="-3"/>
              </w:rPr>
              <w:t>-</w:t>
            </w:r>
            <w:r>
              <w:rPr>
                <w:rFonts w:cs="Arial"/>
                <w:color w:val="0D0D0D" w:themeColor="text1" w:themeTint="F2"/>
                <w:spacing w:val="-3"/>
              </w:rPr>
              <w:t xml:space="preserve"> až 54letých bylo loni neaktivních méně než 2,5</w:t>
            </w:r>
            <w:r w:rsidR="006454CC">
              <w:rPr>
                <w:rFonts w:cs="Arial"/>
                <w:color w:val="0D0D0D" w:themeColor="text1" w:themeTint="F2"/>
                <w:spacing w:val="-3"/>
              </w:rPr>
              <w:t> %</w:t>
            </w:r>
            <w:r>
              <w:rPr>
                <w:rFonts w:cs="Arial"/>
                <w:color w:val="0D0D0D" w:themeColor="text1" w:themeTint="F2"/>
                <w:spacing w:val="-3"/>
              </w:rPr>
              <w:t xml:space="preserve"> osob s terciárním vzděláním, ale více než čtvrtina osob se základním vzděláním. Tyto diference se za posledních deset let ještě prohloubily</w:t>
            </w:r>
            <w:r>
              <w:rPr>
                <w:rStyle w:val="Znakapoznpodarou"/>
                <w:rFonts w:cs="Arial"/>
                <w:color w:val="0D0D0D" w:themeColor="text1" w:themeTint="F2"/>
                <w:spacing w:val="-4"/>
              </w:rPr>
              <w:footnoteReference w:id="6"/>
            </w:r>
            <w:r>
              <w:rPr>
                <w:rFonts w:cs="Arial"/>
                <w:color w:val="0D0D0D" w:themeColor="text1" w:themeTint="F2"/>
                <w:spacing w:val="-3"/>
              </w:rPr>
              <w:t>.</w:t>
            </w:r>
          </w:p>
        </w:tc>
      </w:tr>
      <w:tr w:rsidR="009E674A" w14:paraId="7988260A" w14:textId="77777777" w:rsidTr="006F668F">
        <w:trPr>
          <w:trHeight w:val="145"/>
        </w:trPr>
        <w:tc>
          <w:tcPr>
            <w:tcW w:w="1976" w:type="dxa"/>
            <w:tcBorders>
              <w:top w:val="nil"/>
              <w:left w:val="nil"/>
              <w:bottom w:val="nil"/>
              <w:right w:val="nil"/>
            </w:tcBorders>
          </w:tcPr>
          <w:p w14:paraId="6C7DF943" w14:textId="77777777" w:rsidR="009E674A" w:rsidRDefault="009E674A" w:rsidP="006F668F">
            <w:pPr>
              <w:pStyle w:val="Marginlie"/>
            </w:pPr>
            <w:r>
              <w:t>Míra participace v poproduktivním věku posílila oproti roku 2008 napříč vzdělanostními skupinami. Na současnou konjunkturu ale pružněji reagovali zejména senioři s vyšším stupněm vzdělání.</w:t>
            </w:r>
          </w:p>
          <w:p w14:paraId="37D06013" w14:textId="77777777" w:rsidR="009E674A" w:rsidRDefault="009E674A" w:rsidP="006F668F">
            <w:pPr>
              <w:pStyle w:val="Marginlie"/>
            </w:pPr>
          </w:p>
        </w:tc>
        <w:tc>
          <w:tcPr>
            <w:tcW w:w="277" w:type="dxa"/>
            <w:tcBorders>
              <w:top w:val="nil"/>
              <w:left w:val="nil"/>
              <w:bottom w:val="nil"/>
              <w:right w:val="nil"/>
            </w:tcBorders>
          </w:tcPr>
          <w:p w14:paraId="50027F8F" w14:textId="77777777" w:rsidR="009E674A" w:rsidRDefault="009E674A" w:rsidP="006F668F">
            <w:pPr>
              <w:pStyle w:val="Textpoznpodarou"/>
              <w:jc w:val="both"/>
              <w:rPr>
                <w:spacing w:val="-4"/>
              </w:rPr>
            </w:pPr>
          </w:p>
        </w:tc>
        <w:tc>
          <w:tcPr>
            <w:tcW w:w="7391" w:type="dxa"/>
            <w:tcBorders>
              <w:top w:val="nil"/>
              <w:left w:val="nil"/>
              <w:bottom w:val="nil"/>
              <w:right w:val="nil"/>
            </w:tcBorders>
          </w:tcPr>
          <w:p w14:paraId="0AE475CE" w14:textId="059217CF" w:rsidR="009E674A" w:rsidRDefault="009E674A" w:rsidP="006F668F">
            <w:pPr>
              <w:spacing w:after="220"/>
              <w:rPr>
                <w:rFonts w:cs="Arial"/>
                <w:color w:val="0D0D0D" w:themeColor="text1" w:themeTint="F2"/>
                <w:spacing w:val="-3"/>
              </w:rPr>
            </w:pPr>
            <w:r>
              <w:rPr>
                <w:rFonts w:cs="Arial"/>
                <w:color w:val="0D0D0D" w:themeColor="text1" w:themeTint="F2"/>
                <w:spacing w:val="-3"/>
              </w:rPr>
              <w:t xml:space="preserve">Úroveň vzdělání zásadně ovlivňuje </w:t>
            </w:r>
            <w:r w:rsidR="00BC7833">
              <w:rPr>
                <w:rFonts w:cs="Arial"/>
                <w:color w:val="0D0D0D" w:themeColor="text1" w:themeTint="F2"/>
                <w:spacing w:val="-3"/>
              </w:rPr>
              <w:t>u </w:t>
            </w:r>
            <w:r>
              <w:rPr>
                <w:rFonts w:cs="Arial"/>
                <w:color w:val="0D0D0D" w:themeColor="text1" w:themeTint="F2"/>
                <w:spacing w:val="-3"/>
              </w:rPr>
              <w:t xml:space="preserve">obou pohlaví </w:t>
            </w:r>
            <w:r w:rsidR="00BC7833">
              <w:rPr>
                <w:rFonts w:cs="Arial"/>
                <w:color w:val="0D0D0D" w:themeColor="text1" w:themeTint="F2"/>
                <w:spacing w:val="-3"/>
              </w:rPr>
              <w:t>i </w:t>
            </w:r>
            <w:r>
              <w:rPr>
                <w:rFonts w:cs="Arial"/>
                <w:color w:val="0D0D0D" w:themeColor="text1" w:themeTint="F2"/>
                <w:spacing w:val="-3"/>
              </w:rPr>
              <w:t xml:space="preserve">konec pracovní kariéry. Souvisí s charakterem vykonávaného zaměstnání, jenž je důležitým determinantem zdravotního stavu lidí </w:t>
            </w:r>
            <w:r w:rsidR="00BC7833">
              <w:rPr>
                <w:rFonts w:cs="Arial"/>
                <w:color w:val="0D0D0D" w:themeColor="text1" w:themeTint="F2"/>
                <w:spacing w:val="-3"/>
              </w:rPr>
              <w:t>i </w:t>
            </w:r>
            <w:r>
              <w:rPr>
                <w:rFonts w:cs="Arial"/>
                <w:color w:val="0D0D0D" w:themeColor="text1" w:themeTint="F2"/>
                <w:spacing w:val="-3"/>
              </w:rPr>
              <w:t xml:space="preserve">možností pokračování pracovní kariéry v poproduktivním věku. </w:t>
            </w:r>
            <w:r w:rsidR="00BC7833">
              <w:rPr>
                <w:rFonts w:cs="Arial"/>
                <w:color w:val="0D0D0D" w:themeColor="text1" w:themeTint="F2"/>
                <w:spacing w:val="-3"/>
              </w:rPr>
              <w:t>U </w:t>
            </w:r>
            <w:r>
              <w:rPr>
                <w:rFonts w:cs="Arial"/>
                <w:color w:val="0D0D0D" w:themeColor="text1" w:themeTint="F2"/>
                <w:spacing w:val="-3"/>
              </w:rPr>
              <w:t>žen hrají stále významnou roli i rodinné faktory (např.</w:t>
            </w:r>
            <w:r w:rsidR="000B305D">
              <w:rPr>
                <w:rFonts w:cs="Arial"/>
                <w:color w:val="0D0D0D" w:themeColor="text1" w:themeTint="F2"/>
                <w:spacing w:val="-3"/>
              </w:rPr>
              <w:t> </w:t>
            </w:r>
            <w:r>
              <w:rPr>
                <w:rFonts w:cs="Arial"/>
                <w:color w:val="0D0D0D" w:themeColor="text1" w:themeTint="F2"/>
                <w:spacing w:val="-3"/>
              </w:rPr>
              <w:t>počet vychovaných dětí). Ve věku 60 až 6</w:t>
            </w:r>
            <w:r w:rsidR="00D82A1E">
              <w:rPr>
                <w:rFonts w:cs="Arial"/>
                <w:color w:val="0D0D0D" w:themeColor="text1" w:themeTint="F2"/>
                <w:spacing w:val="-3"/>
              </w:rPr>
              <w:t>4 </w:t>
            </w:r>
            <w:r>
              <w:rPr>
                <w:rFonts w:cs="Arial"/>
                <w:color w:val="0D0D0D" w:themeColor="text1" w:themeTint="F2"/>
                <w:spacing w:val="-3"/>
              </w:rPr>
              <w:t xml:space="preserve">let byla v roce 2018 ekonomicky aktivní jen každá šestá žena se základním vzděláním, </w:t>
            </w:r>
            <w:r w:rsidR="00BC7833">
              <w:rPr>
                <w:rFonts w:cs="Arial"/>
                <w:color w:val="0D0D0D" w:themeColor="text1" w:themeTint="F2"/>
                <w:spacing w:val="-3"/>
              </w:rPr>
              <w:t>u </w:t>
            </w:r>
            <w:r>
              <w:rPr>
                <w:rFonts w:cs="Arial"/>
                <w:color w:val="0D0D0D" w:themeColor="text1" w:themeTint="F2"/>
                <w:spacing w:val="-3"/>
              </w:rPr>
              <w:t xml:space="preserve">středoškolaček každá třetí </w:t>
            </w:r>
            <w:r w:rsidR="00BC7833">
              <w:rPr>
                <w:rFonts w:cs="Arial"/>
                <w:color w:val="0D0D0D" w:themeColor="text1" w:themeTint="F2"/>
                <w:spacing w:val="-3"/>
              </w:rPr>
              <w:t>a u </w:t>
            </w:r>
            <w:r>
              <w:rPr>
                <w:rFonts w:cs="Arial"/>
                <w:color w:val="0D0D0D" w:themeColor="text1" w:themeTint="F2"/>
                <w:spacing w:val="-3"/>
              </w:rPr>
              <w:t xml:space="preserve">vysokoškolaček bezmála dvě ze tří. </w:t>
            </w:r>
            <w:r w:rsidR="00BC7833">
              <w:rPr>
                <w:rFonts w:cs="Arial"/>
                <w:color w:val="0D0D0D" w:themeColor="text1" w:themeTint="F2"/>
                <w:spacing w:val="-3"/>
              </w:rPr>
              <w:t>U </w:t>
            </w:r>
            <w:r>
              <w:rPr>
                <w:rFonts w:cs="Arial"/>
                <w:color w:val="0D0D0D" w:themeColor="text1" w:themeTint="F2"/>
                <w:spacing w:val="-3"/>
              </w:rPr>
              <w:t>mužů ve věku 65 až 6</w:t>
            </w:r>
            <w:r w:rsidR="00D82A1E">
              <w:rPr>
                <w:rFonts w:cs="Arial"/>
                <w:color w:val="0D0D0D" w:themeColor="text1" w:themeTint="F2"/>
                <w:spacing w:val="-3"/>
              </w:rPr>
              <w:t>9 </w:t>
            </w:r>
            <w:r>
              <w:rPr>
                <w:rFonts w:cs="Arial"/>
                <w:color w:val="0D0D0D" w:themeColor="text1" w:themeTint="F2"/>
                <w:spacing w:val="-3"/>
              </w:rPr>
              <w:t>let činily obdobné podíly 6</w:t>
            </w:r>
            <w:r w:rsidR="006454CC">
              <w:rPr>
                <w:rFonts w:cs="Arial"/>
                <w:color w:val="0D0D0D" w:themeColor="text1" w:themeTint="F2"/>
                <w:spacing w:val="-3"/>
              </w:rPr>
              <w:t> %</w:t>
            </w:r>
            <w:r>
              <w:rPr>
                <w:rFonts w:cs="Arial"/>
                <w:color w:val="0D0D0D" w:themeColor="text1" w:themeTint="F2"/>
                <w:spacing w:val="-3"/>
              </w:rPr>
              <w:t>, 14</w:t>
            </w:r>
            <w:r w:rsidR="006454CC">
              <w:rPr>
                <w:rFonts w:cs="Arial"/>
                <w:color w:val="0D0D0D" w:themeColor="text1" w:themeTint="F2"/>
                <w:spacing w:val="-3"/>
              </w:rPr>
              <w:t> %</w:t>
            </w:r>
            <w:r>
              <w:rPr>
                <w:rFonts w:cs="Arial"/>
                <w:color w:val="0D0D0D" w:themeColor="text1" w:themeTint="F2"/>
                <w:spacing w:val="-3"/>
              </w:rPr>
              <w:t xml:space="preserve"> </w:t>
            </w:r>
            <w:r w:rsidR="00BC7833">
              <w:rPr>
                <w:rFonts w:cs="Arial"/>
                <w:color w:val="0D0D0D" w:themeColor="text1" w:themeTint="F2"/>
                <w:spacing w:val="-3"/>
              </w:rPr>
              <w:t>a </w:t>
            </w:r>
            <w:r>
              <w:rPr>
                <w:rFonts w:cs="Arial"/>
                <w:color w:val="0D0D0D" w:themeColor="text1" w:themeTint="F2"/>
                <w:spacing w:val="-3"/>
              </w:rPr>
              <w:t>40</w:t>
            </w:r>
            <w:r w:rsidR="006454CC">
              <w:rPr>
                <w:rFonts w:cs="Arial"/>
                <w:color w:val="0D0D0D" w:themeColor="text1" w:themeTint="F2"/>
                <w:spacing w:val="-3"/>
              </w:rPr>
              <w:t> %</w:t>
            </w:r>
            <w:r>
              <w:rPr>
                <w:rFonts w:cs="Arial"/>
                <w:color w:val="0D0D0D" w:themeColor="text1" w:themeTint="F2"/>
                <w:spacing w:val="-3"/>
              </w:rPr>
              <w:t xml:space="preserve">. Ve srovnání s rokem 2008 mírně posílila ekonomická participace obyvatel v poproduktivním věku, </w:t>
            </w:r>
            <w:r w:rsidR="00BC7833">
              <w:rPr>
                <w:rFonts w:cs="Arial"/>
                <w:color w:val="0D0D0D" w:themeColor="text1" w:themeTint="F2"/>
                <w:spacing w:val="-3"/>
              </w:rPr>
              <w:t>a </w:t>
            </w:r>
            <w:r>
              <w:rPr>
                <w:rFonts w:cs="Arial"/>
                <w:color w:val="0D0D0D" w:themeColor="text1" w:themeTint="F2"/>
                <w:spacing w:val="-3"/>
              </w:rPr>
              <w:t>to napříč vzdělanostními skupinami. Nicméně na silnou poptávku po</w:t>
            </w:r>
            <w:r w:rsidR="000B305D">
              <w:rPr>
                <w:rFonts w:cs="Arial"/>
                <w:color w:val="0D0D0D" w:themeColor="text1" w:themeTint="F2"/>
                <w:spacing w:val="-3"/>
              </w:rPr>
              <w:t xml:space="preserve"> </w:t>
            </w:r>
            <w:r>
              <w:rPr>
                <w:rFonts w:cs="Arial"/>
                <w:color w:val="0D0D0D" w:themeColor="text1" w:themeTint="F2"/>
                <w:spacing w:val="-3"/>
              </w:rPr>
              <w:t>pracovní</w:t>
            </w:r>
            <w:r w:rsidR="000B305D">
              <w:rPr>
                <w:rFonts w:cs="Arial"/>
                <w:color w:val="0D0D0D" w:themeColor="text1" w:themeTint="F2"/>
                <w:spacing w:val="-3"/>
              </w:rPr>
              <w:t>cí</w:t>
            </w:r>
            <w:r>
              <w:rPr>
                <w:rFonts w:cs="Arial"/>
                <w:color w:val="0D0D0D" w:themeColor="text1" w:themeTint="F2"/>
                <w:spacing w:val="-3"/>
              </w:rPr>
              <w:t>ch v době současné konjunktury reagovali pružně především senioři s vyšším stupněm vzdělání.</w:t>
            </w:r>
          </w:p>
        </w:tc>
      </w:tr>
      <w:tr w:rsidR="009E674A" w:rsidRPr="005A2E40" w14:paraId="5B49B6CC" w14:textId="77777777" w:rsidTr="006F668F">
        <w:trPr>
          <w:trHeight w:val="429"/>
        </w:trPr>
        <w:tc>
          <w:tcPr>
            <w:tcW w:w="1976" w:type="dxa"/>
            <w:tcBorders>
              <w:top w:val="nil"/>
              <w:left w:val="nil"/>
              <w:bottom w:val="nil"/>
              <w:right w:val="nil"/>
            </w:tcBorders>
          </w:tcPr>
          <w:p w14:paraId="77285566" w14:textId="6380006A" w:rsidR="009E674A" w:rsidRDefault="009E674A" w:rsidP="006F668F">
            <w:pPr>
              <w:pStyle w:val="Marginlie"/>
            </w:pPr>
            <w:r>
              <w:t>Míra zaměstnanosti v produktivním věku rostla osmým rokem v řadě a přiblížila se 75% hranici.</w:t>
            </w:r>
          </w:p>
          <w:p w14:paraId="61612F5A" w14:textId="77777777" w:rsidR="009E674A" w:rsidRDefault="009E674A" w:rsidP="006F668F">
            <w:pPr>
              <w:pStyle w:val="Marginlie"/>
            </w:pPr>
          </w:p>
          <w:p w14:paraId="68626EED" w14:textId="77777777" w:rsidR="009E674A" w:rsidRDefault="009E674A" w:rsidP="006F668F">
            <w:pPr>
              <w:pStyle w:val="Marginlie"/>
            </w:pPr>
          </w:p>
          <w:p w14:paraId="23467522" w14:textId="77777777" w:rsidR="009E674A" w:rsidRDefault="009E674A" w:rsidP="006F668F">
            <w:pPr>
              <w:pStyle w:val="Marginlie"/>
            </w:pPr>
          </w:p>
          <w:p w14:paraId="61085691" w14:textId="77777777" w:rsidR="009E674A" w:rsidRDefault="009E674A" w:rsidP="006F668F">
            <w:pPr>
              <w:pStyle w:val="Marginlie"/>
            </w:pPr>
          </w:p>
          <w:p w14:paraId="17EDE1E1" w14:textId="77777777" w:rsidR="009E674A" w:rsidRDefault="009E674A" w:rsidP="006F668F">
            <w:pPr>
              <w:pStyle w:val="Marginlie"/>
            </w:pPr>
          </w:p>
          <w:p w14:paraId="1BFF291E" w14:textId="77777777" w:rsidR="009E674A" w:rsidRDefault="009E674A" w:rsidP="006F668F">
            <w:pPr>
              <w:pStyle w:val="Marginlie"/>
            </w:pPr>
          </w:p>
          <w:p w14:paraId="26D9161A" w14:textId="77777777" w:rsidR="009E674A" w:rsidRDefault="009E674A" w:rsidP="006F668F">
            <w:pPr>
              <w:pStyle w:val="Marginlie"/>
            </w:pPr>
          </w:p>
          <w:p w14:paraId="7131B1BE" w14:textId="77777777" w:rsidR="009E674A" w:rsidRPr="00106639" w:rsidRDefault="009E674A" w:rsidP="006F668F">
            <w:pPr>
              <w:pStyle w:val="Marginlie"/>
            </w:pPr>
            <w:r>
              <w:t>Proces stárnutí pracovníků pokračoval.</w:t>
            </w:r>
          </w:p>
        </w:tc>
        <w:tc>
          <w:tcPr>
            <w:tcW w:w="277" w:type="dxa"/>
            <w:tcBorders>
              <w:top w:val="nil"/>
              <w:left w:val="nil"/>
              <w:bottom w:val="nil"/>
              <w:right w:val="nil"/>
            </w:tcBorders>
          </w:tcPr>
          <w:p w14:paraId="1A7CBF1C" w14:textId="77777777" w:rsidR="009E674A" w:rsidRPr="005E4483" w:rsidRDefault="009E674A" w:rsidP="006F668F">
            <w:pPr>
              <w:pStyle w:val="Textpoznpodarou"/>
              <w:jc w:val="both"/>
              <w:rPr>
                <w:spacing w:val="-4"/>
              </w:rPr>
            </w:pPr>
          </w:p>
        </w:tc>
        <w:tc>
          <w:tcPr>
            <w:tcW w:w="7391" w:type="dxa"/>
            <w:tcBorders>
              <w:top w:val="nil"/>
              <w:left w:val="nil"/>
              <w:bottom w:val="nil"/>
              <w:right w:val="nil"/>
            </w:tcBorders>
          </w:tcPr>
          <w:p w14:paraId="3EBC5D07" w14:textId="22619856" w:rsidR="009E674A" w:rsidRPr="00C80D51" w:rsidRDefault="009E674A" w:rsidP="006F668F">
            <w:pPr>
              <w:spacing w:after="220"/>
              <w:rPr>
                <w:rFonts w:cs="Arial"/>
                <w:color w:val="0D0D0D" w:themeColor="text1" w:themeTint="F2"/>
                <w:spacing w:val="-2"/>
              </w:rPr>
            </w:pPr>
            <w:r>
              <w:rPr>
                <w:rFonts w:cs="Arial"/>
                <w:color w:val="0D0D0D" w:themeColor="text1" w:themeTint="F2"/>
                <w:spacing w:val="-2"/>
              </w:rPr>
              <w:t xml:space="preserve">Při velmi nízké míře nezaměstnanosti </w:t>
            </w:r>
            <w:r w:rsidR="00BC7833">
              <w:rPr>
                <w:rFonts w:cs="Arial"/>
                <w:color w:val="0D0D0D" w:themeColor="text1" w:themeTint="F2"/>
                <w:spacing w:val="-2"/>
              </w:rPr>
              <w:t>i </w:t>
            </w:r>
            <w:r>
              <w:rPr>
                <w:rFonts w:cs="Arial"/>
                <w:color w:val="0D0D0D" w:themeColor="text1" w:themeTint="F2"/>
                <w:spacing w:val="-2"/>
              </w:rPr>
              <w:t>její poměrně slabé dynamice v posledním období (speciálně v roce 2018) vystihuje výše popsaný obraz ekonomické aktivity v</w:t>
            </w:r>
            <w:r w:rsidR="00BA35F3">
              <w:rPr>
                <w:rFonts w:cs="Arial"/>
                <w:color w:val="0D0D0D" w:themeColor="text1" w:themeTint="F2"/>
                <w:spacing w:val="-2"/>
              </w:rPr>
              <w:t>č. </w:t>
            </w:r>
            <w:r>
              <w:rPr>
                <w:rFonts w:cs="Arial"/>
                <w:color w:val="0D0D0D" w:themeColor="text1" w:themeTint="F2"/>
                <w:spacing w:val="-2"/>
              </w:rPr>
              <w:t>strukturálních rozdílů velmi dobře také situaci v oblasti zaměstnanosti. Míra zaměstnanosti ve věku 15 až 6</w:t>
            </w:r>
            <w:r w:rsidR="00D82A1E">
              <w:rPr>
                <w:rFonts w:cs="Arial"/>
                <w:color w:val="0D0D0D" w:themeColor="text1" w:themeTint="F2"/>
                <w:spacing w:val="-2"/>
              </w:rPr>
              <w:t>4 </w:t>
            </w:r>
            <w:r>
              <w:rPr>
                <w:rFonts w:cs="Arial"/>
                <w:color w:val="0D0D0D" w:themeColor="text1" w:themeTint="F2"/>
                <w:spacing w:val="-2"/>
              </w:rPr>
              <w:t xml:space="preserve">let se zvyšovala již osmým rokem </w:t>
            </w:r>
            <w:r w:rsidR="00BC7833">
              <w:rPr>
                <w:rFonts w:cs="Arial"/>
                <w:color w:val="0D0D0D" w:themeColor="text1" w:themeTint="F2"/>
                <w:spacing w:val="-2"/>
              </w:rPr>
              <w:t>v </w:t>
            </w:r>
            <w:r>
              <w:rPr>
                <w:rFonts w:cs="Arial"/>
                <w:color w:val="0D0D0D" w:themeColor="text1" w:themeTint="F2"/>
                <w:spacing w:val="-2"/>
              </w:rPr>
              <w:t xml:space="preserve">řadě </w:t>
            </w:r>
            <w:r w:rsidR="00BC7833">
              <w:rPr>
                <w:rFonts w:cs="Arial"/>
                <w:color w:val="0D0D0D" w:themeColor="text1" w:themeTint="F2"/>
                <w:spacing w:val="-2"/>
              </w:rPr>
              <w:t>a </w:t>
            </w:r>
            <w:r>
              <w:rPr>
                <w:rFonts w:cs="Arial"/>
                <w:color w:val="0D0D0D" w:themeColor="text1" w:themeTint="F2"/>
                <w:spacing w:val="-2"/>
              </w:rPr>
              <w:t>loni vystoupala až na 74,8</w:t>
            </w:r>
            <w:r w:rsidR="006454CC">
              <w:rPr>
                <w:rFonts w:cs="Arial"/>
                <w:color w:val="0D0D0D" w:themeColor="text1" w:themeTint="F2"/>
                <w:spacing w:val="-2"/>
              </w:rPr>
              <w:t> %</w:t>
            </w:r>
            <w:r>
              <w:rPr>
                <w:rFonts w:cs="Arial"/>
                <w:color w:val="0D0D0D" w:themeColor="text1" w:themeTint="F2"/>
                <w:spacing w:val="-2"/>
              </w:rPr>
              <w:t>. Již tradičně meziročně posílila svižněji zaměstnanost žen (</w:t>
            </w:r>
            <w:r w:rsidR="00BC7833">
              <w:rPr>
                <w:rFonts w:cs="Arial"/>
                <w:color w:val="0D0D0D" w:themeColor="text1" w:themeTint="F2"/>
                <w:spacing w:val="-2"/>
              </w:rPr>
              <w:t>o </w:t>
            </w:r>
            <w:r>
              <w:rPr>
                <w:rFonts w:cs="Arial"/>
                <w:color w:val="0D0D0D" w:themeColor="text1" w:themeTint="F2"/>
                <w:spacing w:val="-2"/>
              </w:rPr>
              <w:t>1,5</w:t>
            </w:r>
            <w:r w:rsidR="006454CC">
              <w:rPr>
                <w:rFonts w:cs="Arial"/>
                <w:color w:val="0D0D0D" w:themeColor="text1" w:themeTint="F2"/>
                <w:spacing w:val="-2"/>
              </w:rPr>
              <w:t> p. b.</w:t>
            </w:r>
            <w:r>
              <w:rPr>
                <w:rFonts w:cs="Arial"/>
                <w:color w:val="0D0D0D" w:themeColor="text1" w:themeTint="F2"/>
                <w:spacing w:val="-2"/>
              </w:rPr>
              <w:t xml:space="preserve"> na 67,6</w:t>
            </w:r>
            <w:r w:rsidR="006454CC">
              <w:rPr>
                <w:rFonts w:cs="Arial"/>
                <w:color w:val="0D0D0D" w:themeColor="text1" w:themeTint="F2"/>
                <w:spacing w:val="-2"/>
              </w:rPr>
              <w:t> %</w:t>
            </w:r>
            <w:r>
              <w:rPr>
                <w:rFonts w:cs="Arial"/>
                <w:color w:val="0D0D0D" w:themeColor="text1" w:themeTint="F2"/>
                <w:spacing w:val="-2"/>
              </w:rPr>
              <w:t>) než mužů (</w:t>
            </w:r>
            <w:r w:rsidR="00BC7833">
              <w:rPr>
                <w:rFonts w:cs="Arial"/>
                <w:color w:val="0D0D0D" w:themeColor="text1" w:themeTint="F2"/>
                <w:spacing w:val="-2"/>
              </w:rPr>
              <w:t>o </w:t>
            </w:r>
            <w:r>
              <w:rPr>
                <w:rFonts w:cs="Arial"/>
                <w:color w:val="0D0D0D" w:themeColor="text1" w:themeTint="F2"/>
                <w:spacing w:val="-2"/>
              </w:rPr>
              <w:t>0,9</w:t>
            </w:r>
            <w:r w:rsidR="006454CC">
              <w:rPr>
                <w:rFonts w:cs="Arial"/>
                <w:color w:val="0D0D0D" w:themeColor="text1" w:themeTint="F2"/>
                <w:spacing w:val="-2"/>
              </w:rPr>
              <w:t> p. b.</w:t>
            </w:r>
            <w:r>
              <w:rPr>
                <w:rFonts w:cs="Arial"/>
                <w:color w:val="0D0D0D" w:themeColor="text1" w:themeTint="F2"/>
                <w:spacing w:val="-2"/>
              </w:rPr>
              <w:t xml:space="preserve"> na 81,8</w:t>
            </w:r>
            <w:r w:rsidR="006454CC">
              <w:rPr>
                <w:rFonts w:cs="Arial"/>
                <w:color w:val="0D0D0D" w:themeColor="text1" w:themeTint="F2"/>
                <w:spacing w:val="-2"/>
              </w:rPr>
              <w:t> %</w:t>
            </w:r>
            <w:r>
              <w:rPr>
                <w:rFonts w:cs="Arial"/>
                <w:color w:val="0D0D0D" w:themeColor="text1" w:themeTint="F2"/>
                <w:spacing w:val="-2"/>
              </w:rPr>
              <w:t xml:space="preserve">). </w:t>
            </w:r>
            <w:r w:rsidR="00BC7833">
              <w:rPr>
                <w:rFonts w:cs="Arial"/>
                <w:color w:val="0D0D0D" w:themeColor="text1" w:themeTint="F2"/>
                <w:spacing w:val="-2"/>
              </w:rPr>
              <w:t>U </w:t>
            </w:r>
            <w:r>
              <w:rPr>
                <w:rFonts w:cs="Arial"/>
                <w:color w:val="0D0D0D" w:themeColor="text1" w:themeTint="F2"/>
                <w:spacing w:val="-2"/>
              </w:rPr>
              <w:t>obou pohlaví došlo loni opět k dalšímu posunu rekordních úrovní v éře samostatné ČR. K </w:t>
            </w:r>
            <w:r w:rsidRPr="00422BFE">
              <w:rPr>
                <w:rFonts w:cs="Arial"/>
                <w:color w:val="0D0D0D" w:themeColor="text1" w:themeTint="F2"/>
                <w:spacing w:val="-2"/>
              </w:rPr>
              <w:t xml:space="preserve">vyšší celkové zaměstnanosti </w:t>
            </w:r>
            <w:r>
              <w:rPr>
                <w:rFonts w:cs="Arial"/>
                <w:color w:val="0D0D0D" w:themeColor="text1" w:themeTint="F2"/>
                <w:spacing w:val="-2"/>
              </w:rPr>
              <w:t>přispěli</w:t>
            </w:r>
            <w:r w:rsidRPr="00422BFE">
              <w:rPr>
                <w:rFonts w:cs="Arial"/>
                <w:color w:val="0D0D0D" w:themeColor="text1" w:themeTint="F2"/>
                <w:spacing w:val="-2"/>
              </w:rPr>
              <w:t xml:space="preserve"> téměř z poloviny lidé s terciárním vzděláním</w:t>
            </w:r>
            <w:r>
              <w:rPr>
                <w:rFonts w:cs="Arial"/>
                <w:color w:val="0D0D0D" w:themeColor="text1" w:themeTint="F2"/>
                <w:spacing w:val="-2"/>
              </w:rPr>
              <w:t xml:space="preserve"> (u nichž také nejvíce vzrostla míra zaměstnanosti –</w:t>
            </w:r>
            <w:r w:rsidR="000B305D">
              <w:rPr>
                <w:rFonts w:cs="Arial"/>
                <w:color w:val="0D0D0D" w:themeColor="text1" w:themeTint="F2"/>
                <w:spacing w:val="-2"/>
              </w:rPr>
              <w:t> </w:t>
            </w:r>
            <w:r w:rsidRPr="008C5A66">
              <w:rPr>
                <w:rFonts w:cs="Arial"/>
                <w:color w:val="0D0D0D" w:themeColor="text1" w:themeTint="F2"/>
                <w:spacing w:val="-2"/>
              </w:rPr>
              <w:t>na 85,6</w:t>
            </w:r>
            <w:r w:rsidR="006454CC">
              <w:rPr>
                <w:rFonts w:cs="Arial"/>
                <w:color w:val="0D0D0D" w:themeColor="text1" w:themeTint="F2"/>
                <w:spacing w:val="-2"/>
              </w:rPr>
              <w:t> %</w:t>
            </w:r>
            <w:r w:rsidRPr="008C5A66">
              <w:rPr>
                <w:rFonts w:cs="Arial"/>
                <w:color w:val="0D0D0D" w:themeColor="text1" w:themeTint="F2"/>
                <w:spacing w:val="-2"/>
              </w:rPr>
              <w:t>)</w:t>
            </w:r>
            <w:r>
              <w:rPr>
                <w:rFonts w:cs="Arial"/>
                <w:color w:val="0D0D0D" w:themeColor="text1" w:themeTint="F2"/>
                <w:spacing w:val="-2"/>
              </w:rPr>
              <w:t xml:space="preserve">, velmi mírně ale přibylo také pracovníků se základním vzděláním </w:t>
            </w:r>
            <w:r w:rsidR="00BC7833">
              <w:rPr>
                <w:rFonts w:cs="Arial"/>
                <w:color w:val="0D0D0D" w:themeColor="text1" w:themeTint="F2"/>
                <w:spacing w:val="-2"/>
              </w:rPr>
              <w:t>i </w:t>
            </w:r>
            <w:r>
              <w:rPr>
                <w:rFonts w:cs="Arial"/>
                <w:color w:val="0D0D0D" w:themeColor="text1" w:themeTint="F2"/>
                <w:spacing w:val="-2"/>
              </w:rPr>
              <w:t xml:space="preserve">vyučených. Vlivem nepravidelností věkové skladby populace, posunu zákonného důchodového věku, ale </w:t>
            </w:r>
            <w:r w:rsidR="00BC7833">
              <w:rPr>
                <w:rFonts w:cs="Arial"/>
                <w:color w:val="0D0D0D" w:themeColor="text1" w:themeTint="F2"/>
                <w:spacing w:val="-2"/>
              </w:rPr>
              <w:t>i </w:t>
            </w:r>
            <w:r>
              <w:rPr>
                <w:rFonts w:cs="Arial"/>
                <w:color w:val="0D0D0D" w:themeColor="text1" w:themeTint="F2"/>
                <w:spacing w:val="-2"/>
              </w:rPr>
              <w:t>vyšší ekonomické participace lidí v poproduktivním věku pokračoval proces stárnutí pracovníků. Zaměstnaných do 4</w:t>
            </w:r>
            <w:r w:rsidR="00D82A1E">
              <w:rPr>
                <w:rFonts w:cs="Arial"/>
                <w:color w:val="0D0D0D" w:themeColor="text1" w:themeTint="F2"/>
                <w:spacing w:val="-2"/>
              </w:rPr>
              <w:t>0 </w:t>
            </w:r>
            <w:r>
              <w:rPr>
                <w:rFonts w:cs="Arial"/>
                <w:color w:val="0D0D0D" w:themeColor="text1" w:themeTint="F2"/>
                <w:spacing w:val="-2"/>
              </w:rPr>
              <w:t xml:space="preserve">let věku meziročně </w:t>
            </w:r>
            <w:r w:rsidR="00BC7833">
              <w:rPr>
                <w:rFonts w:cs="Arial"/>
                <w:color w:val="0D0D0D" w:themeColor="text1" w:themeTint="F2"/>
                <w:spacing w:val="-2"/>
              </w:rPr>
              <w:t>o </w:t>
            </w:r>
            <w:r>
              <w:rPr>
                <w:rFonts w:cs="Arial"/>
                <w:color w:val="0D0D0D" w:themeColor="text1" w:themeTint="F2"/>
                <w:spacing w:val="-2"/>
              </w:rPr>
              <w:t>1,7</w:t>
            </w:r>
            <w:r w:rsidR="006454CC">
              <w:rPr>
                <w:rFonts w:cs="Arial"/>
                <w:color w:val="0D0D0D" w:themeColor="text1" w:themeTint="F2"/>
                <w:spacing w:val="-2"/>
              </w:rPr>
              <w:t> %</w:t>
            </w:r>
            <w:r>
              <w:rPr>
                <w:rFonts w:cs="Arial"/>
                <w:color w:val="0D0D0D" w:themeColor="text1" w:themeTint="F2"/>
                <w:spacing w:val="-2"/>
              </w:rPr>
              <w:t xml:space="preserve"> (resp.</w:t>
            </w:r>
            <w:r w:rsidR="000B305D">
              <w:rPr>
                <w:rFonts w:cs="Arial"/>
                <w:color w:val="0D0D0D" w:themeColor="text1" w:themeTint="F2"/>
                <w:spacing w:val="-2"/>
              </w:rPr>
              <w:t> </w:t>
            </w:r>
            <w:r>
              <w:rPr>
                <w:rFonts w:cs="Arial"/>
                <w:color w:val="0D0D0D" w:themeColor="text1" w:themeTint="F2"/>
                <w:spacing w:val="-2"/>
              </w:rPr>
              <w:t>3</w:t>
            </w:r>
            <w:r w:rsidR="00D82A1E">
              <w:rPr>
                <w:rFonts w:cs="Arial"/>
                <w:color w:val="0D0D0D" w:themeColor="text1" w:themeTint="F2"/>
                <w:spacing w:val="-2"/>
              </w:rPr>
              <w:t>7 </w:t>
            </w:r>
            <w:r>
              <w:rPr>
                <w:rFonts w:cs="Arial"/>
                <w:color w:val="0D0D0D" w:themeColor="text1" w:themeTint="F2"/>
                <w:spacing w:val="-2"/>
              </w:rPr>
              <w:t xml:space="preserve">tis.) ubylo, kontingent 55letých </w:t>
            </w:r>
            <w:r w:rsidR="00BC7833">
              <w:rPr>
                <w:rFonts w:cs="Arial"/>
                <w:color w:val="0D0D0D" w:themeColor="text1" w:themeTint="F2"/>
                <w:spacing w:val="-2"/>
              </w:rPr>
              <w:t>a </w:t>
            </w:r>
            <w:r>
              <w:rPr>
                <w:rFonts w:cs="Arial"/>
                <w:color w:val="0D0D0D" w:themeColor="text1" w:themeTint="F2"/>
                <w:spacing w:val="-2"/>
              </w:rPr>
              <w:t xml:space="preserve">starších naopak posílil </w:t>
            </w:r>
            <w:r w:rsidR="00BC7833">
              <w:rPr>
                <w:rFonts w:cs="Arial"/>
                <w:color w:val="0D0D0D" w:themeColor="text1" w:themeTint="F2"/>
                <w:spacing w:val="-2"/>
              </w:rPr>
              <w:t>o </w:t>
            </w:r>
            <w:r>
              <w:rPr>
                <w:rFonts w:cs="Arial"/>
                <w:color w:val="0D0D0D" w:themeColor="text1" w:themeTint="F2"/>
                <w:spacing w:val="-2"/>
              </w:rPr>
              <w:t>rovných 5</w:t>
            </w:r>
            <w:r w:rsidR="006454CC">
              <w:rPr>
                <w:rFonts w:cs="Arial"/>
                <w:color w:val="0D0D0D" w:themeColor="text1" w:themeTint="F2"/>
                <w:spacing w:val="-2"/>
              </w:rPr>
              <w:t> %</w:t>
            </w:r>
            <w:r>
              <w:rPr>
                <w:rFonts w:cs="Arial"/>
                <w:color w:val="0D0D0D" w:themeColor="text1" w:themeTint="F2"/>
                <w:spacing w:val="-2"/>
              </w:rPr>
              <w:t xml:space="preserve"> (4</w:t>
            </w:r>
            <w:r w:rsidR="00D82A1E">
              <w:rPr>
                <w:rFonts w:cs="Arial"/>
                <w:color w:val="0D0D0D" w:themeColor="text1" w:themeTint="F2"/>
                <w:spacing w:val="-2"/>
              </w:rPr>
              <w:t>8 </w:t>
            </w:r>
            <w:r>
              <w:rPr>
                <w:rFonts w:cs="Arial"/>
                <w:color w:val="0D0D0D" w:themeColor="text1" w:themeTint="F2"/>
                <w:spacing w:val="-2"/>
              </w:rPr>
              <w:t>tis.).</w:t>
            </w:r>
          </w:p>
        </w:tc>
      </w:tr>
      <w:tr w:rsidR="009E674A" w:rsidRPr="005A2E40" w14:paraId="43F13ABE" w14:textId="77777777" w:rsidTr="006F668F">
        <w:trPr>
          <w:trHeight w:val="429"/>
        </w:trPr>
        <w:tc>
          <w:tcPr>
            <w:tcW w:w="1976" w:type="dxa"/>
            <w:tcBorders>
              <w:top w:val="nil"/>
              <w:left w:val="nil"/>
              <w:bottom w:val="nil"/>
              <w:right w:val="nil"/>
            </w:tcBorders>
          </w:tcPr>
          <w:p w14:paraId="35F6A779" w14:textId="77777777" w:rsidR="009E674A" w:rsidRDefault="009E674A" w:rsidP="006F668F">
            <w:pPr>
              <w:pStyle w:val="Marginlie"/>
            </w:pPr>
            <w:r>
              <w:t>Nejvyšší míra zaměstnanosti přetrvává v Praze, středních a jihozápadních Čechách, nejnižší na Ústecku.</w:t>
            </w:r>
          </w:p>
          <w:p w14:paraId="52838DFE" w14:textId="77777777" w:rsidR="009E674A" w:rsidRDefault="009E674A" w:rsidP="006F668F">
            <w:pPr>
              <w:pStyle w:val="Marginlie"/>
            </w:pPr>
          </w:p>
          <w:p w14:paraId="1BEB3C97" w14:textId="77777777" w:rsidR="009E674A" w:rsidRDefault="009E674A" w:rsidP="006F668F">
            <w:pPr>
              <w:pStyle w:val="Marginlie"/>
            </w:pPr>
          </w:p>
          <w:p w14:paraId="2A80353D" w14:textId="77777777" w:rsidR="009E674A" w:rsidRDefault="009E674A" w:rsidP="006F668F">
            <w:pPr>
              <w:pStyle w:val="Marginlie"/>
            </w:pPr>
          </w:p>
          <w:p w14:paraId="13872A79" w14:textId="77777777" w:rsidR="009E674A" w:rsidRDefault="009E674A" w:rsidP="006F668F">
            <w:pPr>
              <w:pStyle w:val="Marginlie"/>
            </w:pPr>
          </w:p>
          <w:p w14:paraId="4375181B" w14:textId="12DD3EB3" w:rsidR="009E674A" w:rsidRPr="00106639" w:rsidRDefault="009E674A" w:rsidP="006F668F">
            <w:pPr>
              <w:pStyle w:val="Marginlie"/>
            </w:pPr>
            <w:r>
              <w:t xml:space="preserve">Mezikrajské rozdíly v zaměstnanosti se spíše mírně snižují. </w:t>
            </w:r>
            <w:r w:rsidR="00BC7833">
              <w:t>U </w:t>
            </w:r>
            <w:r>
              <w:t xml:space="preserve">žen jsou tradičně vyšší než </w:t>
            </w:r>
            <w:r w:rsidR="00BC7833">
              <w:t>u </w:t>
            </w:r>
            <w:r>
              <w:t>mužů.</w:t>
            </w:r>
          </w:p>
        </w:tc>
        <w:tc>
          <w:tcPr>
            <w:tcW w:w="277" w:type="dxa"/>
            <w:tcBorders>
              <w:top w:val="nil"/>
              <w:left w:val="nil"/>
              <w:bottom w:val="nil"/>
              <w:right w:val="nil"/>
            </w:tcBorders>
          </w:tcPr>
          <w:p w14:paraId="7E2AADD4" w14:textId="77777777" w:rsidR="009E674A" w:rsidRPr="005E4483" w:rsidRDefault="009E674A" w:rsidP="006F668F">
            <w:pPr>
              <w:pStyle w:val="Textpoznpodarou"/>
              <w:jc w:val="both"/>
              <w:rPr>
                <w:spacing w:val="-4"/>
              </w:rPr>
            </w:pPr>
          </w:p>
        </w:tc>
        <w:tc>
          <w:tcPr>
            <w:tcW w:w="7391" w:type="dxa"/>
            <w:tcBorders>
              <w:top w:val="nil"/>
              <w:left w:val="nil"/>
              <w:bottom w:val="nil"/>
              <w:right w:val="nil"/>
            </w:tcBorders>
          </w:tcPr>
          <w:p w14:paraId="465B9F0B" w14:textId="177844A7" w:rsidR="009E674A" w:rsidRDefault="00BC7833" w:rsidP="006F668F">
            <w:pPr>
              <w:spacing w:after="220"/>
              <w:rPr>
                <w:rFonts w:cs="Arial"/>
                <w:color w:val="0D0D0D" w:themeColor="text1" w:themeTint="F2"/>
                <w:spacing w:val="-2"/>
              </w:rPr>
            </w:pPr>
            <w:r>
              <w:rPr>
                <w:rFonts w:cs="Arial"/>
                <w:color w:val="0D0D0D" w:themeColor="text1" w:themeTint="F2"/>
                <w:spacing w:val="-2"/>
              </w:rPr>
              <w:t>V </w:t>
            </w:r>
            <w:r w:rsidR="009E674A">
              <w:rPr>
                <w:rFonts w:cs="Arial"/>
                <w:color w:val="0D0D0D" w:themeColor="text1" w:themeTint="F2"/>
                <w:spacing w:val="-2"/>
              </w:rPr>
              <w:t>roce 2018 podobně jako v předcházejícím roce se míra zaměstnanost</w:t>
            </w:r>
            <w:r w:rsidR="00313C7F">
              <w:rPr>
                <w:rFonts w:cs="Arial"/>
                <w:color w:val="0D0D0D" w:themeColor="text1" w:themeTint="F2"/>
                <w:spacing w:val="-2"/>
              </w:rPr>
              <w:t>i</w:t>
            </w:r>
            <w:r w:rsidR="009E674A">
              <w:rPr>
                <w:rFonts w:cs="Arial"/>
                <w:color w:val="0D0D0D" w:themeColor="text1" w:themeTint="F2"/>
                <w:spacing w:val="-2"/>
              </w:rPr>
              <w:t xml:space="preserve"> zvyšovala ve všech krajích ČR. Nejlepší pozici držela Praha, kde se loni zaměstnanost těsně přiblížila 80</w:t>
            </w:r>
            <w:r w:rsidR="006454CC">
              <w:rPr>
                <w:rFonts w:cs="Arial"/>
                <w:color w:val="0D0D0D" w:themeColor="text1" w:themeTint="F2"/>
                <w:spacing w:val="-2"/>
              </w:rPr>
              <w:t> %</w:t>
            </w:r>
            <w:r w:rsidR="009E674A">
              <w:rPr>
                <w:rFonts w:cs="Arial"/>
                <w:color w:val="0D0D0D" w:themeColor="text1" w:themeTint="F2"/>
                <w:spacing w:val="-2"/>
              </w:rPr>
              <w:t xml:space="preserve">. Nadprůměrnou úrovní se dlouhodobě vyznačují také střední a jihozápadní Čechy. Na opačném pólu figuruje rovněž dlouhodobě </w:t>
            </w:r>
            <w:r>
              <w:rPr>
                <w:rFonts w:cs="Arial"/>
                <w:color w:val="0D0D0D" w:themeColor="text1" w:themeTint="F2"/>
                <w:spacing w:val="-2"/>
              </w:rPr>
              <w:t>u </w:t>
            </w:r>
            <w:r w:rsidR="009E674A">
              <w:rPr>
                <w:rFonts w:cs="Arial"/>
                <w:color w:val="0D0D0D" w:themeColor="text1" w:themeTint="F2"/>
                <w:spacing w:val="-2"/>
              </w:rPr>
              <w:t xml:space="preserve">mužů </w:t>
            </w:r>
            <w:r>
              <w:rPr>
                <w:rFonts w:cs="Arial"/>
                <w:color w:val="0D0D0D" w:themeColor="text1" w:themeTint="F2"/>
                <w:spacing w:val="-2"/>
              </w:rPr>
              <w:t>i </w:t>
            </w:r>
            <w:r w:rsidR="009E674A">
              <w:rPr>
                <w:rFonts w:cs="Arial"/>
                <w:color w:val="0D0D0D" w:themeColor="text1" w:themeTint="F2"/>
                <w:spacing w:val="-2"/>
              </w:rPr>
              <w:t xml:space="preserve">žen </w:t>
            </w:r>
            <w:r w:rsidR="009E674A">
              <w:rPr>
                <w:rFonts w:cs="Arial"/>
                <w:color w:val="0D0D0D" w:themeColor="text1" w:themeTint="F2"/>
                <w:spacing w:val="-2"/>
              </w:rPr>
              <w:lastRenderedPageBreak/>
              <w:t>Ústecký kraj (v úhrnu loni 70,5</w:t>
            </w:r>
            <w:r w:rsidR="006454CC">
              <w:rPr>
                <w:rFonts w:cs="Arial"/>
                <w:color w:val="0D0D0D" w:themeColor="text1" w:themeTint="F2"/>
                <w:spacing w:val="-2"/>
              </w:rPr>
              <w:t> %</w:t>
            </w:r>
            <w:r w:rsidR="009E674A">
              <w:rPr>
                <w:rFonts w:cs="Arial"/>
                <w:color w:val="0D0D0D" w:themeColor="text1" w:themeTint="F2"/>
                <w:spacing w:val="-2"/>
              </w:rPr>
              <w:t xml:space="preserve">) následovaný s menším odstupem </w:t>
            </w:r>
            <w:r w:rsidR="00313C7F">
              <w:rPr>
                <w:rFonts w:cs="Arial"/>
                <w:color w:val="0D0D0D" w:themeColor="text1" w:themeTint="F2"/>
                <w:spacing w:val="-2"/>
              </w:rPr>
              <w:t>kraj</w:t>
            </w:r>
            <w:r w:rsidR="00483AD8">
              <w:rPr>
                <w:rFonts w:cs="Arial"/>
                <w:color w:val="0D0D0D" w:themeColor="text1" w:themeTint="F2"/>
                <w:spacing w:val="-2"/>
              </w:rPr>
              <w:t>i</w:t>
            </w:r>
            <w:r w:rsidR="00313C7F">
              <w:rPr>
                <w:rFonts w:cs="Arial"/>
                <w:color w:val="0D0D0D" w:themeColor="text1" w:themeTint="F2"/>
                <w:spacing w:val="-2"/>
              </w:rPr>
              <w:t xml:space="preserve"> </w:t>
            </w:r>
            <w:r w:rsidR="009E674A">
              <w:rPr>
                <w:rFonts w:cs="Arial"/>
                <w:color w:val="0D0D0D" w:themeColor="text1" w:themeTint="F2"/>
                <w:spacing w:val="-2"/>
              </w:rPr>
              <w:t>Libereckým (72,1</w:t>
            </w:r>
            <w:r w:rsidR="006454CC">
              <w:rPr>
                <w:rFonts w:cs="Arial"/>
                <w:color w:val="0D0D0D" w:themeColor="text1" w:themeTint="F2"/>
                <w:spacing w:val="-2"/>
              </w:rPr>
              <w:t> %</w:t>
            </w:r>
            <w:r w:rsidR="009E674A">
              <w:rPr>
                <w:rFonts w:cs="Arial"/>
                <w:color w:val="0D0D0D" w:themeColor="text1" w:themeTint="F2"/>
                <w:spacing w:val="-2"/>
              </w:rPr>
              <w:t>) a Moravskoslezským (72,8</w:t>
            </w:r>
            <w:r w:rsidR="006454CC">
              <w:rPr>
                <w:rFonts w:cs="Arial"/>
                <w:color w:val="0D0D0D" w:themeColor="text1" w:themeTint="F2"/>
                <w:spacing w:val="-2"/>
              </w:rPr>
              <w:t> %</w:t>
            </w:r>
            <w:r w:rsidR="009E674A">
              <w:rPr>
                <w:rFonts w:cs="Arial"/>
                <w:color w:val="0D0D0D" w:themeColor="text1" w:themeTint="F2"/>
                <w:spacing w:val="-2"/>
              </w:rPr>
              <w:t xml:space="preserve">). Zatímco nepříznivou pozici Liberecka ovlivnila v posledních letech spíše slabší zaměstnanost žen, </w:t>
            </w:r>
            <w:r>
              <w:rPr>
                <w:rFonts w:cs="Arial"/>
                <w:color w:val="0D0D0D" w:themeColor="text1" w:themeTint="F2"/>
                <w:spacing w:val="-2"/>
              </w:rPr>
              <w:t>u </w:t>
            </w:r>
            <w:r w:rsidR="009E674A">
              <w:rPr>
                <w:rFonts w:cs="Arial"/>
                <w:color w:val="0D0D0D" w:themeColor="text1" w:themeTint="F2"/>
                <w:spacing w:val="-2"/>
              </w:rPr>
              <w:t xml:space="preserve">Moravskoslezska pak mužů. Celkové regionální rozdíly se v posledních letech spíše mírně snižují, podobně jako odstup Prahy od ostatních krajů. Mezikrajské disparity jsou dlouhodobě vyšší u žen. </w:t>
            </w:r>
            <w:r>
              <w:rPr>
                <w:rFonts w:cs="Arial"/>
                <w:color w:val="0D0D0D" w:themeColor="text1" w:themeTint="F2"/>
                <w:spacing w:val="-2"/>
              </w:rPr>
              <w:t>U </w:t>
            </w:r>
            <w:r w:rsidR="009E674A">
              <w:rPr>
                <w:rFonts w:cs="Arial"/>
                <w:color w:val="0D0D0D" w:themeColor="text1" w:themeTint="F2"/>
                <w:spacing w:val="-2"/>
              </w:rPr>
              <w:t xml:space="preserve">mužů patrně sehrává pozitivní roli relativně územně </w:t>
            </w:r>
            <w:r w:rsidR="00483AD8">
              <w:rPr>
                <w:rFonts w:cs="Arial"/>
                <w:color w:val="0D0D0D" w:themeColor="text1" w:themeTint="F2"/>
                <w:spacing w:val="-2"/>
              </w:rPr>
              <w:t xml:space="preserve">rovnoměrné </w:t>
            </w:r>
            <w:r w:rsidR="009E674A">
              <w:rPr>
                <w:rFonts w:cs="Arial"/>
                <w:color w:val="0D0D0D" w:themeColor="text1" w:themeTint="F2"/>
                <w:spacing w:val="-2"/>
              </w:rPr>
              <w:t xml:space="preserve">rozložení pracovních míst v průmyslu či stavebnictví. Vedle odvětvové struktury zaměstnanosti působí na regionální disparity </w:t>
            </w:r>
            <w:r>
              <w:rPr>
                <w:rFonts w:cs="Arial"/>
                <w:color w:val="0D0D0D" w:themeColor="text1" w:themeTint="F2"/>
                <w:spacing w:val="-2"/>
              </w:rPr>
              <w:t>i </w:t>
            </w:r>
            <w:r w:rsidR="009E674A">
              <w:rPr>
                <w:rFonts w:cs="Arial"/>
                <w:color w:val="0D0D0D" w:themeColor="text1" w:themeTint="F2"/>
                <w:spacing w:val="-2"/>
              </w:rPr>
              <w:t>rozdílná vzdělanostní skladba pracovníků. Míra zaměstnanosti je obvykle vyšší také v krajích s nadprůměrnou intenzitou podnikatelské aktivity, negativně se naopak projevuje výše nezaměstnanosti i častější využívání předčasných odchodů do</w:t>
            </w:r>
            <w:r w:rsidR="009E674A" w:rsidRPr="00333325">
              <w:rPr>
                <w:rFonts w:cs="Arial"/>
                <w:color w:val="0D0D0D" w:themeColor="text1" w:themeTint="F2"/>
                <w:spacing w:val="-2"/>
              </w:rPr>
              <w:t xml:space="preserve"> důchodu</w:t>
            </w:r>
            <w:r w:rsidR="009E674A">
              <w:rPr>
                <w:rStyle w:val="Znakapoznpodarou"/>
                <w:rFonts w:cs="Arial"/>
                <w:color w:val="0D0D0D" w:themeColor="text1" w:themeTint="F2"/>
                <w:spacing w:val="-4"/>
              </w:rPr>
              <w:footnoteReference w:id="7"/>
            </w:r>
            <w:r w:rsidR="009E674A" w:rsidRPr="00333325">
              <w:rPr>
                <w:rFonts w:cs="Arial"/>
                <w:color w:val="0D0D0D" w:themeColor="text1" w:themeTint="F2"/>
                <w:spacing w:val="-2"/>
              </w:rPr>
              <w:t>.</w:t>
            </w:r>
          </w:p>
        </w:tc>
      </w:tr>
      <w:tr w:rsidR="009E674A" w:rsidRPr="005A2E40" w14:paraId="34151D8F" w14:textId="77777777" w:rsidTr="006F668F">
        <w:trPr>
          <w:trHeight w:val="429"/>
        </w:trPr>
        <w:tc>
          <w:tcPr>
            <w:tcW w:w="1976" w:type="dxa"/>
            <w:tcBorders>
              <w:top w:val="nil"/>
              <w:left w:val="nil"/>
              <w:bottom w:val="nil"/>
              <w:right w:val="nil"/>
            </w:tcBorders>
          </w:tcPr>
          <w:p w14:paraId="18676B62" w14:textId="0B09173E" w:rsidR="009E674A" w:rsidRPr="00106639" w:rsidRDefault="00BC7833" w:rsidP="006F668F">
            <w:pPr>
              <w:pStyle w:val="Marginlie"/>
            </w:pPr>
            <w:r>
              <w:lastRenderedPageBreak/>
              <w:t>K </w:t>
            </w:r>
            <w:r w:rsidR="009E674A">
              <w:t>většímu zapojení žen na</w:t>
            </w:r>
            <w:r w:rsidR="00483AD8">
              <w:t> </w:t>
            </w:r>
            <w:r w:rsidR="009E674A">
              <w:t>rodičovské dovolené na</w:t>
            </w:r>
            <w:r w:rsidR="00483AD8">
              <w:t> </w:t>
            </w:r>
            <w:r w:rsidR="009E674A">
              <w:t xml:space="preserve">pracovní trh by pomohla cílená opatření na straně státu </w:t>
            </w:r>
            <w:r>
              <w:t>i </w:t>
            </w:r>
            <w:r w:rsidR="009E674A">
              <w:t>firem.</w:t>
            </w:r>
          </w:p>
        </w:tc>
        <w:tc>
          <w:tcPr>
            <w:tcW w:w="277" w:type="dxa"/>
            <w:tcBorders>
              <w:top w:val="nil"/>
              <w:left w:val="nil"/>
              <w:bottom w:val="nil"/>
              <w:right w:val="nil"/>
            </w:tcBorders>
          </w:tcPr>
          <w:p w14:paraId="528F58B4" w14:textId="77777777" w:rsidR="009E674A" w:rsidRPr="005E4483" w:rsidRDefault="009E674A" w:rsidP="006F668F">
            <w:pPr>
              <w:pStyle w:val="Textpoznpodarou"/>
              <w:jc w:val="both"/>
              <w:rPr>
                <w:spacing w:val="-4"/>
              </w:rPr>
            </w:pPr>
          </w:p>
        </w:tc>
        <w:tc>
          <w:tcPr>
            <w:tcW w:w="7391" w:type="dxa"/>
            <w:tcBorders>
              <w:top w:val="nil"/>
              <w:left w:val="nil"/>
              <w:bottom w:val="nil"/>
              <w:right w:val="nil"/>
            </w:tcBorders>
          </w:tcPr>
          <w:p w14:paraId="604AE3E1" w14:textId="1B8D74DE" w:rsidR="009E674A" w:rsidRDefault="00BC7833" w:rsidP="006F668F">
            <w:pPr>
              <w:spacing w:after="220"/>
              <w:rPr>
                <w:rFonts w:cs="Arial"/>
                <w:color w:val="0D0D0D" w:themeColor="text1" w:themeTint="F2"/>
                <w:spacing w:val="-2"/>
              </w:rPr>
            </w:pPr>
            <w:r>
              <w:rPr>
                <w:spacing w:val="-4"/>
              </w:rPr>
              <w:t>V </w:t>
            </w:r>
            <w:r w:rsidR="009E674A">
              <w:rPr>
                <w:spacing w:val="-4"/>
              </w:rPr>
              <w:t>prostředí přetrvávajícího</w:t>
            </w:r>
            <w:r w:rsidR="009E674A" w:rsidRPr="00F673C3">
              <w:rPr>
                <w:spacing w:val="-4"/>
              </w:rPr>
              <w:t xml:space="preserve"> nedostatku nových disponibilních pracovníků se</w:t>
            </w:r>
            <w:r w:rsidR="009E674A">
              <w:rPr>
                <w:spacing w:val="-4"/>
              </w:rPr>
              <w:t xml:space="preserve"> pro tuzemské firmy stává větší výzvou intenzivnějš</w:t>
            </w:r>
            <w:r w:rsidR="009E674A" w:rsidRPr="00F673C3">
              <w:rPr>
                <w:spacing w:val="-4"/>
              </w:rPr>
              <w:t xml:space="preserve">í zapojení obyvatel v „krajních“ věkových skupinách (studentů, osob na sklonku produktivního věku </w:t>
            </w:r>
            <w:r w:rsidRPr="00F673C3">
              <w:rPr>
                <w:spacing w:val="-4"/>
              </w:rPr>
              <w:t>a</w:t>
            </w:r>
            <w:r>
              <w:rPr>
                <w:spacing w:val="-4"/>
              </w:rPr>
              <w:t> </w:t>
            </w:r>
            <w:r w:rsidR="009E674A" w:rsidRPr="00F673C3">
              <w:rPr>
                <w:spacing w:val="-4"/>
              </w:rPr>
              <w:t xml:space="preserve">aktivních seniorů), </w:t>
            </w:r>
            <w:r w:rsidR="009E674A">
              <w:rPr>
                <w:spacing w:val="-4"/>
              </w:rPr>
              <w:t>jakož i</w:t>
            </w:r>
            <w:r w:rsidR="009E674A" w:rsidRPr="00F673C3">
              <w:rPr>
                <w:spacing w:val="-4"/>
              </w:rPr>
              <w:t> dalších lidí se spec</w:t>
            </w:r>
            <w:r w:rsidR="009E674A">
              <w:rPr>
                <w:spacing w:val="-4"/>
              </w:rPr>
              <w:t xml:space="preserve">ifickými potřebami. Mezi ně patří </w:t>
            </w:r>
            <w:r>
              <w:rPr>
                <w:spacing w:val="-4"/>
              </w:rPr>
              <w:t>i </w:t>
            </w:r>
            <w:r w:rsidR="009E674A" w:rsidRPr="00F673C3">
              <w:rPr>
                <w:spacing w:val="-4"/>
              </w:rPr>
              <w:t>žen</w:t>
            </w:r>
            <w:r w:rsidR="009E674A">
              <w:rPr>
                <w:spacing w:val="-4"/>
              </w:rPr>
              <w:t xml:space="preserve">y na rodičovské dovolené (RD). Zatímco intenzivnější zapojení </w:t>
            </w:r>
            <w:r w:rsidR="009E674A">
              <w:rPr>
                <w:rFonts w:cs="Arial"/>
                <w:color w:val="0D0D0D" w:themeColor="text1" w:themeTint="F2"/>
                <w:spacing w:val="-2"/>
              </w:rPr>
              <w:t xml:space="preserve">na pracovní trh </w:t>
            </w:r>
            <w:r>
              <w:rPr>
                <w:rFonts w:cs="Arial"/>
                <w:color w:val="0D0D0D" w:themeColor="text1" w:themeTint="F2"/>
                <w:spacing w:val="-2"/>
              </w:rPr>
              <w:t>u </w:t>
            </w:r>
            <w:r w:rsidR="009E674A">
              <w:rPr>
                <w:rFonts w:cs="Arial"/>
                <w:color w:val="0D0D0D" w:themeColor="text1" w:themeTint="F2"/>
                <w:spacing w:val="-2"/>
              </w:rPr>
              <w:t>starších pracovníků je vedle posunu zákonného důchodového věku stimulováno především hospodářským růstem, v případě žen na</w:t>
            </w:r>
            <w:r w:rsidR="00483AD8">
              <w:rPr>
                <w:rFonts w:cs="Arial"/>
                <w:color w:val="0D0D0D" w:themeColor="text1" w:themeTint="F2"/>
                <w:spacing w:val="-2"/>
              </w:rPr>
              <w:t> </w:t>
            </w:r>
            <w:r w:rsidR="009E674A">
              <w:rPr>
                <w:rFonts w:cs="Arial"/>
                <w:color w:val="0D0D0D" w:themeColor="text1" w:themeTint="F2"/>
                <w:spacing w:val="-2"/>
              </w:rPr>
              <w:t xml:space="preserve">RD nabývají na významu cíleně zaměřená opatření, </w:t>
            </w:r>
            <w:r>
              <w:rPr>
                <w:rFonts w:cs="Arial"/>
                <w:color w:val="0D0D0D" w:themeColor="text1" w:themeTint="F2"/>
                <w:spacing w:val="-2"/>
              </w:rPr>
              <w:t>a </w:t>
            </w:r>
            <w:r w:rsidR="009E674A">
              <w:rPr>
                <w:rFonts w:cs="Arial"/>
                <w:color w:val="0D0D0D" w:themeColor="text1" w:themeTint="F2"/>
                <w:spacing w:val="-2"/>
              </w:rPr>
              <w:t xml:space="preserve">to jak na straně státu, tak </w:t>
            </w:r>
            <w:r w:rsidR="00483AD8">
              <w:rPr>
                <w:rFonts w:cs="Arial"/>
                <w:color w:val="0D0D0D" w:themeColor="text1" w:themeTint="F2"/>
                <w:spacing w:val="-2"/>
              </w:rPr>
              <w:t>i </w:t>
            </w:r>
            <w:r w:rsidR="009E674A">
              <w:rPr>
                <w:rFonts w:cs="Arial"/>
                <w:color w:val="0D0D0D" w:themeColor="text1" w:themeTint="F2"/>
                <w:spacing w:val="-2"/>
              </w:rPr>
              <w:t>samotných zaměstnavatelů.</w:t>
            </w:r>
          </w:p>
        </w:tc>
      </w:tr>
      <w:tr w:rsidR="009E674A" w:rsidRPr="005A2E40" w14:paraId="185F6AD9" w14:textId="77777777" w:rsidTr="006F668F">
        <w:trPr>
          <w:trHeight w:val="143"/>
        </w:trPr>
        <w:tc>
          <w:tcPr>
            <w:tcW w:w="1976" w:type="dxa"/>
            <w:tcBorders>
              <w:top w:val="nil"/>
              <w:left w:val="nil"/>
              <w:bottom w:val="nil"/>
              <w:right w:val="nil"/>
            </w:tcBorders>
          </w:tcPr>
          <w:p w14:paraId="291BC33A" w14:textId="77777777" w:rsidR="009E674A" w:rsidRPr="00106639" w:rsidRDefault="009E674A" w:rsidP="006F668F">
            <w:pPr>
              <w:pStyle w:val="Marginlie"/>
            </w:pPr>
          </w:p>
        </w:tc>
        <w:tc>
          <w:tcPr>
            <w:tcW w:w="277" w:type="dxa"/>
            <w:tcBorders>
              <w:top w:val="nil"/>
              <w:left w:val="nil"/>
              <w:bottom w:val="nil"/>
              <w:right w:val="nil"/>
            </w:tcBorders>
          </w:tcPr>
          <w:p w14:paraId="291D5E77" w14:textId="77777777" w:rsidR="009E674A" w:rsidRPr="005E4483" w:rsidRDefault="009E674A" w:rsidP="006F668F">
            <w:pPr>
              <w:pStyle w:val="Textpoznpodarou"/>
              <w:jc w:val="both"/>
              <w:rPr>
                <w:spacing w:val="-4"/>
              </w:rPr>
            </w:pPr>
          </w:p>
        </w:tc>
        <w:tc>
          <w:tcPr>
            <w:tcW w:w="7391" w:type="dxa"/>
            <w:tcBorders>
              <w:top w:val="nil"/>
              <w:left w:val="nil"/>
              <w:bottom w:val="nil"/>
              <w:right w:val="nil"/>
            </w:tcBorders>
          </w:tcPr>
          <w:p w14:paraId="66BDBF43" w14:textId="77777777" w:rsidR="009E674A" w:rsidRPr="00D64DED" w:rsidRDefault="009A4F91" w:rsidP="006F668F">
            <w:pPr>
              <w:spacing w:after="0"/>
              <w:jc w:val="left"/>
              <w:rPr>
                <w:b/>
              </w:rPr>
            </w:pPr>
            <w:r>
              <w:rPr>
                <w:b/>
              </w:rPr>
              <w:t xml:space="preserve">Graf </w:t>
            </w:r>
            <w:r w:rsidR="00BA35F3">
              <w:rPr>
                <w:b/>
              </w:rPr>
              <w:t>č. </w:t>
            </w:r>
            <w:r w:rsidR="00BC7833">
              <w:rPr>
                <w:b/>
              </w:rPr>
              <w:t>3</w:t>
            </w:r>
            <w:r w:rsidR="009F47E7">
              <w:rPr>
                <w:b/>
              </w:rPr>
              <w:t xml:space="preserve">  </w:t>
            </w:r>
            <w:r w:rsidR="009E674A" w:rsidRPr="00D64DED">
              <w:rPr>
                <w:b/>
              </w:rPr>
              <w:t>Míra zaměstnanosti žen dle stupně vzdělání</w:t>
            </w:r>
            <w:r w:rsidR="009E674A" w:rsidRPr="00D64DED">
              <w:t xml:space="preserve"> </w:t>
            </w:r>
            <w:r w:rsidR="009E674A" w:rsidRPr="00D64DED">
              <w:rPr>
                <w:b/>
              </w:rPr>
              <w:t>ve věku 25 až 4</w:t>
            </w:r>
            <w:r w:rsidR="00D82A1E" w:rsidRPr="00D64DED">
              <w:rPr>
                <w:b/>
              </w:rPr>
              <w:t>9</w:t>
            </w:r>
            <w:r w:rsidR="00D82A1E">
              <w:rPr>
                <w:b/>
              </w:rPr>
              <w:t> </w:t>
            </w:r>
            <w:r w:rsidR="009E674A" w:rsidRPr="00D64DED">
              <w:rPr>
                <w:b/>
              </w:rPr>
              <w:t xml:space="preserve">let se závislými dětmi </w:t>
            </w:r>
            <w:r w:rsidR="009E674A" w:rsidRPr="00D64DED">
              <w:t>(v</w:t>
            </w:r>
            <w:r w:rsidR="006454CC">
              <w:t> %</w:t>
            </w:r>
            <w:r w:rsidR="009E674A" w:rsidRPr="00D64DED">
              <w:t xml:space="preserve">) </w:t>
            </w:r>
            <w:r w:rsidR="00BC7833" w:rsidRPr="00D64DED">
              <w:rPr>
                <w:b/>
              </w:rPr>
              <w:t>a</w:t>
            </w:r>
            <w:r w:rsidR="00BC7833">
              <w:rPr>
                <w:b/>
              </w:rPr>
              <w:t> </w:t>
            </w:r>
            <w:r w:rsidR="009E674A" w:rsidRPr="00D64DED">
              <w:rPr>
                <w:b/>
              </w:rPr>
              <w:t>podíl žen pracujících na zkrácený úvazek</w:t>
            </w:r>
            <w:r w:rsidR="009E674A" w:rsidRPr="00D64DED">
              <w:t xml:space="preserve"> (v</w:t>
            </w:r>
            <w:r w:rsidR="006454CC">
              <w:t> %</w:t>
            </w:r>
            <w:r w:rsidR="009E674A" w:rsidRPr="00D64DED">
              <w:t>)</w:t>
            </w:r>
          </w:p>
        </w:tc>
      </w:tr>
      <w:tr w:rsidR="009E674A" w14:paraId="7B9160E4" w14:textId="77777777" w:rsidTr="00381A3E">
        <w:tblPrEx>
          <w:tblCellMar>
            <w:left w:w="70" w:type="dxa"/>
            <w:right w:w="70" w:type="dxa"/>
          </w:tblCellMar>
        </w:tblPrEx>
        <w:trPr>
          <w:trHeight w:val="429"/>
        </w:trPr>
        <w:tc>
          <w:tcPr>
            <w:tcW w:w="1976" w:type="dxa"/>
            <w:tcBorders>
              <w:top w:val="nil"/>
              <w:left w:val="nil"/>
              <w:bottom w:val="nil"/>
              <w:right w:val="nil"/>
            </w:tcBorders>
          </w:tcPr>
          <w:p w14:paraId="1F92C3D3" w14:textId="77777777" w:rsidR="009E674A" w:rsidRPr="00106639" w:rsidRDefault="009E674A" w:rsidP="006F668F">
            <w:pPr>
              <w:pStyle w:val="Marginlie"/>
            </w:pPr>
          </w:p>
        </w:tc>
        <w:tc>
          <w:tcPr>
            <w:tcW w:w="277" w:type="dxa"/>
            <w:tcBorders>
              <w:top w:val="nil"/>
              <w:left w:val="nil"/>
              <w:bottom w:val="nil"/>
              <w:right w:val="nil"/>
            </w:tcBorders>
          </w:tcPr>
          <w:p w14:paraId="5C6F49F2" w14:textId="77777777" w:rsidR="009E674A" w:rsidRPr="005E4483" w:rsidRDefault="009E674A" w:rsidP="006F668F">
            <w:pPr>
              <w:pStyle w:val="Textpoznpodarou"/>
              <w:jc w:val="both"/>
              <w:rPr>
                <w:spacing w:val="-4"/>
              </w:rPr>
            </w:pPr>
          </w:p>
        </w:tc>
        <w:tc>
          <w:tcPr>
            <w:tcW w:w="7391" w:type="dxa"/>
            <w:tcBorders>
              <w:top w:val="nil"/>
              <w:left w:val="nil"/>
              <w:bottom w:val="nil"/>
              <w:right w:val="nil"/>
            </w:tcBorders>
          </w:tcPr>
          <w:p w14:paraId="3474B004" w14:textId="2D9B48E5" w:rsidR="009E674A" w:rsidRDefault="00381A3E" w:rsidP="006F668F">
            <w:pPr>
              <w:spacing w:after="0"/>
            </w:pPr>
            <w:r>
              <w:rPr>
                <w:noProof/>
              </w:rPr>
              <w:drawing>
                <wp:inline distT="0" distB="0" distL="0" distR="0" wp14:anchorId="394840F9" wp14:editId="1A3F28B2">
                  <wp:extent cx="4536385" cy="3372934"/>
                  <wp:effectExtent l="0" t="0" r="0" b="0"/>
                  <wp:docPr id="42" name="Graf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tc>
      </w:tr>
      <w:tr w:rsidR="009E674A" w:rsidRPr="005A2E40" w14:paraId="204B740E" w14:textId="77777777" w:rsidTr="006F668F">
        <w:trPr>
          <w:trHeight w:val="429"/>
        </w:trPr>
        <w:tc>
          <w:tcPr>
            <w:tcW w:w="1976" w:type="dxa"/>
            <w:tcBorders>
              <w:top w:val="nil"/>
              <w:left w:val="nil"/>
              <w:bottom w:val="nil"/>
              <w:right w:val="nil"/>
            </w:tcBorders>
          </w:tcPr>
          <w:p w14:paraId="133F0A0F" w14:textId="77777777" w:rsidR="009E674A" w:rsidRPr="00106639" w:rsidRDefault="009E674A" w:rsidP="006F668F">
            <w:pPr>
              <w:pStyle w:val="Marginlie"/>
            </w:pPr>
          </w:p>
        </w:tc>
        <w:tc>
          <w:tcPr>
            <w:tcW w:w="277" w:type="dxa"/>
            <w:tcBorders>
              <w:top w:val="nil"/>
              <w:left w:val="nil"/>
              <w:bottom w:val="nil"/>
              <w:right w:val="nil"/>
            </w:tcBorders>
          </w:tcPr>
          <w:p w14:paraId="7471A568" w14:textId="77777777" w:rsidR="009E674A" w:rsidRPr="005E4483" w:rsidRDefault="009E674A" w:rsidP="006F668F">
            <w:pPr>
              <w:pStyle w:val="Textpoznpodarou"/>
              <w:jc w:val="both"/>
              <w:rPr>
                <w:spacing w:val="-4"/>
              </w:rPr>
            </w:pPr>
          </w:p>
        </w:tc>
        <w:tc>
          <w:tcPr>
            <w:tcW w:w="7391" w:type="dxa"/>
            <w:tcBorders>
              <w:top w:val="nil"/>
              <w:left w:val="nil"/>
              <w:bottom w:val="nil"/>
              <w:right w:val="nil"/>
            </w:tcBorders>
          </w:tcPr>
          <w:p w14:paraId="46E37D51" w14:textId="77777777" w:rsidR="009E674A" w:rsidRPr="00162F12" w:rsidRDefault="009E674A" w:rsidP="006F668F">
            <w:pPr>
              <w:spacing w:after="0"/>
              <w:rPr>
                <w:rFonts w:cs="Arial"/>
                <w:sz w:val="14"/>
                <w:szCs w:val="14"/>
              </w:rPr>
            </w:pPr>
            <w:r>
              <w:rPr>
                <w:rFonts w:cs="Arial"/>
                <w:sz w:val="14"/>
                <w:szCs w:val="14"/>
              </w:rPr>
              <w:t xml:space="preserve">Zdroj: Eurostat </w:t>
            </w:r>
            <w:r w:rsidR="00BC7833">
              <w:rPr>
                <w:rFonts w:cs="Arial"/>
                <w:sz w:val="14"/>
                <w:szCs w:val="14"/>
              </w:rPr>
              <w:t>a </w:t>
            </w:r>
            <w:r>
              <w:rPr>
                <w:rFonts w:cs="Arial"/>
                <w:sz w:val="14"/>
                <w:szCs w:val="14"/>
              </w:rPr>
              <w:t>ČSÚ (VŠPS)</w:t>
            </w:r>
          </w:p>
        </w:tc>
      </w:tr>
      <w:tr w:rsidR="009E674A" w14:paraId="71FBA8BD" w14:textId="77777777" w:rsidTr="006F668F">
        <w:trPr>
          <w:trHeight w:val="145"/>
        </w:trPr>
        <w:tc>
          <w:tcPr>
            <w:tcW w:w="1976" w:type="dxa"/>
            <w:tcBorders>
              <w:top w:val="nil"/>
              <w:left w:val="nil"/>
              <w:bottom w:val="nil"/>
              <w:right w:val="nil"/>
            </w:tcBorders>
          </w:tcPr>
          <w:p w14:paraId="09AFF895" w14:textId="77777777" w:rsidR="009E674A" w:rsidRDefault="009E674A" w:rsidP="006F668F">
            <w:pPr>
              <w:pStyle w:val="Marginlie"/>
            </w:pPr>
            <w:r>
              <w:t>Míra zaměstnanosti žen s malými dětmi mírně rostla.</w:t>
            </w:r>
          </w:p>
          <w:p w14:paraId="3EE02826" w14:textId="77777777" w:rsidR="009E674A" w:rsidRPr="00106639" w:rsidRDefault="009E674A" w:rsidP="006F668F">
            <w:pPr>
              <w:pStyle w:val="Marginlie"/>
            </w:pPr>
          </w:p>
        </w:tc>
        <w:tc>
          <w:tcPr>
            <w:tcW w:w="277" w:type="dxa"/>
            <w:tcBorders>
              <w:top w:val="nil"/>
              <w:left w:val="nil"/>
              <w:bottom w:val="nil"/>
              <w:right w:val="nil"/>
            </w:tcBorders>
          </w:tcPr>
          <w:p w14:paraId="3871003D" w14:textId="77777777" w:rsidR="009E674A" w:rsidRPr="005E4483" w:rsidRDefault="009E674A" w:rsidP="006F668F">
            <w:pPr>
              <w:pStyle w:val="Textpoznpodarou"/>
              <w:jc w:val="both"/>
              <w:rPr>
                <w:spacing w:val="-4"/>
              </w:rPr>
            </w:pPr>
          </w:p>
        </w:tc>
        <w:tc>
          <w:tcPr>
            <w:tcW w:w="7391" w:type="dxa"/>
            <w:tcBorders>
              <w:top w:val="nil"/>
              <w:left w:val="nil"/>
              <w:bottom w:val="nil"/>
              <w:right w:val="nil"/>
            </w:tcBorders>
          </w:tcPr>
          <w:p w14:paraId="6222F41B" w14:textId="4B9A4E39" w:rsidR="009E674A" w:rsidRPr="00FC612C" w:rsidRDefault="009E674A" w:rsidP="006F668F">
            <w:pPr>
              <w:spacing w:after="220"/>
              <w:rPr>
                <w:rFonts w:cs="Arial"/>
                <w:color w:val="0D0D0D" w:themeColor="text1" w:themeTint="F2"/>
                <w:spacing w:val="-2"/>
              </w:rPr>
            </w:pPr>
            <w:r>
              <w:rPr>
                <w:rFonts w:cs="Arial"/>
                <w:color w:val="0D0D0D" w:themeColor="text1" w:themeTint="F2"/>
                <w:spacing w:val="-2"/>
              </w:rPr>
              <w:t xml:space="preserve">Míra zaměstnanosti žen s dětmi roste </w:t>
            </w:r>
            <w:r w:rsidR="00BC7833">
              <w:rPr>
                <w:rFonts w:cs="Arial"/>
                <w:color w:val="0D0D0D" w:themeColor="text1" w:themeTint="F2"/>
                <w:spacing w:val="-2"/>
              </w:rPr>
              <w:t>v </w:t>
            </w:r>
            <w:r>
              <w:rPr>
                <w:rFonts w:cs="Arial"/>
                <w:color w:val="0D0D0D" w:themeColor="text1" w:themeTint="F2"/>
                <w:spacing w:val="-2"/>
              </w:rPr>
              <w:t xml:space="preserve">Česku jen velmi pozvolna. Nejvyšší tempo vykázala </w:t>
            </w:r>
            <w:r w:rsidR="00BC7833">
              <w:rPr>
                <w:rFonts w:cs="Arial"/>
                <w:color w:val="0D0D0D" w:themeColor="text1" w:themeTint="F2"/>
                <w:spacing w:val="-2"/>
              </w:rPr>
              <w:t>u </w:t>
            </w:r>
            <w:r>
              <w:rPr>
                <w:rFonts w:cs="Arial"/>
                <w:color w:val="0D0D0D" w:themeColor="text1" w:themeTint="F2"/>
                <w:spacing w:val="-2"/>
              </w:rPr>
              <w:t xml:space="preserve">žen s nejmladším dítětem do </w:t>
            </w:r>
            <w:r w:rsidR="00D82A1E">
              <w:rPr>
                <w:rFonts w:cs="Arial"/>
                <w:color w:val="0D0D0D" w:themeColor="text1" w:themeTint="F2"/>
                <w:spacing w:val="-2"/>
              </w:rPr>
              <w:t>6 </w:t>
            </w:r>
            <w:r>
              <w:rPr>
                <w:rFonts w:cs="Arial"/>
                <w:color w:val="0D0D0D" w:themeColor="text1" w:themeTint="F2"/>
                <w:spacing w:val="-2"/>
              </w:rPr>
              <w:t xml:space="preserve">let v období 2010 až 2014, kde se patrně projevil vliv zavedení </w:t>
            </w:r>
            <w:r w:rsidR="004E1A7F">
              <w:rPr>
                <w:rFonts w:cs="Arial"/>
                <w:color w:val="0D0D0D" w:themeColor="text1" w:themeTint="F2"/>
                <w:spacing w:val="-2"/>
              </w:rPr>
              <w:t>„</w:t>
            </w:r>
            <w:r>
              <w:rPr>
                <w:rFonts w:cs="Arial"/>
                <w:color w:val="0D0D0D" w:themeColor="text1" w:themeTint="F2"/>
                <w:spacing w:val="-2"/>
              </w:rPr>
              <w:t>vícerychlostní</w:t>
            </w:r>
            <w:r w:rsidR="004E1A7F">
              <w:rPr>
                <w:rFonts w:cs="Arial"/>
                <w:color w:val="0D0D0D" w:themeColor="text1" w:themeTint="F2"/>
                <w:spacing w:val="-2"/>
              </w:rPr>
              <w:t>“</w:t>
            </w:r>
            <w:r>
              <w:rPr>
                <w:rFonts w:cs="Arial"/>
                <w:color w:val="0D0D0D" w:themeColor="text1" w:themeTint="F2"/>
                <w:spacing w:val="-2"/>
              </w:rPr>
              <w:t xml:space="preserve"> rodičovské dovolené</w:t>
            </w:r>
            <w:r>
              <w:rPr>
                <w:rStyle w:val="Znakapoznpodarou"/>
                <w:rFonts w:cs="Arial"/>
                <w:color w:val="0D0D0D" w:themeColor="text1" w:themeTint="F2"/>
                <w:spacing w:val="-4"/>
              </w:rPr>
              <w:footnoteReference w:id="8"/>
            </w:r>
            <w:r>
              <w:rPr>
                <w:rFonts w:cs="Arial"/>
                <w:color w:val="0D0D0D" w:themeColor="text1" w:themeTint="F2"/>
                <w:spacing w:val="-2"/>
              </w:rPr>
              <w:t xml:space="preserve">. K mírnému posílení zaměstnanosti došlo </w:t>
            </w:r>
            <w:r w:rsidR="00BC7833">
              <w:rPr>
                <w:rFonts w:cs="Arial"/>
                <w:color w:val="0D0D0D" w:themeColor="text1" w:themeTint="F2"/>
                <w:spacing w:val="-2"/>
              </w:rPr>
              <w:t>i </w:t>
            </w:r>
            <w:r>
              <w:rPr>
                <w:rFonts w:cs="Arial"/>
                <w:color w:val="0D0D0D" w:themeColor="text1" w:themeTint="F2"/>
                <w:spacing w:val="-2"/>
              </w:rPr>
              <w:t xml:space="preserve">v posledních letech svižného hospodářského růstu, více se ale projevilo </w:t>
            </w:r>
            <w:r w:rsidR="00BC7833">
              <w:rPr>
                <w:rFonts w:cs="Arial"/>
                <w:color w:val="0D0D0D" w:themeColor="text1" w:themeTint="F2"/>
                <w:spacing w:val="-2"/>
              </w:rPr>
              <w:t>u </w:t>
            </w:r>
            <w:r>
              <w:rPr>
                <w:rFonts w:cs="Arial"/>
                <w:color w:val="0D0D0D" w:themeColor="text1" w:themeTint="F2"/>
                <w:spacing w:val="-2"/>
              </w:rPr>
              <w:t>žen s nejmladším dítětem ve věku 6–1</w:t>
            </w:r>
            <w:r w:rsidR="00D82A1E">
              <w:rPr>
                <w:rFonts w:cs="Arial"/>
                <w:color w:val="0D0D0D" w:themeColor="text1" w:themeTint="F2"/>
                <w:spacing w:val="-2"/>
              </w:rPr>
              <w:t>1 </w:t>
            </w:r>
            <w:r>
              <w:rPr>
                <w:rFonts w:cs="Arial"/>
                <w:color w:val="0D0D0D" w:themeColor="text1" w:themeTint="F2"/>
                <w:spacing w:val="-2"/>
              </w:rPr>
              <w:t xml:space="preserve">let. Není překvapivé, že </w:t>
            </w:r>
            <w:r>
              <w:rPr>
                <w:rFonts w:cs="Arial"/>
                <w:color w:val="0D0D0D" w:themeColor="text1" w:themeTint="F2"/>
                <w:spacing w:val="-2"/>
              </w:rPr>
              <w:lastRenderedPageBreak/>
              <w:t>ekonomická participace žen s dětmi roste s úrovní dosaženého vzdělání žen či spolu s věkem nejmladšího dítěte. Mezi ženami (ve věku 25–4</w:t>
            </w:r>
            <w:r w:rsidR="00D82A1E">
              <w:rPr>
                <w:rFonts w:cs="Arial"/>
                <w:color w:val="0D0D0D" w:themeColor="text1" w:themeTint="F2"/>
                <w:spacing w:val="-2"/>
              </w:rPr>
              <w:t>9 </w:t>
            </w:r>
            <w:r>
              <w:rPr>
                <w:rFonts w:cs="Arial"/>
                <w:color w:val="0D0D0D" w:themeColor="text1" w:themeTint="F2"/>
                <w:spacing w:val="-2"/>
              </w:rPr>
              <w:t xml:space="preserve">let) s nejmladším dítětem do </w:t>
            </w:r>
            <w:r w:rsidR="00D82A1E">
              <w:rPr>
                <w:rFonts w:cs="Arial"/>
                <w:color w:val="0D0D0D" w:themeColor="text1" w:themeTint="F2"/>
                <w:spacing w:val="-2"/>
              </w:rPr>
              <w:t>6 </w:t>
            </w:r>
            <w:r>
              <w:rPr>
                <w:rFonts w:cs="Arial"/>
                <w:color w:val="0D0D0D" w:themeColor="text1" w:themeTint="F2"/>
                <w:spacing w:val="-2"/>
              </w:rPr>
              <w:t>let bylo loni zaměstnaných 47,9</w:t>
            </w:r>
            <w:r w:rsidR="006454CC">
              <w:rPr>
                <w:rFonts w:cs="Arial"/>
                <w:color w:val="0D0D0D" w:themeColor="text1" w:themeTint="F2"/>
                <w:spacing w:val="-2"/>
              </w:rPr>
              <w:t> %</w:t>
            </w:r>
            <w:r>
              <w:rPr>
                <w:rFonts w:cs="Arial"/>
                <w:color w:val="0D0D0D" w:themeColor="text1" w:themeTint="F2"/>
                <w:spacing w:val="-2"/>
              </w:rPr>
              <w:t xml:space="preserve"> (meziročně </w:t>
            </w:r>
            <w:r w:rsidR="00BC7833">
              <w:rPr>
                <w:rFonts w:cs="Arial"/>
                <w:color w:val="0D0D0D" w:themeColor="text1" w:themeTint="F2"/>
                <w:spacing w:val="-2"/>
              </w:rPr>
              <w:t>o </w:t>
            </w:r>
            <w:r>
              <w:rPr>
                <w:rFonts w:cs="Arial"/>
                <w:color w:val="0D0D0D" w:themeColor="text1" w:themeTint="F2"/>
                <w:spacing w:val="-2"/>
              </w:rPr>
              <w:t>2,8</w:t>
            </w:r>
            <w:r w:rsidR="006454CC">
              <w:rPr>
                <w:rFonts w:cs="Arial"/>
                <w:color w:val="0D0D0D" w:themeColor="text1" w:themeTint="F2"/>
                <w:spacing w:val="-2"/>
              </w:rPr>
              <w:t> p. b.</w:t>
            </w:r>
            <w:r>
              <w:rPr>
                <w:rFonts w:cs="Arial"/>
                <w:color w:val="0D0D0D" w:themeColor="text1" w:themeTint="F2"/>
                <w:spacing w:val="-2"/>
              </w:rPr>
              <w:t xml:space="preserve"> více), </w:t>
            </w:r>
            <w:r w:rsidR="00BC7833">
              <w:rPr>
                <w:rFonts w:cs="Arial"/>
                <w:color w:val="0D0D0D" w:themeColor="text1" w:themeTint="F2"/>
                <w:spacing w:val="-2"/>
              </w:rPr>
              <w:t>u </w:t>
            </w:r>
            <w:r>
              <w:rPr>
                <w:rFonts w:cs="Arial"/>
                <w:color w:val="0D0D0D" w:themeColor="text1" w:themeTint="F2"/>
                <w:spacing w:val="-2"/>
              </w:rPr>
              <w:t>žen s nejmladším dítětem ve věku 6–1</w:t>
            </w:r>
            <w:r w:rsidR="00D82A1E">
              <w:rPr>
                <w:rFonts w:cs="Arial"/>
                <w:color w:val="0D0D0D" w:themeColor="text1" w:themeTint="F2"/>
                <w:spacing w:val="-2"/>
              </w:rPr>
              <w:t>1 </w:t>
            </w:r>
            <w:r>
              <w:rPr>
                <w:rFonts w:cs="Arial"/>
                <w:color w:val="0D0D0D" w:themeColor="text1" w:themeTint="F2"/>
                <w:spacing w:val="-2"/>
              </w:rPr>
              <w:t>let pak 92,4</w:t>
            </w:r>
            <w:r w:rsidR="006454CC">
              <w:rPr>
                <w:rFonts w:cs="Arial"/>
                <w:color w:val="0D0D0D" w:themeColor="text1" w:themeTint="F2"/>
                <w:spacing w:val="-2"/>
              </w:rPr>
              <w:t> %</w:t>
            </w:r>
            <w:r>
              <w:rPr>
                <w:rFonts w:cs="Arial"/>
                <w:color w:val="0D0D0D" w:themeColor="text1" w:themeTint="F2"/>
                <w:spacing w:val="-2"/>
              </w:rPr>
              <w:t xml:space="preserve"> (dokonce </w:t>
            </w:r>
            <w:r w:rsidR="00BC7833">
              <w:rPr>
                <w:rFonts w:cs="Arial"/>
                <w:color w:val="0D0D0D" w:themeColor="text1" w:themeTint="F2"/>
                <w:spacing w:val="-2"/>
              </w:rPr>
              <w:t>o </w:t>
            </w:r>
            <w:r w:rsidR="00D82A1E">
              <w:rPr>
                <w:rFonts w:cs="Arial"/>
                <w:color w:val="0D0D0D" w:themeColor="text1" w:themeTint="F2"/>
                <w:spacing w:val="-2"/>
              </w:rPr>
              <w:t>2 </w:t>
            </w:r>
            <w:r>
              <w:rPr>
                <w:rFonts w:cs="Arial"/>
                <w:color w:val="0D0D0D" w:themeColor="text1" w:themeTint="F2"/>
                <w:spacing w:val="-2"/>
              </w:rPr>
              <w:t>p.</w:t>
            </w:r>
            <w:r w:rsidR="00BA35F3">
              <w:rPr>
                <w:rFonts w:cs="Arial"/>
                <w:color w:val="0D0D0D" w:themeColor="text1" w:themeTint="F2"/>
                <w:spacing w:val="-2"/>
              </w:rPr>
              <w:t> </w:t>
            </w:r>
            <w:r>
              <w:rPr>
                <w:rFonts w:cs="Arial"/>
                <w:color w:val="0D0D0D" w:themeColor="text1" w:themeTint="F2"/>
                <w:spacing w:val="-2"/>
              </w:rPr>
              <w:t xml:space="preserve">b. více než u bezdětných žen). Není bez zajímavosti, že u obou věkových kategorií dětí dosahovaly maximální míry zaměstnanosti matky s dvěma potomky (zhruba </w:t>
            </w:r>
            <w:r w:rsidR="00BC7833">
              <w:rPr>
                <w:rFonts w:cs="Arial"/>
                <w:color w:val="0D0D0D" w:themeColor="text1" w:themeTint="F2"/>
                <w:spacing w:val="-2"/>
              </w:rPr>
              <w:t>o </w:t>
            </w:r>
            <w:r>
              <w:rPr>
                <w:rFonts w:cs="Arial"/>
                <w:color w:val="0D0D0D" w:themeColor="text1" w:themeTint="F2"/>
                <w:spacing w:val="-2"/>
              </w:rPr>
              <w:t>5</w:t>
            </w:r>
            <w:r w:rsidR="006454CC">
              <w:rPr>
                <w:rFonts w:cs="Arial"/>
                <w:color w:val="0D0D0D" w:themeColor="text1" w:themeTint="F2"/>
                <w:spacing w:val="-2"/>
              </w:rPr>
              <w:t> p. b.</w:t>
            </w:r>
            <w:r>
              <w:rPr>
                <w:rFonts w:cs="Arial"/>
                <w:color w:val="0D0D0D" w:themeColor="text1" w:themeTint="F2"/>
                <w:spacing w:val="-2"/>
              </w:rPr>
              <w:t xml:space="preserve"> vyšší než </w:t>
            </w:r>
            <w:r w:rsidR="00BC7833">
              <w:rPr>
                <w:rFonts w:cs="Arial"/>
                <w:color w:val="0D0D0D" w:themeColor="text1" w:themeTint="F2"/>
                <w:spacing w:val="-2"/>
              </w:rPr>
              <w:t>u </w:t>
            </w:r>
            <w:r>
              <w:rPr>
                <w:rFonts w:cs="Arial"/>
                <w:color w:val="0D0D0D" w:themeColor="text1" w:themeTint="F2"/>
                <w:spacing w:val="-2"/>
              </w:rPr>
              <w:t>žen s jedním dítětem).</w:t>
            </w:r>
          </w:p>
        </w:tc>
      </w:tr>
      <w:tr w:rsidR="009E674A" w14:paraId="27D5053F" w14:textId="77777777" w:rsidTr="006F668F">
        <w:trPr>
          <w:trHeight w:val="145"/>
        </w:trPr>
        <w:tc>
          <w:tcPr>
            <w:tcW w:w="1976" w:type="dxa"/>
            <w:tcBorders>
              <w:top w:val="nil"/>
              <w:left w:val="nil"/>
              <w:bottom w:val="nil"/>
              <w:right w:val="nil"/>
            </w:tcBorders>
          </w:tcPr>
          <w:p w14:paraId="5E85614E" w14:textId="77777777" w:rsidR="009E674A" w:rsidRDefault="009E674A" w:rsidP="006F668F">
            <w:pPr>
              <w:pStyle w:val="Marginlie"/>
            </w:pPr>
            <w:r>
              <w:lastRenderedPageBreak/>
              <w:t xml:space="preserve">Mírně narůstá </w:t>
            </w:r>
            <w:r w:rsidR="00BC7833">
              <w:t>i </w:t>
            </w:r>
            <w:r>
              <w:t>podíl matek ve věku 25 až 4</w:t>
            </w:r>
            <w:r w:rsidR="00D82A1E">
              <w:t>9 </w:t>
            </w:r>
            <w:r>
              <w:t>let pracujících na zkrácený úvazek či z domova.</w:t>
            </w:r>
          </w:p>
        </w:tc>
        <w:tc>
          <w:tcPr>
            <w:tcW w:w="277" w:type="dxa"/>
            <w:tcBorders>
              <w:top w:val="nil"/>
              <w:left w:val="nil"/>
              <w:bottom w:val="nil"/>
              <w:right w:val="nil"/>
            </w:tcBorders>
          </w:tcPr>
          <w:p w14:paraId="3DF2D6E9" w14:textId="77777777" w:rsidR="009E674A" w:rsidRPr="005E4483" w:rsidRDefault="009E674A" w:rsidP="006F668F">
            <w:pPr>
              <w:pStyle w:val="Textpoznpodarou"/>
              <w:jc w:val="both"/>
              <w:rPr>
                <w:spacing w:val="-4"/>
              </w:rPr>
            </w:pPr>
          </w:p>
        </w:tc>
        <w:tc>
          <w:tcPr>
            <w:tcW w:w="7391" w:type="dxa"/>
            <w:tcBorders>
              <w:top w:val="nil"/>
              <w:left w:val="nil"/>
              <w:bottom w:val="nil"/>
              <w:right w:val="nil"/>
            </w:tcBorders>
          </w:tcPr>
          <w:p w14:paraId="282B7FDD" w14:textId="2F182CB0" w:rsidR="009E674A" w:rsidRPr="00803FBD" w:rsidRDefault="009E674A" w:rsidP="006F668F">
            <w:pPr>
              <w:spacing w:after="220"/>
              <w:rPr>
                <w:rFonts w:cs="Arial"/>
                <w:color w:val="0D0D0D" w:themeColor="text1" w:themeTint="F2"/>
                <w:spacing w:val="-3"/>
              </w:rPr>
            </w:pPr>
            <w:r w:rsidRPr="00803FBD">
              <w:rPr>
                <w:rFonts w:cs="Arial"/>
                <w:color w:val="0D0D0D" w:themeColor="text1" w:themeTint="F2"/>
                <w:spacing w:val="-3"/>
              </w:rPr>
              <w:t xml:space="preserve">Lepší skloubení pracovního </w:t>
            </w:r>
            <w:r w:rsidR="004E1A7F">
              <w:rPr>
                <w:rFonts w:cs="Arial"/>
                <w:color w:val="0D0D0D" w:themeColor="text1" w:themeTint="F2"/>
                <w:spacing w:val="-3"/>
              </w:rPr>
              <w:t>a</w:t>
            </w:r>
            <w:r w:rsidR="00BC7833">
              <w:rPr>
                <w:rFonts w:cs="Arial"/>
                <w:color w:val="0D0D0D" w:themeColor="text1" w:themeTint="F2"/>
                <w:spacing w:val="-3"/>
              </w:rPr>
              <w:t> </w:t>
            </w:r>
            <w:r w:rsidRPr="00803FBD">
              <w:rPr>
                <w:rFonts w:cs="Arial"/>
                <w:color w:val="0D0D0D" w:themeColor="text1" w:themeTint="F2"/>
                <w:spacing w:val="-3"/>
              </w:rPr>
              <w:t xml:space="preserve">rodinného života žen s malými dětmi předpokládá vedle dostatečné nabídky předškolních zařízení </w:t>
            </w:r>
            <w:r w:rsidR="00BC7833" w:rsidRPr="00803FBD">
              <w:rPr>
                <w:rFonts w:cs="Arial"/>
                <w:color w:val="0D0D0D" w:themeColor="text1" w:themeTint="F2"/>
                <w:spacing w:val="-3"/>
              </w:rPr>
              <w:t>i</w:t>
            </w:r>
            <w:r w:rsidR="00BC7833">
              <w:rPr>
                <w:rFonts w:cs="Arial"/>
                <w:color w:val="0D0D0D" w:themeColor="text1" w:themeTint="F2"/>
                <w:spacing w:val="-3"/>
              </w:rPr>
              <w:t> </w:t>
            </w:r>
            <w:r w:rsidRPr="00803FBD">
              <w:rPr>
                <w:rFonts w:cs="Arial"/>
                <w:color w:val="0D0D0D" w:themeColor="text1" w:themeTint="F2"/>
                <w:spacing w:val="-3"/>
              </w:rPr>
              <w:t xml:space="preserve">větší rozšíření flexibilních forem pracovních úvazků. </w:t>
            </w:r>
            <w:r w:rsidR="00BC7833" w:rsidRPr="00803FBD">
              <w:rPr>
                <w:rFonts w:cs="Arial"/>
                <w:color w:val="0D0D0D" w:themeColor="text1" w:themeTint="F2"/>
                <w:spacing w:val="-3"/>
              </w:rPr>
              <w:t>I</w:t>
            </w:r>
            <w:r w:rsidR="00BC7833">
              <w:rPr>
                <w:rFonts w:cs="Arial"/>
                <w:color w:val="0D0D0D" w:themeColor="text1" w:themeTint="F2"/>
                <w:spacing w:val="-3"/>
              </w:rPr>
              <w:t> </w:t>
            </w:r>
            <w:r w:rsidR="00BC7833" w:rsidRPr="00803FBD">
              <w:rPr>
                <w:rFonts w:cs="Arial"/>
                <w:color w:val="0D0D0D" w:themeColor="text1" w:themeTint="F2"/>
                <w:spacing w:val="-3"/>
              </w:rPr>
              <w:t>v</w:t>
            </w:r>
            <w:r w:rsidR="00BC7833">
              <w:rPr>
                <w:rFonts w:cs="Arial"/>
                <w:color w:val="0D0D0D" w:themeColor="text1" w:themeTint="F2"/>
                <w:spacing w:val="-3"/>
              </w:rPr>
              <w:t> </w:t>
            </w:r>
            <w:r w:rsidRPr="00803FBD">
              <w:rPr>
                <w:rFonts w:cs="Arial"/>
                <w:color w:val="0D0D0D" w:themeColor="text1" w:themeTint="F2"/>
                <w:spacing w:val="-3"/>
              </w:rPr>
              <w:t xml:space="preserve">tomto směru se situace pro ženy od konce poslední recese mírně zlepšila. Jestliže </w:t>
            </w:r>
            <w:r w:rsidR="00BC7833" w:rsidRPr="00803FBD">
              <w:rPr>
                <w:rFonts w:cs="Arial"/>
                <w:color w:val="0D0D0D" w:themeColor="text1" w:themeTint="F2"/>
                <w:spacing w:val="-3"/>
              </w:rPr>
              <w:t>v</w:t>
            </w:r>
            <w:r w:rsidR="00BC7833">
              <w:rPr>
                <w:rFonts w:cs="Arial"/>
                <w:color w:val="0D0D0D" w:themeColor="text1" w:themeTint="F2"/>
                <w:spacing w:val="-3"/>
              </w:rPr>
              <w:t> </w:t>
            </w:r>
            <w:r w:rsidRPr="00803FBD">
              <w:rPr>
                <w:rFonts w:cs="Arial"/>
                <w:color w:val="0D0D0D" w:themeColor="text1" w:themeTint="F2"/>
                <w:spacing w:val="-3"/>
              </w:rPr>
              <w:t>roce 2014 pracovalo na zkrácený úvazek 18,6</w:t>
            </w:r>
            <w:r w:rsidR="006454CC">
              <w:rPr>
                <w:rFonts w:cs="Arial"/>
                <w:color w:val="0D0D0D" w:themeColor="text1" w:themeTint="F2"/>
                <w:spacing w:val="-3"/>
              </w:rPr>
              <w:t> %</w:t>
            </w:r>
            <w:r w:rsidRPr="00803FBD">
              <w:rPr>
                <w:rFonts w:cs="Arial"/>
                <w:color w:val="0D0D0D" w:themeColor="text1" w:themeTint="F2"/>
                <w:spacing w:val="-3"/>
              </w:rPr>
              <w:t xml:space="preserve"> matek ve věku 25–4</w:t>
            </w:r>
            <w:r w:rsidR="00D82A1E" w:rsidRPr="00803FBD">
              <w:rPr>
                <w:rFonts w:cs="Arial"/>
                <w:color w:val="0D0D0D" w:themeColor="text1" w:themeTint="F2"/>
                <w:spacing w:val="-3"/>
              </w:rPr>
              <w:t>9</w:t>
            </w:r>
            <w:r w:rsidR="00D82A1E">
              <w:rPr>
                <w:rFonts w:cs="Arial"/>
                <w:color w:val="0D0D0D" w:themeColor="text1" w:themeTint="F2"/>
                <w:spacing w:val="-3"/>
              </w:rPr>
              <w:t> </w:t>
            </w:r>
            <w:r w:rsidRPr="00803FBD">
              <w:rPr>
                <w:rFonts w:cs="Arial"/>
                <w:color w:val="0D0D0D" w:themeColor="text1" w:themeTint="F2"/>
                <w:spacing w:val="-3"/>
              </w:rPr>
              <w:t xml:space="preserve">let (s nejmladším dítětem do </w:t>
            </w:r>
            <w:r w:rsidR="00D82A1E" w:rsidRPr="00803FBD">
              <w:rPr>
                <w:rFonts w:cs="Arial"/>
                <w:color w:val="0D0D0D" w:themeColor="text1" w:themeTint="F2"/>
                <w:spacing w:val="-3"/>
              </w:rPr>
              <w:t>6</w:t>
            </w:r>
            <w:r w:rsidR="00D82A1E">
              <w:rPr>
                <w:rFonts w:cs="Arial"/>
                <w:color w:val="0D0D0D" w:themeColor="text1" w:themeTint="F2"/>
                <w:spacing w:val="-3"/>
              </w:rPr>
              <w:t> </w:t>
            </w:r>
            <w:r w:rsidRPr="00803FBD">
              <w:rPr>
                <w:rFonts w:cs="Arial"/>
                <w:color w:val="0D0D0D" w:themeColor="text1" w:themeTint="F2"/>
                <w:spacing w:val="-3"/>
              </w:rPr>
              <w:t>let věku), loni již 23,7</w:t>
            </w:r>
            <w:r w:rsidR="006454CC">
              <w:rPr>
                <w:rFonts w:cs="Arial"/>
                <w:color w:val="0D0D0D" w:themeColor="text1" w:themeTint="F2"/>
                <w:spacing w:val="-3"/>
              </w:rPr>
              <w:t> %</w:t>
            </w:r>
            <w:r w:rsidRPr="00803FBD">
              <w:rPr>
                <w:rFonts w:cs="Arial"/>
                <w:color w:val="0D0D0D" w:themeColor="text1" w:themeTint="F2"/>
                <w:spacing w:val="-3"/>
              </w:rPr>
              <w:t xml:space="preserve">. </w:t>
            </w:r>
            <w:r w:rsidR="00BC7833" w:rsidRPr="00803FBD">
              <w:rPr>
                <w:rFonts w:cs="Arial"/>
                <w:color w:val="0D0D0D" w:themeColor="text1" w:themeTint="F2"/>
                <w:spacing w:val="-3"/>
              </w:rPr>
              <w:t>U</w:t>
            </w:r>
            <w:r w:rsidR="00BC7833">
              <w:rPr>
                <w:rFonts w:cs="Arial"/>
                <w:color w:val="0D0D0D" w:themeColor="text1" w:themeTint="F2"/>
                <w:spacing w:val="-3"/>
              </w:rPr>
              <w:t> </w:t>
            </w:r>
            <w:r w:rsidRPr="00803FBD">
              <w:rPr>
                <w:rFonts w:cs="Arial"/>
                <w:color w:val="0D0D0D" w:themeColor="text1" w:themeTint="F2"/>
                <w:spacing w:val="-3"/>
              </w:rPr>
              <w:t>práce z domova došlo ve stejném období k nárůstu ze 7,4</w:t>
            </w:r>
            <w:r w:rsidR="006454CC">
              <w:rPr>
                <w:rFonts w:cs="Arial"/>
                <w:color w:val="0D0D0D" w:themeColor="text1" w:themeTint="F2"/>
                <w:spacing w:val="-3"/>
              </w:rPr>
              <w:t> %</w:t>
            </w:r>
            <w:r w:rsidRPr="00803FBD">
              <w:rPr>
                <w:rFonts w:cs="Arial"/>
                <w:color w:val="0D0D0D" w:themeColor="text1" w:themeTint="F2"/>
                <w:spacing w:val="-3"/>
              </w:rPr>
              <w:t xml:space="preserve"> na 12,0</w:t>
            </w:r>
            <w:r w:rsidR="006454CC">
              <w:rPr>
                <w:rFonts w:cs="Arial"/>
                <w:color w:val="0D0D0D" w:themeColor="text1" w:themeTint="F2"/>
                <w:spacing w:val="-3"/>
              </w:rPr>
              <w:t> %</w:t>
            </w:r>
            <w:r w:rsidRPr="00803FBD">
              <w:rPr>
                <w:rFonts w:cs="Arial"/>
                <w:color w:val="0D0D0D" w:themeColor="text1" w:themeTint="F2"/>
                <w:spacing w:val="-3"/>
              </w:rPr>
              <w:t xml:space="preserve"> (</w:t>
            </w:r>
            <w:r w:rsidR="00BC7833" w:rsidRPr="00803FBD">
              <w:rPr>
                <w:rFonts w:cs="Arial"/>
                <w:color w:val="0D0D0D" w:themeColor="text1" w:themeTint="F2"/>
                <w:spacing w:val="-3"/>
              </w:rPr>
              <w:t>u</w:t>
            </w:r>
            <w:r w:rsidR="00BC7833">
              <w:rPr>
                <w:rFonts w:cs="Arial"/>
                <w:color w:val="0D0D0D" w:themeColor="text1" w:themeTint="F2"/>
                <w:spacing w:val="-3"/>
              </w:rPr>
              <w:t> </w:t>
            </w:r>
            <w:r w:rsidRPr="00803FBD">
              <w:rPr>
                <w:rFonts w:cs="Arial"/>
                <w:color w:val="0D0D0D" w:themeColor="text1" w:themeTint="F2"/>
                <w:spacing w:val="-3"/>
              </w:rPr>
              <w:t>žen s nejmladším dítětem ve věku</w:t>
            </w:r>
            <w:r w:rsidR="004E1A7F">
              <w:rPr>
                <w:rFonts w:cs="Arial"/>
                <w:color w:val="0D0D0D" w:themeColor="text1" w:themeTint="F2"/>
                <w:spacing w:val="-3"/>
              </w:rPr>
              <w:t xml:space="preserve"> </w:t>
            </w:r>
            <w:r w:rsidR="004E1A7F">
              <w:rPr>
                <w:rFonts w:cs="Arial"/>
                <w:color w:val="0D0D0D" w:themeColor="text1" w:themeTint="F2"/>
                <w:spacing w:val="-3"/>
              </w:rPr>
              <w:br/>
            </w:r>
            <w:r w:rsidRPr="00803FBD">
              <w:rPr>
                <w:rFonts w:cs="Arial"/>
                <w:color w:val="0D0D0D" w:themeColor="text1" w:themeTint="F2"/>
                <w:spacing w:val="-3"/>
              </w:rPr>
              <w:t>6–1</w:t>
            </w:r>
            <w:r w:rsidR="00D82A1E" w:rsidRPr="00803FBD">
              <w:rPr>
                <w:rFonts w:cs="Arial"/>
                <w:color w:val="0D0D0D" w:themeColor="text1" w:themeTint="F2"/>
                <w:spacing w:val="-3"/>
              </w:rPr>
              <w:t>1</w:t>
            </w:r>
            <w:r w:rsidR="00D82A1E">
              <w:rPr>
                <w:rFonts w:cs="Arial"/>
                <w:color w:val="0D0D0D" w:themeColor="text1" w:themeTint="F2"/>
                <w:spacing w:val="-3"/>
              </w:rPr>
              <w:t> </w:t>
            </w:r>
            <w:r w:rsidRPr="00803FBD">
              <w:rPr>
                <w:rFonts w:cs="Arial"/>
                <w:color w:val="0D0D0D" w:themeColor="text1" w:themeTint="F2"/>
                <w:spacing w:val="-3"/>
              </w:rPr>
              <w:t>let ze 7,6</w:t>
            </w:r>
            <w:r w:rsidR="006454CC">
              <w:rPr>
                <w:rFonts w:cs="Arial"/>
                <w:color w:val="0D0D0D" w:themeColor="text1" w:themeTint="F2"/>
                <w:spacing w:val="-3"/>
              </w:rPr>
              <w:t> %</w:t>
            </w:r>
            <w:r w:rsidRPr="00803FBD">
              <w:rPr>
                <w:rFonts w:cs="Arial"/>
                <w:color w:val="0D0D0D" w:themeColor="text1" w:themeTint="F2"/>
                <w:spacing w:val="-3"/>
              </w:rPr>
              <w:t xml:space="preserve"> na 9,7</w:t>
            </w:r>
            <w:r w:rsidR="006454CC">
              <w:rPr>
                <w:rFonts w:cs="Arial"/>
                <w:color w:val="0D0D0D" w:themeColor="text1" w:themeTint="F2"/>
                <w:spacing w:val="-3"/>
              </w:rPr>
              <w:t> %</w:t>
            </w:r>
            <w:r w:rsidRPr="00803FBD">
              <w:rPr>
                <w:rFonts w:cs="Arial"/>
                <w:color w:val="0D0D0D" w:themeColor="text1" w:themeTint="F2"/>
                <w:spacing w:val="-3"/>
              </w:rPr>
              <w:t xml:space="preserve">, </w:t>
            </w:r>
            <w:r w:rsidR="00BC7833" w:rsidRPr="00803FBD">
              <w:rPr>
                <w:rFonts w:cs="Arial"/>
                <w:color w:val="0D0D0D" w:themeColor="text1" w:themeTint="F2"/>
                <w:spacing w:val="-3"/>
              </w:rPr>
              <w:t>u</w:t>
            </w:r>
            <w:r w:rsidR="00BC7833">
              <w:rPr>
                <w:rFonts w:cs="Arial"/>
                <w:color w:val="0D0D0D" w:themeColor="text1" w:themeTint="F2"/>
                <w:spacing w:val="-3"/>
              </w:rPr>
              <w:t> </w:t>
            </w:r>
            <w:r w:rsidRPr="00803FBD">
              <w:rPr>
                <w:rFonts w:cs="Arial"/>
                <w:color w:val="0D0D0D" w:themeColor="text1" w:themeTint="F2"/>
                <w:spacing w:val="-3"/>
              </w:rPr>
              <w:t>bezdětných podíl osciloval okolo 8</w:t>
            </w:r>
            <w:r w:rsidR="006454CC">
              <w:rPr>
                <w:rFonts w:cs="Arial"/>
                <w:color w:val="0D0D0D" w:themeColor="text1" w:themeTint="F2"/>
                <w:spacing w:val="-3"/>
              </w:rPr>
              <w:t> %</w:t>
            </w:r>
            <w:r w:rsidRPr="00803FBD">
              <w:rPr>
                <w:rFonts w:cs="Arial"/>
                <w:color w:val="0D0D0D" w:themeColor="text1" w:themeTint="F2"/>
                <w:spacing w:val="-3"/>
              </w:rPr>
              <w:t xml:space="preserve">). Složení domácnosti ovlivňuje </w:t>
            </w:r>
            <w:r w:rsidR="00BC7833" w:rsidRPr="00803FBD">
              <w:rPr>
                <w:rFonts w:cs="Arial"/>
                <w:color w:val="0D0D0D" w:themeColor="text1" w:themeTint="F2"/>
                <w:spacing w:val="-3"/>
              </w:rPr>
              <w:t>i</w:t>
            </w:r>
            <w:r w:rsidR="00BC7833">
              <w:rPr>
                <w:rFonts w:cs="Arial"/>
                <w:color w:val="0D0D0D" w:themeColor="text1" w:themeTint="F2"/>
                <w:spacing w:val="-3"/>
              </w:rPr>
              <w:t> </w:t>
            </w:r>
            <w:r w:rsidRPr="00803FBD">
              <w:rPr>
                <w:rFonts w:cs="Arial"/>
                <w:color w:val="0D0D0D" w:themeColor="text1" w:themeTint="F2"/>
                <w:spacing w:val="-3"/>
              </w:rPr>
              <w:t xml:space="preserve">ekonomickou aktivitu otců. Zejména muži </w:t>
            </w:r>
            <w:r w:rsidR="004E1A7F">
              <w:rPr>
                <w:rFonts w:cs="Arial"/>
                <w:color w:val="0D0D0D" w:themeColor="text1" w:themeTint="F2"/>
                <w:spacing w:val="-3"/>
              </w:rPr>
              <w:t>s </w:t>
            </w:r>
            <w:r w:rsidRPr="00803FBD">
              <w:rPr>
                <w:rFonts w:cs="Arial"/>
                <w:color w:val="0D0D0D" w:themeColor="text1" w:themeTint="F2"/>
                <w:spacing w:val="-3"/>
              </w:rPr>
              <w:t xml:space="preserve">nejmladším dítětem do </w:t>
            </w:r>
            <w:r w:rsidR="00D82A1E" w:rsidRPr="00803FBD">
              <w:rPr>
                <w:rFonts w:cs="Arial"/>
                <w:color w:val="0D0D0D" w:themeColor="text1" w:themeTint="F2"/>
                <w:spacing w:val="-3"/>
              </w:rPr>
              <w:t>6</w:t>
            </w:r>
            <w:r w:rsidR="00D82A1E">
              <w:rPr>
                <w:rFonts w:cs="Arial"/>
                <w:color w:val="0D0D0D" w:themeColor="text1" w:themeTint="F2"/>
                <w:spacing w:val="-3"/>
              </w:rPr>
              <w:t> </w:t>
            </w:r>
            <w:r w:rsidRPr="00803FBD">
              <w:rPr>
                <w:rFonts w:cs="Arial"/>
                <w:color w:val="0D0D0D" w:themeColor="text1" w:themeTint="F2"/>
                <w:spacing w:val="-3"/>
              </w:rPr>
              <w:t xml:space="preserve">let věku mají dlouhodobě častěji dvě zaměstnání než bezdětní muži ve věku </w:t>
            </w:r>
            <w:r w:rsidR="004E1A7F">
              <w:rPr>
                <w:rFonts w:cs="Arial"/>
                <w:color w:val="0D0D0D" w:themeColor="text1" w:themeTint="F2"/>
                <w:spacing w:val="-3"/>
              </w:rPr>
              <w:br/>
            </w:r>
            <w:r w:rsidRPr="00803FBD">
              <w:rPr>
                <w:rFonts w:cs="Arial"/>
                <w:color w:val="0D0D0D" w:themeColor="text1" w:themeTint="F2"/>
                <w:spacing w:val="-3"/>
              </w:rPr>
              <w:t>25–4</w:t>
            </w:r>
            <w:r w:rsidR="00D82A1E" w:rsidRPr="00803FBD">
              <w:rPr>
                <w:rFonts w:cs="Arial"/>
                <w:color w:val="0D0D0D" w:themeColor="text1" w:themeTint="F2"/>
                <w:spacing w:val="-3"/>
              </w:rPr>
              <w:t>9</w:t>
            </w:r>
            <w:r w:rsidR="00D82A1E">
              <w:rPr>
                <w:rFonts w:cs="Arial"/>
                <w:color w:val="0D0D0D" w:themeColor="text1" w:themeTint="F2"/>
                <w:spacing w:val="-3"/>
              </w:rPr>
              <w:t> </w:t>
            </w:r>
            <w:r w:rsidRPr="00803FBD">
              <w:rPr>
                <w:rFonts w:cs="Arial"/>
                <w:color w:val="0D0D0D" w:themeColor="text1" w:themeTint="F2"/>
                <w:spacing w:val="-3"/>
              </w:rPr>
              <w:t>let (</w:t>
            </w:r>
            <w:r w:rsidR="00BC7833" w:rsidRPr="00803FBD">
              <w:rPr>
                <w:rFonts w:cs="Arial"/>
                <w:color w:val="0D0D0D" w:themeColor="text1" w:themeTint="F2"/>
                <w:spacing w:val="-3"/>
              </w:rPr>
              <w:t>v</w:t>
            </w:r>
            <w:r w:rsidR="00BC7833">
              <w:rPr>
                <w:rFonts w:cs="Arial"/>
                <w:color w:val="0D0D0D" w:themeColor="text1" w:themeTint="F2"/>
                <w:spacing w:val="-3"/>
              </w:rPr>
              <w:t> </w:t>
            </w:r>
            <w:r w:rsidRPr="00803FBD">
              <w:rPr>
                <w:rFonts w:cs="Arial"/>
                <w:color w:val="0D0D0D" w:themeColor="text1" w:themeTint="F2"/>
                <w:spacing w:val="-3"/>
              </w:rPr>
              <w:t>roce 2018 činily podíly 3,7</w:t>
            </w:r>
            <w:r w:rsidR="006454CC">
              <w:rPr>
                <w:rFonts w:cs="Arial"/>
                <w:color w:val="0D0D0D" w:themeColor="text1" w:themeTint="F2"/>
                <w:spacing w:val="-3"/>
              </w:rPr>
              <w:t> %</w:t>
            </w:r>
            <w:r w:rsidRPr="00803FBD">
              <w:rPr>
                <w:rFonts w:cs="Arial"/>
                <w:color w:val="0D0D0D" w:themeColor="text1" w:themeTint="F2"/>
                <w:spacing w:val="-3"/>
              </w:rPr>
              <w:t xml:space="preserve"> </w:t>
            </w:r>
            <w:r w:rsidR="00BC7833" w:rsidRPr="00803FBD">
              <w:rPr>
                <w:rFonts w:cs="Arial"/>
                <w:color w:val="0D0D0D" w:themeColor="text1" w:themeTint="F2"/>
                <w:spacing w:val="-3"/>
              </w:rPr>
              <w:t>a</w:t>
            </w:r>
            <w:r w:rsidR="00BC7833">
              <w:rPr>
                <w:rFonts w:cs="Arial"/>
                <w:color w:val="0D0D0D" w:themeColor="text1" w:themeTint="F2"/>
                <w:spacing w:val="-3"/>
              </w:rPr>
              <w:t> </w:t>
            </w:r>
            <w:r w:rsidRPr="00803FBD">
              <w:rPr>
                <w:rFonts w:cs="Arial"/>
                <w:color w:val="0D0D0D" w:themeColor="text1" w:themeTint="F2"/>
                <w:spacing w:val="-3"/>
              </w:rPr>
              <w:t>2,4</w:t>
            </w:r>
            <w:r w:rsidR="006454CC">
              <w:rPr>
                <w:rFonts w:cs="Arial"/>
                <w:color w:val="0D0D0D" w:themeColor="text1" w:themeTint="F2"/>
                <w:spacing w:val="-3"/>
              </w:rPr>
              <w:t> %</w:t>
            </w:r>
            <w:r w:rsidRPr="00803FBD">
              <w:rPr>
                <w:rFonts w:cs="Arial"/>
                <w:color w:val="0D0D0D" w:themeColor="text1" w:themeTint="F2"/>
                <w:spacing w:val="-3"/>
              </w:rPr>
              <w:t>).</w:t>
            </w:r>
          </w:p>
        </w:tc>
      </w:tr>
    </w:tbl>
    <w:p w14:paraId="32371210" w14:textId="77777777" w:rsidR="009E674A" w:rsidRDefault="009E674A" w:rsidP="009E674A">
      <w:pPr>
        <w:spacing w:after="0"/>
        <w:rPr>
          <w:szCs w:val="20"/>
        </w:rPr>
      </w:pPr>
      <w:r>
        <w:rPr>
          <w:rFonts w:eastAsia="MS Gothic"/>
          <w:b/>
          <w:bCs/>
          <w:color w:val="71818C"/>
          <w:sz w:val="28"/>
          <w:szCs w:val="28"/>
        </w:rPr>
        <w:t xml:space="preserve">1.2. Celková zaměstnanost </w:t>
      </w:r>
      <w:r w:rsidR="00BC7833">
        <w:rPr>
          <w:rFonts w:eastAsia="MS Gothic"/>
          <w:b/>
          <w:bCs/>
          <w:color w:val="71818C"/>
          <w:sz w:val="28"/>
          <w:szCs w:val="28"/>
        </w:rPr>
        <w:t>a </w:t>
      </w:r>
      <w:r>
        <w:rPr>
          <w:rFonts w:eastAsia="MS Gothic"/>
          <w:b/>
          <w:bCs/>
          <w:color w:val="71818C"/>
          <w:sz w:val="28"/>
          <w:szCs w:val="28"/>
        </w:rPr>
        <w:t>odvětvová skladba</w:t>
      </w:r>
    </w:p>
    <w:tbl>
      <w:tblPr>
        <w:tblW w:w="9644"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firstRow="1" w:lastRow="0" w:firstColumn="1" w:lastColumn="0" w:noHBand="0" w:noVBand="0"/>
      </w:tblPr>
      <w:tblGrid>
        <w:gridCol w:w="1976"/>
        <w:gridCol w:w="277"/>
        <w:gridCol w:w="7391"/>
      </w:tblGrid>
      <w:tr w:rsidR="009E674A" w14:paraId="38AD40F3" w14:textId="77777777" w:rsidTr="006F668F">
        <w:trPr>
          <w:trHeight w:val="145"/>
        </w:trPr>
        <w:tc>
          <w:tcPr>
            <w:tcW w:w="1976" w:type="dxa"/>
            <w:tcBorders>
              <w:top w:val="nil"/>
              <w:left w:val="nil"/>
              <w:bottom w:val="nil"/>
              <w:right w:val="nil"/>
            </w:tcBorders>
          </w:tcPr>
          <w:p w14:paraId="05BCB0EE" w14:textId="77777777" w:rsidR="009E674A" w:rsidRPr="00140C7B" w:rsidRDefault="009E674A" w:rsidP="006F668F">
            <w:pPr>
              <w:pStyle w:val="Marginlie"/>
            </w:pPr>
            <w:r w:rsidRPr="00140C7B">
              <w:t>Svižný růst celkové zaměstnanosti přetrvával již čtvrtým rokem v řadě.</w:t>
            </w:r>
            <w:r>
              <w:t xml:space="preserve"> Ve druhé polovině roku ale došlo ke zvonění, zejména vlivem vývoje ve zpracovatelském průmyslu.</w:t>
            </w:r>
          </w:p>
        </w:tc>
        <w:tc>
          <w:tcPr>
            <w:tcW w:w="277" w:type="dxa"/>
            <w:tcBorders>
              <w:top w:val="nil"/>
              <w:left w:val="nil"/>
              <w:bottom w:val="nil"/>
              <w:right w:val="nil"/>
            </w:tcBorders>
          </w:tcPr>
          <w:p w14:paraId="32DC4805" w14:textId="77777777" w:rsidR="009E674A" w:rsidRPr="002A5986" w:rsidRDefault="009E674A" w:rsidP="006F668F">
            <w:pPr>
              <w:pStyle w:val="Textpoznpodarou"/>
              <w:jc w:val="both"/>
              <w:rPr>
                <w:b/>
                <w:spacing w:val="-4"/>
              </w:rPr>
            </w:pPr>
          </w:p>
        </w:tc>
        <w:tc>
          <w:tcPr>
            <w:tcW w:w="7391" w:type="dxa"/>
            <w:tcBorders>
              <w:top w:val="nil"/>
              <w:left w:val="nil"/>
              <w:bottom w:val="nil"/>
              <w:right w:val="nil"/>
            </w:tcBorders>
          </w:tcPr>
          <w:p w14:paraId="47C3AC13" w14:textId="3E2C81AC" w:rsidR="009E674A" w:rsidRPr="00CA68C8" w:rsidRDefault="009E674A" w:rsidP="006F668F">
            <w:pPr>
              <w:spacing w:after="220"/>
            </w:pPr>
            <w:r w:rsidRPr="00CA68C8">
              <w:t>Situace na trhu práce v roce 2018 odpovídala vrcholné fázi hospodářského růstu.</w:t>
            </w:r>
            <w:r>
              <w:t xml:space="preserve"> Celková zaměstnanost</w:t>
            </w:r>
            <w:r>
              <w:rPr>
                <w:rStyle w:val="Znakapoznpodarou"/>
                <w:rFonts w:cs="Arial"/>
                <w:color w:val="0D0D0D" w:themeColor="text1" w:themeTint="F2"/>
                <w:spacing w:val="-4"/>
              </w:rPr>
              <w:footnoteReference w:id="9"/>
            </w:r>
            <w:r>
              <w:t xml:space="preserve"> (ve fyzických osobách) v ekonomice vzrostla během roku o 1,3</w:t>
            </w:r>
            <w:r w:rsidR="006454CC">
              <w:t> %</w:t>
            </w:r>
            <w:r>
              <w:t>. Tempo meziročního přírůstku zůstávalo již čtvrtým rokem téměř neměnné. V průběhu loňského roku byly patrné náznaky zpomalování růstu, což indikovaly i dřívější výsledky konjunkturálních šetření v oblasti zaměstnanosti. Ve</w:t>
            </w:r>
            <w:r w:rsidR="00AC0FD3">
              <w:t> </w:t>
            </w:r>
            <w:r>
              <w:t xml:space="preserve">3. </w:t>
            </w:r>
            <w:r w:rsidR="00BC7833">
              <w:t>i 4. </w:t>
            </w:r>
            <w:r>
              <w:t xml:space="preserve">čtvrtletí počet pracovníků ve zpracovatelském průmyslu, ale </w:t>
            </w:r>
            <w:r w:rsidR="00BC7833">
              <w:t>i </w:t>
            </w:r>
            <w:r>
              <w:t>váhově významném uskupení „obchod, doprava, ubytování, pohostinství“ mezikvartálně stagnoval. Nicméně ve většině ostatních odvětví služeb se zaměstnanost stále zvyšovala. Počet pracovníků (po zohlednění sezónních variací) v celé ekonomice tak na sklonku roku opět ustanovil nový rekord v éře samostatné ČR (5,4</w:t>
            </w:r>
            <w:r w:rsidR="00D82A1E">
              <w:t>4 </w:t>
            </w:r>
            <w:r>
              <w:t>mil.)</w:t>
            </w:r>
            <w:r>
              <w:rPr>
                <w:rStyle w:val="Znakapoznpodarou"/>
                <w:rFonts w:cs="Arial"/>
                <w:color w:val="0D0D0D" w:themeColor="text1" w:themeTint="F2"/>
                <w:spacing w:val="-4"/>
              </w:rPr>
              <w:footnoteReference w:id="10"/>
            </w:r>
            <w:r>
              <w:t>.</w:t>
            </w:r>
          </w:p>
        </w:tc>
      </w:tr>
      <w:tr w:rsidR="009E674A" w14:paraId="64F2588E" w14:textId="77777777" w:rsidTr="006F668F">
        <w:trPr>
          <w:trHeight w:val="145"/>
        </w:trPr>
        <w:tc>
          <w:tcPr>
            <w:tcW w:w="1976" w:type="dxa"/>
            <w:tcBorders>
              <w:top w:val="nil"/>
              <w:left w:val="nil"/>
              <w:bottom w:val="nil"/>
              <w:right w:val="nil"/>
            </w:tcBorders>
          </w:tcPr>
          <w:p w14:paraId="69A18144" w14:textId="77777777" w:rsidR="009E674A" w:rsidRDefault="009E674A" w:rsidP="006F668F">
            <w:pPr>
              <w:pStyle w:val="Marginlie"/>
            </w:pPr>
            <w:r>
              <w:t xml:space="preserve">Celková odpracovaná doba se dále zvyšovala dynamičtěji než zaměstnanost, hlavně ve službách </w:t>
            </w:r>
            <w:r w:rsidR="00BC7833">
              <w:t>a </w:t>
            </w:r>
            <w:r>
              <w:t>primárním sektoru.</w:t>
            </w:r>
          </w:p>
        </w:tc>
        <w:tc>
          <w:tcPr>
            <w:tcW w:w="277" w:type="dxa"/>
            <w:tcBorders>
              <w:top w:val="nil"/>
              <w:left w:val="nil"/>
              <w:bottom w:val="nil"/>
              <w:right w:val="nil"/>
            </w:tcBorders>
          </w:tcPr>
          <w:p w14:paraId="73E9097B" w14:textId="77777777" w:rsidR="009E674A" w:rsidRPr="005E4483" w:rsidRDefault="009E674A" w:rsidP="006F668F">
            <w:pPr>
              <w:pStyle w:val="Textpoznpodarou"/>
              <w:jc w:val="both"/>
              <w:rPr>
                <w:spacing w:val="-4"/>
              </w:rPr>
            </w:pPr>
          </w:p>
        </w:tc>
        <w:tc>
          <w:tcPr>
            <w:tcW w:w="7391" w:type="dxa"/>
            <w:tcBorders>
              <w:top w:val="nil"/>
              <w:left w:val="nil"/>
              <w:bottom w:val="nil"/>
              <w:right w:val="nil"/>
            </w:tcBorders>
          </w:tcPr>
          <w:p w14:paraId="4E1DB695" w14:textId="52570868" w:rsidR="009E674A" w:rsidRPr="00140C7B" w:rsidRDefault="009E674A" w:rsidP="006F668F">
            <w:pPr>
              <w:spacing w:after="220"/>
            </w:pPr>
            <w:r>
              <w:t xml:space="preserve">Počet odpracovaných hodin všemi zaměstnanými osobami v ekonomice se loni navýšil </w:t>
            </w:r>
            <w:r w:rsidR="00BC7833">
              <w:t>o </w:t>
            </w:r>
            <w:r>
              <w:t>1,5</w:t>
            </w:r>
            <w:r w:rsidR="006454CC">
              <w:t> %</w:t>
            </w:r>
            <w:r>
              <w:t xml:space="preserve"> (obdobným tempem </w:t>
            </w:r>
            <w:r w:rsidR="00BC7833">
              <w:t>u </w:t>
            </w:r>
            <w:r>
              <w:t xml:space="preserve">zaměstnanců </w:t>
            </w:r>
            <w:r w:rsidR="00BC7833">
              <w:t>i </w:t>
            </w:r>
            <w:r>
              <w:t>sebezaměstnaných</w:t>
            </w:r>
            <w:r>
              <w:rPr>
                <w:rStyle w:val="Znakapoznpodarou"/>
                <w:rFonts w:cs="Arial"/>
                <w:color w:val="0D0D0D" w:themeColor="text1" w:themeTint="F2"/>
                <w:spacing w:val="-4"/>
              </w:rPr>
              <w:footnoteReference w:id="11"/>
            </w:r>
            <w:r>
              <w:t xml:space="preserve">). Byť meziroční tempo již druhým rokem klesalo, růst celkové zaměstnanosti stále převyšovalo. To platilo hlavně ve službách </w:t>
            </w:r>
            <w:r w:rsidR="00BC7833">
              <w:t>a </w:t>
            </w:r>
            <w:r>
              <w:t xml:space="preserve">také </w:t>
            </w:r>
            <w:r w:rsidR="00AC0FD3">
              <w:t>v </w:t>
            </w:r>
            <w:r>
              <w:t xml:space="preserve">primárním sektoru ekonomiky. Růst odpracované doby souvisel se skutečností, že při nedostatečné nabídce nových pracovníků na tuzemském trhu </w:t>
            </w:r>
            <w:r w:rsidR="00AC0FD3">
              <w:t xml:space="preserve">podniky </w:t>
            </w:r>
            <w:r>
              <w:t xml:space="preserve">patrně </w:t>
            </w:r>
            <w:r w:rsidR="00AC0FD3">
              <w:t xml:space="preserve">více </w:t>
            </w:r>
            <w:r>
              <w:t xml:space="preserve">využívaly přesčasové práce. Mírně se zvýšil také podíl osob majících dvě </w:t>
            </w:r>
            <w:r w:rsidR="00BC7833">
              <w:t>a </w:t>
            </w:r>
            <w:r>
              <w:t xml:space="preserve">více zaměstnání. V opačném směru působil tlak na častější využívání zkrácených úvazků, zejména </w:t>
            </w:r>
            <w:r w:rsidR="00BC7833">
              <w:t>u </w:t>
            </w:r>
            <w:r>
              <w:t>žen.</w:t>
            </w:r>
          </w:p>
        </w:tc>
      </w:tr>
      <w:tr w:rsidR="009E674A" w14:paraId="1B427229" w14:textId="77777777" w:rsidTr="006F668F">
        <w:trPr>
          <w:trHeight w:val="145"/>
        </w:trPr>
        <w:tc>
          <w:tcPr>
            <w:tcW w:w="1976" w:type="dxa"/>
            <w:tcBorders>
              <w:top w:val="nil"/>
              <w:left w:val="nil"/>
              <w:bottom w:val="nil"/>
              <w:right w:val="nil"/>
            </w:tcBorders>
          </w:tcPr>
          <w:p w14:paraId="403C250A" w14:textId="640561AF" w:rsidR="009E674A" w:rsidRDefault="009E674A" w:rsidP="006F668F">
            <w:pPr>
              <w:pStyle w:val="Marginlie"/>
            </w:pPr>
            <w:r>
              <w:t xml:space="preserve">Růst celkové zaměstnanosti </w:t>
            </w:r>
            <w:r w:rsidR="001B11D8">
              <w:t xml:space="preserve">táhli </w:t>
            </w:r>
            <w:r>
              <w:t>nejen zaměstnanci</w:t>
            </w:r>
            <w:r w:rsidR="00947BA9">
              <w:t>,</w:t>
            </w:r>
            <w:r>
              <w:t xml:space="preserve"> ale </w:t>
            </w:r>
            <w:r w:rsidR="00BC7833">
              <w:t>i </w:t>
            </w:r>
            <w:r>
              <w:t>sebezaměstnaní, jichž ale přibylo jen velmi mírně.</w:t>
            </w:r>
          </w:p>
        </w:tc>
        <w:tc>
          <w:tcPr>
            <w:tcW w:w="277" w:type="dxa"/>
            <w:tcBorders>
              <w:top w:val="nil"/>
              <w:left w:val="nil"/>
              <w:bottom w:val="nil"/>
              <w:right w:val="nil"/>
            </w:tcBorders>
          </w:tcPr>
          <w:p w14:paraId="5E65C839" w14:textId="77777777" w:rsidR="009E674A" w:rsidRPr="005E4483" w:rsidRDefault="009E674A" w:rsidP="006F668F">
            <w:pPr>
              <w:pStyle w:val="Textpoznpodarou"/>
              <w:jc w:val="both"/>
              <w:rPr>
                <w:spacing w:val="-4"/>
              </w:rPr>
            </w:pPr>
          </w:p>
        </w:tc>
        <w:tc>
          <w:tcPr>
            <w:tcW w:w="7391" w:type="dxa"/>
            <w:tcBorders>
              <w:top w:val="nil"/>
              <w:left w:val="nil"/>
              <w:bottom w:val="nil"/>
              <w:right w:val="nil"/>
            </w:tcBorders>
          </w:tcPr>
          <w:p w14:paraId="01BF1983" w14:textId="1A376B56" w:rsidR="009E674A" w:rsidRPr="00140C7B" w:rsidRDefault="009E674A" w:rsidP="00744D09">
            <w:pPr>
              <w:spacing w:after="200"/>
            </w:pPr>
            <w:r>
              <w:t xml:space="preserve">Podobně jako v roce 2017 </w:t>
            </w:r>
            <w:r w:rsidR="00BC7833">
              <w:t>i </w:t>
            </w:r>
            <w:r>
              <w:t xml:space="preserve">loni celkovou zaměstnanost poháněly vyšší počty jak zaměstnanců, tak sebezaměstnaných. Vliv zaměstnanců ale zůstal výrazně dominantní, neboť drobných podnikatelů loni meziročně přibylo jen </w:t>
            </w:r>
            <w:r w:rsidR="006B5F4A">
              <w:t>o </w:t>
            </w:r>
            <w:r>
              <w:t>0,3</w:t>
            </w:r>
            <w:r w:rsidR="006454CC">
              <w:t> %</w:t>
            </w:r>
            <w:r>
              <w:t xml:space="preserve"> (po přepočtu na plné úvazky). Ti významněji posílili jen v odvětví obchodu (+6,6</w:t>
            </w:r>
            <w:r w:rsidR="006454CC">
              <w:t> %</w:t>
            </w:r>
            <w:r>
              <w:t xml:space="preserve">) a v profesních, vědeckých </w:t>
            </w:r>
            <w:r w:rsidR="00BC7833">
              <w:t>a </w:t>
            </w:r>
            <w:r>
              <w:t>technických činnostech (+5,7</w:t>
            </w:r>
            <w:r w:rsidR="006454CC">
              <w:t> %</w:t>
            </w:r>
            <w:r>
              <w:t>). K vyššímu počtu všech zaměstnanců (+1,5</w:t>
            </w:r>
            <w:r w:rsidR="006454CC">
              <w:t> %</w:t>
            </w:r>
            <w:r>
              <w:t>) přispěla bezmála ze tří pětin sílící odvětví tržních služeb</w:t>
            </w:r>
            <w:r>
              <w:rPr>
                <w:rStyle w:val="Znakapoznpodarou"/>
                <w:rFonts w:cs="Arial"/>
                <w:color w:val="0D0D0D" w:themeColor="text1" w:themeTint="F2"/>
                <w:spacing w:val="-4"/>
              </w:rPr>
              <w:footnoteReference w:id="12"/>
            </w:r>
            <w:r>
              <w:t xml:space="preserve"> (+2,2</w:t>
            </w:r>
            <w:r w:rsidR="006454CC">
              <w:t> %</w:t>
            </w:r>
            <w:r>
              <w:t xml:space="preserve">). Naopak v průmyslu, jenž poskytuje uplatnění téměř třetině všech </w:t>
            </w:r>
            <w:r>
              <w:lastRenderedPageBreak/>
              <w:t>zaměstnanců, rostl jejich počet nejpomaleji za posledních pět let (+1,0</w:t>
            </w:r>
            <w:r w:rsidR="006454CC">
              <w:t> %</w:t>
            </w:r>
            <w:r>
              <w:t>) a k posílení počtu všech zaměstnanců přispěl jen 0,3</w:t>
            </w:r>
            <w:r w:rsidR="006454CC">
              <w:t> p. b.</w:t>
            </w:r>
          </w:p>
        </w:tc>
      </w:tr>
      <w:tr w:rsidR="009E674A" w14:paraId="072595DE" w14:textId="77777777" w:rsidTr="006F668F">
        <w:trPr>
          <w:trHeight w:val="145"/>
        </w:trPr>
        <w:tc>
          <w:tcPr>
            <w:tcW w:w="1976" w:type="dxa"/>
            <w:tcBorders>
              <w:top w:val="nil"/>
              <w:left w:val="nil"/>
              <w:bottom w:val="nil"/>
              <w:right w:val="nil"/>
            </w:tcBorders>
          </w:tcPr>
          <w:p w14:paraId="5F2251E2" w14:textId="77777777" w:rsidR="009E674A" w:rsidRDefault="009E674A" w:rsidP="006F668F">
            <w:pPr>
              <w:pStyle w:val="Marginlie"/>
            </w:pPr>
          </w:p>
        </w:tc>
        <w:tc>
          <w:tcPr>
            <w:tcW w:w="277" w:type="dxa"/>
            <w:tcBorders>
              <w:top w:val="nil"/>
              <w:left w:val="nil"/>
              <w:bottom w:val="nil"/>
              <w:right w:val="nil"/>
            </w:tcBorders>
          </w:tcPr>
          <w:p w14:paraId="42AC246B" w14:textId="77777777" w:rsidR="009E674A" w:rsidRPr="005E4483" w:rsidRDefault="009E674A" w:rsidP="006F668F">
            <w:pPr>
              <w:pStyle w:val="Textpoznpodarou"/>
              <w:jc w:val="both"/>
              <w:rPr>
                <w:spacing w:val="-4"/>
              </w:rPr>
            </w:pPr>
          </w:p>
        </w:tc>
        <w:tc>
          <w:tcPr>
            <w:tcW w:w="7391" w:type="dxa"/>
            <w:tcBorders>
              <w:top w:val="nil"/>
              <w:left w:val="nil"/>
              <w:bottom w:val="nil"/>
              <w:right w:val="nil"/>
            </w:tcBorders>
          </w:tcPr>
          <w:p w14:paraId="60FDE420" w14:textId="48488C3B" w:rsidR="009E674A" w:rsidRDefault="009E674A" w:rsidP="006F668F">
            <w:pPr>
              <w:spacing w:after="0"/>
              <w:jc w:val="left"/>
              <w:rPr>
                <w:rFonts w:cs="Arial"/>
                <w:color w:val="0D0D0D" w:themeColor="text1" w:themeTint="F2"/>
                <w:spacing w:val="-4"/>
              </w:rPr>
            </w:pPr>
            <w:r>
              <w:rPr>
                <w:b/>
              </w:rPr>
              <w:t xml:space="preserve">Graf </w:t>
            </w:r>
            <w:r w:rsidR="00BA35F3">
              <w:rPr>
                <w:b/>
              </w:rPr>
              <w:t>č. </w:t>
            </w:r>
            <w:r>
              <w:rPr>
                <w:b/>
              </w:rPr>
              <w:t>4</w:t>
            </w:r>
            <w:r w:rsidR="009A4F91">
              <w:rPr>
                <w:b/>
              </w:rPr>
              <w:t xml:space="preserve"> </w:t>
            </w:r>
            <w:r>
              <w:rPr>
                <w:b/>
              </w:rPr>
              <w:t xml:space="preserve"> Celková zaměstnanost, zaměstnanci </w:t>
            </w:r>
            <w:r w:rsidR="00BC7833">
              <w:rPr>
                <w:b/>
              </w:rPr>
              <w:t>a </w:t>
            </w:r>
            <w:r>
              <w:rPr>
                <w:b/>
              </w:rPr>
              <w:t xml:space="preserve">sebezaměstnaní vyjádření počtem osob </w:t>
            </w:r>
            <w:r w:rsidR="00BC7833">
              <w:rPr>
                <w:b/>
              </w:rPr>
              <w:t>a </w:t>
            </w:r>
            <w:r>
              <w:rPr>
                <w:b/>
              </w:rPr>
              <w:t xml:space="preserve">jimi </w:t>
            </w:r>
            <w:r w:rsidR="00CE760D">
              <w:rPr>
                <w:b/>
              </w:rPr>
              <w:t xml:space="preserve">odpracovaných </w:t>
            </w:r>
            <w:r>
              <w:rPr>
                <w:b/>
              </w:rPr>
              <w:t>hodin</w:t>
            </w:r>
            <w:r w:rsidRPr="006C1F6D">
              <w:t xml:space="preserve"> (</w:t>
            </w:r>
            <w:r>
              <w:t>meziročně v</w:t>
            </w:r>
            <w:r w:rsidR="006454CC">
              <w:t> %</w:t>
            </w:r>
            <w:r w:rsidRPr="006C1F6D">
              <w:t>)</w:t>
            </w:r>
          </w:p>
        </w:tc>
      </w:tr>
      <w:tr w:rsidR="009E674A" w14:paraId="6C4A32B2" w14:textId="77777777" w:rsidTr="006F668F">
        <w:tblPrEx>
          <w:tblCellMar>
            <w:left w:w="70" w:type="dxa"/>
            <w:right w:w="70" w:type="dxa"/>
          </w:tblCellMar>
        </w:tblPrEx>
        <w:trPr>
          <w:trHeight w:val="145"/>
        </w:trPr>
        <w:tc>
          <w:tcPr>
            <w:tcW w:w="1976" w:type="dxa"/>
            <w:tcBorders>
              <w:top w:val="nil"/>
              <w:left w:val="nil"/>
              <w:bottom w:val="nil"/>
              <w:right w:val="nil"/>
            </w:tcBorders>
          </w:tcPr>
          <w:p w14:paraId="47F30AE3" w14:textId="77777777" w:rsidR="009E674A" w:rsidRDefault="009E674A" w:rsidP="006F668F">
            <w:pPr>
              <w:pStyle w:val="Marginlie"/>
            </w:pPr>
          </w:p>
        </w:tc>
        <w:tc>
          <w:tcPr>
            <w:tcW w:w="277" w:type="dxa"/>
            <w:tcBorders>
              <w:top w:val="nil"/>
              <w:left w:val="nil"/>
              <w:bottom w:val="nil"/>
              <w:right w:val="nil"/>
            </w:tcBorders>
          </w:tcPr>
          <w:p w14:paraId="51F58ADE" w14:textId="77777777" w:rsidR="009E674A" w:rsidRPr="005E4483" w:rsidRDefault="009E674A" w:rsidP="006F668F">
            <w:pPr>
              <w:pStyle w:val="Textpoznpodarou"/>
              <w:jc w:val="both"/>
              <w:rPr>
                <w:spacing w:val="-4"/>
              </w:rPr>
            </w:pPr>
          </w:p>
        </w:tc>
        <w:tc>
          <w:tcPr>
            <w:tcW w:w="7391" w:type="dxa"/>
            <w:tcBorders>
              <w:top w:val="nil"/>
              <w:left w:val="nil"/>
              <w:bottom w:val="nil"/>
              <w:right w:val="nil"/>
            </w:tcBorders>
          </w:tcPr>
          <w:p w14:paraId="53DD4FC6" w14:textId="77777777" w:rsidR="009E674A" w:rsidRDefault="009E674A" w:rsidP="006F668F">
            <w:pPr>
              <w:spacing w:after="0" w:line="240" w:lineRule="auto"/>
              <w:rPr>
                <w:rFonts w:cs="Arial"/>
                <w:color w:val="0D0D0D" w:themeColor="text1" w:themeTint="F2"/>
                <w:spacing w:val="-4"/>
              </w:rPr>
            </w:pPr>
            <w:r>
              <w:rPr>
                <w:noProof/>
              </w:rPr>
              <w:drawing>
                <wp:inline distT="0" distB="0" distL="0" distR="0" wp14:anchorId="722873B9" wp14:editId="14EC6C1B">
                  <wp:extent cx="4538813" cy="3470805"/>
                  <wp:effectExtent l="0" t="0" r="0" b="0"/>
                  <wp:docPr id="18" name="Graf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tc>
      </w:tr>
      <w:tr w:rsidR="009E674A" w14:paraId="2E490F7B" w14:textId="77777777" w:rsidTr="006F668F">
        <w:trPr>
          <w:trHeight w:val="145"/>
        </w:trPr>
        <w:tc>
          <w:tcPr>
            <w:tcW w:w="1976" w:type="dxa"/>
            <w:tcBorders>
              <w:top w:val="nil"/>
              <w:left w:val="nil"/>
              <w:bottom w:val="nil"/>
              <w:right w:val="nil"/>
            </w:tcBorders>
          </w:tcPr>
          <w:p w14:paraId="7587D9B6" w14:textId="77777777" w:rsidR="009E674A" w:rsidRDefault="009E674A" w:rsidP="006F668F">
            <w:pPr>
              <w:pStyle w:val="Marginlie"/>
            </w:pPr>
          </w:p>
        </w:tc>
        <w:tc>
          <w:tcPr>
            <w:tcW w:w="277" w:type="dxa"/>
            <w:tcBorders>
              <w:top w:val="nil"/>
              <w:left w:val="nil"/>
              <w:bottom w:val="nil"/>
              <w:right w:val="nil"/>
            </w:tcBorders>
          </w:tcPr>
          <w:p w14:paraId="77B80F7A" w14:textId="77777777" w:rsidR="009E674A" w:rsidRPr="005E4483" w:rsidRDefault="009E674A" w:rsidP="006F668F">
            <w:pPr>
              <w:pStyle w:val="Textpoznpodarou"/>
              <w:jc w:val="both"/>
              <w:rPr>
                <w:spacing w:val="-4"/>
              </w:rPr>
            </w:pPr>
          </w:p>
        </w:tc>
        <w:tc>
          <w:tcPr>
            <w:tcW w:w="7391" w:type="dxa"/>
            <w:tcBorders>
              <w:top w:val="nil"/>
              <w:left w:val="nil"/>
              <w:bottom w:val="nil"/>
              <w:right w:val="nil"/>
            </w:tcBorders>
          </w:tcPr>
          <w:p w14:paraId="6B36BEF8" w14:textId="77777777" w:rsidR="009E674A" w:rsidRDefault="009E674A" w:rsidP="006F668F">
            <w:pPr>
              <w:rPr>
                <w:rFonts w:cs="Arial"/>
                <w:color w:val="0D0D0D" w:themeColor="text1" w:themeTint="F2"/>
                <w:spacing w:val="-4"/>
              </w:rPr>
            </w:pPr>
            <w:r w:rsidRPr="00444E6D">
              <w:rPr>
                <w:rFonts w:cs="Arial"/>
                <w:sz w:val="14"/>
                <w:szCs w:val="14"/>
              </w:rPr>
              <w:t xml:space="preserve">Zdroj: </w:t>
            </w:r>
            <w:r>
              <w:rPr>
                <w:rFonts w:cs="Arial"/>
                <w:sz w:val="14"/>
                <w:szCs w:val="14"/>
              </w:rPr>
              <w:t>ČSÚ (národní účty)</w:t>
            </w:r>
          </w:p>
        </w:tc>
      </w:tr>
      <w:tr w:rsidR="009E674A" w14:paraId="581F2554" w14:textId="77777777" w:rsidTr="006F668F">
        <w:trPr>
          <w:trHeight w:val="145"/>
        </w:trPr>
        <w:tc>
          <w:tcPr>
            <w:tcW w:w="1976" w:type="dxa"/>
            <w:tcBorders>
              <w:top w:val="nil"/>
              <w:left w:val="nil"/>
              <w:bottom w:val="nil"/>
              <w:right w:val="nil"/>
            </w:tcBorders>
          </w:tcPr>
          <w:p w14:paraId="43E39E00" w14:textId="77777777" w:rsidR="009E674A" w:rsidRPr="000B3163" w:rsidRDefault="009E674A" w:rsidP="006F668F">
            <w:pPr>
              <w:pStyle w:val="Marginlie"/>
              <w:rPr>
                <w:spacing w:val="0"/>
              </w:rPr>
            </w:pPr>
            <w:r>
              <w:rPr>
                <w:spacing w:val="0"/>
              </w:rPr>
              <w:t>Růst počtu zaměstnanců v průmyslu již třetím rokem slábl,…</w:t>
            </w:r>
          </w:p>
        </w:tc>
        <w:tc>
          <w:tcPr>
            <w:tcW w:w="277" w:type="dxa"/>
            <w:tcBorders>
              <w:top w:val="nil"/>
              <w:left w:val="nil"/>
              <w:bottom w:val="nil"/>
              <w:right w:val="nil"/>
            </w:tcBorders>
          </w:tcPr>
          <w:p w14:paraId="0E31484F" w14:textId="77777777" w:rsidR="009E674A" w:rsidRPr="005E4483" w:rsidRDefault="009E674A" w:rsidP="006F668F">
            <w:pPr>
              <w:pStyle w:val="Textpoznpodarou"/>
              <w:jc w:val="both"/>
              <w:rPr>
                <w:spacing w:val="-4"/>
              </w:rPr>
            </w:pPr>
          </w:p>
        </w:tc>
        <w:tc>
          <w:tcPr>
            <w:tcW w:w="7391" w:type="dxa"/>
            <w:tcBorders>
              <w:top w:val="nil"/>
              <w:left w:val="nil"/>
              <w:bottom w:val="nil"/>
              <w:right w:val="nil"/>
            </w:tcBorders>
          </w:tcPr>
          <w:p w14:paraId="13AFBE2B" w14:textId="3041D972" w:rsidR="009E674A" w:rsidRDefault="009E674A" w:rsidP="006F668F">
            <w:pPr>
              <w:spacing w:after="220"/>
              <w:rPr>
                <w:rFonts w:cs="Arial"/>
                <w:color w:val="0D0D0D" w:themeColor="text1" w:themeTint="F2"/>
                <w:spacing w:val="-4"/>
              </w:rPr>
            </w:pPr>
            <w:r>
              <w:rPr>
                <w:rFonts w:cs="Arial"/>
                <w:color w:val="0D0D0D" w:themeColor="text1" w:themeTint="F2"/>
                <w:spacing w:val="-4"/>
              </w:rPr>
              <w:t>Ve všech odvětvích průmyslu působilo loni 1 53</w:t>
            </w:r>
            <w:r w:rsidR="00D82A1E">
              <w:rPr>
                <w:rFonts w:cs="Arial"/>
                <w:color w:val="0D0D0D" w:themeColor="text1" w:themeTint="F2"/>
                <w:spacing w:val="-4"/>
              </w:rPr>
              <w:t>1 </w:t>
            </w:r>
            <w:r>
              <w:rPr>
                <w:rFonts w:cs="Arial"/>
                <w:color w:val="0D0D0D" w:themeColor="text1" w:themeTint="F2"/>
                <w:spacing w:val="-4"/>
              </w:rPr>
              <w:t>tis. pracovníků</w:t>
            </w:r>
            <w:r>
              <w:rPr>
                <w:rStyle w:val="Znakapoznpodarou"/>
                <w:rFonts w:cs="Arial"/>
                <w:color w:val="0D0D0D" w:themeColor="text1" w:themeTint="F2"/>
                <w:spacing w:val="-4"/>
              </w:rPr>
              <w:footnoteReference w:id="13"/>
            </w:r>
            <w:r>
              <w:rPr>
                <w:rFonts w:cs="Arial"/>
                <w:color w:val="0D0D0D" w:themeColor="text1" w:themeTint="F2"/>
                <w:spacing w:val="-4"/>
              </w:rPr>
              <w:t xml:space="preserve">, meziročně se jejich počet navýšil </w:t>
            </w:r>
            <w:r w:rsidR="00BC7833">
              <w:rPr>
                <w:rFonts w:cs="Arial"/>
                <w:color w:val="0D0D0D" w:themeColor="text1" w:themeTint="F2"/>
                <w:spacing w:val="-4"/>
              </w:rPr>
              <w:t>o </w:t>
            </w:r>
            <w:r>
              <w:rPr>
                <w:rFonts w:cs="Arial"/>
                <w:color w:val="0D0D0D" w:themeColor="text1" w:themeTint="F2"/>
                <w:spacing w:val="-4"/>
              </w:rPr>
              <w:t>rovné 1</w:t>
            </w:r>
            <w:r w:rsidR="006454CC">
              <w:rPr>
                <w:rFonts w:cs="Arial"/>
                <w:color w:val="0D0D0D" w:themeColor="text1" w:themeTint="F2"/>
                <w:spacing w:val="-4"/>
              </w:rPr>
              <w:t> %</w:t>
            </w:r>
            <w:r>
              <w:rPr>
                <w:rFonts w:cs="Arial"/>
                <w:color w:val="0D0D0D" w:themeColor="text1" w:themeTint="F2"/>
                <w:spacing w:val="-4"/>
              </w:rPr>
              <w:t xml:space="preserve">. Růst podpořili nejen zaměstnanci (kde ovšem tempo již potřetí v řadě sláblo), ale </w:t>
            </w:r>
            <w:r w:rsidR="00BC7833">
              <w:rPr>
                <w:rFonts w:cs="Arial"/>
                <w:color w:val="0D0D0D" w:themeColor="text1" w:themeTint="F2"/>
                <w:spacing w:val="-4"/>
              </w:rPr>
              <w:t>i </w:t>
            </w:r>
            <w:r>
              <w:rPr>
                <w:rFonts w:cs="Arial"/>
                <w:color w:val="0D0D0D" w:themeColor="text1" w:themeTint="F2"/>
                <w:spacing w:val="-4"/>
              </w:rPr>
              <w:t xml:space="preserve">drobní podnikatelé, </w:t>
            </w:r>
            <w:r w:rsidR="00BC7833">
              <w:rPr>
                <w:rFonts w:cs="Arial"/>
                <w:color w:val="0D0D0D" w:themeColor="text1" w:themeTint="F2"/>
                <w:spacing w:val="-4"/>
              </w:rPr>
              <w:t>u </w:t>
            </w:r>
            <w:r>
              <w:rPr>
                <w:rFonts w:cs="Arial"/>
                <w:color w:val="0D0D0D" w:themeColor="text1" w:themeTint="F2"/>
                <w:spacing w:val="-4"/>
              </w:rPr>
              <w:t>nichž byl jejich mírný pokles z období 2016 až 2017 zastaven. Dynamiku celkové zaměstnanosti v průmyslu vzhledem ke své váze i cyklickému charakteru výrazně ovlivňuje situace v automobilovém průmyslu</w:t>
            </w:r>
            <w:r>
              <w:rPr>
                <w:rStyle w:val="Znakapoznpodarou"/>
                <w:rFonts w:cs="Arial"/>
                <w:color w:val="0D0D0D" w:themeColor="text1" w:themeTint="F2"/>
                <w:spacing w:val="-4"/>
              </w:rPr>
              <w:footnoteReference w:id="14"/>
            </w:r>
            <w:r>
              <w:rPr>
                <w:rFonts w:cs="Arial"/>
                <w:color w:val="0D0D0D" w:themeColor="text1" w:themeTint="F2"/>
                <w:spacing w:val="-4"/>
              </w:rPr>
              <w:t xml:space="preserve"> </w:t>
            </w:r>
            <w:r w:rsidR="00BC7833">
              <w:rPr>
                <w:rFonts w:cs="Arial"/>
                <w:color w:val="0D0D0D" w:themeColor="text1" w:themeTint="F2"/>
                <w:spacing w:val="-4"/>
              </w:rPr>
              <w:t>a </w:t>
            </w:r>
            <w:r>
              <w:rPr>
                <w:rFonts w:cs="Arial"/>
                <w:color w:val="0D0D0D" w:themeColor="text1" w:themeTint="F2"/>
                <w:spacing w:val="-4"/>
              </w:rPr>
              <w:t xml:space="preserve">jeho nejbližších návazných </w:t>
            </w:r>
            <w:r w:rsidR="006B5F4A">
              <w:rPr>
                <w:rFonts w:cs="Arial"/>
                <w:color w:val="0D0D0D" w:themeColor="text1" w:themeTint="F2"/>
                <w:spacing w:val="-4"/>
              </w:rPr>
              <w:t>oborech</w:t>
            </w:r>
            <w:r>
              <w:rPr>
                <w:rFonts w:cs="Arial"/>
                <w:color w:val="0D0D0D" w:themeColor="text1" w:themeTint="F2"/>
                <w:spacing w:val="-4"/>
              </w:rPr>
              <w:t>.</w:t>
            </w:r>
          </w:p>
        </w:tc>
      </w:tr>
      <w:tr w:rsidR="009E674A" w14:paraId="1E85FDA3" w14:textId="77777777" w:rsidTr="006F668F">
        <w:trPr>
          <w:trHeight w:val="145"/>
        </w:trPr>
        <w:tc>
          <w:tcPr>
            <w:tcW w:w="1976" w:type="dxa"/>
            <w:tcBorders>
              <w:top w:val="nil"/>
              <w:left w:val="nil"/>
              <w:bottom w:val="nil"/>
              <w:right w:val="nil"/>
            </w:tcBorders>
          </w:tcPr>
          <w:p w14:paraId="3DE7D9B6" w14:textId="15D21327" w:rsidR="009E674A" w:rsidRDefault="009E674A" w:rsidP="006F668F">
            <w:pPr>
              <w:pStyle w:val="Marginlie"/>
              <w:rPr>
                <w:spacing w:val="0"/>
              </w:rPr>
            </w:pPr>
            <w:r>
              <w:rPr>
                <w:spacing w:val="0"/>
              </w:rPr>
              <w:t>…</w:t>
            </w:r>
            <w:r w:rsidR="006B5F4A">
              <w:rPr>
                <w:spacing w:val="0"/>
              </w:rPr>
              <w:t> </w:t>
            </w:r>
            <w:r>
              <w:rPr>
                <w:spacing w:val="0"/>
              </w:rPr>
              <w:t xml:space="preserve">především vlivem vývoje v automobilovém průmyslu </w:t>
            </w:r>
            <w:r w:rsidR="00BC7833">
              <w:rPr>
                <w:spacing w:val="0"/>
              </w:rPr>
              <w:t>a </w:t>
            </w:r>
            <w:r>
              <w:rPr>
                <w:spacing w:val="0"/>
              </w:rPr>
              <w:t>návazných oborech.</w:t>
            </w:r>
          </w:p>
          <w:p w14:paraId="0297FEED" w14:textId="77777777" w:rsidR="009E674A" w:rsidRDefault="009E674A" w:rsidP="006F668F">
            <w:pPr>
              <w:pStyle w:val="Marginlie"/>
              <w:rPr>
                <w:spacing w:val="0"/>
              </w:rPr>
            </w:pPr>
          </w:p>
          <w:p w14:paraId="1C1B7B7A" w14:textId="77777777" w:rsidR="009E674A" w:rsidRDefault="009E674A" w:rsidP="006F668F">
            <w:pPr>
              <w:pStyle w:val="Marginlie"/>
              <w:rPr>
                <w:spacing w:val="0"/>
              </w:rPr>
            </w:pPr>
          </w:p>
          <w:p w14:paraId="655CC5B2" w14:textId="77777777" w:rsidR="009E674A" w:rsidRDefault="009E674A" w:rsidP="006F668F">
            <w:pPr>
              <w:pStyle w:val="Marginlie"/>
              <w:rPr>
                <w:spacing w:val="0"/>
              </w:rPr>
            </w:pPr>
          </w:p>
          <w:p w14:paraId="33192E5B" w14:textId="77777777" w:rsidR="009E674A" w:rsidRDefault="009E674A" w:rsidP="006F668F">
            <w:pPr>
              <w:pStyle w:val="Marginlie"/>
              <w:rPr>
                <w:spacing w:val="0"/>
              </w:rPr>
            </w:pPr>
          </w:p>
          <w:p w14:paraId="68143A17" w14:textId="77777777" w:rsidR="009E674A" w:rsidRPr="000B3163" w:rsidRDefault="009E674A" w:rsidP="006F668F">
            <w:pPr>
              <w:pStyle w:val="Marginlie"/>
              <w:rPr>
                <w:spacing w:val="0"/>
              </w:rPr>
            </w:pPr>
            <w:r>
              <w:rPr>
                <w:spacing w:val="0"/>
              </w:rPr>
              <w:t>Zaměstnanost v celém průmyslu táhla loni nejvíce kovovýroba.</w:t>
            </w:r>
          </w:p>
        </w:tc>
        <w:tc>
          <w:tcPr>
            <w:tcW w:w="277" w:type="dxa"/>
            <w:tcBorders>
              <w:top w:val="nil"/>
              <w:left w:val="nil"/>
              <w:bottom w:val="nil"/>
              <w:right w:val="nil"/>
            </w:tcBorders>
          </w:tcPr>
          <w:p w14:paraId="6B0566CF" w14:textId="77777777" w:rsidR="009E674A" w:rsidRPr="005E4483" w:rsidRDefault="009E674A" w:rsidP="006F668F">
            <w:pPr>
              <w:pStyle w:val="Textpoznpodarou"/>
              <w:jc w:val="both"/>
              <w:rPr>
                <w:spacing w:val="-4"/>
              </w:rPr>
            </w:pPr>
          </w:p>
        </w:tc>
        <w:tc>
          <w:tcPr>
            <w:tcW w:w="7391" w:type="dxa"/>
            <w:tcBorders>
              <w:top w:val="nil"/>
              <w:left w:val="nil"/>
              <w:bottom w:val="nil"/>
              <w:right w:val="nil"/>
            </w:tcBorders>
          </w:tcPr>
          <w:p w14:paraId="494606F7" w14:textId="60B43BC8" w:rsidR="009E674A" w:rsidRDefault="009E674A" w:rsidP="006F668F">
            <w:pPr>
              <w:spacing w:after="220"/>
              <w:rPr>
                <w:rFonts w:cs="Arial"/>
                <w:color w:val="0D0D0D" w:themeColor="text1" w:themeTint="F2"/>
                <w:spacing w:val="-4"/>
              </w:rPr>
            </w:pPr>
            <w:r>
              <w:rPr>
                <w:rFonts w:cs="Arial"/>
                <w:color w:val="0D0D0D" w:themeColor="text1" w:themeTint="F2"/>
                <w:spacing w:val="-4"/>
              </w:rPr>
              <w:t xml:space="preserve">Zhoršení ekonomického vývoje v klíčových exportních teritoriích, riziko nárůstu regulací v mezinárodním obchodu či nutnost implementace přísnějších emisních norem vozidel si loni vybraly daň na výkonových ukazatelích odvětví </w:t>
            </w:r>
            <w:r w:rsidR="00BC7833">
              <w:rPr>
                <w:rFonts w:cs="Arial"/>
                <w:color w:val="0D0D0D" w:themeColor="text1" w:themeTint="F2"/>
                <w:spacing w:val="-4"/>
              </w:rPr>
              <w:t>a </w:t>
            </w:r>
            <w:r>
              <w:rPr>
                <w:rFonts w:cs="Arial"/>
                <w:color w:val="0D0D0D" w:themeColor="text1" w:themeTint="F2"/>
                <w:spacing w:val="-4"/>
              </w:rPr>
              <w:t xml:space="preserve">postupně ovlivnily rovněž vyhlídky </w:t>
            </w:r>
            <w:r w:rsidR="00947BA9">
              <w:rPr>
                <w:rFonts w:cs="Arial"/>
                <w:color w:val="0D0D0D" w:themeColor="text1" w:themeTint="F2"/>
                <w:spacing w:val="-4"/>
              </w:rPr>
              <w:t>i skutečnou výši</w:t>
            </w:r>
            <w:r>
              <w:rPr>
                <w:rFonts w:cs="Arial"/>
                <w:color w:val="0D0D0D" w:themeColor="text1" w:themeTint="F2"/>
                <w:spacing w:val="-4"/>
              </w:rPr>
              <w:t xml:space="preserve"> zaměstnanosti. Počet pracovníků ve výrobě motorových vozidel tak loni fakticky pouze stagnoval (předloni přitom rostl </w:t>
            </w:r>
            <w:r w:rsidR="00BC7833">
              <w:rPr>
                <w:rFonts w:cs="Arial"/>
                <w:color w:val="0D0D0D" w:themeColor="text1" w:themeTint="F2"/>
                <w:spacing w:val="-4"/>
              </w:rPr>
              <w:t>o </w:t>
            </w:r>
            <w:r>
              <w:rPr>
                <w:rFonts w:cs="Arial"/>
                <w:color w:val="0D0D0D" w:themeColor="text1" w:themeTint="F2"/>
                <w:spacing w:val="-4"/>
              </w:rPr>
              <w:t>2,8</w:t>
            </w:r>
            <w:r w:rsidR="006454CC">
              <w:rPr>
                <w:rFonts w:cs="Arial"/>
                <w:color w:val="0D0D0D" w:themeColor="text1" w:themeTint="F2"/>
                <w:spacing w:val="-4"/>
              </w:rPr>
              <w:t> %</w:t>
            </w:r>
            <w:r>
              <w:rPr>
                <w:rFonts w:cs="Arial"/>
                <w:color w:val="0D0D0D" w:themeColor="text1" w:themeTint="F2"/>
                <w:spacing w:val="-4"/>
              </w:rPr>
              <w:t xml:space="preserve">, v roce 2015 dokonce </w:t>
            </w:r>
            <w:r w:rsidR="00BC7833">
              <w:rPr>
                <w:rFonts w:cs="Arial"/>
                <w:color w:val="0D0D0D" w:themeColor="text1" w:themeTint="F2"/>
                <w:spacing w:val="-4"/>
              </w:rPr>
              <w:t>o </w:t>
            </w:r>
            <w:r>
              <w:rPr>
                <w:rFonts w:cs="Arial"/>
                <w:color w:val="0D0D0D" w:themeColor="text1" w:themeTint="F2"/>
                <w:spacing w:val="-4"/>
              </w:rPr>
              <w:t>10,8</w:t>
            </w:r>
            <w:r w:rsidR="006454CC">
              <w:rPr>
                <w:rFonts w:cs="Arial"/>
                <w:color w:val="0D0D0D" w:themeColor="text1" w:themeTint="F2"/>
                <w:spacing w:val="-4"/>
              </w:rPr>
              <w:t> %</w:t>
            </w:r>
            <w:r>
              <w:rPr>
                <w:rFonts w:cs="Arial"/>
                <w:color w:val="0D0D0D" w:themeColor="text1" w:themeTint="F2"/>
                <w:spacing w:val="-4"/>
              </w:rPr>
              <w:t xml:space="preserve">). Dřívější svižný růst byl </w:t>
            </w:r>
            <w:r w:rsidR="00826E60">
              <w:rPr>
                <w:rFonts w:cs="Arial"/>
                <w:color w:val="0D0D0D" w:themeColor="text1" w:themeTint="F2"/>
                <w:spacing w:val="-4"/>
              </w:rPr>
              <w:t>rovněž</w:t>
            </w:r>
            <w:r>
              <w:rPr>
                <w:rFonts w:cs="Arial"/>
                <w:color w:val="0D0D0D" w:themeColor="text1" w:themeTint="F2"/>
                <w:spacing w:val="-4"/>
              </w:rPr>
              <w:t xml:space="preserve"> utlumen zejména v gumárenství </w:t>
            </w:r>
            <w:r w:rsidR="00BC7833">
              <w:rPr>
                <w:rFonts w:cs="Arial"/>
                <w:color w:val="0D0D0D" w:themeColor="text1" w:themeTint="F2"/>
                <w:spacing w:val="-4"/>
              </w:rPr>
              <w:t>a </w:t>
            </w:r>
            <w:r>
              <w:rPr>
                <w:rFonts w:cs="Arial"/>
                <w:color w:val="0D0D0D" w:themeColor="text1" w:themeTint="F2"/>
                <w:spacing w:val="-4"/>
              </w:rPr>
              <w:t>také v elektrotechnickém průmyslu. Ke zrychlení došlo naopak v kovovýrobě (+2,8</w:t>
            </w:r>
            <w:r w:rsidR="006454CC">
              <w:rPr>
                <w:rFonts w:cs="Arial"/>
                <w:color w:val="0D0D0D" w:themeColor="text1" w:themeTint="F2"/>
                <w:spacing w:val="-4"/>
              </w:rPr>
              <w:t> %</w:t>
            </w:r>
            <w:r>
              <w:rPr>
                <w:rFonts w:cs="Arial"/>
                <w:color w:val="0D0D0D" w:themeColor="text1" w:themeTint="F2"/>
                <w:spacing w:val="-4"/>
              </w:rPr>
              <w:t>). Tento váhově nejvýznamnější průmyslový obor tak soustřeďoval více než 20</w:t>
            </w:r>
            <w:r w:rsidR="00D82A1E">
              <w:rPr>
                <w:rFonts w:cs="Arial"/>
                <w:color w:val="0D0D0D" w:themeColor="text1" w:themeTint="F2"/>
                <w:spacing w:val="-4"/>
              </w:rPr>
              <w:t>0 </w:t>
            </w:r>
            <w:r>
              <w:rPr>
                <w:rFonts w:cs="Arial"/>
                <w:color w:val="0D0D0D" w:themeColor="text1" w:themeTint="F2"/>
                <w:spacing w:val="-4"/>
              </w:rPr>
              <w:t>tis. pracovníků. Vysokou dynamiku tvorby nových pracovních míst dlouhodobě udržují i některé menší obory –</w:t>
            </w:r>
            <w:r w:rsidR="00826E60">
              <w:rPr>
                <w:rFonts w:cs="Arial"/>
                <w:color w:val="0D0D0D" w:themeColor="text1" w:themeTint="F2"/>
                <w:spacing w:val="-4"/>
              </w:rPr>
              <w:t> </w:t>
            </w:r>
            <w:r>
              <w:rPr>
                <w:rFonts w:cs="Arial"/>
                <w:color w:val="0D0D0D" w:themeColor="text1" w:themeTint="F2"/>
                <w:spacing w:val="-4"/>
              </w:rPr>
              <w:t>farmaceutický průmysl, ostatní zpracovatelský průmysl</w:t>
            </w:r>
            <w:r>
              <w:rPr>
                <w:rStyle w:val="Znakapoznpodarou"/>
                <w:rFonts w:cs="Arial"/>
                <w:color w:val="0D0D0D" w:themeColor="text1" w:themeTint="F2"/>
                <w:spacing w:val="-4"/>
              </w:rPr>
              <w:footnoteReference w:id="15"/>
            </w:r>
            <w:r>
              <w:rPr>
                <w:rFonts w:cs="Arial"/>
                <w:color w:val="0D0D0D" w:themeColor="text1" w:themeTint="F2"/>
                <w:spacing w:val="-4"/>
              </w:rPr>
              <w:t xml:space="preserve"> či aktivity související s odpadovým hospodářstvím.</w:t>
            </w:r>
          </w:p>
        </w:tc>
      </w:tr>
      <w:tr w:rsidR="009E674A" w14:paraId="14CF0443" w14:textId="77777777" w:rsidTr="006F668F">
        <w:trPr>
          <w:trHeight w:val="145"/>
        </w:trPr>
        <w:tc>
          <w:tcPr>
            <w:tcW w:w="1976" w:type="dxa"/>
            <w:tcBorders>
              <w:top w:val="nil"/>
              <w:left w:val="nil"/>
              <w:bottom w:val="nil"/>
              <w:right w:val="nil"/>
            </w:tcBorders>
          </w:tcPr>
          <w:p w14:paraId="156009C5" w14:textId="77777777" w:rsidR="009E674A" w:rsidRDefault="009E674A" w:rsidP="006F668F">
            <w:pPr>
              <w:pStyle w:val="Marginlie"/>
            </w:pPr>
            <w:r>
              <w:t xml:space="preserve">Dlouhodobý útlum těžebního </w:t>
            </w:r>
            <w:r w:rsidR="00BC7833">
              <w:t>i </w:t>
            </w:r>
            <w:r>
              <w:t>kožedělného průmyslu pokračoval.</w:t>
            </w:r>
          </w:p>
        </w:tc>
        <w:tc>
          <w:tcPr>
            <w:tcW w:w="277" w:type="dxa"/>
            <w:tcBorders>
              <w:top w:val="nil"/>
              <w:left w:val="nil"/>
              <w:bottom w:val="nil"/>
              <w:right w:val="nil"/>
            </w:tcBorders>
          </w:tcPr>
          <w:p w14:paraId="20637CD8" w14:textId="77777777" w:rsidR="009E674A" w:rsidRPr="005E4483" w:rsidRDefault="009E674A" w:rsidP="006F668F">
            <w:pPr>
              <w:pStyle w:val="Textpoznpodarou"/>
              <w:jc w:val="both"/>
              <w:rPr>
                <w:spacing w:val="-4"/>
              </w:rPr>
            </w:pPr>
          </w:p>
        </w:tc>
        <w:tc>
          <w:tcPr>
            <w:tcW w:w="7391" w:type="dxa"/>
            <w:tcBorders>
              <w:top w:val="nil"/>
              <w:left w:val="nil"/>
              <w:bottom w:val="nil"/>
              <w:right w:val="nil"/>
            </w:tcBorders>
          </w:tcPr>
          <w:p w14:paraId="23B93FBD" w14:textId="4C9071C5" w:rsidR="009E674A" w:rsidRPr="00610895" w:rsidRDefault="009E674A" w:rsidP="006F668F">
            <w:pPr>
              <w:spacing w:after="220"/>
              <w:rPr>
                <w:rFonts w:cs="Arial"/>
                <w:color w:val="0D0D0D" w:themeColor="text1" w:themeTint="F2"/>
                <w:spacing w:val="-4"/>
              </w:rPr>
            </w:pPr>
            <w:r>
              <w:rPr>
                <w:rFonts w:cs="Arial"/>
                <w:color w:val="0D0D0D" w:themeColor="text1" w:themeTint="F2"/>
                <w:spacing w:val="-4"/>
              </w:rPr>
              <w:t xml:space="preserve">Přestože růst zaměstnanosti v průmyslu byl v letech 2017 </w:t>
            </w:r>
            <w:r w:rsidR="00BC7833">
              <w:rPr>
                <w:rFonts w:cs="Arial"/>
                <w:color w:val="0D0D0D" w:themeColor="text1" w:themeTint="F2"/>
                <w:spacing w:val="-4"/>
              </w:rPr>
              <w:t>i </w:t>
            </w:r>
            <w:r>
              <w:rPr>
                <w:rFonts w:cs="Arial"/>
                <w:color w:val="0D0D0D" w:themeColor="text1" w:themeTint="F2"/>
                <w:spacing w:val="-4"/>
              </w:rPr>
              <w:t>2018 utlumený, existovalo jen málo oborů, které pracovní místa výrazněji ztrácely</w:t>
            </w:r>
            <w:r>
              <w:rPr>
                <w:rStyle w:val="Znakapoznpodarou"/>
                <w:rFonts w:cs="Arial"/>
                <w:color w:val="0D0D0D" w:themeColor="text1" w:themeTint="F2"/>
                <w:spacing w:val="-4"/>
              </w:rPr>
              <w:footnoteReference w:id="16"/>
            </w:r>
            <w:r>
              <w:rPr>
                <w:rFonts w:cs="Arial"/>
                <w:color w:val="0D0D0D" w:themeColor="text1" w:themeTint="F2"/>
                <w:spacing w:val="-4"/>
              </w:rPr>
              <w:t xml:space="preserve">. Šlo zejména </w:t>
            </w:r>
            <w:r w:rsidR="00BC7833">
              <w:rPr>
                <w:rFonts w:cs="Arial"/>
                <w:color w:val="0D0D0D" w:themeColor="text1" w:themeTint="F2"/>
                <w:spacing w:val="-4"/>
              </w:rPr>
              <w:t>o </w:t>
            </w:r>
            <w:r>
              <w:rPr>
                <w:rFonts w:cs="Arial"/>
                <w:color w:val="0D0D0D" w:themeColor="text1" w:themeTint="F2"/>
                <w:spacing w:val="-4"/>
              </w:rPr>
              <w:t xml:space="preserve">dlouhodobě </w:t>
            </w:r>
            <w:r>
              <w:rPr>
                <w:rFonts w:cs="Arial"/>
                <w:color w:val="0D0D0D" w:themeColor="text1" w:themeTint="F2"/>
                <w:spacing w:val="-4"/>
              </w:rPr>
              <w:lastRenderedPageBreak/>
              <w:t>útlumová odvětví –</w:t>
            </w:r>
            <w:r w:rsidR="001C04EF">
              <w:rPr>
                <w:rFonts w:cs="Arial"/>
                <w:color w:val="0D0D0D" w:themeColor="text1" w:themeTint="F2"/>
                <w:spacing w:val="-4"/>
              </w:rPr>
              <w:t> </w:t>
            </w:r>
            <w:r>
              <w:rPr>
                <w:rFonts w:cs="Arial"/>
                <w:color w:val="0D0D0D" w:themeColor="text1" w:themeTint="F2"/>
                <w:spacing w:val="-4"/>
              </w:rPr>
              <w:t xml:space="preserve">těžbu </w:t>
            </w:r>
            <w:r w:rsidR="00BC7833">
              <w:rPr>
                <w:rFonts w:cs="Arial"/>
                <w:color w:val="0D0D0D" w:themeColor="text1" w:themeTint="F2"/>
                <w:spacing w:val="-4"/>
              </w:rPr>
              <w:t>a </w:t>
            </w:r>
            <w:r>
              <w:rPr>
                <w:rFonts w:cs="Arial"/>
                <w:color w:val="0D0D0D" w:themeColor="text1" w:themeTint="F2"/>
                <w:spacing w:val="-4"/>
              </w:rPr>
              <w:t>dobývání (–5,9</w:t>
            </w:r>
            <w:r w:rsidR="006454CC">
              <w:rPr>
                <w:rFonts w:cs="Arial"/>
                <w:color w:val="0D0D0D" w:themeColor="text1" w:themeTint="F2"/>
                <w:spacing w:val="-4"/>
              </w:rPr>
              <w:t> %</w:t>
            </w:r>
            <w:r>
              <w:rPr>
                <w:rFonts w:cs="Arial"/>
                <w:color w:val="0D0D0D" w:themeColor="text1" w:themeTint="F2"/>
                <w:spacing w:val="-4"/>
              </w:rPr>
              <w:t xml:space="preserve">) </w:t>
            </w:r>
            <w:r w:rsidR="00BC7833">
              <w:rPr>
                <w:rFonts w:cs="Arial"/>
                <w:color w:val="0D0D0D" w:themeColor="text1" w:themeTint="F2"/>
                <w:spacing w:val="-4"/>
              </w:rPr>
              <w:t>a </w:t>
            </w:r>
            <w:r>
              <w:rPr>
                <w:rFonts w:cs="Arial"/>
                <w:color w:val="0D0D0D" w:themeColor="text1" w:themeTint="F2"/>
                <w:spacing w:val="-4"/>
              </w:rPr>
              <w:t>kožedělný průmysl (–13,2</w:t>
            </w:r>
            <w:r w:rsidR="006454CC">
              <w:rPr>
                <w:rFonts w:cs="Arial"/>
                <w:color w:val="0D0D0D" w:themeColor="text1" w:themeTint="F2"/>
                <w:spacing w:val="-4"/>
              </w:rPr>
              <w:t> %</w:t>
            </w:r>
            <w:r>
              <w:rPr>
                <w:rFonts w:cs="Arial"/>
                <w:color w:val="0D0D0D" w:themeColor="text1" w:themeTint="F2"/>
                <w:spacing w:val="-4"/>
              </w:rPr>
              <w:t xml:space="preserve">). Proti roku 2007 ztratila odvětví více než třetinu pracovních míst. Mírně se loni snížila zaměstnanost </w:t>
            </w:r>
            <w:r w:rsidR="00BC7833">
              <w:rPr>
                <w:rFonts w:cs="Arial"/>
                <w:color w:val="0D0D0D" w:themeColor="text1" w:themeTint="F2"/>
                <w:spacing w:val="-4"/>
              </w:rPr>
              <w:t>i v </w:t>
            </w:r>
            <w:r>
              <w:rPr>
                <w:rFonts w:cs="Arial"/>
                <w:color w:val="0D0D0D" w:themeColor="text1" w:themeTint="F2"/>
                <w:spacing w:val="-4"/>
              </w:rPr>
              <w:t xml:space="preserve">chemickém průmyslu či energetice. Jde ale </w:t>
            </w:r>
            <w:r w:rsidR="001C04EF">
              <w:rPr>
                <w:rFonts w:cs="Arial"/>
                <w:color w:val="0D0D0D" w:themeColor="text1" w:themeTint="F2"/>
                <w:spacing w:val="-4"/>
              </w:rPr>
              <w:t>o </w:t>
            </w:r>
            <w:r>
              <w:rPr>
                <w:rFonts w:cs="Arial"/>
                <w:color w:val="0D0D0D" w:themeColor="text1" w:themeTint="F2"/>
                <w:spacing w:val="-4"/>
              </w:rPr>
              <w:t>odvětví, kde zůstává zaměstnanost dlouhodobě stabilizovaná</w:t>
            </w:r>
            <w:r w:rsidR="001C04EF">
              <w:rPr>
                <w:rFonts w:cs="Arial"/>
                <w:color w:val="0D0D0D" w:themeColor="text1" w:themeTint="F2"/>
                <w:spacing w:val="-4"/>
              </w:rPr>
              <w:t>,</w:t>
            </w:r>
            <w:r>
              <w:rPr>
                <w:rFonts w:cs="Arial"/>
                <w:color w:val="0D0D0D" w:themeColor="text1" w:themeTint="F2"/>
                <w:spacing w:val="-4"/>
              </w:rPr>
              <w:t xml:space="preserve"> </w:t>
            </w:r>
            <w:r w:rsidR="00BC7833">
              <w:rPr>
                <w:rFonts w:cs="Arial"/>
                <w:color w:val="0D0D0D" w:themeColor="text1" w:themeTint="F2"/>
                <w:spacing w:val="-4"/>
              </w:rPr>
              <w:t>a </w:t>
            </w:r>
            <w:r>
              <w:rPr>
                <w:rFonts w:cs="Arial"/>
                <w:color w:val="0D0D0D" w:themeColor="text1" w:themeTint="F2"/>
                <w:spacing w:val="-4"/>
              </w:rPr>
              <w:t>v období od konce poslední recese dokonce narůstala.</w:t>
            </w:r>
          </w:p>
        </w:tc>
      </w:tr>
      <w:tr w:rsidR="009E674A" w:rsidRPr="005A2E40" w14:paraId="4D89DA48" w14:textId="77777777" w:rsidTr="006F668F">
        <w:trPr>
          <w:trHeight w:val="429"/>
        </w:trPr>
        <w:tc>
          <w:tcPr>
            <w:tcW w:w="1976" w:type="dxa"/>
            <w:tcBorders>
              <w:top w:val="nil"/>
              <w:left w:val="nil"/>
              <w:bottom w:val="nil"/>
              <w:right w:val="nil"/>
            </w:tcBorders>
          </w:tcPr>
          <w:p w14:paraId="64E34692" w14:textId="77777777" w:rsidR="009E674A" w:rsidRPr="00106639" w:rsidRDefault="009E674A" w:rsidP="006F668F">
            <w:pPr>
              <w:pStyle w:val="Marginlie"/>
            </w:pPr>
          </w:p>
        </w:tc>
        <w:tc>
          <w:tcPr>
            <w:tcW w:w="277" w:type="dxa"/>
            <w:tcBorders>
              <w:top w:val="nil"/>
              <w:left w:val="nil"/>
              <w:bottom w:val="nil"/>
              <w:right w:val="nil"/>
            </w:tcBorders>
          </w:tcPr>
          <w:p w14:paraId="7E172CC5" w14:textId="77777777" w:rsidR="009E674A" w:rsidRPr="005E4483" w:rsidRDefault="009E674A" w:rsidP="006F668F">
            <w:pPr>
              <w:pStyle w:val="Textpoznpodarou"/>
              <w:jc w:val="both"/>
              <w:rPr>
                <w:spacing w:val="-4"/>
              </w:rPr>
            </w:pPr>
          </w:p>
        </w:tc>
        <w:tc>
          <w:tcPr>
            <w:tcW w:w="7391" w:type="dxa"/>
            <w:tcBorders>
              <w:top w:val="nil"/>
              <w:left w:val="nil"/>
              <w:bottom w:val="nil"/>
              <w:right w:val="nil"/>
            </w:tcBorders>
          </w:tcPr>
          <w:p w14:paraId="5A1D8AAF" w14:textId="2110EED1" w:rsidR="009E674A" w:rsidRDefault="009E674A" w:rsidP="006F668F">
            <w:pPr>
              <w:spacing w:after="0"/>
              <w:rPr>
                <w:b/>
                <w:spacing w:val="-5"/>
              </w:rPr>
            </w:pPr>
            <w:r>
              <w:rPr>
                <w:b/>
                <w:spacing w:val="-5"/>
              </w:rPr>
              <w:t xml:space="preserve">Graf </w:t>
            </w:r>
            <w:r w:rsidR="00BA35F3">
              <w:rPr>
                <w:b/>
                <w:spacing w:val="-5"/>
              </w:rPr>
              <w:t>č. </w:t>
            </w:r>
            <w:r w:rsidR="00BC7833">
              <w:rPr>
                <w:b/>
                <w:spacing w:val="-5"/>
              </w:rPr>
              <w:t>5</w:t>
            </w:r>
            <w:r w:rsidR="009F47E7">
              <w:rPr>
                <w:b/>
                <w:spacing w:val="-5"/>
              </w:rPr>
              <w:t xml:space="preserve">  </w:t>
            </w:r>
            <w:r>
              <w:rPr>
                <w:b/>
                <w:spacing w:val="-5"/>
              </w:rPr>
              <w:t xml:space="preserve">Celková zaměstnanost v průmyslu </w:t>
            </w:r>
            <w:r w:rsidR="00BC7833">
              <w:rPr>
                <w:b/>
                <w:spacing w:val="-5"/>
              </w:rPr>
              <w:t>a </w:t>
            </w:r>
            <w:r>
              <w:rPr>
                <w:b/>
                <w:spacing w:val="-5"/>
              </w:rPr>
              <w:t xml:space="preserve">jeho dílčích </w:t>
            </w:r>
            <w:r w:rsidR="00CE760D">
              <w:rPr>
                <w:b/>
                <w:spacing w:val="-5"/>
              </w:rPr>
              <w:t>odvětvích</w:t>
            </w:r>
          </w:p>
          <w:p w14:paraId="3A5E4500" w14:textId="55DA4FCF" w:rsidR="009E674A" w:rsidRPr="00257FB1" w:rsidRDefault="009E674A" w:rsidP="006F668F">
            <w:pPr>
              <w:spacing w:after="0"/>
              <w:rPr>
                <w:spacing w:val="-5"/>
              </w:rPr>
            </w:pPr>
            <w:r w:rsidRPr="00977140">
              <w:rPr>
                <w:spacing w:val="-5"/>
              </w:rPr>
              <w:t>(</w:t>
            </w:r>
            <w:r>
              <w:rPr>
                <w:spacing w:val="-5"/>
              </w:rPr>
              <w:t>příspěvky k meziročnímu růstu v p. b.)</w:t>
            </w:r>
          </w:p>
        </w:tc>
      </w:tr>
      <w:tr w:rsidR="009E674A" w14:paraId="20EF9CAE" w14:textId="77777777" w:rsidTr="006F668F">
        <w:tblPrEx>
          <w:tblCellMar>
            <w:left w:w="70" w:type="dxa"/>
            <w:right w:w="70" w:type="dxa"/>
          </w:tblCellMar>
        </w:tblPrEx>
        <w:trPr>
          <w:trHeight w:val="429"/>
        </w:trPr>
        <w:tc>
          <w:tcPr>
            <w:tcW w:w="1976" w:type="dxa"/>
            <w:tcBorders>
              <w:top w:val="nil"/>
              <w:left w:val="nil"/>
              <w:bottom w:val="nil"/>
              <w:right w:val="nil"/>
            </w:tcBorders>
          </w:tcPr>
          <w:p w14:paraId="3C87C85C" w14:textId="77777777" w:rsidR="009E674A" w:rsidRPr="00106639" w:rsidRDefault="009E674A" w:rsidP="006F668F">
            <w:pPr>
              <w:pStyle w:val="Marginlie"/>
            </w:pPr>
          </w:p>
        </w:tc>
        <w:tc>
          <w:tcPr>
            <w:tcW w:w="277" w:type="dxa"/>
            <w:tcBorders>
              <w:top w:val="nil"/>
              <w:left w:val="nil"/>
              <w:bottom w:val="nil"/>
              <w:right w:val="nil"/>
            </w:tcBorders>
          </w:tcPr>
          <w:p w14:paraId="401E40D9" w14:textId="77777777" w:rsidR="009E674A" w:rsidRPr="005E4483" w:rsidRDefault="009E674A" w:rsidP="006F668F">
            <w:pPr>
              <w:pStyle w:val="Textpoznpodarou"/>
              <w:jc w:val="both"/>
              <w:rPr>
                <w:spacing w:val="-4"/>
              </w:rPr>
            </w:pPr>
          </w:p>
        </w:tc>
        <w:tc>
          <w:tcPr>
            <w:tcW w:w="7391" w:type="dxa"/>
            <w:tcBorders>
              <w:top w:val="nil"/>
              <w:left w:val="nil"/>
              <w:bottom w:val="nil"/>
              <w:right w:val="nil"/>
            </w:tcBorders>
          </w:tcPr>
          <w:p w14:paraId="63AA8CFC" w14:textId="77777777" w:rsidR="009E674A" w:rsidRDefault="009E674A" w:rsidP="006F668F">
            <w:pPr>
              <w:spacing w:after="0"/>
            </w:pPr>
            <w:r w:rsidRPr="00273569">
              <w:rPr>
                <w:noProof/>
              </w:rPr>
              <w:drawing>
                <wp:inline distT="0" distB="0" distL="0" distR="0" wp14:anchorId="4CFC10DD" wp14:editId="7D1FCBF1">
                  <wp:extent cx="4621219" cy="3412493"/>
                  <wp:effectExtent l="0" t="0" r="0" b="0"/>
                  <wp:docPr id="20" name="Graf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tc>
      </w:tr>
      <w:tr w:rsidR="009E674A" w:rsidRPr="005A2E40" w14:paraId="5D72DBA9" w14:textId="77777777" w:rsidTr="006F668F">
        <w:trPr>
          <w:trHeight w:val="429"/>
        </w:trPr>
        <w:tc>
          <w:tcPr>
            <w:tcW w:w="1976" w:type="dxa"/>
            <w:tcBorders>
              <w:top w:val="nil"/>
              <w:left w:val="nil"/>
              <w:bottom w:val="nil"/>
              <w:right w:val="nil"/>
            </w:tcBorders>
          </w:tcPr>
          <w:p w14:paraId="235A7FBA" w14:textId="77777777" w:rsidR="009E674A" w:rsidRPr="00106639" w:rsidRDefault="009E674A" w:rsidP="006F668F">
            <w:pPr>
              <w:pStyle w:val="Marginlie"/>
            </w:pPr>
          </w:p>
        </w:tc>
        <w:tc>
          <w:tcPr>
            <w:tcW w:w="277" w:type="dxa"/>
            <w:tcBorders>
              <w:top w:val="nil"/>
              <w:left w:val="nil"/>
              <w:bottom w:val="nil"/>
              <w:right w:val="nil"/>
            </w:tcBorders>
          </w:tcPr>
          <w:p w14:paraId="61E2C51B" w14:textId="77777777" w:rsidR="009E674A" w:rsidRPr="005E4483" w:rsidRDefault="009E674A" w:rsidP="006F668F">
            <w:pPr>
              <w:pStyle w:val="Textpoznpodarou"/>
              <w:jc w:val="both"/>
              <w:rPr>
                <w:spacing w:val="-4"/>
              </w:rPr>
            </w:pPr>
          </w:p>
        </w:tc>
        <w:tc>
          <w:tcPr>
            <w:tcW w:w="7391" w:type="dxa"/>
            <w:tcBorders>
              <w:top w:val="nil"/>
              <w:left w:val="nil"/>
              <w:bottom w:val="nil"/>
              <w:right w:val="nil"/>
            </w:tcBorders>
          </w:tcPr>
          <w:p w14:paraId="53B08209" w14:textId="77777777" w:rsidR="009E674A" w:rsidRDefault="009E674A" w:rsidP="006F668F">
            <w:pPr>
              <w:spacing w:after="0"/>
              <w:rPr>
                <w:rFonts w:cs="Arial"/>
                <w:sz w:val="14"/>
                <w:szCs w:val="14"/>
              </w:rPr>
            </w:pPr>
            <w:r>
              <w:rPr>
                <w:rFonts w:cs="Arial"/>
                <w:sz w:val="14"/>
                <w:szCs w:val="14"/>
              </w:rPr>
              <w:t xml:space="preserve">Poznámka: počet zaměstnaných je uveden </w:t>
            </w:r>
            <w:r w:rsidR="00BC7833">
              <w:rPr>
                <w:rFonts w:cs="Arial"/>
                <w:sz w:val="14"/>
                <w:szCs w:val="14"/>
              </w:rPr>
              <w:t>v </w:t>
            </w:r>
            <w:r>
              <w:rPr>
                <w:rFonts w:cs="Arial"/>
                <w:sz w:val="14"/>
                <w:szCs w:val="14"/>
              </w:rPr>
              <w:t>přepočtu na plnou pracovní dobu.</w:t>
            </w:r>
          </w:p>
          <w:p w14:paraId="35797C52" w14:textId="05277051" w:rsidR="009E674A" w:rsidRDefault="009E674A" w:rsidP="006F668F">
            <w:pPr>
              <w:spacing w:after="0"/>
              <w:rPr>
                <w:rFonts w:cs="Arial"/>
                <w:sz w:val="14"/>
                <w:szCs w:val="14"/>
              </w:rPr>
            </w:pPr>
            <w:r>
              <w:rPr>
                <w:rFonts w:cs="Arial"/>
                <w:sz w:val="14"/>
                <w:szCs w:val="14"/>
              </w:rPr>
              <w:t xml:space="preserve">*Ostatní průmyslové obory zahrnují: </w:t>
            </w:r>
            <w:r w:rsidRPr="00090679">
              <w:rPr>
                <w:rFonts w:cs="Arial"/>
                <w:sz w:val="14"/>
                <w:szCs w:val="14"/>
              </w:rPr>
              <w:t xml:space="preserve">Tisk </w:t>
            </w:r>
            <w:r w:rsidR="00BC7833" w:rsidRPr="00090679">
              <w:rPr>
                <w:rFonts w:cs="Arial"/>
                <w:sz w:val="14"/>
                <w:szCs w:val="14"/>
              </w:rPr>
              <w:t>a</w:t>
            </w:r>
            <w:r w:rsidR="00BC7833">
              <w:rPr>
                <w:rFonts w:cs="Arial"/>
                <w:sz w:val="14"/>
                <w:szCs w:val="14"/>
              </w:rPr>
              <w:t> </w:t>
            </w:r>
            <w:r w:rsidRPr="00090679">
              <w:rPr>
                <w:rFonts w:cs="Arial"/>
                <w:sz w:val="14"/>
                <w:szCs w:val="14"/>
              </w:rPr>
              <w:t>rozmnožování nahraných nosičů</w:t>
            </w:r>
            <w:r>
              <w:rPr>
                <w:rFonts w:cs="Arial"/>
                <w:sz w:val="14"/>
                <w:szCs w:val="14"/>
              </w:rPr>
              <w:t xml:space="preserve"> (CZ </w:t>
            </w:r>
            <w:r w:rsidR="00CE760D">
              <w:rPr>
                <w:rFonts w:cs="Arial"/>
                <w:sz w:val="14"/>
                <w:szCs w:val="14"/>
              </w:rPr>
              <w:t xml:space="preserve">NACE </w:t>
            </w:r>
            <w:r>
              <w:rPr>
                <w:rFonts w:cs="Arial"/>
                <w:sz w:val="14"/>
                <w:szCs w:val="14"/>
              </w:rPr>
              <w:t xml:space="preserve">18), </w:t>
            </w:r>
            <w:r w:rsidRPr="00090679">
              <w:rPr>
                <w:rFonts w:cs="Arial"/>
                <w:sz w:val="14"/>
                <w:szCs w:val="14"/>
              </w:rPr>
              <w:t>Výroba ostatních nekovových minerálních výrobků</w:t>
            </w:r>
            <w:r>
              <w:rPr>
                <w:rFonts w:cs="Arial"/>
                <w:sz w:val="14"/>
                <w:szCs w:val="14"/>
              </w:rPr>
              <w:t xml:space="preserve"> (23), </w:t>
            </w:r>
            <w:r w:rsidRPr="00090679">
              <w:rPr>
                <w:rFonts w:cs="Arial"/>
                <w:sz w:val="14"/>
                <w:szCs w:val="14"/>
              </w:rPr>
              <w:t>Výroba základních kovů, hutní zpracování kovů; slévárenství</w:t>
            </w:r>
            <w:r>
              <w:rPr>
                <w:rFonts w:cs="Arial"/>
                <w:sz w:val="14"/>
                <w:szCs w:val="14"/>
              </w:rPr>
              <w:t xml:space="preserve"> (24), </w:t>
            </w:r>
            <w:r w:rsidRPr="00EF1A6F">
              <w:rPr>
                <w:rFonts w:cs="Arial"/>
                <w:sz w:val="14"/>
                <w:szCs w:val="14"/>
              </w:rPr>
              <w:t>Ostatní zpracovatelský průmysl</w:t>
            </w:r>
            <w:r>
              <w:rPr>
                <w:rFonts w:cs="Arial"/>
                <w:sz w:val="14"/>
                <w:szCs w:val="14"/>
              </w:rPr>
              <w:t xml:space="preserve"> (32), </w:t>
            </w:r>
            <w:r w:rsidRPr="00EF1A6F">
              <w:rPr>
                <w:rFonts w:cs="Arial"/>
                <w:sz w:val="14"/>
                <w:szCs w:val="14"/>
              </w:rPr>
              <w:t xml:space="preserve">Opravy </w:t>
            </w:r>
            <w:r w:rsidR="00BC7833" w:rsidRPr="00EF1A6F">
              <w:rPr>
                <w:rFonts w:cs="Arial"/>
                <w:sz w:val="14"/>
                <w:szCs w:val="14"/>
              </w:rPr>
              <w:t>a</w:t>
            </w:r>
            <w:r w:rsidR="00BC7833">
              <w:rPr>
                <w:rFonts w:cs="Arial"/>
                <w:sz w:val="14"/>
                <w:szCs w:val="14"/>
              </w:rPr>
              <w:t> </w:t>
            </w:r>
            <w:r w:rsidRPr="00EF1A6F">
              <w:rPr>
                <w:rFonts w:cs="Arial"/>
                <w:sz w:val="14"/>
                <w:szCs w:val="14"/>
              </w:rPr>
              <w:t xml:space="preserve">instalace strojů </w:t>
            </w:r>
            <w:r w:rsidR="00BC7833" w:rsidRPr="00EF1A6F">
              <w:rPr>
                <w:rFonts w:cs="Arial"/>
                <w:sz w:val="14"/>
                <w:szCs w:val="14"/>
              </w:rPr>
              <w:t>a</w:t>
            </w:r>
            <w:r w:rsidR="00BC7833">
              <w:rPr>
                <w:rFonts w:cs="Arial"/>
                <w:sz w:val="14"/>
                <w:szCs w:val="14"/>
              </w:rPr>
              <w:t> </w:t>
            </w:r>
            <w:r w:rsidRPr="00EF1A6F">
              <w:rPr>
                <w:rFonts w:cs="Arial"/>
                <w:sz w:val="14"/>
                <w:szCs w:val="14"/>
              </w:rPr>
              <w:t>zařízení</w:t>
            </w:r>
            <w:r>
              <w:rPr>
                <w:rFonts w:cs="Arial"/>
                <w:sz w:val="14"/>
                <w:szCs w:val="14"/>
              </w:rPr>
              <w:t xml:space="preserve"> (33).</w:t>
            </w:r>
          </w:p>
          <w:p w14:paraId="10A32298" w14:textId="77777777" w:rsidR="009E674A" w:rsidRPr="00711FC2" w:rsidRDefault="009E674A" w:rsidP="006F668F">
            <w:pPr>
              <w:spacing w:after="220"/>
            </w:pPr>
            <w:r w:rsidRPr="00444E6D">
              <w:rPr>
                <w:rFonts w:cs="Arial"/>
                <w:sz w:val="14"/>
                <w:szCs w:val="14"/>
              </w:rPr>
              <w:t xml:space="preserve">Zdroj: </w:t>
            </w:r>
            <w:r>
              <w:rPr>
                <w:rFonts w:cs="Arial"/>
                <w:sz w:val="14"/>
                <w:szCs w:val="14"/>
              </w:rPr>
              <w:t>ČSÚ (národní účty)</w:t>
            </w:r>
          </w:p>
        </w:tc>
      </w:tr>
      <w:tr w:rsidR="009E674A" w14:paraId="2655CF56" w14:textId="77777777" w:rsidTr="006F668F">
        <w:trPr>
          <w:trHeight w:val="145"/>
        </w:trPr>
        <w:tc>
          <w:tcPr>
            <w:tcW w:w="1976" w:type="dxa"/>
            <w:tcBorders>
              <w:top w:val="nil"/>
              <w:left w:val="nil"/>
              <w:bottom w:val="nil"/>
              <w:right w:val="nil"/>
            </w:tcBorders>
          </w:tcPr>
          <w:p w14:paraId="1A61D650" w14:textId="64D9B247" w:rsidR="009E674A" w:rsidRDefault="009E674A" w:rsidP="006F668F">
            <w:pPr>
              <w:pStyle w:val="Marginlie"/>
            </w:pPr>
            <w:r>
              <w:t xml:space="preserve">Pracovníků ve stavebnictví poprvé </w:t>
            </w:r>
            <w:r w:rsidR="008018FD">
              <w:t>od</w:t>
            </w:r>
            <w:r>
              <w:t xml:space="preserve"> roku 2010 přibylo, především zásluhou rozvoje specializovaných stavebních činností.</w:t>
            </w:r>
          </w:p>
        </w:tc>
        <w:tc>
          <w:tcPr>
            <w:tcW w:w="277" w:type="dxa"/>
            <w:tcBorders>
              <w:top w:val="nil"/>
              <w:left w:val="nil"/>
              <w:bottom w:val="nil"/>
              <w:right w:val="nil"/>
            </w:tcBorders>
          </w:tcPr>
          <w:p w14:paraId="36676E77" w14:textId="77777777" w:rsidR="009E674A" w:rsidRPr="005E4483" w:rsidRDefault="009E674A" w:rsidP="006F668F">
            <w:pPr>
              <w:pStyle w:val="Textpoznpodarou"/>
              <w:jc w:val="both"/>
              <w:rPr>
                <w:spacing w:val="-4"/>
              </w:rPr>
            </w:pPr>
          </w:p>
        </w:tc>
        <w:tc>
          <w:tcPr>
            <w:tcW w:w="7391" w:type="dxa"/>
            <w:tcBorders>
              <w:top w:val="nil"/>
              <w:left w:val="nil"/>
              <w:bottom w:val="nil"/>
              <w:right w:val="nil"/>
            </w:tcBorders>
          </w:tcPr>
          <w:p w14:paraId="390595EF" w14:textId="57D64CE4" w:rsidR="009E674A" w:rsidRPr="00257FB1" w:rsidRDefault="00BC7833" w:rsidP="006F668F">
            <w:pPr>
              <w:spacing w:after="220"/>
              <w:rPr>
                <w:spacing w:val="-3"/>
              </w:rPr>
            </w:pPr>
            <w:r>
              <w:rPr>
                <w:spacing w:val="-3"/>
              </w:rPr>
              <w:t>K </w:t>
            </w:r>
            <w:r w:rsidR="009E674A">
              <w:rPr>
                <w:spacing w:val="-3"/>
              </w:rPr>
              <w:t>výraznému obratu došlo loni ve stavebnictví, kde byl přerušen osm let trvající úbytek zaměstnaných. Na rostoucí poptávku po stavebních pracích, signalizovanou v konjunkturálních šetřeních již v roce 2017, reagovali nejprve navýšením svých stavů drobní podnikatelé. Zaměstnanců pak přibylo až v loňském roce (+1,7</w:t>
            </w:r>
            <w:r w:rsidR="006454CC">
              <w:rPr>
                <w:spacing w:val="-3"/>
              </w:rPr>
              <w:t> %</w:t>
            </w:r>
            <w:r w:rsidR="009E674A">
              <w:rPr>
                <w:spacing w:val="-3"/>
              </w:rPr>
              <w:t xml:space="preserve">). K růstu v celém odvětví </w:t>
            </w:r>
            <w:r w:rsidR="008018FD">
              <w:rPr>
                <w:spacing w:val="-3"/>
              </w:rPr>
              <w:t xml:space="preserve">přispěly </w:t>
            </w:r>
            <w:r w:rsidR="009E674A">
              <w:rPr>
                <w:spacing w:val="-3"/>
              </w:rPr>
              <w:t xml:space="preserve">nejvíce specializované stavební činnosti, kde skoro polovinu pracovníků tvoří drobní podnikatelé. Poprvé od roku 2009 přibylo pozic </w:t>
            </w:r>
            <w:r>
              <w:rPr>
                <w:spacing w:val="-3"/>
              </w:rPr>
              <w:t>i </w:t>
            </w:r>
            <w:r w:rsidR="009E674A">
              <w:rPr>
                <w:spacing w:val="-3"/>
              </w:rPr>
              <w:t xml:space="preserve">ve výstavbě budov, naopak redukce pokračovaly v celé dekádě v inženýrském stavitelství (výjimkou byl rok 2015, kdy došlo ke krátkodobému nárůstu zaměstnanosti vlivem intenzivního dočerpávání evropských dotací </w:t>
            </w:r>
            <w:r>
              <w:rPr>
                <w:spacing w:val="-3"/>
              </w:rPr>
              <w:t>v </w:t>
            </w:r>
            <w:r w:rsidR="009E674A">
              <w:rPr>
                <w:spacing w:val="-3"/>
              </w:rPr>
              <w:t>oblasti dopravních staveb).</w:t>
            </w:r>
          </w:p>
        </w:tc>
      </w:tr>
      <w:tr w:rsidR="009E674A" w14:paraId="705A3391" w14:textId="77777777" w:rsidTr="006F668F">
        <w:trPr>
          <w:trHeight w:val="145"/>
        </w:trPr>
        <w:tc>
          <w:tcPr>
            <w:tcW w:w="1976" w:type="dxa"/>
            <w:tcBorders>
              <w:top w:val="nil"/>
              <w:left w:val="nil"/>
              <w:bottom w:val="nil"/>
              <w:right w:val="nil"/>
            </w:tcBorders>
          </w:tcPr>
          <w:p w14:paraId="44FFE418" w14:textId="286A4CB0" w:rsidR="009E674A" w:rsidRDefault="009E674A" w:rsidP="006F668F">
            <w:pPr>
              <w:pStyle w:val="Marginlie"/>
            </w:pPr>
            <w:r>
              <w:t>Růst zaměstnanosti v sektoru služeb dále mírně sílil. Loni výrazně zrychlila dynamika v tržních službách.</w:t>
            </w:r>
          </w:p>
        </w:tc>
        <w:tc>
          <w:tcPr>
            <w:tcW w:w="277" w:type="dxa"/>
            <w:tcBorders>
              <w:top w:val="nil"/>
              <w:left w:val="nil"/>
              <w:bottom w:val="nil"/>
              <w:right w:val="nil"/>
            </w:tcBorders>
          </w:tcPr>
          <w:p w14:paraId="27DE3BFF" w14:textId="77777777" w:rsidR="009E674A" w:rsidRPr="005E4483" w:rsidRDefault="009E674A" w:rsidP="006F668F">
            <w:pPr>
              <w:pStyle w:val="Textpoznpodarou"/>
              <w:jc w:val="both"/>
              <w:rPr>
                <w:spacing w:val="-4"/>
              </w:rPr>
            </w:pPr>
          </w:p>
        </w:tc>
        <w:tc>
          <w:tcPr>
            <w:tcW w:w="7391" w:type="dxa"/>
            <w:tcBorders>
              <w:top w:val="nil"/>
              <w:left w:val="nil"/>
              <w:bottom w:val="nil"/>
              <w:right w:val="nil"/>
            </w:tcBorders>
          </w:tcPr>
          <w:p w14:paraId="13B05FDC" w14:textId="498A385C" w:rsidR="009E674A" w:rsidRPr="00257FB1" w:rsidRDefault="00BC7833" w:rsidP="006F668F">
            <w:pPr>
              <w:spacing w:after="220"/>
              <w:rPr>
                <w:spacing w:val="-3"/>
              </w:rPr>
            </w:pPr>
            <w:r>
              <w:rPr>
                <w:spacing w:val="-3"/>
              </w:rPr>
              <w:t>V </w:t>
            </w:r>
            <w:r w:rsidR="009E674A">
              <w:rPr>
                <w:spacing w:val="-3"/>
              </w:rPr>
              <w:t>terciárním sektoru ekonomiky loni pracovalo 3 22</w:t>
            </w:r>
            <w:r w:rsidR="00D82A1E">
              <w:rPr>
                <w:spacing w:val="-3"/>
              </w:rPr>
              <w:t>9 </w:t>
            </w:r>
            <w:r w:rsidR="009E674A">
              <w:rPr>
                <w:spacing w:val="-3"/>
              </w:rPr>
              <w:t xml:space="preserve">tis. osob, dvě třetiny připadaly na tržní služby, zbývající část na odvětví s převahou veřejného sektoru. Zaměstnanost v celém sektoru služeb se zvyšovala již sedmým rokem v řadě </w:t>
            </w:r>
            <w:r>
              <w:rPr>
                <w:spacing w:val="-3"/>
              </w:rPr>
              <w:t>a </w:t>
            </w:r>
            <w:r w:rsidR="009E674A">
              <w:rPr>
                <w:spacing w:val="-3"/>
              </w:rPr>
              <w:t>vyjma roku 2015 tempo stále mírně sílilo (až na +1,7</w:t>
            </w:r>
            <w:r w:rsidR="006454CC">
              <w:rPr>
                <w:spacing w:val="-3"/>
              </w:rPr>
              <w:t> %</w:t>
            </w:r>
            <w:r w:rsidR="009E674A">
              <w:rPr>
                <w:spacing w:val="-3"/>
              </w:rPr>
              <w:t xml:space="preserve">). Jestliže zejména v letech 2016 </w:t>
            </w:r>
            <w:r>
              <w:rPr>
                <w:spacing w:val="-3"/>
              </w:rPr>
              <w:t>a </w:t>
            </w:r>
            <w:r w:rsidR="009E674A">
              <w:rPr>
                <w:spacing w:val="-3"/>
              </w:rPr>
              <w:t xml:space="preserve">2017 byl celý sektor poháněn svižným růstem v oblasti veřejných služeb, loni tuto roli </w:t>
            </w:r>
            <w:r w:rsidR="008018FD">
              <w:rPr>
                <w:spacing w:val="-3"/>
              </w:rPr>
              <w:t xml:space="preserve">převzala </w:t>
            </w:r>
            <w:r w:rsidR="009E674A">
              <w:rPr>
                <w:spacing w:val="-3"/>
              </w:rPr>
              <w:t xml:space="preserve">tržní odvětví, kde </w:t>
            </w:r>
            <w:r w:rsidR="008018FD">
              <w:rPr>
                <w:spacing w:val="-3"/>
              </w:rPr>
              <w:t xml:space="preserve">se </w:t>
            </w:r>
            <w:r w:rsidR="009E674A">
              <w:rPr>
                <w:spacing w:val="-3"/>
              </w:rPr>
              <w:t>meziročně tempo zaměstnanosti více než zdvojnásobilo na +2,1</w:t>
            </w:r>
            <w:r w:rsidR="006454CC">
              <w:rPr>
                <w:spacing w:val="-3"/>
              </w:rPr>
              <w:t> %</w:t>
            </w:r>
            <w:r w:rsidR="009E674A">
              <w:rPr>
                <w:spacing w:val="-3"/>
              </w:rPr>
              <w:t>, což bylo nejsilnější tempo od vrcholu konjunktury minulé dekády.</w:t>
            </w:r>
          </w:p>
        </w:tc>
      </w:tr>
      <w:tr w:rsidR="009E674A" w14:paraId="42BE6184" w14:textId="77777777" w:rsidTr="006F668F">
        <w:trPr>
          <w:trHeight w:val="145"/>
        </w:trPr>
        <w:tc>
          <w:tcPr>
            <w:tcW w:w="1976" w:type="dxa"/>
            <w:tcBorders>
              <w:top w:val="nil"/>
              <w:left w:val="nil"/>
              <w:bottom w:val="nil"/>
              <w:right w:val="nil"/>
            </w:tcBorders>
          </w:tcPr>
          <w:p w14:paraId="1121E9ED" w14:textId="06480A27" w:rsidR="009E674A" w:rsidRDefault="009E674A" w:rsidP="008018FD">
            <w:pPr>
              <w:pStyle w:val="Marginlie"/>
            </w:pPr>
            <w:r>
              <w:lastRenderedPageBreak/>
              <w:t xml:space="preserve">Mezi tržními odvětvími loni </w:t>
            </w:r>
            <w:r w:rsidR="008018FD">
              <w:t xml:space="preserve">rostla </w:t>
            </w:r>
            <w:r>
              <w:t xml:space="preserve">zejména </w:t>
            </w:r>
            <w:r w:rsidR="008018FD">
              <w:t xml:space="preserve">ta </w:t>
            </w:r>
            <w:r>
              <w:t>s vysokým podílem specialistů –</w:t>
            </w:r>
            <w:r w:rsidR="008018FD">
              <w:t> </w:t>
            </w:r>
            <w:r>
              <w:t xml:space="preserve">informační </w:t>
            </w:r>
            <w:r w:rsidR="00BC7833">
              <w:t>a </w:t>
            </w:r>
            <w:r>
              <w:t xml:space="preserve">komunikační činnosti či profesní, vědecké </w:t>
            </w:r>
            <w:r w:rsidR="00BC7833">
              <w:t>a </w:t>
            </w:r>
            <w:r>
              <w:t>technické činnosti.</w:t>
            </w:r>
          </w:p>
        </w:tc>
        <w:tc>
          <w:tcPr>
            <w:tcW w:w="277" w:type="dxa"/>
            <w:tcBorders>
              <w:top w:val="nil"/>
              <w:left w:val="nil"/>
              <w:bottom w:val="nil"/>
              <w:right w:val="nil"/>
            </w:tcBorders>
          </w:tcPr>
          <w:p w14:paraId="5D17E603" w14:textId="77777777" w:rsidR="009E674A" w:rsidRPr="005E4483" w:rsidRDefault="009E674A" w:rsidP="006F668F">
            <w:pPr>
              <w:pStyle w:val="Textpoznpodarou"/>
              <w:jc w:val="both"/>
              <w:rPr>
                <w:spacing w:val="-4"/>
              </w:rPr>
            </w:pPr>
          </w:p>
        </w:tc>
        <w:tc>
          <w:tcPr>
            <w:tcW w:w="7391" w:type="dxa"/>
            <w:tcBorders>
              <w:top w:val="nil"/>
              <w:left w:val="nil"/>
              <w:bottom w:val="nil"/>
              <w:right w:val="nil"/>
            </w:tcBorders>
          </w:tcPr>
          <w:p w14:paraId="78DFF4C7" w14:textId="165ACBCC" w:rsidR="009E674A" w:rsidRPr="00257FB1" w:rsidRDefault="00BC7833" w:rsidP="006F668F">
            <w:pPr>
              <w:spacing w:after="220"/>
              <w:rPr>
                <w:spacing w:val="-3"/>
              </w:rPr>
            </w:pPr>
            <w:r>
              <w:rPr>
                <w:spacing w:val="-3"/>
              </w:rPr>
              <w:t>Z </w:t>
            </w:r>
            <w:r w:rsidR="009E674A">
              <w:rPr>
                <w:spacing w:val="-3"/>
              </w:rPr>
              <w:t xml:space="preserve">tržních odvětví </w:t>
            </w:r>
            <w:r w:rsidR="008018FD">
              <w:rPr>
                <w:spacing w:val="-3"/>
              </w:rPr>
              <w:t xml:space="preserve">nabírala </w:t>
            </w:r>
            <w:r w:rsidR="009E674A">
              <w:rPr>
                <w:spacing w:val="-3"/>
              </w:rPr>
              <w:t xml:space="preserve">loni pracovníky zejména odvětví s vysokým podílem kvalifikovaného personálu (zejména specialistů). Šlo v prvé řadě </w:t>
            </w:r>
            <w:r>
              <w:rPr>
                <w:spacing w:val="-3"/>
              </w:rPr>
              <w:t>o </w:t>
            </w:r>
            <w:r w:rsidR="009E674A">
              <w:rPr>
                <w:spacing w:val="-3"/>
              </w:rPr>
              <w:t>profesní, vědecké a technické činnosti (+4,2</w:t>
            </w:r>
            <w:r w:rsidR="006454CC">
              <w:rPr>
                <w:spacing w:val="-3"/>
              </w:rPr>
              <w:t> %</w:t>
            </w:r>
            <w:r w:rsidR="00F37A7D">
              <w:rPr>
                <w:spacing w:val="-3"/>
              </w:rPr>
              <w:t>). Ta</w:t>
            </w:r>
            <w:r w:rsidR="009E674A">
              <w:rPr>
                <w:spacing w:val="-3"/>
              </w:rPr>
              <w:t xml:space="preserve"> k růstu zaměstnanos</w:t>
            </w:r>
            <w:r w:rsidR="00F37A7D">
              <w:rPr>
                <w:spacing w:val="-3"/>
              </w:rPr>
              <w:t>ti celého sektoru služeb přispěla</w:t>
            </w:r>
            <w:r w:rsidR="009E674A">
              <w:rPr>
                <w:spacing w:val="-3"/>
              </w:rPr>
              <w:t xml:space="preserve"> celou čtvrtinou. Nová pracovní místa vytváří toto odvětví dlouhodobě (za posledních deset </w:t>
            </w:r>
            <w:r w:rsidR="00120BC1">
              <w:rPr>
                <w:spacing w:val="-3"/>
              </w:rPr>
              <w:t xml:space="preserve">let </w:t>
            </w:r>
            <w:r w:rsidR="009E674A">
              <w:rPr>
                <w:spacing w:val="-3"/>
              </w:rPr>
              <w:t xml:space="preserve">se zaměstnanost zvýšila </w:t>
            </w:r>
            <w:r>
              <w:rPr>
                <w:spacing w:val="-3"/>
              </w:rPr>
              <w:t>o </w:t>
            </w:r>
            <w:r w:rsidR="009E674A">
              <w:rPr>
                <w:spacing w:val="-3"/>
              </w:rPr>
              <w:t xml:space="preserve">šestinu). To ještě více platilo </w:t>
            </w:r>
            <w:r>
              <w:rPr>
                <w:spacing w:val="-3"/>
              </w:rPr>
              <w:t>v </w:t>
            </w:r>
            <w:r w:rsidR="009E674A">
              <w:rPr>
                <w:spacing w:val="-3"/>
              </w:rPr>
              <w:t xml:space="preserve">případě informačních </w:t>
            </w:r>
            <w:r>
              <w:rPr>
                <w:spacing w:val="-3"/>
              </w:rPr>
              <w:t>a </w:t>
            </w:r>
            <w:r w:rsidR="009E674A">
              <w:rPr>
                <w:spacing w:val="-3"/>
              </w:rPr>
              <w:t>komunikačních činností, v nichž přetrvávala silná poptávka po programování, p</w:t>
            </w:r>
            <w:r w:rsidR="009E674A" w:rsidRPr="008A5596">
              <w:rPr>
                <w:spacing w:val="-3"/>
              </w:rPr>
              <w:t>oradenství v</w:t>
            </w:r>
            <w:r w:rsidR="00120BC1">
              <w:rPr>
                <w:spacing w:val="-3"/>
              </w:rPr>
              <w:t> </w:t>
            </w:r>
            <w:r w:rsidR="009E674A" w:rsidRPr="008A5596">
              <w:rPr>
                <w:spacing w:val="-3"/>
              </w:rPr>
              <w:t>oblasti</w:t>
            </w:r>
            <w:r w:rsidR="00120BC1">
              <w:rPr>
                <w:spacing w:val="-3"/>
              </w:rPr>
              <w:t> </w:t>
            </w:r>
            <w:r w:rsidR="009E674A">
              <w:rPr>
                <w:spacing w:val="-3"/>
              </w:rPr>
              <w:t xml:space="preserve">IT </w:t>
            </w:r>
            <w:r>
              <w:rPr>
                <w:spacing w:val="-3"/>
              </w:rPr>
              <w:t>i </w:t>
            </w:r>
            <w:r w:rsidR="009E674A">
              <w:rPr>
                <w:spacing w:val="-3"/>
              </w:rPr>
              <w:t>činnostech</w:t>
            </w:r>
            <w:r w:rsidR="009E674A" w:rsidRPr="008A5596">
              <w:rPr>
                <w:spacing w:val="-3"/>
              </w:rPr>
              <w:t xml:space="preserve"> </w:t>
            </w:r>
            <w:r w:rsidR="009E674A">
              <w:rPr>
                <w:spacing w:val="-3"/>
              </w:rPr>
              <w:t>souvisejících se zpracováním dat,</w:t>
            </w:r>
            <w:r w:rsidR="009E674A" w:rsidRPr="008A5596">
              <w:rPr>
                <w:spacing w:val="-3"/>
              </w:rPr>
              <w:t xml:space="preserve"> h</w:t>
            </w:r>
            <w:r w:rsidR="009E674A">
              <w:rPr>
                <w:spacing w:val="-3"/>
              </w:rPr>
              <w:t>ostingem a </w:t>
            </w:r>
            <w:r w:rsidR="009E674A" w:rsidRPr="008A5596">
              <w:rPr>
                <w:spacing w:val="-3"/>
              </w:rPr>
              <w:t>webovými portály</w:t>
            </w:r>
            <w:r w:rsidR="009E674A">
              <w:rPr>
                <w:spacing w:val="-3"/>
              </w:rPr>
              <w:t>. V posledních třech letech rostla svižně zaměstnanost i v telekomunikacích, opačn</w:t>
            </w:r>
            <w:r w:rsidR="00120BC1">
              <w:rPr>
                <w:spacing w:val="-3"/>
              </w:rPr>
              <w:t>ě</w:t>
            </w:r>
            <w:r w:rsidR="009E674A">
              <w:rPr>
                <w:spacing w:val="-3"/>
              </w:rPr>
              <w:t xml:space="preserve"> na tom byla tvorba programů </w:t>
            </w:r>
            <w:r>
              <w:rPr>
                <w:spacing w:val="-3"/>
              </w:rPr>
              <w:t>a </w:t>
            </w:r>
            <w:r w:rsidR="009E674A">
              <w:rPr>
                <w:spacing w:val="-3"/>
              </w:rPr>
              <w:t>vysílání.</w:t>
            </w:r>
          </w:p>
        </w:tc>
      </w:tr>
      <w:tr w:rsidR="009E674A" w14:paraId="7A40E643" w14:textId="77777777" w:rsidTr="006F668F">
        <w:trPr>
          <w:trHeight w:val="145"/>
        </w:trPr>
        <w:tc>
          <w:tcPr>
            <w:tcW w:w="1976" w:type="dxa"/>
            <w:tcBorders>
              <w:top w:val="nil"/>
              <w:left w:val="nil"/>
              <w:bottom w:val="nil"/>
              <w:right w:val="nil"/>
            </w:tcBorders>
          </w:tcPr>
          <w:p w14:paraId="1CAFDC19" w14:textId="77777777" w:rsidR="009E674A" w:rsidRDefault="009E674A" w:rsidP="006F668F">
            <w:pPr>
              <w:pStyle w:val="Marginlie"/>
            </w:pPr>
            <w:r>
              <w:t>Zaměstnanost v obchodu rostla nejvíce za poslední dekádu. Pokračoval dynamický růst ve skladování.</w:t>
            </w:r>
          </w:p>
        </w:tc>
        <w:tc>
          <w:tcPr>
            <w:tcW w:w="277" w:type="dxa"/>
            <w:tcBorders>
              <w:top w:val="nil"/>
              <w:left w:val="nil"/>
              <w:bottom w:val="nil"/>
              <w:right w:val="nil"/>
            </w:tcBorders>
          </w:tcPr>
          <w:p w14:paraId="219B6813" w14:textId="77777777" w:rsidR="009E674A" w:rsidRPr="005E4483" w:rsidRDefault="009E674A" w:rsidP="006F668F">
            <w:pPr>
              <w:pStyle w:val="Textpoznpodarou"/>
              <w:jc w:val="both"/>
              <w:rPr>
                <w:spacing w:val="-4"/>
              </w:rPr>
            </w:pPr>
          </w:p>
        </w:tc>
        <w:tc>
          <w:tcPr>
            <w:tcW w:w="7391" w:type="dxa"/>
            <w:tcBorders>
              <w:top w:val="nil"/>
              <w:left w:val="nil"/>
              <w:bottom w:val="nil"/>
              <w:right w:val="nil"/>
            </w:tcBorders>
          </w:tcPr>
          <w:p w14:paraId="61F47532" w14:textId="3B86A343" w:rsidR="009E674A" w:rsidRDefault="009E674A" w:rsidP="006F668F">
            <w:pPr>
              <w:spacing w:after="220"/>
              <w:rPr>
                <w:spacing w:val="-3"/>
              </w:rPr>
            </w:pPr>
            <w:r>
              <w:rPr>
                <w:spacing w:val="-3"/>
              </w:rPr>
              <w:t xml:space="preserve">Přestože </w:t>
            </w:r>
            <w:r w:rsidR="00BC7833">
              <w:rPr>
                <w:spacing w:val="-3"/>
              </w:rPr>
              <w:t>v </w:t>
            </w:r>
            <w:r>
              <w:rPr>
                <w:spacing w:val="-3"/>
              </w:rPr>
              <w:t>klíčovém odvětví obchodu (soustřeďujícím skoro třetinu zaměstnaných v oblasti tržních služeb) přibylo jen 1,2</w:t>
            </w:r>
            <w:r w:rsidR="006454CC">
              <w:rPr>
                <w:spacing w:val="-3"/>
              </w:rPr>
              <w:t> %</w:t>
            </w:r>
            <w:r>
              <w:rPr>
                <w:spacing w:val="-3"/>
              </w:rPr>
              <w:t xml:space="preserve"> pracovníků, šlo </w:t>
            </w:r>
            <w:r w:rsidR="00BC7833">
              <w:rPr>
                <w:spacing w:val="-3"/>
              </w:rPr>
              <w:t>o </w:t>
            </w:r>
            <w:r>
              <w:rPr>
                <w:spacing w:val="-3"/>
              </w:rPr>
              <w:t xml:space="preserve">nejsilnější meziroční růst od roku 2010. Významně k tomu </w:t>
            </w:r>
            <w:r w:rsidR="00120BC1">
              <w:rPr>
                <w:spacing w:val="-3"/>
              </w:rPr>
              <w:t xml:space="preserve">přispěli </w:t>
            </w:r>
            <w:r w:rsidR="00BC7833">
              <w:rPr>
                <w:spacing w:val="-3"/>
              </w:rPr>
              <w:t>i </w:t>
            </w:r>
            <w:r w:rsidR="00120BC1">
              <w:rPr>
                <w:spacing w:val="-3"/>
              </w:rPr>
              <w:t>sebezaměstnaní</w:t>
            </w:r>
            <w:r>
              <w:rPr>
                <w:spacing w:val="-3"/>
              </w:rPr>
              <w:t xml:space="preserve">, jejichž stavy po šesti předešlých nepříznivých letech přestaly klesat. V dopravě </w:t>
            </w:r>
            <w:r w:rsidR="00BC7833">
              <w:rPr>
                <w:spacing w:val="-3"/>
              </w:rPr>
              <w:t>a </w:t>
            </w:r>
            <w:r>
              <w:rPr>
                <w:spacing w:val="-3"/>
              </w:rPr>
              <w:t xml:space="preserve">skladování se zaměstnanost zvyšovala již sedmým rokem </w:t>
            </w:r>
            <w:r w:rsidR="00120BC1">
              <w:rPr>
                <w:spacing w:val="-3"/>
              </w:rPr>
              <w:t>v </w:t>
            </w:r>
            <w:r>
              <w:rPr>
                <w:spacing w:val="-3"/>
              </w:rPr>
              <w:t>řadě (loni +2,6</w:t>
            </w:r>
            <w:r w:rsidR="006454CC">
              <w:rPr>
                <w:spacing w:val="-3"/>
              </w:rPr>
              <w:t> %</w:t>
            </w:r>
            <w:r>
              <w:rPr>
                <w:spacing w:val="-3"/>
              </w:rPr>
              <w:t>). Růst zde tradičně táhne dynamicky se rozvíjející segment skladování (od vstupu ČR do</w:t>
            </w:r>
            <w:r w:rsidR="00120BC1">
              <w:rPr>
                <w:spacing w:val="-3"/>
              </w:rPr>
              <w:t> </w:t>
            </w:r>
            <w:r>
              <w:rPr>
                <w:spacing w:val="-3"/>
              </w:rPr>
              <w:t>EU se počet pracovníků zvýšil dvaapůlkrát –</w:t>
            </w:r>
            <w:r w:rsidR="00120BC1">
              <w:rPr>
                <w:spacing w:val="-3"/>
              </w:rPr>
              <w:t> </w:t>
            </w:r>
            <w:r>
              <w:rPr>
                <w:spacing w:val="-3"/>
              </w:rPr>
              <w:t>až na 8</w:t>
            </w:r>
            <w:r w:rsidR="00D82A1E">
              <w:rPr>
                <w:spacing w:val="-3"/>
              </w:rPr>
              <w:t>6 </w:t>
            </w:r>
            <w:r>
              <w:rPr>
                <w:spacing w:val="-3"/>
              </w:rPr>
              <w:t xml:space="preserve">tis.). Od konce poslední recese přetrvává </w:t>
            </w:r>
            <w:r w:rsidR="00BC7833">
              <w:rPr>
                <w:spacing w:val="-3"/>
              </w:rPr>
              <w:t>i </w:t>
            </w:r>
            <w:r>
              <w:rPr>
                <w:spacing w:val="-3"/>
              </w:rPr>
              <w:t>mírný růst v klíčovém segmentu pozemní dopravy.</w:t>
            </w:r>
          </w:p>
        </w:tc>
      </w:tr>
      <w:tr w:rsidR="009E674A" w14:paraId="7C702992" w14:textId="77777777" w:rsidTr="006F668F">
        <w:trPr>
          <w:trHeight w:val="145"/>
        </w:trPr>
        <w:tc>
          <w:tcPr>
            <w:tcW w:w="1976" w:type="dxa"/>
            <w:tcBorders>
              <w:top w:val="nil"/>
              <w:left w:val="nil"/>
              <w:bottom w:val="nil"/>
              <w:right w:val="nil"/>
            </w:tcBorders>
          </w:tcPr>
          <w:p w14:paraId="26CE9625" w14:textId="77777777" w:rsidR="009E674A" w:rsidRDefault="009E674A" w:rsidP="006F668F">
            <w:pPr>
              <w:pStyle w:val="Marginlie"/>
            </w:pPr>
          </w:p>
        </w:tc>
        <w:tc>
          <w:tcPr>
            <w:tcW w:w="277" w:type="dxa"/>
            <w:tcBorders>
              <w:top w:val="nil"/>
              <w:left w:val="nil"/>
              <w:bottom w:val="nil"/>
              <w:right w:val="nil"/>
            </w:tcBorders>
          </w:tcPr>
          <w:p w14:paraId="5E62E261" w14:textId="77777777" w:rsidR="009E674A" w:rsidRPr="005E4483" w:rsidRDefault="009E674A" w:rsidP="006F668F">
            <w:pPr>
              <w:pStyle w:val="Textpoznpodarou"/>
              <w:jc w:val="both"/>
              <w:rPr>
                <w:spacing w:val="-4"/>
              </w:rPr>
            </w:pPr>
          </w:p>
        </w:tc>
        <w:tc>
          <w:tcPr>
            <w:tcW w:w="7391" w:type="dxa"/>
            <w:tcBorders>
              <w:top w:val="nil"/>
              <w:left w:val="nil"/>
              <w:bottom w:val="nil"/>
              <w:right w:val="nil"/>
            </w:tcBorders>
          </w:tcPr>
          <w:p w14:paraId="12939462" w14:textId="77777777" w:rsidR="009E674A" w:rsidRDefault="009E674A" w:rsidP="006F668F">
            <w:pPr>
              <w:spacing w:after="0"/>
              <w:rPr>
                <w:b/>
                <w:spacing w:val="-5"/>
              </w:rPr>
            </w:pPr>
            <w:r>
              <w:rPr>
                <w:b/>
                <w:spacing w:val="-5"/>
              </w:rPr>
              <w:t xml:space="preserve">Graf </w:t>
            </w:r>
            <w:r w:rsidR="00BA35F3">
              <w:rPr>
                <w:b/>
                <w:spacing w:val="-5"/>
              </w:rPr>
              <w:t>č. </w:t>
            </w:r>
            <w:r w:rsidR="00BC7833">
              <w:rPr>
                <w:b/>
                <w:spacing w:val="-5"/>
              </w:rPr>
              <w:t>6</w:t>
            </w:r>
            <w:r w:rsidR="009F47E7">
              <w:rPr>
                <w:b/>
                <w:spacing w:val="-5"/>
              </w:rPr>
              <w:t xml:space="preserve">  </w:t>
            </w:r>
            <w:r>
              <w:rPr>
                <w:b/>
                <w:spacing w:val="-5"/>
              </w:rPr>
              <w:t xml:space="preserve">Celková zaměstnanost ve službách </w:t>
            </w:r>
            <w:r w:rsidR="00BC7833">
              <w:rPr>
                <w:b/>
                <w:spacing w:val="-5"/>
              </w:rPr>
              <w:t>a </w:t>
            </w:r>
            <w:r>
              <w:rPr>
                <w:b/>
                <w:spacing w:val="-5"/>
              </w:rPr>
              <w:t>jejich dílčích odvětvích</w:t>
            </w:r>
          </w:p>
          <w:p w14:paraId="42B031B8" w14:textId="4D37B7E1" w:rsidR="009E674A" w:rsidRPr="00257FB1" w:rsidRDefault="009E674A" w:rsidP="006F668F">
            <w:pPr>
              <w:spacing w:after="0"/>
              <w:rPr>
                <w:spacing w:val="-5"/>
              </w:rPr>
            </w:pPr>
            <w:r w:rsidRPr="00977140">
              <w:rPr>
                <w:spacing w:val="-5"/>
              </w:rPr>
              <w:t>(</w:t>
            </w:r>
            <w:r>
              <w:rPr>
                <w:spacing w:val="-5"/>
              </w:rPr>
              <w:t>příspěvky k meziročnímu růstu v p.</w:t>
            </w:r>
            <w:r w:rsidR="00CE760D">
              <w:rPr>
                <w:spacing w:val="-5"/>
              </w:rPr>
              <w:t> </w:t>
            </w:r>
            <w:r>
              <w:rPr>
                <w:spacing w:val="-5"/>
              </w:rPr>
              <w:t>b.)</w:t>
            </w:r>
          </w:p>
        </w:tc>
      </w:tr>
      <w:tr w:rsidR="009E674A" w14:paraId="31BD38FF" w14:textId="77777777" w:rsidTr="00F37A7D">
        <w:tblPrEx>
          <w:tblCellMar>
            <w:left w:w="70" w:type="dxa"/>
            <w:right w:w="70" w:type="dxa"/>
          </w:tblCellMar>
        </w:tblPrEx>
        <w:trPr>
          <w:trHeight w:val="145"/>
        </w:trPr>
        <w:tc>
          <w:tcPr>
            <w:tcW w:w="1976" w:type="dxa"/>
            <w:tcBorders>
              <w:top w:val="nil"/>
              <w:left w:val="nil"/>
              <w:bottom w:val="nil"/>
              <w:right w:val="nil"/>
            </w:tcBorders>
          </w:tcPr>
          <w:p w14:paraId="75F7BC0C" w14:textId="77777777" w:rsidR="009E674A" w:rsidRDefault="009E674A" w:rsidP="006F668F">
            <w:pPr>
              <w:pStyle w:val="Marginlie"/>
            </w:pPr>
          </w:p>
        </w:tc>
        <w:tc>
          <w:tcPr>
            <w:tcW w:w="277" w:type="dxa"/>
            <w:tcBorders>
              <w:top w:val="nil"/>
              <w:left w:val="nil"/>
              <w:bottom w:val="nil"/>
              <w:right w:val="nil"/>
            </w:tcBorders>
          </w:tcPr>
          <w:p w14:paraId="3BF61BDC" w14:textId="77777777" w:rsidR="009E674A" w:rsidRPr="005E4483" w:rsidRDefault="009E674A" w:rsidP="006F668F">
            <w:pPr>
              <w:pStyle w:val="Textpoznpodarou"/>
              <w:jc w:val="both"/>
              <w:rPr>
                <w:spacing w:val="-4"/>
              </w:rPr>
            </w:pPr>
          </w:p>
        </w:tc>
        <w:tc>
          <w:tcPr>
            <w:tcW w:w="7391" w:type="dxa"/>
            <w:tcBorders>
              <w:top w:val="nil"/>
              <w:left w:val="nil"/>
              <w:bottom w:val="nil"/>
              <w:right w:val="nil"/>
            </w:tcBorders>
          </w:tcPr>
          <w:p w14:paraId="6B97985E" w14:textId="60DB9781" w:rsidR="009E674A" w:rsidRDefault="00F37A7D" w:rsidP="006F668F">
            <w:pPr>
              <w:spacing w:after="0"/>
            </w:pPr>
            <w:r>
              <w:rPr>
                <w:noProof/>
              </w:rPr>
              <w:drawing>
                <wp:inline distT="0" distB="0" distL="0" distR="0" wp14:anchorId="63501C82" wp14:editId="6FCD635A">
                  <wp:extent cx="4600531" cy="3503002"/>
                  <wp:effectExtent l="0" t="0" r="0" b="2540"/>
                  <wp:docPr id="43" name="Graf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tc>
      </w:tr>
      <w:tr w:rsidR="009E674A" w14:paraId="4E6D68E7" w14:textId="77777777" w:rsidTr="006F668F">
        <w:trPr>
          <w:trHeight w:val="145"/>
        </w:trPr>
        <w:tc>
          <w:tcPr>
            <w:tcW w:w="1976" w:type="dxa"/>
            <w:tcBorders>
              <w:top w:val="nil"/>
              <w:left w:val="nil"/>
              <w:bottom w:val="nil"/>
              <w:right w:val="nil"/>
            </w:tcBorders>
          </w:tcPr>
          <w:p w14:paraId="43406960" w14:textId="77777777" w:rsidR="009E674A" w:rsidRDefault="009E674A" w:rsidP="006F668F">
            <w:pPr>
              <w:pStyle w:val="Marginlie"/>
            </w:pPr>
          </w:p>
        </w:tc>
        <w:tc>
          <w:tcPr>
            <w:tcW w:w="277" w:type="dxa"/>
            <w:tcBorders>
              <w:top w:val="nil"/>
              <w:left w:val="nil"/>
              <w:bottom w:val="nil"/>
              <w:right w:val="nil"/>
            </w:tcBorders>
          </w:tcPr>
          <w:p w14:paraId="19176071" w14:textId="77777777" w:rsidR="009E674A" w:rsidRPr="005E4483" w:rsidRDefault="009E674A" w:rsidP="006F668F">
            <w:pPr>
              <w:pStyle w:val="Textpoznpodarou"/>
              <w:jc w:val="both"/>
              <w:rPr>
                <w:spacing w:val="-4"/>
              </w:rPr>
            </w:pPr>
          </w:p>
        </w:tc>
        <w:tc>
          <w:tcPr>
            <w:tcW w:w="7391" w:type="dxa"/>
            <w:tcBorders>
              <w:top w:val="nil"/>
              <w:left w:val="nil"/>
              <w:bottom w:val="nil"/>
              <w:right w:val="nil"/>
            </w:tcBorders>
          </w:tcPr>
          <w:p w14:paraId="30DB9D5A" w14:textId="77777777" w:rsidR="009E674A" w:rsidRDefault="009E674A" w:rsidP="006F668F">
            <w:pPr>
              <w:spacing w:after="0"/>
              <w:rPr>
                <w:rFonts w:cs="Arial"/>
                <w:sz w:val="14"/>
                <w:szCs w:val="14"/>
              </w:rPr>
            </w:pPr>
            <w:r>
              <w:rPr>
                <w:rFonts w:cs="Arial"/>
                <w:sz w:val="14"/>
                <w:szCs w:val="14"/>
              </w:rPr>
              <w:t xml:space="preserve">Poznámka: počet zaměstnaných je uveden </w:t>
            </w:r>
            <w:r w:rsidR="00BC7833">
              <w:rPr>
                <w:rFonts w:cs="Arial"/>
                <w:sz w:val="14"/>
                <w:szCs w:val="14"/>
              </w:rPr>
              <w:t>v </w:t>
            </w:r>
            <w:r>
              <w:rPr>
                <w:rFonts w:cs="Arial"/>
                <w:sz w:val="14"/>
                <w:szCs w:val="14"/>
              </w:rPr>
              <w:t>přepočtu na plnou pracovní dobu.</w:t>
            </w:r>
          </w:p>
          <w:p w14:paraId="7430586A" w14:textId="77777777" w:rsidR="009E674A" w:rsidRDefault="009E674A" w:rsidP="006F668F">
            <w:pPr>
              <w:spacing w:after="0"/>
              <w:rPr>
                <w:rFonts w:cs="Arial"/>
                <w:sz w:val="14"/>
                <w:szCs w:val="14"/>
              </w:rPr>
            </w:pPr>
            <w:r>
              <w:rPr>
                <w:rFonts w:cs="Arial"/>
                <w:sz w:val="14"/>
                <w:szCs w:val="14"/>
              </w:rPr>
              <w:t xml:space="preserve">* Ostatní odvětví služeb zahrnují: Činnosti v oblasti nemovitostí (CZ NACE L), Ostatní služby (S) </w:t>
            </w:r>
            <w:r w:rsidR="00BC7833">
              <w:rPr>
                <w:rFonts w:cs="Arial"/>
                <w:sz w:val="14"/>
                <w:szCs w:val="14"/>
              </w:rPr>
              <w:t>a </w:t>
            </w:r>
            <w:r>
              <w:rPr>
                <w:rFonts w:cs="Arial"/>
                <w:sz w:val="14"/>
                <w:szCs w:val="14"/>
              </w:rPr>
              <w:t>Činnost domácností jako zaměstnavatelů (T)</w:t>
            </w:r>
          </w:p>
          <w:p w14:paraId="7DBCC8B9" w14:textId="77777777" w:rsidR="009E674A" w:rsidRPr="00711FC2" w:rsidRDefault="009E674A" w:rsidP="006F668F">
            <w:pPr>
              <w:spacing w:after="220"/>
            </w:pPr>
            <w:r w:rsidRPr="00444E6D">
              <w:rPr>
                <w:rFonts w:cs="Arial"/>
                <w:sz w:val="14"/>
                <w:szCs w:val="14"/>
              </w:rPr>
              <w:t xml:space="preserve">Zdroj: </w:t>
            </w:r>
            <w:r>
              <w:rPr>
                <w:rFonts w:cs="Arial"/>
                <w:sz w:val="14"/>
                <w:szCs w:val="14"/>
              </w:rPr>
              <w:t>ČSÚ (národní účty)</w:t>
            </w:r>
          </w:p>
        </w:tc>
      </w:tr>
      <w:tr w:rsidR="009E674A" w14:paraId="7D928598" w14:textId="77777777" w:rsidTr="006F668F">
        <w:trPr>
          <w:trHeight w:val="145"/>
        </w:trPr>
        <w:tc>
          <w:tcPr>
            <w:tcW w:w="1976" w:type="dxa"/>
            <w:tcBorders>
              <w:top w:val="nil"/>
              <w:left w:val="nil"/>
              <w:bottom w:val="nil"/>
              <w:right w:val="nil"/>
            </w:tcBorders>
          </w:tcPr>
          <w:p w14:paraId="565E3DF5" w14:textId="77777777" w:rsidR="009E674A" w:rsidRDefault="009E674A" w:rsidP="006F668F">
            <w:pPr>
              <w:pStyle w:val="Marginlie"/>
            </w:pPr>
            <w:r>
              <w:t>Proti vyšší zaměstnanosti v ubytování, stravování a pohostinství působily sílící mzdové náklady spojené s navyšováním minimální mzdy.</w:t>
            </w:r>
          </w:p>
        </w:tc>
        <w:tc>
          <w:tcPr>
            <w:tcW w:w="277" w:type="dxa"/>
            <w:tcBorders>
              <w:top w:val="nil"/>
              <w:left w:val="nil"/>
              <w:bottom w:val="nil"/>
              <w:right w:val="nil"/>
            </w:tcBorders>
          </w:tcPr>
          <w:p w14:paraId="787BCA40" w14:textId="77777777" w:rsidR="009E674A" w:rsidRPr="005E4483" w:rsidRDefault="009E674A" w:rsidP="006F668F">
            <w:pPr>
              <w:pStyle w:val="Textpoznpodarou"/>
              <w:jc w:val="both"/>
              <w:rPr>
                <w:spacing w:val="-4"/>
              </w:rPr>
            </w:pPr>
          </w:p>
        </w:tc>
        <w:tc>
          <w:tcPr>
            <w:tcW w:w="7391" w:type="dxa"/>
            <w:tcBorders>
              <w:top w:val="nil"/>
              <w:left w:val="nil"/>
              <w:bottom w:val="nil"/>
              <w:right w:val="nil"/>
            </w:tcBorders>
          </w:tcPr>
          <w:p w14:paraId="400AE8D2" w14:textId="762C8BFA" w:rsidR="009E674A" w:rsidRDefault="009E674A" w:rsidP="006F668F">
            <w:pPr>
              <w:spacing w:after="220"/>
              <w:rPr>
                <w:spacing w:val="-3"/>
              </w:rPr>
            </w:pPr>
            <w:r>
              <w:rPr>
                <w:spacing w:val="-3"/>
              </w:rPr>
              <w:t xml:space="preserve">V ubytování, stravování </w:t>
            </w:r>
            <w:r w:rsidR="00BC7833">
              <w:rPr>
                <w:spacing w:val="-3"/>
              </w:rPr>
              <w:t>a </w:t>
            </w:r>
            <w:r>
              <w:rPr>
                <w:spacing w:val="-3"/>
              </w:rPr>
              <w:t xml:space="preserve">pohostinství zaměstnanost stagnovala a nenavázala tak na příznivější vývoj z období 2015 až 2017 (kdy rostla v průměru o 2 % ročně). Stalo se tak navzdory pokračujícím příznivým faktorům (růst kupní síly domácností, solidní dynamika příjezdového cestovního ruchu). V opačném směru působily rostoucí mzdové náklady, jejichž vliv byl v tomto „nízkovýdělkovém“ odvětví umocněn silnějším dopadem navyšování minimální mzdy. Roli hraje také tradičně vyšší fluktuace pracovníků v odvětví, která se projevila </w:t>
            </w:r>
            <w:r w:rsidR="00BC7833">
              <w:rPr>
                <w:spacing w:val="-3"/>
              </w:rPr>
              <w:t>i </w:t>
            </w:r>
            <w:r>
              <w:rPr>
                <w:spacing w:val="-3"/>
              </w:rPr>
              <w:t>ve větší oscilaci počtu sebezaměstnaných</w:t>
            </w:r>
            <w:r w:rsidR="0037734D">
              <w:rPr>
                <w:spacing w:val="-3"/>
              </w:rPr>
              <w:t xml:space="preserve"> – </w:t>
            </w:r>
            <w:r>
              <w:rPr>
                <w:spacing w:val="-3"/>
              </w:rPr>
              <w:t xml:space="preserve">zejména ve stravování </w:t>
            </w:r>
            <w:r w:rsidR="00BC7833">
              <w:rPr>
                <w:spacing w:val="-3"/>
              </w:rPr>
              <w:t>a </w:t>
            </w:r>
            <w:r>
              <w:rPr>
                <w:spacing w:val="-3"/>
              </w:rPr>
              <w:t xml:space="preserve">pohostinství. Rozkolísaný vývoj charakterizuje v posledních </w:t>
            </w:r>
            <w:r>
              <w:rPr>
                <w:spacing w:val="-3"/>
              </w:rPr>
              <w:lastRenderedPageBreak/>
              <w:t xml:space="preserve">letech rovněž zaměstnanost v peněžnictví </w:t>
            </w:r>
            <w:r w:rsidR="00BC7833">
              <w:rPr>
                <w:spacing w:val="-3"/>
              </w:rPr>
              <w:t>a </w:t>
            </w:r>
            <w:r>
              <w:rPr>
                <w:spacing w:val="-3"/>
              </w:rPr>
              <w:t>pojišťovnictví. Navzdory příznivým hospodářským výsledkům se počet pracovníků v tomto odvětví dlouhodobě příliš nezvyšoval</w:t>
            </w:r>
            <w:r w:rsidR="0037734D">
              <w:rPr>
                <w:spacing w:val="-3"/>
              </w:rPr>
              <w:t xml:space="preserve"> – </w:t>
            </w:r>
            <w:r>
              <w:rPr>
                <w:spacing w:val="-3"/>
              </w:rPr>
              <w:t xml:space="preserve">za posledních deset let narostl </w:t>
            </w:r>
            <w:r w:rsidR="00BC7833">
              <w:rPr>
                <w:spacing w:val="-3"/>
              </w:rPr>
              <w:t>o </w:t>
            </w:r>
            <w:r>
              <w:rPr>
                <w:spacing w:val="-3"/>
              </w:rPr>
              <w:t>3,9</w:t>
            </w:r>
            <w:r w:rsidR="006454CC">
              <w:rPr>
                <w:spacing w:val="-3"/>
              </w:rPr>
              <w:t> %</w:t>
            </w:r>
            <w:r>
              <w:rPr>
                <w:spacing w:val="-3"/>
              </w:rPr>
              <w:t>. Oproti konci poslední recese jako jediné z hlavních odvětví služeb dokonce svou zaměstnanost snížil</w:t>
            </w:r>
            <w:r w:rsidR="00E76AC9">
              <w:rPr>
                <w:spacing w:val="-3"/>
              </w:rPr>
              <w:t>o</w:t>
            </w:r>
            <w:r>
              <w:rPr>
                <w:spacing w:val="-3"/>
              </w:rPr>
              <w:t xml:space="preserve"> (</w:t>
            </w:r>
            <w:r w:rsidR="00BC7833">
              <w:rPr>
                <w:spacing w:val="-3"/>
              </w:rPr>
              <w:t>o </w:t>
            </w:r>
            <w:r>
              <w:rPr>
                <w:spacing w:val="-3"/>
              </w:rPr>
              <w:t>2</w:t>
            </w:r>
            <w:r w:rsidR="006454CC">
              <w:rPr>
                <w:spacing w:val="-3"/>
              </w:rPr>
              <w:t> %</w:t>
            </w:r>
            <w:r>
              <w:rPr>
                <w:spacing w:val="-3"/>
              </w:rPr>
              <w:t xml:space="preserve">). To mohlo souviset s tím, že </w:t>
            </w:r>
            <w:r>
              <w:t xml:space="preserve">v letech 2016 </w:t>
            </w:r>
            <w:r w:rsidR="00BC7833">
              <w:t>a </w:t>
            </w:r>
            <w:r>
              <w:t>2017 došlo v tomto odvětví k prudkému navýšení investic</w:t>
            </w:r>
            <w:r w:rsidR="00E76AC9">
              <w:t xml:space="preserve"> spojených</w:t>
            </w:r>
            <w:r>
              <w:t xml:space="preserve"> s technologickými změnami v oblasti finančních služeb.</w:t>
            </w:r>
          </w:p>
        </w:tc>
      </w:tr>
      <w:tr w:rsidR="009E674A" w14:paraId="7583C767" w14:textId="77777777" w:rsidTr="006F668F">
        <w:trPr>
          <w:trHeight w:val="145"/>
        </w:trPr>
        <w:tc>
          <w:tcPr>
            <w:tcW w:w="1976" w:type="dxa"/>
            <w:tcBorders>
              <w:top w:val="nil"/>
              <w:left w:val="nil"/>
              <w:bottom w:val="nil"/>
              <w:right w:val="nil"/>
            </w:tcBorders>
          </w:tcPr>
          <w:p w14:paraId="791C1918" w14:textId="77777777" w:rsidR="009E674A" w:rsidRDefault="009E674A" w:rsidP="006F668F">
            <w:pPr>
              <w:pStyle w:val="Marginlie"/>
            </w:pPr>
            <w:r>
              <w:lastRenderedPageBreak/>
              <w:t>Růst zaměstnanosti v odvětvích s převahou veřejného sektoru loni výrazně zvolnil.</w:t>
            </w:r>
          </w:p>
        </w:tc>
        <w:tc>
          <w:tcPr>
            <w:tcW w:w="277" w:type="dxa"/>
            <w:tcBorders>
              <w:top w:val="nil"/>
              <w:left w:val="nil"/>
              <w:bottom w:val="nil"/>
              <w:right w:val="nil"/>
            </w:tcBorders>
          </w:tcPr>
          <w:p w14:paraId="45FB97BE" w14:textId="77777777" w:rsidR="009E674A" w:rsidRPr="005E4483" w:rsidRDefault="009E674A" w:rsidP="006F668F">
            <w:pPr>
              <w:pStyle w:val="Textpoznpodarou"/>
              <w:jc w:val="both"/>
              <w:rPr>
                <w:spacing w:val="-4"/>
              </w:rPr>
            </w:pPr>
          </w:p>
        </w:tc>
        <w:tc>
          <w:tcPr>
            <w:tcW w:w="7391" w:type="dxa"/>
            <w:tcBorders>
              <w:top w:val="nil"/>
              <w:left w:val="nil"/>
              <w:bottom w:val="nil"/>
              <w:right w:val="nil"/>
            </w:tcBorders>
          </w:tcPr>
          <w:p w14:paraId="5FF92EC3" w14:textId="3F657DBA" w:rsidR="009E674A" w:rsidRDefault="009E674A" w:rsidP="006F668F">
            <w:pPr>
              <w:spacing w:after="0"/>
            </w:pPr>
            <w:r>
              <w:t>Zaměstnanost v odvětvích s převahou veřejného sektoru se po roce 2012 neustále zvyšovala. Loni růst výrazně oslabil (+0,7</w:t>
            </w:r>
            <w:r w:rsidR="006454CC">
              <w:t> %</w:t>
            </w:r>
            <w:r>
              <w:t>), zejména vlivem vysoké srovnávací základny (</w:t>
            </w:r>
            <w:r w:rsidR="00BC7833">
              <w:t>v </w:t>
            </w:r>
            <w:r>
              <w:t>roce 2017 přesáhl meziroční růst 3</w:t>
            </w:r>
            <w:r w:rsidR="006454CC">
              <w:t> %</w:t>
            </w:r>
            <w:r>
              <w:t xml:space="preserve"> </w:t>
            </w:r>
            <w:r w:rsidR="00BC7833">
              <w:t>a </w:t>
            </w:r>
            <w:r>
              <w:t>patřil v éře samostatné ČR vůbec k nejvyšším)</w:t>
            </w:r>
            <w:r>
              <w:rPr>
                <w:rStyle w:val="Znakapoznpodarou"/>
                <w:rFonts w:cs="Arial"/>
                <w:color w:val="0D0D0D" w:themeColor="text1" w:themeTint="F2"/>
                <w:spacing w:val="-4"/>
              </w:rPr>
              <w:footnoteReference w:id="17"/>
            </w:r>
            <w:r>
              <w:t>. Jestliže v roce 2017 přispívalo k vyšší zaměstnanosti ve veřejných službách nejvíce odvětví vzdělávání (kde přibylo 12,2 tis</w:t>
            </w:r>
            <w:r w:rsidR="00E76AC9">
              <w:t>.</w:t>
            </w:r>
            <w:r>
              <w:t xml:space="preserve"> pracovníků v přepočtu na plné úvazky), loni tuto roli převzala zdravotní a</w:t>
            </w:r>
            <w:r>
              <w:rPr>
                <w:spacing w:val="-3"/>
              </w:rPr>
              <w:t> </w:t>
            </w:r>
            <w:r>
              <w:t xml:space="preserve">sociální péče (+6,4 tis.). Za posledních deset let narostl počet pracovníků ve veřejných službách </w:t>
            </w:r>
            <w:r w:rsidR="00BC7833">
              <w:t>o </w:t>
            </w:r>
            <w:r>
              <w:t>8,0</w:t>
            </w:r>
            <w:r w:rsidR="006454CC">
              <w:t> %</w:t>
            </w:r>
            <w:r>
              <w:t xml:space="preserve">, </w:t>
            </w:r>
            <w:r w:rsidR="00BC7833">
              <w:t>v </w:t>
            </w:r>
            <w:r>
              <w:t xml:space="preserve">ostatních odvětvích služeb </w:t>
            </w:r>
            <w:r w:rsidR="00BC7833">
              <w:t>o </w:t>
            </w:r>
            <w:r>
              <w:t>5,8</w:t>
            </w:r>
            <w:r w:rsidR="006454CC">
              <w:t> %</w:t>
            </w:r>
            <w:r>
              <w:t xml:space="preserve"> </w:t>
            </w:r>
            <w:r w:rsidR="00BC7833">
              <w:t>a </w:t>
            </w:r>
            <w:r>
              <w:t xml:space="preserve">v celé ekonomice </w:t>
            </w:r>
            <w:r w:rsidR="00BC7833">
              <w:t>o </w:t>
            </w:r>
            <w:r>
              <w:t>3,1</w:t>
            </w:r>
            <w:r w:rsidR="006454CC">
              <w:t> %</w:t>
            </w:r>
            <w:r>
              <w:t>.</w:t>
            </w:r>
          </w:p>
        </w:tc>
      </w:tr>
    </w:tbl>
    <w:p w14:paraId="5B85AF14" w14:textId="77777777" w:rsidR="009E674A" w:rsidRPr="00EA394F" w:rsidRDefault="009E674A" w:rsidP="009E674A">
      <w:pPr>
        <w:rPr>
          <w:sz w:val="2"/>
          <w:szCs w:val="2"/>
        </w:rPr>
      </w:pPr>
    </w:p>
    <w:p w14:paraId="329A8B6D" w14:textId="77777777" w:rsidR="009E674A" w:rsidRPr="002A5986" w:rsidRDefault="009E674A" w:rsidP="009E674A">
      <w:pPr>
        <w:spacing w:after="0"/>
        <w:rPr>
          <w:rFonts w:eastAsia="MS Gothic"/>
          <w:b/>
          <w:bCs/>
          <w:color w:val="71818C"/>
          <w:sz w:val="28"/>
          <w:szCs w:val="28"/>
        </w:rPr>
      </w:pPr>
      <w:r>
        <w:rPr>
          <w:rFonts w:eastAsia="MS Gothic"/>
          <w:b/>
          <w:bCs/>
          <w:color w:val="71818C"/>
          <w:sz w:val="28"/>
          <w:szCs w:val="28"/>
        </w:rPr>
        <w:t>1.3. Produktivita práce</w:t>
      </w:r>
    </w:p>
    <w:tbl>
      <w:tblPr>
        <w:tblW w:w="9644" w:type="dxa"/>
        <w:tblInd w:w="-15" w:type="dxa"/>
        <w:tblLayout w:type="fixed"/>
        <w:tblCellMar>
          <w:left w:w="0" w:type="dxa"/>
          <w:right w:w="0" w:type="dxa"/>
        </w:tblCellMar>
        <w:tblLook w:val="00A0" w:firstRow="1" w:lastRow="0" w:firstColumn="1" w:lastColumn="0" w:noHBand="0" w:noVBand="0"/>
      </w:tblPr>
      <w:tblGrid>
        <w:gridCol w:w="1976"/>
        <w:gridCol w:w="277"/>
        <w:gridCol w:w="7391"/>
      </w:tblGrid>
      <w:tr w:rsidR="009E674A" w:rsidRPr="00257FB1" w14:paraId="7D67F5D9" w14:textId="77777777" w:rsidTr="006F668F">
        <w:trPr>
          <w:trHeight w:val="145"/>
        </w:trPr>
        <w:tc>
          <w:tcPr>
            <w:tcW w:w="1976" w:type="dxa"/>
          </w:tcPr>
          <w:p w14:paraId="6DE3A36B" w14:textId="77777777" w:rsidR="009E674A" w:rsidRDefault="009E674A" w:rsidP="006F668F">
            <w:pPr>
              <w:pStyle w:val="Marginlie"/>
            </w:pPr>
            <w:r>
              <w:t>Produktivita práce vyjádřená na pracovníka rostla loni druhým nejslabším tempem za posledních pět let.</w:t>
            </w:r>
          </w:p>
        </w:tc>
        <w:tc>
          <w:tcPr>
            <w:tcW w:w="277" w:type="dxa"/>
          </w:tcPr>
          <w:p w14:paraId="5101435F" w14:textId="77777777" w:rsidR="009E674A" w:rsidRPr="005E4483" w:rsidRDefault="009E674A" w:rsidP="006F668F">
            <w:pPr>
              <w:pStyle w:val="Textpoznpodarou"/>
              <w:jc w:val="both"/>
              <w:rPr>
                <w:spacing w:val="-4"/>
              </w:rPr>
            </w:pPr>
          </w:p>
        </w:tc>
        <w:tc>
          <w:tcPr>
            <w:tcW w:w="7391" w:type="dxa"/>
          </w:tcPr>
          <w:p w14:paraId="388264F6" w14:textId="2C50B894" w:rsidR="009E674A" w:rsidRPr="00257FB1" w:rsidRDefault="009E674A" w:rsidP="00744D09">
            <w:pPr>
              <w:spacing w:after="220"/>
              <w:rPr>
                <w:spacing w:val="-3"/>
              </w:rPr>
            </w:pPr>
            <w:r>
              <w:rPr>
                <w:spacing w:val="-3"/>
              </w:rPr>
              <w:t>Produktivita práce v tuzemské ekonomice nadále rostla. V reálném vyjádření, tj.</w:t>
            </w:r>
            <w:r w:rsidR="00A3694E">
              <w:rPr>
                <w:spacing w:val="-3"/>
              </w:rPr>
              <w:t> </w:t>
            </w:r>
            <w:r>
              <w:rPr>
                <w:spacing w:val="-3"/>
              </w:rPr>
              <w:t xml:space="preserve">po očištění </w:t>
            </w:r>
            <w:r w:rsidR="00BC7833">
              <w:rPr>
                <w:spacing w:val="-3"/>
              </w:rPr>
              <w:t>o </w:t>
            </w:r>
            <w:r>
              <w:rPr>
                <w:spacing w:val="-3"/>
              </w:rPr>
              <w:t xml:space="preserve">vliv cenových pohybů, se meziročně zvýšila </w:t>
            </w:r>
            <w:r w:rsidR="00BC7833">
              <w:rPr>
                <w:spacing w:val="-3"/>
              </w:rPr>
              <w:t>o </w:t>
            </w:r>
            <w:r>
              <w:rPr>
                <w:spacing w:val="-3"/>
              </w:rPr>
              <w:t>1,6</w:t>
            </w:r>
            <w:r w:rsidR="006454CC">
              <w:rPr>
                <w:spacing w:val="-3"/>
              </w:rPr>
              <w:t> %</w:t>
            </w:r>
            <w:r>
              <w:rPr>
                <w:rStyle w:val="Znakapoznpodarou"/>
                <w:rFonts w:cs="Arial"/>
                <w:color w:val="0D0D0D" w:themeColor="text1" w:themeTint="F2"/>
                <w:spacing w:val="-4"/>
              </w:rPr>
              <w:footnoteReference w:id="18"/>
            </w:r>
            <w:r>
              <w:rPr>
                <w:spacing w:val="-3"/>
              </w:rPr>
              <w:t>, druhým nejslabším tempem za posledních pět let. Zpomalení růstu oproti tempu z roku 2017 (</w:t>
            </w:r>
            <w:r w:rsidR="00BC7833">
              <w:rPr>
                <w:spacing w:val="-3"/>
              </w:rPr>
              <w:t>o </w:t>
            </w:r>
            <w:r>
              <w:rPr>
                <w:spacing w:val="-3"/>
              </w:rPr>
              <w:t>0,8</w:t>
            </w:r>
            <w:r w:rsidR="006454CC">
              <w:rPr>
                <w:spacing w:val="-3"/>
              </w:rPr>
              <w:t> p. b.</w:t>
            </w:r>
            <w:r>
              <w:rPr>
                <w:spacing w:val="-3"/>
              </w:rPr>
              <w:t xml:space="preserve">) šlo z drtivé části na vrub slabšího výkonu celé ekonomiky, neboť dynamika fyzického počtu pracovníků se fakticky nezměnila. </w:t>
            </w:r>
          </w:p>
        </w:tc>
      </w:tr>
      <w:tr w:rsidR="009E674A" w14:paraId="651E6DB1" w14:textId="77777777" w:rsidTr="006F668F">
        <w:trPr>
          <w:trHeight w:val="145"/>
        </w:trPr>
        <w:tc>
          <w:tcPr>
            <w:tcW w:w="1976" w:type="dxa"/>
          </w:tcPr>
          <w:p w14:paraId="184F86C9" w14:textId="77777777" w:rsidR="009E674A" w:rsidRDefault="009E674A" w:rsidP="006F668F">
            <w:pPr>
              <w:pStyle w:val="Marginlie"/>
            </w:pPr>
          </w:p>
        </w:tc>
        <w:tc>
          <w:tcPr>
            <w:tcW w:w="277" w:type="dxa"/>
          </w:tcPr>
          <w:p w14:paraId="3DF297B9" w14:textId="77777777" w:rsidR="009E674A" w:rsidRPr="005E4483" w:rsidRDefault="009E674A" w:rsidP="006F668F">
            <w:pPr>
              <w:pStyle w:val="Textpoznpodarou"/>
              <w:jc w:val="both"/>
              <w:rPr>
                <w:spacing w:val="-4"/>
              </w:rPr>
            </w:pPr>
          </w:p>
        </w:tc>
        <w:tc>
          <w:tcPr>
            <w:tcW w:w="7391" w:type="dxa"/>
          </w:tcPr>
          <w:p w14:paraId="1EB371B8" w14:textId="0D84C26A" w:rsidR="009E674A" w:rsidRDefault="009E674A" w:rsidP="006F668F">
            <w:pPr>
              <w:spacing w:after="0"/>
              <w:jc w:val="left"/>
            </w:pPr>
            <w:r>
              <w:rPr>
                <w:b/>
                <w:spacing w:val="-4"/>
              </w:rPr>
              <w:t xml:space="preserve">Graf </w:t>
            </w:r>
            <w:r w:rsidR="00BA35F3">
              <w:rPr>
                <w:b/>
                <w:spacing w:val="-4"/>
              </w:rPr>
              <w:t>č. </w:t>
            </w:r>
            <w:r w:rsidR="00BC7833">
              <w:rPr>
                <w:b/>
                <w:spacing w:val="-4"/>
              </w:rPr>
              <w:t>7</w:t>
            </w:r>
            <w:r w:rsidR="009F47E7">
              <w:rPr>
                <w:b/>
                <w:spacing w:val="-4"/>
              </w:rPr>
              <w:t xml:space="preserve">  </w:t>
            </w:r>
            <w:r>
              <w:rPr>
                <w:b/>
                <w:spacing w:val="-4"/>
              </w:rPr>
              <w:t>Reálná p</w:t>
            </w:r>
            <w:r>
              <w:rPr>
                <w:b/>
              </w:rPr>
              <w:t xml:space="preserve">roduktivita práce v národním hospodářství </w:t>
            </w:r>
            <w:r w:rsidRPr="006C1F6D">
              <w:t>(</w:t>
            </w:r>
            <w:r>
              <w:t>meziročně v</w:t>
            </w:r>
            <w:r w:rsidR="006454CC">
              <w:t> %</w:t>
            </w:r>
            <w:r>
              <w:t>)</w:t>
            </w:r>
            <w:r>
              <w:rPr>
                <w:b/>
              </w:rPr>
              <w:t xml:space="preserve"> a v průmyslu a tržních službách* </w:t>
            </w:r>
            <w:r w:rsidRPr="006C1F6D">
              <w:t>(</w:t>
            </w:r>
            <w:r>
              <w:t>úroveň roku 2010</w:t>
            </w:r>
            <w:r w:rsidR="00E141B6">
              <w:t xml:space="preserve"> </w:t>
            </w:r>
            <w:r>
              <w:t>=</w:t>
            </w:r>
            <w:r w:rsidR="00E141B6">
              <w:t xml:space="preserve"> </w:t>
            </w:r>
            <w:r>
              <w:t>100, pravá osa)</w:t>
            </w:r>
          </w:p>
        </w:tc>
      </w:tr>
      <w:tr w:rsidR="009E674A" w14:paraId="42047488" w14:textId="77777777" w:rsidTr="00137548">
        <w:tblPrEx>
          <w:tblCellMar>
            <w:left w:w="70" w:type="dxa"/>
            <w:right w:w="70" w:type="dxa"/>
          </w:tblCellMar>
        </w:tblPrEx>
        <w:trPr>
          <w:trHeight w:val="145"/>
        </w:trPr>
        <w:tc>
          <w:tcPr>
            <w:tcW w:w="1976" w:type="dxa"/>
          </w:tcPr>
          <w:p w14:paraId="5B6314F0" w14:textId="77777777" w:rsidR="009E674A" w:rsidRDefault="009E674A" w:rsidP="006F668F">
            <w:pPr>
              <w:pStyle w:val="Marginlie"/>
            </w:pPr>
          </w:p>
        </w:tc>
        <w:tc>
          <w:tcPr>
            <w:tcW w:w="277" w:type="dxa"/>
          </w:tcPr>
          <w:p w14:paraId="03271BC6" w14:textId="77777777" w:rsidR="009E674A" w:rsidRPr="005E4483" w:rsidRDefault="009E674A" w:rsidP="006F668F">
            <w:pPr>
              <w:pStyle w:val="Textpoznpodarou"/>
              <w:jc w:val="both"/>
              <w:rPr>
                <w:spacing w:val="-4"/>
              </w:rPr>
            </w:pPr>
          </w:p>
        </w:tc>
        <w:tc>
          <w:tcPr>
            <w:tcW w:w="7391" w:type="dxa"/>
          </w:tcPr>
          <w:p w14:paraId="0E613394" w14:textId="5B0965FD" w:rsidR="009E674A" w:rsidRDefault="00137548" w:rsidP="006F668F">
            <w:pPr>
              <w:spacing w:after="0"/>
            </w:pPr>
            <w:r>
              <w:rPr>
                <w:noProof/>
              </w:rPr>
              <w:drawing>
                <wp:inline distT="0" distB="0" distL="0" distR="0" wp14:anchorId="129A804B" wp14:editId="25227711">
                  <wp:extent cx="4562004" cy="3557358"/>
                  <wp:effectExtent l="0" t="0" r="0" b="5080"/>
                  <wp:docPr id="44" name="Graf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tc>
      </w:tr>
      <w:tr w:rsidR="009E674A" w:rsidRPr="00711FC2" w14:paraId="24872158" w14:textId="77777777" w:rsidTr="006F668F">
        <w:trPr>
          <w:trHeight w:val="145"/>
        </w:trPr>
        <w:tc>
          <w:tcPr>
            <w:tcW w:w="1976" w:type="dxa"/>
          </w:tcPr>
          <w:p w14:paraId="3FF765FD" w14:textId="77777777" w:rsidR="009E674A" w:rsidRDefault="009E674A" w:rsidP="006F668F">
            <w:pPr>
              <w:pStyle w:val="Marginlie"/>
            </w:pPr>
          </w:p>
        </w:tc>
        <w:tc>
          <w:tcPr>
            <w:tcW w:w="277" w:type="dxa"/>
          </w:tcPr>
          <w:p w14:paraId="111079EC" w14:textId="77777777" w:rsidR="009E674A" w:rsidRPr="005E4483" w:rsidRDefault="009E674A" w:rsidP="006F668F">
            <w:pPr>
              <w:pStyle w:val="Textpoznpodarou"/>
              <w:jc w:val="both"/>
              <w:rPr>
                <w:spacing w:val="-4"/>
              </w:rPr>
            </w:pPr>
          </w:p>
        </w:tc>
        <w:tc>
          <w:tcPr>
            <w:tcW w:w="7391" w:type="dxa"/>
          </w:tcPr>
          <w:p w14:paraId="40221280" w14:textId="77777777" w:rsidR="009E674A" w:rsidRPr="00BF6C37" w:rsidRDefault="009E674A" w:rsidP="006F668F">
            <w:pPr>
              <w:spacing w:after="0"/>
              <w:rPr>
                <w:rFonts w:cs="Arial"/>
                <w:sz w:val="14"/>
                <w:szCs w:val="14"/>
              </w:rPr>
            </w:pPr>
            <w:r>
              <w:rPr>
                <w:rFonts w:cs="Arial"/>
                <w:sz w:val="14"/>
                <w:szCs w:val="14"/>
              </w:rPr>
              <w:t xml:space="preserve">*Zahrnuje všechna odvětví služeb vyjma sekcí: </w:t>
            </w:r>
            <w:r w:rsidRPr="00BF6C37">
              <w:rPr>
                <w:rFonts w:cs="Arial"/>
                <w:sz w:val="14"/>
                <w:szCs w:val="14"/>
              </w:rPr>
              <w:t xml:space="preserve">Veřejná správa </w:t>
            </w:r>
            <w:r w:rsidR="00BC7833" w:rsidRPr="00BF6C37">
              <w:rPr>
                <w:rFonts w:cs="Arial"/>
                <w:sz w:val="14"/>
                <w:szCs w:val="14"/>
              </w:rPr>
              <w:t>a</w:t>
            </w:r>
            <w:r w:rsidR="00BC7833">
              <w:rPr>
                <w:rFonts w:cs="Arial"/>
                <w:sz w:val="14"/>
                <w:szCs w:val="14"/>
              </w:rPr>
              <w:t> </w:t>
            </w:r>
            <w:r w:rsidRPr="00BF6C37">
              <w:rPr>
                <w:rFonts w:cs="Arial"/>
                <w:sz w:val="14"/>
                <w:szCs w:val="14"/>
              </w:rPr>
              <w:t>obrana; povinné sociální zabezpečení</w:t>
            </w:r>
            <w:r>
              <w:rPr>
                <w:rFonts w:cs="Arial"/>
                <w:sz w:val="14"/>
                <w:szCs w:val="14"/>
                <w:lang w:val="en-US"/>
              </w:rPr>
              <w:t>;</w:t>
            </w:r>
            <w:r>
              <w:rPr>
                <w:rFonts w:cs="Arial"/>
                <w:sz w:val="14"/>
                <w:szCs w:val="14"/>
              </w:rPr>
              <w:t xml:space="preserve"> </w:t>
            </w:r>
            <w:r w:rsidRPr="00BF6C37">
              <w:rPr>
                <w:rFonts w:cs="Arial"/>
                <w:sz w:val="14"/>
                <w:szCs w:val="14"/>
              </w:rPr>
              <w:t>Vzdělávání</w:t>
            </w:r>
            <w:r>
              <w:rPr>
                <w:rFonts w:cs="Arial"/>
                <w:sz w:val="14"/>
                <w:szCs w:val="14"/>
                <w:lang w:val="en-US"/>
              </w:rPr>
              <w:t xml:space="preserve">; </w:t>
            </w:r>
            <w:r w:rsidRPr="00BF6C37">
              <w:rPr>
                <w:rFonts w:cs="Arial"/>
                <w:sz w:val="14"/>
                <w:szCs w:val="14"/>
              </w:rPr>
              <w:t xml:space="preserve">Zdravotní </w:t>
            </w:r>
            <w:r w:rsidR="00BC7833" w:rsidRPr="00BF6C37">
              <w:rPr>
                <w:rFonts w:cs="Arial"/>
                <w:sz w:val="14"/>
                <w:szCs w:val="14"/>
              </w:rPr>
              <w:t>a</w:t>
            </w:r>
            <w:r w:rsidR="00BC7833">
              <w:rPr>
                <w:rFonts w:cs="Arial"/>
                <w:sz w:val="14"/>
                <w:szCs w:val="14"/>
              </w:rPr>
              <w:t> </w:t>
            </w:r>
            <w:r w:rsidRPr="00BF6C37">
              <w:rPr>
                <w:rFonts w:cs="Arial"/>
                <w:sz w:val="14"/>
                <w:szCs w:val="14"/>
              </w:rPr>
              <w:t>sociální péče</w:t>
            </w:r>
            <w:r>
              <w:rPr>
                <w:rFonts w:cs="Arial"/>
                <w:sz w:val="14"/>
                <w:szCs w:val="14"/>
                <w:lang w:val="en-US"/>
              </w:rPr>
              <w:t xml:space="preserve">; </w:t>
            </w:r>
            <w:r w:rsidRPr="00BF6C37">
              <w:rPr>
                <w:rFonts w:cs="Arial"/>
                <w:sz w:val="14"/>
                <w:szCs w:val="14"/>
              </w:rPr>
              <w:t xml:space="preserve">Kulturní, zábavní </w:t>
            </w:r>
            <w:r w:rsidR="00BC7833" w:rsidRPr="00BF6C37">
              <w:rPr>
                <w:rFonts w:cs="Arial"/>
                <w:sz w:val="14"/>
                <w:szCs w:val="14"/>
              </w:rPr>
              <w:t>a</w:t>
            </w:r>
            <w:r w:rsidR="00BC7833">
              <w:rPr>
                <w:rFonts w:cs="Arial"/>
                <w:sz w:val="14"/>
                <w:szCs w:val="14"/>
              </w:rPr>
              <w:t> </w:t>
            </w:r>
            <w:r w:rsidRPr="00BF6C37">
              <w:rPr>
                <w:rFonts w:cs="Arial"/>
                <w:sz w:val="14"/>
                <w:szCs w:val="14"/>
              </w:rPr>
              <w:t>r</w:t>
            </w:r>
            <w:r>
              <w:rPr>
                <w:rFonts w:cs="Arial"/>
                <w:sz w:val="14"/>
                <w:szCs w:val="14"/>
              </w:rPr>
              <w:t xml:space="preserve">ekreační </w:t>
            </w:r>
            <w:r w:rsidRPr="00BF6C37">
              <w:rPr>
                <w:rFonts w:cs="Arial"/>
                <w:sz w:val="14"/>
                <w:szCs w:val="14"/>
              </w:rPr>
              <w:t>činnosti.</w:t>
            </w:r>
          </w:p>
          <w:p w14:paraId="762C8214" w14:textId="77777777" w:rsidR="009E674A" w:rsidRPr="00711FC2" w:rsidRDefault="009E674A" w:rsidP="00744D09">
            <w:pPr>
              <w:spacing w:after="200"/>
            </w:pPr>
            <w:r w:rsidRPr="00444E6D">
              <w:rPr>
                <w:rFonts w:cs="Arial"/>
                <w:sz w:val="14"/>
                <w:szCs w:val="14"/>
              </w:rPr>
              <w:t xml:space="preserve">Zdroj: </w:t>
            </w:r>
            <w:r>
              <w:rPr>
                <w:rFonts w:cs="Arial"/>
                <w:sz w:val="14"/>
                <w:szCs w:val="14"/>
              </w:rPr>
              <w:t>ČSÚ (národní účty)</w:t>
            </w:r>
          </w:p>
        </w:tc>
      </w:tr>
      <w:tr w:rsidR="00744D09" w:rsidRPr="00711FC2" w14:paraId="1CCC6CC0" w14:textId="77777777" w:rsidTr="006F668F">
        <w:trPr>
          <w:trHeight w:val="145"/>
        </w:trPr>
        <w:tc>
          <w:tcPr>
            <w:tcW w:w="1976" w:type="dxa"/>
          </w:tcPr>
          <w:p w14:paraId="1057A6A7" w14:textId="77777777" w:rsidR="00744D09" w:rsidRDefault="00744D09" w:rsidP="006F668F">
            <w:pPr>
              <w:pStyle w:val="Marginlie"/>
            </w:pPr>
          </w:p>
        </w:tc>
        <w:tc>
          <w:tcPr>
            <w:tcW w:w="277" w:type="dxa"/>
          </w:tcPr>
          <w:p w14:paraId="0DA11CD4" w14:textId="77777777" w:rsidR="00744D09" w:rsidRPr="005E4483" w:rsidRDefault="00744D09" w:rsidP="006F668F">
            <w:pPr>
              <w:pStyle w:val="Textpoznpodarou"/>
              <w:jc w:val="both"/>
              <w:rPr>
                <w:spacing w:val="-4"/>
              </w:rPr>
            </w:pPr>
          </w:p>
        </w:tc>
        <w:tc>
          <w:tcPr>
            <w:tcW w:w="7391" w:type="dxa"/>
          </w:tcPr>
          <w:p w14:paraId="78DBA16B" w14:textId="6256E88D" w:rsidR="00744D09" w:rsidRDefault="00744D09" w:rsidP="006F668F">
            <w:pPr>
              <w:spacing w:after="220"/>
              <w:rPr>
                <w:rFonts w:cs="Arial"/>
                <w:szCs w:val="20"/>
              </w:rPr>
            </w:pPr>
            <w:r>
              <w:rPr>
                <w:spacing w:val="-3"/>
              </w:rPr>
              <w:t>Méně příznivě se v posledních letech vyvíjela hodinová produktivita práce. Ta se v roce 2016 dokonce mírně snížila (o 0,4 %) a zaznamenala tak jediný meziroční pokles při současném hospodářském růstu v celé dostupné časové řadě (od roku 1995)</w:t>
            </w:r>
            <w:r>
              <w:rPr>
                <w:rStyle w:val="Znakapoznpodarou"/>
                <w:rFonts w:cs="Arial"/>
                <w:color w:val="0D0D0D" w:themeColor="text1" w:themeTint="F2"/>
                <w:spacing w:val="-4"/>
              </w:rPr>
              <w:footnoteReference w:id="19"/>
            </w:r>
            <w:r>
              <w:rPr>
                <w:spacing w:val="-3"/>
              </w:rPr>
              <w:t>.</w:t>
            </w:r>
          </w:p>
        </w:tc>
      </w:tr>
      <w:tr w:rsidR="009E674A" w:rsidRPr="00711FC2" w14:paraId="32D6ED0E" w14:textId="77777777" w:rsidTr="006F668F">
        <w:trPr>
          <w:trHeight w:val="145"/>
        </w:trPr>
        <w:tc>
          <w:tcPr>
            <w:tcW w:w="1976" w:type="dxa"/>
          </w:tcPr>
          <w:p w14:paraId="6F16EBFB" w14:textId="77777777" w:rsidR="009E674A" w:rsidRDefault="009E674A" w:rsidP="006F668F">
            <w:pPr>
              <w:pStyle w:val="Marginlie"/>
            </w:pPr>
            <w:r>
              <w:t>Růstové tempo hodinové produktivity práce v období 2014 až 2018 bylo oproti konjunkturnímu pětiletí minulé dekády poloviční.</w:t>
            </w:r>
          </w:p>
        </w:tc>
        <w:tc>
          <w:tcPr>
            <w:tcW w:w="277" w:type="dxa"/>
          </w:tcPr>
          <w:p w14:paraId="5D67F32B" w14:textId="77777777" w:rsidR="009E674A" w:rsidRPr="005E4483" w:rsidRDefault="009E674A" w:rsidP="006F668F">
            <w:pPr>
              <w:pStyle w:val="Textpoznpodarou"/>
              <w:jc w:val="both"/>
              <w:rPr>
                <w:spacing w:val="-4"/>
              </w:rPr>
            </w:pPr>
          </w:p>
        </w:tc>
        <w:tc>
          <w:tcPr>
            <w:tcW w:w="7391" w:type="dxa"/>
          </w:tcPr>
          <w:p w14:paraId="77E8A38A" w14:textId="0DC5C194" w:rsidR="009E674A" w:rsidRPr="00CD2AB9" w:rsidRDefault="00BC7833" w:rsidP="006F668F">
            <w:pPr>
              <w:spacing w:after="220"/>
              <w:rPr>
                <w:rFonts w:cs="Arial"/>
                <w:szCs w:val="20"/>
              </w:rPr>
            </w:pPr>
            <w:r>
              <w:rPr>
                <w:rFonts w:cs="Arial"/>
                <w:szCs w:val="20"/>
              </w:rPr>
              <w:t>V </w:t>
            </w:r>
            <w:r w:rsidR="009E674A" w:rsidRPr="00CD2AB9">
              <w:rPr>
                <w:spacing w:val="-3"/>
              </w:rPr>
              <w:t>současném ob</w:t>
            </w:r>
            <w:r w:rsidR="009E674A">
              <w:rPr>
                <w:spacing w:val="-3"/>
              </w:rPr>
              <w:t xml:space="preserve">dobí růstu ekonomiky orámovaném roky 2014 </w:t>
            </w:r>
            <w:r>
              <w:rPr>
                <w:spacing w:val="-3"/>
              </w:rPr>
              <w:t>a </w:t>
            </w:r>
            <w:r w:rsidR="009E674A">
              <w:rPr>
                <w:spacing w:val="-3"/>
              </w:rPr>
              <w:t>2018 se souhrnná</w:t>
            </w:r>
            <w:r w:rsidR="009E674A" w:rsidRPr="00CD2AB9">
              <w:rPr>
                <w:spacing w:val="-3"/>
              </w:rPr>
              <w:t xml:space="preserve"> hodinová produktivita práce</w:t>
            </w:r>
            <w:r w:rsidR="009E674A">
              <w:rPr>
                <w:rStyle w:val="Znakapoznpodarou"/>
                <w:rFonts w:cs="Arial"/>
                <w:color w:val="0D0D0D" w:themeColor="text1" w:themeTint="F2"/>
                <w:spacing w:val="-4"/>
              </w:rPr>
              <w:footnoteReference w:id="20"/>
            </w:r>
            <w:r w:rsidR="009E674A" w:rsidRPr="00CD2AB9">
              <w:rPr>
                <w:spacing w:val="-3"/>
              </w:rPr>
              <w:t xml:space="preserve"> zvyšovala průměrným ročním tempem 2,0</w:t>
            </w:r>
            <w:r w:rsidR="006454CC">
              <w:rPr>
                <w:spacing w:val="-3"/>
              </w:rPr>
              <w:t> %</w:t>
            </w:r>
            <w:r w:rsidR="009E674A" w:rsidRPr="00CD2AB9">
              <w:rPr>
                <w:spacing w:val="-3"/>
              </w:rPr>
              <w:t>. V konjunkturním období 2004</w:t>
            </w:r>
            <w:r w:rsidR="009E674A">
              <w:rPr>
                <w:spacing w:val="-3"/>
              </w:rPr>
              <w:t>–2008 bylo ale</w:t>
            </w:r>
            <w:r w:rsidR="009E674A" w:rsidRPr="00CD2AB9">
              <w:rPr>
                <w:spacing w:val="-3"/>
              </w:rPr>
              <w:t xml:space="preserve"> d</w:t>
            </w:r>
            <w:r w:rsidR="009E674A">
              <w:rPr>
                <w:spacing w:val="-3"/>
              </w:rPr>
              <w:t>osaženo dvojnásobné dynamiky, o</w:t>
            </w:r>
            <w:r w:rsidR="009E674A" w:rsidRPr="00CD2AB9">
              <w:rPr>
                <w:spacing w:val="-3"/>
              </w:rPr>
              <w:t> což se zasloužil</w:t>
            </w:r>
            <w:r w:rsidR="009E674A">
              <w:rPr>
                <w:spacing w:val="-3"/>
              </w:rPr>
              <w:t>y</w:t>
            </w:r>
            <w:r w:rsidR="009E674A" w:rsidRPr="00CD2AB9">
              <w:rPr>
                <w:spacing w:val="-3"/>
              </w:rPr>
              <w:t xml:space="preserve"> hlavně zpracovatelský průmy</w:t>
            </w:r>
            <w:r w:rsidR="009E674A">
              <w:rPr>
                <w:spacing w:val="-3"/>
              </w:rPr>
              <w:t xml:space="preserve">sl </w:t>
            </w:r>
            <w:r>
              <w:rPr>
                <w:spacing w:val="-3"/>
              </w:rPr>
              <w:t>a </w:t>
            </w:r>
            <w:r w:rsidR="009E674A">
              <w:rPr>
                <w:spacing w:val="-3"/>
              </w:rPr>
              <w:t>finanční sektor. V</w:t>
            </w:r>
            <w:r w:rsidR="009E674A" w:rsidRPr="00CD2AB9">
              <w:rPr>
                <w:spacing w:val="-3"/>
              </w:rPr>
              <w:t> následujícím pětiletí</w:t>
            </w:r>
            <w:r w:rsidR="009E674A">
              <w:rPr>
                <w:spacing w:val="-3"/>
              </w:rPr>
              <w:t>,</w:t>
            </w:r>
            <w:r w:rsidR="009E674A" w:rsidRPr="00CD2AB9">
              <w:rPr>
                <w:spacing w:val="-3"/>
              </w:rPr>
              <w:t xml:space="preserve"> vyplněném dvěma obdobími recese</w:t>
            </w:r>
            <w:r w:rsidR="009E674A">
              <w:rPr>
                <w:spacing w:val="-3"/>
              </w:rPr>
              <w:t>,</w:t>
            </w:r>
            <w:r w:rsidR="009E674A" w:rsidRPr="00CD2AB9">
              <w:rPr>
                <w:spacing w:val="-3"/>
              </w:rPr>
              <w:t xml:space="preserve"> došlo </w:t>
            </w:r>
            <w:r w:rsidRPr="00CD2AB9">
              <w:rPr>
                <w:spacing w:val="-3"/>
              </w:rPr>
              <w:t>u</w:t>
            </w:r>
            <w:r>
              <w:rPr>
                <w:spacing w:val="-3"/>
              </w:rPr>
              <w:t> </w:t>
            </w:r>
            <w:r w:rsidR="009E674A" w:rsidRPr="00CD2AB9">
              <w:rPr>
                <w:spacing w:val="-3"/>
              </w:rPr>
              <w:t>produktivity práce v celé ekonomice jen k minimálním posunům (+0,3</w:t>
            </w:r>
            <w:r w:rsidR="006454CC">
              <w:rPr>
                <w:spacing w:val="-3"/>
              </w:rPr>
              <w:t> %</w:t>
            </w:r>
            <w:r w:rsidR="009E674A" w:rsidRPr="00CD2AB9">
              <w:rPr>
                <w:spacing w:val="-3"/>
              </w:rPr>
              <w:t>). Jestliže v reálném vyjádření znamenala jedna</w:t>
            </w:r>
            <w:r w:rsidR="00A3694E">
              <w:rPr>
                <w:spacing w:val="-3"/>
              </w:rPr>
              <w:t xml:space="preserve"> </w:t>
            </w:r>
            <w:r w:rsidR="009E674A" w:rsidRPr="00CD2AB9">
              <w:rPr>
                <w:spacing w:val="-3"/>
              </w:rPr>
              <w:t>odpracovaná hodina v ekonomice v roce 2005 vytvořenou hodnotu ve výši 39</w:t>
            </w:r>
            <w:r w:rsidR="00D82A1E" w:rsidRPr="00CD2AB9">
              <w:rPr>
                <w:spacing w:val="-3"/>
              </w:rPr>
              <w:t>3</w:t>
            </w:r>
            <w:r w:rsidR="00D82A1E">
              <w:rPr>
                <w:spacing w:val="-3"/>
              </w:rPr>
              <w:t> </w:t>
            </w:r>
            <w:r w:rsidR="009E674A" w:rsidRPr="00CD2AB9">
              <w:rPr>
                <w:spacing w:val="-3"/>
              </w:rPr>
              <w:t>korun, v roce 2018 již</w:t>
            </w:r>
            <w:r w:rsidR="00A3694E">
              <w:rPr>
                <w:spacing w:val="-3"/>
              </w:rPr>
              <w:t xml:space="preserve"> </w:t>
            </w:r>
            <w:r w:rsidR="009E674A" w:rsidRPr="00CD2AB9">
              <w:rPr>
                <w:spacing w:val="-3"/>
              </w:rPr>
              <w:t xml:space="preserve">490 korun. Jednalo se tak </w:t>
            </w:r>
            <w:r w:rsidRPr="00CD2AB9">
              <w:rPr>
                <w:spacing w:val="-3"/>
              </w:rPr>
              <w:t>o</w:t>
            </w:r>
            <w:r>
              <w:rPr>
                <w:spacing w:val="-3"/>
              </w:rPr>
              <w:t> </w:t>
            </w:r>
            <w:r w:rsidR="009E674A" w:rsidRPr="00CD2AB9">
              <w:rPr>
                <w:spacing w:val="-3"/>
              </w:rPr>
              <w:t xml:space="preserve">souhrnný nárůst </w:t>
            </w:r>
            <w:r w:rsidR="009E674A">
              <w:rPr>
                <w:spacing w:val="-3"/>
              </w:rPr>
              <w:t>o</w:t>
            </w:r>
            <w:r w:rsidR="009E674A" w:rsidRPr="00CD2AB9">
              <w:rPr>
                <w:spacing w:val="-3"/>
              </w:rPr>
              <w:t> necelou čtvrtinu.</w:t>
            </w:r>
          </w:p>
        </w:tc>
      </w:tr>
      <w:tr w:rsidR="009E674A" w:rsidRPr="00711FC2" w14:paraId="32D9CF2C" w14:textId="77777777" w:rsidTr="006F668F">
        <w:trPr>
          <w:trHeight w:val="145"/>
        </w:trPr>
        <w:tc>
          <w:tcPr>
            <w:tcW w:w="1976" w:type="dxa"/>
          </w:tcPr>
          <w:p w14:paraId="5A9D1D5E" w14:textId="0C132A0C" w:rsidR="009E674A" w:rsidRDefault="009E674A" w:rsidP="006F668F">
            <w:pPr>
              <w:pStyle w:val="Marginlie"/>
            </w:pPr>
            <w:r>
              <w:t xml:space="preserve">Hodinová produktivita práce se v roce 2018 zvýšila nejvíce v odvětví dopravy a skladování </w:t>
            </w:r>
            <w:r w:rsidR="00BC7833">
              <w:t>a </w:t>
            </w:r>
            <w:r>
              <w:t xml:space="preserve">také v informačních </w:t>
            </w:r>
            <w:r w:rsidR="00A3694E">
              <w:t>a</w:t>
            </w:r>
            <w:r>
              <w:t> komunikačních činnostech,…</w:t>
            </w:r>
          </w:p>
        </w:tc>
        <w:tc>
          <w:tcPr>
            <w:tcW w:w="277" w:type="dxa"/>
          </w:tcPr>
          <w:p w14:paraId="587C9320" w14:textId="77777777" w:rsidR="009E674A" w:rsidRPr="005E4483" w:rsidRDefault="009E674A" w:rsidP="006F668F">
            <w:pPr>
              <w:pStyle w:val="Textpoznpodarou"/>
              <w:jc w:val="both"/>
              <w:rPr>
                <w:spacing w:val="-4"/>
              </w:rPr>
            </w:pPr>
          </w:p>
        </w:tc>
        <w:tc>
          <w:tcPr>
            <w:tcW w:w="7391" w:type="dxa"/>
          </w:tcPr>
          <w:p w14:paraId="3E252A70" w14:textId="2275DE48" w:rsidR="009E674A" w:rsidRPr="00CD2AB9" w:rsidRDefault="00BC7833" w:rsidP="00744D09">
            <w:pPr>
              <w:spacing w:after="220"/>
              <w:rPr>
                <w:rFonts w:cs="Arial"/>
                <w:szCs w:val="20"/>
              </w:rPr>
            </w:pPr>
            <w:r>
              <w:rPr>
                <w:rFonts w:cs="Arial"/>
                <w:szCs w:val="20"/>
              </w:rPr>
              <w:t>O </w:t>
            </w:r>
            <w:r w:rsidR="009E674A">
              <w:rPr>
                <w:rFonts w:cs="Arial"/>
                <w:szCs w:val="20"/>
              </w:rPr>
              <w:t xml:space="preserve">růst hodinové </w:t>
            </w:r>
            <w:r w:rsidR="009E674A">
              <w:t xml:space="preserve">produktivity práce v ekonomice se </w:t>
            </w:r>
            <w:r>
              <w:t>v </w:t>
            </w:r>
            <w:r w:rsidR="009E674A">
              <w:t>roce 2018 přičinila především odvětví tržních služeb</w:t>
            </w:r>
            <w:r w:rsidR="0037734D">
              <w:t xml:space="preserve"> – </w:t>
            </w:r>
            <w:r>
              <w:t>o </w:t>
            </w:r>
            <w:r w:rsidR="009E674A">
              <w:t>bezmála 6</w:t>
            </w:r>
            <w:r w:rsidR="006454CC">
              <w:t> %</w:t>
            </w:r>
            <w:r w:rsidR="009E674A">
              <w:t xml:space="preserve"> se zvýšila v informačních </w:t>
            </w:r>
            <w:r>
              <w:t>a </w:t>
            </w:r>
            <w:r w:rsidR="009E674A">
              <w:t xml:space="preserve">komunikačních činnostech </w:t>
            </w:r>
            <w:r>
              <w:t>a </w:t>
            </w:r>
            <w:r w:rsidR="009E674A">
              <w:t xml:space="preserve">také v dopravě </w:t>
            </w:r>
            <w:r>
              <w:t>a </w:t>
            </w:r>
            <w:r w:rsidR="009E674A">
              <w:t xml:space="preserve">skladování (kde šlo </w:t>
            </w:r>
            <w:r>
              <w:t>o </w:t>
            </w:r>
            <w:r w:rsidR="009E674A">
              <w:t>dílčí kompenzaci nepříznivého vývoje v předchozích letech). Loni</w:t>
            </w:r>
            <w:r w:rsidR="006454CC">
              <w:t xml:space="preserve"> </w:t>
            </w:r>
            <w:r w:rsidR="009E674A">
              <w:t xml:space="preserve">se dařilo také peněžnictví a pojišťovnictví (+3,2 %). </w:t>
            </w:r>
            <w:r>
              <w:t>V </w:t>
            </w:r>
            <w:r w:rsidR="009E674A">
              <w:t>posledních čtyřech letech zde dokonce produktivita rostla průměrným ročním tempem 7,4</w:t>
            </w:r>
            <w:r w:rsidR="006454CC">
              <w:t> %</w:t>
            </w:r>
            <w:r w:rsidR="009E674A">
              <w:t xml:space="preserve">, což bylo nejvíce ze všech dvaceti hlavních odvětví. Projevil se zde vliv velmi dobrých hospodářských výsledků finančního sektoru, jenž byl umocněn silnými tlaky na optimalizaci počtu pracovních míst. Více než dvojnásobným tempem oproti celé ekonomice rostla loni produktivita také v obchodu </w:t>
            </w:r>
            <w:r>
              <w:t>a </w:t>
            </w:r>
            <w:r w:rsidR="009E674A">
              <w:t xml:space="preserve">ve stavebnictví. </w:t>
            </w:r>
          </w:p>
        </w:tc>
      </w:tr>
      <w:tr w:rsidR="009E674A" w:rsidRPr="00257FB1" w14:paraId="6A7A6DD2" w14:textId="77777777" w:rsidTr="006F668F">
        <w:trPr>
          <w:trHeight w:val="145"/>
        </w:trPr>
        <w:tc>
          <w:tcPr>
            <w:tcW w:w="1976" w:type="dxa"/>
          </w:tcPr>
          <w:p w14:paraId="68EDA592" w14:textId="77777777" w:rsidR="009E674A" w:rsidRDefault="009E674A" w:rsidP="006F668F">
            <w:pPr>
              <w:pStyle w:val="Marginlie"/>
            </w:pPr>
          </w:p>
        </w:tc>
        <w:tc>
          <w:tcPr>
            <w:tcW w:w="277" w:type="dxa"/>
          </w:tcPr>
          <w:p w14:paraId="7FF5C307" w14:textId="77777777" w:rsidR="009E674A" w:rsidRPr="005E4483" w:rsidRDefault="009E674A" w:rsidP="006F668F">
            <w:pPr>
              <w:pStyle w:val="Textpoznpodarou"/>
              <w:jc w:val="both"/>
              <w:rPr>
                <w:spacing w:val="-4"/>
              </w:rPr>
            </w:pPr>
          </w:p>
        </w:tc>
        <w:tc>
          <w:tcPr>
            <w:tcW w:w="7391" w:type="dxa"/>
          </w:tcPr>
          <w:p w14:paraId="1247E074" w14:textId="447E28D8" w:rsidR="009E674A" w:rsidRPr="009A4F91" w:rsidRDefault="009E674A" w:rsidP="009A4F91">
            <w:pPr>
              <w:spacing w:after="0"/>
              <w:jc w:val="left"/>
            </w:pPr>
            <w:r>
              <w:rPr>
                <w:b/>
                <w:spacing w:val="-4"/>
              </w:rPr>
              <w:t xml:space="preserve">Graf </w:t>
            </w:r>
            <w:r w:rsidR="00BA35F3">
              <w:rPr>
                <w:b/>
                <w:spacing w:val="-4"/>
              </w:rPr>
              <w:t>č. </w:t>
            </w:r>
            <w:r w:rsidR="00BC7833">
              <w:rPr>
                <w:b/>
                <w:spacing w:val="-4"/>
              </w:rPr>
              <w:t>8</w:t>
            </w:r>
            <w:r w:rsidR="009F47E7">
              <w:rPr>
                <w:b/>
                <w:spacing w:val="-4"/>
              </w:rPr>
              <w:t xml:space="preserve">  </w:t>
            </w:r>
            <w:r>
              <w:rPr>
                <w:b/>
                <w:spacing w:val="-4"/>
              </w:rPr>
              <w:t xml:space="preserve">Reálná hodinová </w:t>
            </w:r>
            <w:r>
              <w:rPr>
                <w:b/>
              </w:rPr>
              <w:t xml:space="preserve">produktivita práce </w:t>
            </w:r>
            <w:r w:rsidRPr="00F410C3">
              <w:rPr>
                <w:b/>
              </w:rPr>
              <w:t xml:space="preserve">celkem </w:t>
            </w:r>
            <w:r w:rsidR="00BC7833" w:rsidRPr="00F410C3">
              <w:rPr>
                <w:b/>
              </w:rPr>
              <w:t>a</w:t>
            </w:r>
            <w:r w:rsidR="00BC7833">
              <w:rPr>
                <w:b/>
              </w:rPr>
              <w:t> </w:t>
            </w:r>
            <w:r w:rsidRPr="00F410C3">
              <w:rPr>
                <w:b/>
              </w:rPr>
              <w:t>ve vybraných odvětvích</w:t>
            </w:r>
            <w:r w:rsidR="009A4F91">
              <w:t xml:space="preserve"> </w:t>
            </w:r>
            <w:r w:rsidR="00137548">
              <w:t>(úroveň roku 2005</w:t>
            </w:r>
            <w:r w:rsidR="009D78F8">
              <w:t xml:space="preserve"> </w:t>
            </w:r>
            <w:r w:rsidRPr="006C1F6D">
              <w:t>=</w:t>
            </w:r>
            <w:r w:rsidR="009D78F8">
              <w:t xml:space="preserve"> </w:t>
            </w:r>
            <w:r w:rsidRPr="006C1F6D">
              <w:t>100)</w:t>
            </w:r>
          </w:p>
        </w:tc>
      </w:tr>
      <w:tr w:rsidR="009E674A" w:rsidRPr="00257FB1" w14:paraId="750C482F" w14:textId="77777777" w:rsidTr="006F668F">
        <w:tblPrEx>
          <w:tblCellMar>
            <w:left w:w="70" w:type="dxa"/>
            <w:right w:w="70" w:type="dxa"/>
          </w:tblCellMar>
        </w:tblPrEx>
        <w:trPr>
          <w:trHeight w:val="145"/>
        </w:trPr>
        <w:tc>
          <w:tcPr>
            <w:tcW w:w="1976" w:type="dxa"/>
          </w:tcPr>
          <w:p w14:paraId="75D40D84" w14:textId="77777777" w:rsidR="009E674A" w:rsidRDefault="009E674A" w:rsidP="006F668F">
            <w:pPr>
              <w:pStyle w:val="Marginlie"/>
            </w:pPr>
          </w:p>
        </w:tc>
        <w:tc>
          <w:tcPr>
            <w:tcW w:w="277" w:type="dxa"/>
          </w:tcPr>
          <w:p w14:paraId="6317874C" w14:textId="77777777" w:rsidR="009E674A" w:rsidRPr="005E4483" w:rsidRDefault="009E674A" w:rsidP="006F668F">
            <w:pPr>
              <w:pStyle w:val="Textpoznpodarou"/>
              <w:jc w:val="both"/>
              <w:rPr>
                <w:spacing w:val="-4"/>
              </w:rPr>
            </w:pPr>
          </w:p>
        </w:tc>
        <w:tc>
          <w:tcPr>
            <w:tcW w:w="7391" w:type="dxa"/>
          </w:tcPr>
          <w:p w14:paraId="18AE62AD" w14:textId="77777777" w:rsidR="009E674A" w:rsidRPr="00257FB1" w:rsidRDefault="009E674A" w:rsidP="006F668F">
            <w:pPr>
              <w:spacing w:after="0"/>
              <w:rPr>
                <w:spacing w:val="-2"/>
              </w:rPr>
            </w:pPr>
            <w:r>
              <w:rPr>
                <w:noProof/>
              </w:rPr>
              <w:drawing>
                <wp:inline distT="0" distB="0" distL="0" distR="0" wp14:anchorId="202B5F10" wp14:editId="3AEAB29E">
                  <wp:extent cx="4585335" cy="3507475"/>
                  <wp:effectExtent l="0" t="0" r="0" b="0"/>
                  <wp:docPr id="25" name="Graf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tc>
      </w:tr>
      <w:tr w:rsidR="009E674A" w:rsidRPr="00257FB1" w14:paraId="2F65FBA1" w14:textId="77777777" w:rsidTr="006F668F">
        <w:trPr>
          <w:trHeight w:val="145"/>
        </w:trPr>
        <w:tc>
          <w:tcPr>
            <w:tcW w:w="1976" w:type="dxa"/>
          </w:tcPr>
          <w:p w14:paraId="733A1BE5" w14:textId="77777777" w:rsidR="009E674A" w:rsidRDefault="009E674A" w:rsidP="006F668F">
            <w:pPr>
              <w:pStyle w:val="Marginlie"/>
            </w:pPr>
          </w:p>
        </w:tc>
        <w:tc>
          <w:tcPr>
            <w:tcW w:w="277" w:type="dxa"/>
          </w:tcPr>
          <w:p w14:paraId="174D24E4" w14:textId="77777777" w:rsidR="009E674A" w:rsidRPr="005E4483" w:rsidRDefault="009E674A" w:rsidP="006F668F">
            <w:pPr>
              <w:pStyle w:val="Textpoznpodarou"/>
              <w:jc w:val="both"/>
              <w:rPr>
                <w:spacing w:val="-4"/>
              </w:rPr>
            </w:pPr>
          </w:p>
        </w:tc>
        <w:tc>
          <w:tcPr>
            <w:tcW w:w="7391" w:type="dxa"/>
          </w:tcPr>
          <w:p w14:paraId="058D0CAF" w14:textId="594425EF" w:rsidR="009E674A" w:rsidRPr="00AB5C0C" w:rsidRDefault="009E674A" w:rsidP="006F668F">
            <w:pPr>
              <w:spacing w:after="0"/>
              <w:rPr>
                <w:rFonts w:cs="Arial"/>
                <w:spacing w:val="-3"/>
                <w:sz w:val="14"/>
                <w:szCs w:val="14"/>
              </w:rPr>
            </w:pPr>
            <w:r w:rsidRPr="00AB5C0C">
              <w:rPr>
                <w:spacing w:val="-3"/>
              </w:rPr>
              <w:t>*</w:t>
            </w:r>
            <w:r w:rsidRPr="00AB5C0C">
              <w:rPr>
                <w:rFonts w:cs="Arial"/>
                <w:spacing w:val="-3"/>
                <w:sz w:val="14"/>
                <w:szCs w:val="14"/>
              </w:rPr>
              <w:t>Zahrnuje odvětví: Veř. správa</w:t>
            </w:r>
            <w:r w:rsidR="002677BC">
              <w:rPr>
                <w:rFonts w:cs="Arial"/>
                <w:spacing w:val="-3"/>
                <w:sz w:val="14"/>
                <w:szCs w:val="14"/>
              </w:rPr>
              <w:t xml:space="preserve"> a </w:t>
            </w:r>
            <w:r w:rsidRPr="00AB5C0C">
              <w:rPr>
                <w:rFonts w:cs="Arial"/>
                <w:spacing w:val="-3"/>
                <w:sz w:val="14"/>
                <w:szCs w:val="14"/>
              </w:rPr>
              <w:t>obrana</w:t>
            </w:r>
            <w:r w:rsidR="009D78F8">
              <w:rPr>
                <w:rFonts w:cs="Arial"/>
                <w:spacing w:val="-3"/>
                <w:sz w:val="14"/>
                <w:szCs w:val="14"/>
              </w:rPr>
              <w:t>;</w:t>
            </w:r>
            <w:r w:rsidRPr="00AB5C0C">
              <w:rPr>
                <w:rFonts w:cs="Arial"/>
                <w:spacing w:val="-3"/>
                <w:sz w:val="14"/>
                <w:szCs w:val="14"/>
              </w:rPr>
              <w:t xml:space="preserve"> soc. zabezpečení; Vzdělávání; Zdravotní </w:t>
            </w:r>
            <w:r w:rsidR="00BC7833" w:rsidRPr="00AB5C0C">
              <w:rPr>
                <w:rFonts w:cs="Arial"/>
                <w:spacing w:val="-3"/>
                <w:sz w:val="14"/>
                <w:szCs w:val="14"/>
              </w:rPr>
              <w:t>a</w:t>
            </w:r>
            <w:r w:rsidR="00BC7833">
              <w:rPr>
                <w:rFonts w:cs="Arial"/>
                <w:spacing w:val="-3"/>
                <w:sz w:val="14"/>
                <w:szCs w:val="14"/>
              </w:rPr>
              <w:t> </w:t>
            </w:r>
            <w:r w:rsidRPr="00AB5C0C">
              <w:rPr>
                <w:rFonts w:cs="Arial"/>
                <w:spacing w:val="-3"/>
                <w:sz w:val="14"/>
                <w:szCs w:val="14"/>
              </w:rPr>
              <w:t>soc.</w:t>
            </w:r>
            <w:r>
              <w:rPr>
                <w:rFonts w:cs="Arial"/>
                <w:spacing w:val="-3"/>
                <w:sz w:val="14"/>
                <w:szCs w:val="14"/>
              </w:rPr>
              <w:t xml:space="preserve"> péče; Kulturní, zábav.</w:t>
            </w:r>
            <w:r w:rsidRPr="00AB5C0C">
              <w:rPr>
                <w:rFonts w:cs="Arial"/>
                <w:spacing w:val="-3"/>
                <w:sz w:val="14"/>
                <w:szCs w:val="14"/>
              </w:rPr>
              <w:t xml:space="preserve"> </w:t>
            </w:r>
            <w:r w:rsidR="00BC7833" w:rsidRPr="00AB5C0C">
              <w:rPr>
                <w:rFonts w:cs="Arial"/>
                <w:spacing w:val="-3"/>
                <w:sz w:val="14"/>
                <w:szCs w:val="14"/>
              </w:rPr>
              <w:t>a</w:t>
            </w:r>
            <w:r w:rsidR="00BC7833">
              <w:rPr>
                <w:rFonts w:cs="Arial"/>
                <w:spacing w:val="-3"/>
                <w:sz w:val="14"/>
                <w:szCs w:val="14"/>
              </w:rPr>
              <w:t> </w:t>
            </w:r>
            <w:r w:rsidRPr="00AB5C0C">
              <w:rPr>
                <w:rFonts w:cs="Arial"/>
                <w:spacing w:val="-3"/>
                <w:sz w:val="14"/>
                <w:szCs w:val="14"/>
              </w:rPr>
              <w:t>r</w:t>
            </w:r>
            <w:r>
              <w:rPr>
                <w:rFonts w:cs="Arial"/>
                <w:spacing w:val="-3"/>
                <w:sz w:val="14"/>
                <w:szCs w:val="14"/>
              </w:rPr>
              <w:t>ekreač.</w:t>
            </w:r>
            <w:r w:rsidRPr="00AB5C0C">
              <w:rPr>
                <w:rFonts w:cs="Arial"/>
                <w:spacing w:val="-3"/>
                <w:sz w:val="14"/>
                <w:szCs w:val="14"/>
              </w:rPr>
              <w:t xml:space="preserve"> čin.</w:t>
            </w:r>
          </w:p>
          <w:p w14:paraId="0F2C3E7D" w14:textId="77777777" w:rsidR="009E674A" w:rsidRPr="00F31745" w:rsidRDefault="009E674A" w:rsidP="00744D09">
            <w:pPr>
              <w:spacing w:after="200"/>
              <w:rPr>
                <w:spacing w:val="-2"/>
              </w:rPr>
            </w:pPr>
            <w:r w:rsidRPr="00F31745">
              <w:rPr>
                <w:rFonts w:cs="Arial"/>
                <w:spacing w:val="-2"/>
                <w:sz w:val="14"/>
                <w:szCs w:val="14"/>
              </w:rPr>
              <w:t>Zdroj: ČSÚ (národní účty)</w:t>
            </w:r>
          </w:p>
        </w:tc>
      </w:tr>
      <w:tr w:rsidR="00744D09" w14:paraId="04EAF743" w14:textId="77777777" w:rsidTr="006F668F">
        <w:trPr>
          <w:trHeight w:val="145"/>
        </w:trPr>
        <w:tc>
          <w:tcPr>
            <w:tcW w:w="1976" w:type="dxa"/>
          </w:tcPr>
          <w:p w14:paraId="023A9C52" w14:textId="1B897CF0" w:rsidR="00744D09" w:rsidRDefault="00744D09" w:rsidP="00744D09">
            <w:pPr>
              <w:pStyle w:val="Marginlie"/>
            </w:pPr>
            <w:r>
              <w:lastRenderedPageBreak/>
              <w:t>… od konce poslední recese pak posílila nejvíce ve finančnictví a obchodu, a klesla ve veřejných službách a nezpracovatelských oborech průmyslu.</w:t>
            </w:r>
          </w:p>
        </w:tc>
        <w:tc>
          <w:tcPr>
            <w:tcW w:w="277" w:type="dxa"/>
          </w:tcPr>
          <w:p w14:paraId="1D8BB22F" w14:textId="77777777" w:rsidR="00744D09" w:rsidRPr="005E4483" w:rsidRDefault="00744D09" w:rsidP="006F668F">
            <w:pPr>
              <w:pStyle w:val="Textpoznpodarou"/>
              <w:jc w:val="both"/>
              <w:rPr>
                <w:spacing w:val="-4"/>
              </w:rPr>
            </w:pPr>
          </w:p>
        </w:tc>
        <w:tc>
          <w:tcPr>
            <w:tcW w:w="7391" w:type="dxa"/>
          </w:tcPr>
          <w:p w14:paraId="133F77FE" w14:textId="2D202B5A" w:rsidR="00744D09" w:rsidRDefault="00744D09" w:rsidP="006F668F">
            <w:pPr>
              <w:spacing w:after="220"/>
            </w:pPr>
            <w:r>
              <w:t>Naopak hlavně vinou zpomalení výkonu v klíčových exportních oborech si loni zpracovatelský průmysl připsal pouze 0,3% navýšení produktivity práce a zaznamenal tak nejmenší meziroční posun za poslední pětiletí. V nezpracovatelských oborech průmyslu došlo dokonce ke 2% snížení, což odráželo nepříznivý vývoj jak v těžbě a dobývání, tak v energetice. Tento vývoj se zde nikterak výrazně nevymykal z trendů v celém období od konce poslední recese. Mírnějším tempem se za posledních pět let snížila produktivita práce také v odvětvích s převahou veřejného sektoru.</w:t>
            </w:r>
          </w:p>
        </w:tc>
      </w:tr>
      <w:tr w:rsidR="009E674A" w14:paraId="0287281B" w14:textId="77777777" w:rsidTr="006F668F">
        <w:trPr>
          <w:trHeight w:val="145"/>
        </w:trPr>
        <w:tc>
          <w:tcPr>
            <w:tcW w:w="1976" w:type="dxa"/>
          </w:tcPr>
          <w:p w14:paraId="76732E7F" w14:textId="77777777" w:rsidR="009E674A" w:rsidRDefault="009E674A" w:rsidP="006F668F">
            <w:pPr>
              <w:pStyle w:val="Marginlie"/>
            </w:pPr>
            <w:r>
              <w:t>Za značnými rozdíly v úrovni produktivity práce mezi odvětvími stojí rozličná kapitálová náročnost i kvalifikační úroveň pracovníků.</w:t>
            </w:r>
          </w:p>
        </w:tc>
        <w:tc>
          <w:tcPr>
            <w:tcW w:w="277" w:type="dxa"/>
          </w:tcPr>
          <w:p w14:paraId="3BCBA444" w14:textId="77777777" w:rsidR="009E674A" w:rsidRPr="005E4483" w:rsidRDefault="009E674A" w:rsidP="006F668F">
            <w:pPr>
              <w:pStyle w:val="Textpoznpodarou"/>
              <w:jc w:val="both"/>
              <w:rPr>
                <w:spacing w:val="-4"/>
              </w:rPr>
            </w:pPr>
          </w:p>
        </w:tc>
        <w:tc>
          <w:tcPr>
            <w:tcW w:w="7391" w:type="dxa"/>
          </w:tcPr>
          <w:p w14:paraId="0E698E5C" w14:textId="6B7A2576" w:rsidR="009E674A" w:rsidRPr="00550F8B" w:rsidRDefault="009E674A" w:rsidP="006F668F">
            <w:pPr>
              <w:spacing w:after="220"/>
            </w:pPr>
            <w:r>
              <w:t>Dosažená nominální úroveň produktivity práce se mezi jednotlivými</w:t>
            </w:r>
            <w:r w:rsidRPr="00B75F31">
              <w:t xml:space="preserve"> odvětvími, vzhledem k jejich odlišné struktuře, </w:t>
            </w:r>
            <w:r>
              <w:t xml:space="preserve">citelně odlišuje. K nejproduktivnějším patří </w:t>
            </w:r>
            <w:r w:rsidR="00E61EEF">
              <w:t xml:space="preserve">ta </w:t>
            </w:r>
            <w:r>
              <w:t>s vysokým podílem kapitálově náročné produkce, jež vyžadují relativně nízký objem lidské</w:t>
            </w:r>
            <w:r w:rsidRPr="00B75F31">
              <w:t xml:space="preserve"> práce. </w:t>
            </w:r>
            <w:r>
              <w:t xml:space="preserve">Další skupinu pak tvoří </w:t>
            </w:r>
            <w:r w:rsidR="00E61EEF">
              <w:t xml:space="preserve">obory </w:t>
            </w:r>
            <w:r>
              <w:t>high</w:t>
            </w:r>
            <w:r w:rsidR="00E61EEF">
              <w:noBreakHyphen/>
            </w:r>
            <w:r>
              <w:t>tech služeb s významným podílem vysoce kvalifikované práce specialistů.</w:t>
            </w:r>
          </w:p>
        </w:tc>
      </w:tr>
      <w:tr w:rsidR="009E674A" w14:paraId="4035D432" w14:textId="77777777" w:rsidTr="006F668F">
        <w:trPr>
          <w:trHeight w:val="145"/>
        </w:trPr>
        <w:tc>
          <w:tcPr>
            <w:tcW w:w="1976" w:type="dxa"/>
          </w:tcPr>
          <w:p w14:paraId="161A4EA1" w14:textId="77777777" w:rsidR="009E674A" w:rsidRDefault="009E674A" w:rsidP="006F668F">
            <w:pPr>
              <w:pStyle w:val="Marginlie"/>
            </w:pPr>
            <w:r>
              <w:t xml:space="preserve">Nejvyšší produktivitou se vyznačovaly činnosti v oblasti nemovitostí, energetika, finančnictví a informační </w:t>
            </w:r>
            <w:r w:rsidR="00BC7833">
              <w:t>a </w:t>
            </w:r>
            <w:r>
              <w:t>komunikační činnosti.</w:t>
            </w:r>
          </w:p>
        </w:tc>
        <w:tc>
          <w:tcPr>
            <w:tcW w:w="277" w:type="dxa"/>
          </w:tcPr>
          <w:p w14:paraId="0A474086" w14:textId="77777777" w:rsidR="009E674A" w:rsidRPr="005E4483" w:rsidRDefault="009E674A" w:rsidP="006F668F">
            <w:pPr>
              <w:pStyle w:val="Textpoznpodarou"/>
              <w:jc w:val="both"/>
              <w:rPr>
                <w:spacing w:val="-4"/>
              </w:rPr>
            </w:pPr>
          </w:p>
        </w:tc>
        <w:tc>
          <w:tcPr>
            <w:tcW w:w="7391" w:type="dxa"/>
          </w:tcPr>
          <w:p w14:paraId="6A830A7A" w14:textId="5C3A8080" w:rsidR="009E674A" w:rsidRDefault="009E674A" w:rsidP="006F668F">
            <w:pPr>
              <w:spacing w:after="220"/>
            </w:pPr>
            <w:r>
              <w:t xml:space="preserve">Pořadí odvětví vévodily v roce 2018 </w:t>
            </w:r>
            <w:r w:rsidRPr="00B75F31">
              <w:t>činnosti v oblasti nemovitostí, což</w:t>
            </w:r>
            <w:r>
              <w:t xml:space="preserve"> jsou služby související hlavně s pronájmem, nákupem,</w:t>
            </w:r>
            <w:r w:rsidRPr="00B75F31">
              <w:t xml:space="preserve"> prodejem </w:t>
            </w:r>
            <w:r>
              <w:t xml:space="preserve">či správou </w:t>
            </w:r>
            <w:r w:rsidRPr="00B75F31">
              <w:t>nemovitostí.</w:t>
            </w:r>
            <w:r>
              <w:t xml:space="preserve"> </w:t>
            </w:r>
            <w:r w:rsidRPr="00B75F31">
              <w:t>Jedna odpracovaná hodina v těchto službách znamenala vytvořenou hodnotu v</w:t>
            </w:r>
            <w:r>
              <w:t>e výši 2</w:t>
            </w:r>
            <w:r w:rsidRPr="00B75F31">
              <w:t> </w:t>
            </w:r>
            <w:r>
              <w:t>229</w:t>
            </w:r>
            <w:r w:rsidRPr="00B75F31">
              <w:t> korun.</w:t>
            </w:r>
            <w:r>
              <w:t xml:space="preserve"> To bylo 4,5krát více</w:t>
            </w:r>
            <w:r w:rsidR="00E61EEF">
              <w:t>,</w:t>
            </w:r>
            <w:r>
              <w:t xml:space="preserve"> než by odpovídalo úrovni celé ekonomiky. Následovala energetika (4,39) </w:t>
            </w:r>
            <w:r w:rsidR="00BC7833">
              <w:t>a s </w:t>
            </w:r>
            <w:r>
              <w:t>výraznějším odstupem rovněž peněžnictví a</w:t>
            </w:r>
            <w:r w:rsidRPr="00B75F31">
              <w:t> </w:t>
            </w:r>
            <w:r>
              <w:t xml:space="preserve">pojišťovnictví (2,47). Zatímco předstih energetiky před ostatními odvětvími zůstává dlouhodobě téměř neměnný, </w:t>
            </w:r>
            <w:r w:rsidR="00BC7833">
              <w:t>u </w:t>
            </w:r>
            <w:r>
              <w:t>obou zbývajících odvětví se navyšoval (v</w:t>
            </w:r>
            <w:r w:rsidRPr="00B75F31">
              <w:t> </w:t>
            </w:r>
            <w:r>
              <w:t xml:space="preserve">peněžnictví </w:t>
            </w:r>
            <w:r w:rsidR="00BC7833">
              <w:t>a </w:t>
            </w:r>
            <w:r>
              <w:t xml:space="preserve">pojišťovnictví byla v roce 2005 produktivita „pouze“ dvakrát vyšší než v celé ekonomice). Mírně naopak ve stejném období relativně oslabovala těžba </w:t>
            </w:r>
            <w:r w:rsidR="00BC7833">
              <w:t>a </w:t>
            </w:r>
            <w:r>
              <w:t>dobývání, resp.</w:t>
            </w:r>
            <w:r w:rsidR="00E61EEF">
              <w:t> </w:t>
            </w:r>
            <w:r>
              <w:t xml:space="preserve">informační </w:t>
            </w:r>
            <w:r w:rsidR="00BC7833">
              <w:t>a </w:t>
            </w:r>
            <w:r>
              <w:t xml:space="preserve">komunikační činnosti. </w:t>
            </w:r>
            <w:r w:rsidR="00BC7833">
              <w:t>I </w:t>
            </w:r>
            <w:r>
              <w:t xml:space="preserve">přesto patřila úroveň produktivity práce v těchto odvětvích dále </w:t>
            </w:r>
            <w:r w:rsidR="00BC7833">
              <w:t>k </w:t>
            </w:r>
            <w:r>
              <w:t>výrazně nadprůměrným (1,41, resp.</w:t>
            </w:r>
            <w:r w:rsidR="00E61EEF">
              <w:t> </w:t>
            </w:r>
            <w:r>
              <w:t xml:space="preserve">1,96). </w:t>
            </w:r>
            <w:r w:rsidR="00E61EEF">
              <w:t>Z </w:t>
            </w:r>
            <w:r>
              <w:t xml:space="preserve">podrobnějšího odvětvového pohledu </w:t>
            </w:r>
            <w:r w:rsidR="00E61EEF">
              <w:t>vyplývá</w:t>
            </w:r>
            <w:r>
              <w:t>, že vysokou produktivitu vykazovaly také č</w:t>
            </w:r>
            <w:r w:rsidRPr="00CF7F74">
              <w:t xml:space="preserve">innosti v oblasti pronájmu </w:t>
            </w:r>
            <w:r w:rsidR="00BC7833" w:rsidRPr="00CF7F74">
              <w:t>a</w:t>
            </w:r>
            <w:r w:rsidR="00BC7833">
              <w:t> </w:t>
            </w:r>
            <w:r w:rsidRPr="00CF7F74">
              <w:t>operativního leasingu</w:t>
            </w:r>
            <w:r>
              <w:t>, l</w:t>
            </w:r>
            <w:r w:rsidRPr="00CF7F74">
              <w:t>etecká doprava</w:t>
            </w:r>
            <w:r>
              <w:t xml:space="preserve">, skladování, výzkum </w:t>
            </w:r>
            <w:r w:rsidR="00E61EEF">
              <w:t>a</w:t>
            </w:r>
            <w:r w:rsidR="00BC7833">
              <w:t> </w:t>
            </w:r>
            <w:r>
              <w:t xml:space="preserve">vývoj </w:t>
            </w:r>
            <w:r w:rsidR="00BC7833">
              <w:t>a </w:t>
            </w:r>
            <w:r>
              <w:t xml:space="preserve">také některé obory zpracovatelského průmyslu (chemie </w:t>
            </w:r>
            <w:r w:rsidR="00BC7833">
              <w:t>a </w:t>
            </w:r>
            <w:r>
              <w:t xml:space="preserve">petrochemie, farmacie, výroba nápojů </w:t>
            </w:r>
            <w:r w:rsidR="00BC7833">
              <w:t>a </w:t>
            </w:r>
            <w:r>
              <w:t>tabákových výrobků, v</w:t>
            </w:r>
            <w:r w:rsidRPr="00CF7F74">
              <w:t xml:space="preserve">ýroba počítačů, elektronických </w:t>
            </w:r>
            <w:r w:rsidR="00BC7833">
              <w:t>a </w:t>
            </w:r>
            <w:r>
              <w:t xml:space="preserve">optických přístrojů </w:t>
            </w:r>
            <w:r w:rsidR="00BC7833">
              <w:t>a </w:t>
            </w:r>
            <w:r>
              <w:t>také automobilový průmysl).</w:t>
            </w:r>
          </w:p>
        </w:tc>
      </w:tr>
      <w:tr w:rsidR="009E674A" w14:paraId="2A3CDC02" w14:textId="77777777" w:rsidTr="006F668F">
        <w:trPr>
          <w:trHeight w:val="145"/>
        </w:trPr>
        <w:tc>
          <w:tcPr>
            <w:tcW w:w="1976" w:type="dxa"/>
          </w:tcPr>
          <w:p w14:paraId="6C1A4EE3" w14:textId="3650492A" w:rsidR="009E674A" w:rsidRDefault="009E674A" w:rsidP="006F668F">
            <w:pPr>
              <w:pStyle w:val="Marginlie"/>
            </w:pPr>
            <w:r>
              <w:t>Produktivita práce v pohostinství, stravování a ubytování dosahovala dlouhodobě zhruba jen polovin</w:t>
            </w:r>
            <w:r w:rsidR="00F77285">
              <w:t>y</w:t>
            </w:r>
            <w:r>
              <w:t xml:space="preserve"> úrovně národního hospodářství.</w:t>
            </w:r>
          </w:p>
        </w:tc>
        <w:tc>
          <w:tcPr>
            <w:tcW w:w="277" w:type="dxa"/>
          </w:tcPr>
          <w:p w14:paraId="48515AAB" w14:textId="77777777" w:rsidR="009E674A" w:rsidRPr="005E4483" w:rsidRDefault="009E674A" w:rsidP="006F668F">
            <w:pPr>
              <w:pStyle w:val="Textpoznpodarou"/>
              <w:jc w:val="both"/>
              <w:rPr>
                <w:spacing w:val="-4"/>
              </w:rPr>
            </w:pPr>
          </w:p>
        </w:tc>
        <w:tc>
          <w:tcPr>
            <w:tcW w:w="7391" w:type="dxa"/>
          </w:tcPr>
          <w:p w14:paraId="741023DD" w14:textId="6B973D2B" w:rsidR="009E674A" w:rsidRDefault="009E674A" w:rsidP="006F668F">
            <w:pPr>
              <w:spacing w:after="220"/>
              <w:rPr>
                <w:spacing w:val="-2"/>
              </w:rPr>
            </w:pPr>
            <w:r w:rsidRPr="00B75F31">
              <w:rPr>
                <w:spacing w:val="-4"/>
              </w:rPr>
              <w:t>Mezi nejméně produkt</w:t>
            </w:r>
            <w:r>
              <w:rPr>
                <w:spacing w:val="-4"/>
              </w:rPr>
              <w:t xml:space="preserve">ivní odvětví se řadí </w:t>
            </w:r>
            <w:r w:rsidR="00F77285">
              <w:rPr>
                <w:spacing w:val="-4"/>
              </w:rPr>
              <w:t xml:space="preserve">ta </w:t>
            </w:r>
            <w:r>
              <w:rPr>
                <w:spacing w:val="-4"/>
              </w:rPr>
              <w:t>s vysokými požadavky na lidskou</w:t>
            </w:r>
            <w:r w:rsidRPr="00B75F31">
              <w:rPr>
                <w:spacing w:val="-4"/>
              </w:rPr>
              <w:t xml:space="preserve"> práci</w:t>
            </w:r>
            <w:r>
              <w:rPr>
                <w:spacing w:val="-4"/>
              </w:rPr>
              <w:t xml:space="preserve"> i délku odpracované doby v kombinaci s proměnlivou úrovní kvalifikace pracovníků. Patří sem rovněž některé obory s vysokým podílem netržní produkce. V uskupení ubytování, stravování </w:t>
            </w:r>
            <w:r w:rsidR="00BC7833">
              <w:rPr>
                <w:spacing w:val="-4"/>
              </w:rPr>
              <w:t>a </w:t>
            </w:r>
            <w:r>
              <w:rPr>
                <w:spacing w:val="-4"/>
              </w:rPr>
              <w:t>pohostinství dosahovala v roce 2018 hodinová produktivita práce 53</w:t>
            </w:r>
            <w:r w:rsidR="006454CC">
              <w:rPr>
                <w:spacing w:val="-4"/>
              </w:rPr>
              <w:t> %</w:t>
            </w:r>
            <w:r>
              <w:rPr>
                <w:spacing w:val="-4"/>
              </w:rPr>
              <w:t xml:space="preserve"> úrovně národního hospodářství. Nejhorší postavení mezi dvaceti hlavními odvětvími</w:t>
            </w:r>
            <w:r w:rsidR="00F77285">
              <w:rPr>
                <w:spacing w:val="-4"/>
              </w:rPr>
              <w:t xml:space="preserve"> drželo toto uskupení</w:t>
            </w:r>
            <w:r>
              <w:rPr>
                <w:spacing w:val="-4"/>
              </w:rPr>
              <w:t xml:space="preserve"> nepřetržitě od roku 2005. </w:t>
            </w:r>
            <w:r w:rsidR="00BC7833">
              <w:rPr>
                <w:spacing w:val="-4"/>
              </w:rPr>
              <w:t>O </w:t>
            </w:r>
            <w:r>
              <w:rPr>
                <w:spacing w:val="-4"/>
              </w:rPr>
              <w:t xml:space="preserve">mnoho lepší pozici </w:t>
            </w:r>
            <w:r w:rsidR="00F77285">
              <w:rPr>
                <w:spacing w:val="-4"/>
              </w:rPr>
              <w:t xml:space="preserve">neměla </w:t>
            </w:r>
            <w:r>
              <w:rPr>
                <w:spacing w:val="-4"/>
              </w:rPr>
              <w:t>loni ani odvětví ostatních činností služeb</w:t>
            </w:r>
            <w:r>
              <w:rPr>
                <w:rStyle w:val="Znakapoznpodarou"/>
                <w:rFonts w:cs="Arial"/>
                <w:color w:val="0D0D0D" w:themeColor="text1" w:themeTint="F2"/>
                <w:spacing w:val="-4"/>
              </w:rPr>
              <w:footnoteReference w:id="21"/>
            </w:r>
            <w:r>
              <w:rPr>
                <w:spacing w:val="-4"/>
              </w:rPr>
              <w:t xml:space="preserve"> (55</w:t>
            </w:r>
            <w:r w:rsidR="006454CC">
              <w:rPr>
                <w:spacing w:val="-4"/>
              </w:rPr>
              <w:t> %</w:t>
            </w:r>
            <w:r>
              <w:rPr>
                <w:spacing w:val="-4"/>
              </w:rPr>
              <w:t xml:space="preserve">) </w:t>
            </w:r>
            <w:r w:rsidR="00A34FB5">
              <w:rPr>
                <w:spacing w:val="-4"/>
              </w:rPr>
              <w:t xml:space="preserve">či </w:t>
            </w:r>
            <w:r>
              <w:rPr>
                <w:spacing w:val="-4"/>
              </w:rPr>
              <w:t>zaměstnávání</w:t>
            </w:r>
            <w:r w:rsidRPr="00FE358C">
              <w:rPr>
                <w:spacing w:val="-4"/>
              </w:rPr>
              <w:t xml:space="preserve"> domácího personálu</w:t>
            </w:r>
            <w:r>
              <w:rPr>
                <w:spacing w:val="-4"/>
              </w:rPr>
              <w:t xml:space="preserve"> (57</w:t>
            </w:r>
            <w:r w:rsidR="006454CC">
              <w:rPr>
                <w:spacing w:val="-4"/>
              </w:rPr>
              <w:t> %</w:t>
            </w:r>
            <w:r>
              <w:rPr>
                <w:spacing w:val="-4"/>
              </w:rPr>
              <w:t xml:space="preserve">). </w:t>
            </w:r>
            <w:r w:rsidR="00BC7833">
              <w:rPr>
                <w:spacing w:val="-4"/>
              </w:rPr>
              <w:t>O </w:t>
            </w:r>
            <w:r>
              <w:rPr>
                <w:spacing w:val="-4"/>
              </w:rPr>
              <w:t xml:space="preserve">třetinu slabší produktivitu měly </w:t>
            </w:r>
            <w:r w:rsidR="00BC7833">
              <w:rPr>
                <w:spacing w:val="-4"/>
              </w:rPr>
              <w:t>i </w:t>
            </w:r>
            <w:r>
              <w:rPr>
                <w:spacing w:val="-4"/>
              </w:rPr>
              <w:t xml:space="preserve">administrativní </w:t>
            </w:r>
            <w:r w:rsidR="00BC7833">
              <w:rPr>
                <w:spacing w:val="-4"/>
              </w:rPr>
              <w:t>a </w:t>
            </w:r>
            <w:r>
              <w:rPr>
                <w:spacing w:val="-4"/>
              </w:rPr>
              <w:t>podpůrn</w:t>
            </w:r>
            <w:r w:rsidR="00A34FB5">
              <w:rPr>
                <w:spacing w:val="-4"/>
              </w:rPr>
              <w:t>é</w:t>
            </w:r>
            <w:r>
              <w:rPr>
                <w:spacing w:val="-4"/>
              </w:rPr>
              <w:t xml:space="preserve"> činnosti či uskupení zemědělství, lesnictví </w:t>
            </w:r>
            <w:r w:rsidR="00BC7833">
              <w:rPr>
                <w:spacing w:val="-4"/>
              </w:rPr>
              <w:t>a </w:t>
            </w:r>
            <w:r>
              <w:rPr>
                <w:spacing w:val="-4"/>
              </w:rPr>
              <w:t xml:space="preserve">rybářství, podobně jako odvětví kulturní, zábavní a rekreační činnosti, jehož relativní pozice se navíc stále zhoršovala. Naopak další odvětví s nižší produktivitou </w:t>
            </w:r>
            <w:r w:rsidR="00A34FB5">
              <w:rPr>
                <w:spacing w:val="-4"/>
              </w:rPr>
              <w:t xml:space="preserve">zaznamenala </w:t>
            </w:r>
            <w:r>
              <w:rPr>
                <w:spacing w:val="-4"/>
              </w:rPr>
              <w:t>v posledních letech mírné zlepšení</w:t>
            </w:r>
            <w:r w:rsidR="0037734D">
              <w:rPr>
                <w:spacing w:val="-4"/>
              </w:rPr>
              <w:t xml:space="preserve"> – </w:t>
            </w:r>
            <w:r>
              <w:rPr>
                <w:spacing w:val="-4"/>
              </w:rPr>
              <w:t xml:space="preserve">zdravotní </w:t>
            </w:r>
            <w:r w:rsidR="00BC7833">
              <w:rPr>
                <w:spacing w:val="-4"/>
              </w:rPr>
              <w:t>a </w:t>
            </w:r>
            <w:r>
              <w:rPr>
                <w:spacing w:val="-4"/>
              </w:rPr>
              <w:t>sociální péče (na loňských 75</w:t>
            </w:r>
            <w:r w:rsidR="006454CC">
              <w:rPr>
                <w:spacing w:val="-4"/>
              </w:rPr>
              <w:t> %</w:t>
            </w:r>
            <w:r>
              <w:rPr>
                <w:spacing w:val="-4"/>
              </w:rPr>
              <w:t>), stavebnictví (70</w:t>
            </w:r>
            <w:r w:rsidR="006454CC">
              <w:rPr>
                <w:spacing w:val="-4"/>
              </w:rPr>
              <w:t> %</w:t>
            </w:r>
            <w:r>
              <w:rPr>
                <w:spacing w:val="-4"/>
              </w:rPr>
              <w:t xml:space="preserve">) </w:t>
            </w:r>
            <w:r w:rsidR="00BC7833">
              <w:rPr>
                <w:spacing w:val="-4"/>
              </w:rPr>
              <w:t>a </w:t>
            </w:r>
            <w:r>
              <w:rPr>
                <w:spacing w:val="-4"/>
              </w:rPr>
              <w:t>obchod (80</w:t>
            </w:r>
            <w:r w:rsidR="006454CC">
              <w:rPr>
                <w:spacing w:val="-4"/>
              </w:rPr>
              <w:t> %</w:t>
            </w:r>
            <w:r>
              <w:rPr>
                <w:spacing w:val="-4"/>
              </w:rPr>
              <w:t>).</w:t>
            </w:r>
          </w:p>
        </w:tc>
      </w:tr>
      <w:tr w:rsidR="009E674A" w14:paraId="22537A96" w14:textId="77777777" w:rsidTr="006F668F">
        <w:trPr>
          <w:trHeight w:val="145"/>
        </w:trPr>
        <w:tc>
          <w:tcPr>
            <w:tcW w:w="1976" w:type="dxa"/>
          </w:tcPr>
          <w:p w14:paraId="7BD102FA" w14:textId="77777777" w:rsidR="009E674A" w:rsidRDefault="00BC7833" w:rsidP="006F668F">
            <w:pPr>
              <w:pStyle w:val="Marginlie"/>
            </w:pPr>
            <w:r>
              <w:t>V </w:t>
            </w:r>
            <w:r w:rsidR="009E674A">
              <w:t xml:space="preserve">období let 2016 až 2018 rostly reálné hodinové výdělky zaměstnanců </w:t>
            </w:r>
            <w:r w:rsidR="009E674A">
              <w:lastRenderedPageBreak/>
              <w:t>vyšším tempem než reálná hodinová produktivita práce v celé ekonomice.</w:t>
            </w:r>
          </w:p>
          <w:p w14:paraId="1C6C3140" w14:textId="77777777" w:rsidR="009E674A" w:rsidRDefault="009E674A" w:rsidP="006F668F">
            <w:pPr>
              <w:pStyle w:val="Marginlie"/>
            </w:pPr>
          </w:p>
          <w:p w14:paraId="7DAA249C" w14:textId="77777777" w:rsidR="009E674A" w:rsidRDefault="009E674A" w:rsidP="006F668F">
            <w:pPr>
              <w:pStyle w:val="Marginlie"/>
            </w:pPr>
          </w:p>
          <w:p w14:paraId="034B7601" w14:textId="77777777" w:rsidR="009E674A" w:rsidRDefault="009E674A" w:rsidP="006F668F">
            <w:pPr>
              <w:pStyle w:val="Marginlie"/>
            </w:pPr>
          </w:p>
          <w:p w14:paraId="00FAA543" w14:textId="77777777" w:rsidR="009E674A" w:rsidRDefault="009E674A" w:rsidP="006F668F">
            <w:pPr>
              <w:pStyle w:val="Marginlie"/>
            </w:pPr>
          </w:p>
          <w:p w14:paraId="2AA2A4DB" w14:textId="77777777" w:rsidR="009E674A" w:rsidRDefault="009E674A" w:rsidP="006F668F">
            <w:pPr>
              <w:pStyle w:val="Marginlie"/>
            </w:pPr>
          </w:p>
          <w:p w14:paraId="3C9B21CC" w14:textId="77777777" w:rsidR="009E674A" w:rsidRDefault="009E674A" w:rsidP="006F668F">
            <w:pPr>
              <w:pStyle w:val="Marginlie"/>
            </w:pPr>
          </w:p>
          <w:p w14:paraId="266C574E" w14:textId="77777777" w:rsidR="009E674A" w:rsidRDefault="009E674A" w:rsidP="006F668F">
            <w:pPr>
              <w:pStyle w:val="Marginlie"/>
            </w:pPr>
          </w:p>
          <w:p w14:paraId="255E125F" w14:textId="7F6AE5F2" w:rsidR="009E674A" w:rsidRDefault="00BC7833" w:rsidP="006F668F">
            <w:pPr>
              <w:pStyle w:val="Marginlie"/>
            </w:pPr>
            <w:r>
              <w:t>I </w:t>
            </w:r>
            <w:r w:rsidR="009E674A">
              <w:t>přes krátkodobé disproporce zůstává v dlouhodobém pohledu vývoj produktivity práce a zaměstnaneckých výdělků vyvážený.</w:t>
            </w:r>
          </w:p>
        </w:tc>
        <w:tc>
          <w:tcPr>
            <w:tcW w:w="277" w:type="dxa"/>
          </w:tcPr>
          <w:p w14:paraId="24F3817B" w14:textId="77777777" w:rsidR="009E674A" w:rsidRPr="005E4483" w:rsidRDefault="009E674A" w:rsidP="006F668F">
            <w:pPr>
              <w:pStyle w:val="Textpoznpodarou"/>
              <w:jc w:val="both"/>
              <w:rPr>
                <w:spacing w:val="-4"/>
              </w:rPr>
            </w:pPr>
          </w:p>
        </w:tc>
        <w:tc>
          <w:tcPr>
            <w:tcW w:w="7391" w:type="dxa"/>
          </w:tcPr>
          <w:p w14:paraId="2CBB23A7" w14:textId="506758DB" w:rsidR="009E674A" w:rsidRPr="00B75F31" w:rsidRDefault="009E674A" w:rsidP="006F668F">
            <w:pPr>
              <w:spacing w:after="220"/>
              <w:rPr>
                <w:spacing w:val="-4"/>
              </w:rPr>
            </w:pPr>
            <w:r>
              <w:rPr>
                <w:spacing w:val="-4"/>
              </w:rPr>
              <w:t xml:space="preserve">Přestože reálná hodinová produktivita práce v celé ekonomice od konce poslední recese rostla (výjimkou byl rok 2016, kdy spíše stagnovala), nedosahovala strmé dynamiky průměrných výdělků. Reálný </w:t>
            </w:r>
            <w:r w:rsidRPr="00B473E5">
              <w:rPr>
                <w:spacing w:val="-2"/>
              </w:rPr>
              <w:t xml:space="preserve">objem vyplacených mezd </w:t>
            </w:r>
            <w:r w:rsidR="00BC7833" w:rsidRPr="00B473E5">
              <w:rPr>
                <w:spacing w:val="-2"/>
              </w:rPr>
              <w:t>a</w:t>
            </w:r>
            <w:r w:rsidR="00BC7833">
              <w:rPr>
                <w:spacing w:val="-2"/>
              </w:rPr>
              <w:t> </w:t>
            </w:r>
            <w:r w:rsidRPr="00B473E5">
              <w:rPr>
                <w:spacing w:val="-2"/>
              </w:rPr>
              <w:t>platů</w:t>
            </w:r>
            <w:r>
              <w:rPr>
                <w:rStyle w:val="Znakapoznpodarou"/>
                <w:rFonts w:cs="Arial"/>
                <w:color w:val="0D0D0D" w:themeColor="text1" w:themeTint="F2"/>
                <w:spacing w:val="-4"/>
              </w:rPr>
              <w:footnoteReference w:id="22"/>
            </w:r>
            <w:r w:rsidRPr="00B473E5">
              <w:rPr>
                <w:spacing w:val="-2"/>
              </w:rPr>
              <w:t xml:space="preserve"> v národním </w:t>
            </w:r>
            <w:r w:rsidRPr="00B473E5">
              <w:rPr>
                <w:spacing w:val="-2"/>
              </w:rPr>
              <w:lastRenderedPageBreak/>
              <w:t>hospodářství</w:t>
            </w:r>
            <w:r>
              <w:rPr>
                <w:spacing w:val="-2"/>
              </w:rPr>
              <w:t xml:space="preserve"> připadající na jednu odpracovanou hodinu po roce 2015 akceleroval. V roce 2018 vzrostl meziročně </w:t>
            </w:r>
            <w:r w:rsidR="00BC7833">
              <w:rPr>
                <w:spacing w:val="-2"/>
              </w:rPr>
              <w:t>o </w:t>
            </w:r>
            <w:r>
              <w:rPr>
                <w:spacing w:val="-2"/>
              </w:rPr>
              <w:t>silných 5,4</w:t>
            </w:r>
            <w:r w:rsidR="006454CC">
              <w:rPr>
                <w:spacing w:val="-2"/>
              </w:rPr>
              <w:t> %</w:t>
            </w:r>
            <w:r>
              <w:rPr>
                <w:spacing w:val="-2"/>
              </w:rPr>
              <w:t xml:space="preserve">, vyššího tempa docílil v dostupné časové řadě (od roku 1995) jen v letech 1996 </w:t>
            </w:r>
            <w:r w:rsidR="00BC7833">
              <w:rPr>
                <w:spacing w:val="-2"/>
              </w:rPr>
              <w:t>a </w:t>
            </w:r>
            <w:r>
              <w:rPr>
                <w:spacing w:val="-2"/>
              </w:rPr>
              <w:t xml:space="preserve">2003. V období 2016 až 2018 tak dynamika reálných zaměstnaneckých výdělků citelně předčila tempo růstu produktivity práce, což platilo nejvíce v roce 2018 (kdy hodinová produktivita v ekonomice posílila „jen“ </w:t>
            </w:r>
            <w:r w:rsidR="00BC7833">
              <w:rPr>
                <w:spacing w:val="-2"/>
              </w:rPr>
              <w:t>o </w:t>
            </w:r>
            <w:r>
              <w:rPr>
                <w:spacing w:val="-2"/>
              </w:rPr>
              <w:t>1,5</w:t>
            </w:r>
            <w:r w:rsidR="006454CC">
              <w:rPr>
                <w:spacing w:val="-2"/>
              </w:rPr>
              <w:t> %</w:t>
            </w:r>
            <w:r>
              <w:rPr>
                <w:spacing w:val="-2"/>
              </w:rPr>
              <w:t xml:space="preserve">). Loňský rok byl ale na trhu práce v řadě ohledů výjimečný. Velmi nízká míra nezaměstnanosti spolu s rekordním počtem i intenzitou zaměstnanosti byly dále umocněny bezprecedentním nárůstem </w:t>
            </w:r>
            <w:r w:rsidR="00BC7833">
              <w:rPr>
                <w:spacing w:val="-2"/>
              </w:rPr>
              <w:t>i </w:t>
            </w:r>
            <w:r>
              <w:rPr>
                <w:spacing w:val="-2"/>
              </w:rPr>
              <w:t>dosaženým počtem neobsazených pracovních míst. Z dlouhodobějšího pohledu bylo navíc patrné, že v období 2010 až 2013, kdy tuzemský trh práce nejvíce zasáhly dopady dvojité recese, byl růst reálných hodinových výdělků zastaven. Produktivita práce však v tomto období mírně rostla, mj.</w:t>
            </w:r>
            <w:r w:rsidR="008173F8">
              <w:rPr>
                <w:spacing w:val="-2"/>
              </w:rPr>
              <w:t> </w:t>
            </w:r>
            <w:r w:rsidR="00BC7833">
              <w:rPr>
                <w:spacing w:val="-2"/>
              </w:rPr>
              <w:t>i </w:t>
            </w:r>
            <w:r>
              <w:rPr>
                <w:spacing w:val="-2"/>
              </w:rPr>
              <w:t xml:space="preserve">vlivem pokračujícího propouštění pracovníků či jejich nižším využitím (poklesem odpracované doby). Disproporce mezi produktivitou práce </w:t>
            </w:r>
            <w:r w:rsidR="00BC7833">
              <w:rPr>
                <w:spacing w:val="-2"/>
              </w:rPr>
              <w:t>a </w:t>
            </w:r>
            <w:r>
              <w:rPr>
                <w:spacing w:val="-2"/>
              </w:rPr>
              <w:t xml:space="preserve">výdělky vzniklá v tomto období tak byla vývojem po roce 2015 fakticky pouze odstraněna. Proti roku 2005 byla loni hodinová produktivita reálně vyšší </w:t>
            </w:r>
            <w:r w:rsidR="00BC7833">
              <w:rPr>
                <w:spacing w:val="-2"/>
              </w:rPr>
              <w:t>o </w:t>
            </w:r>
            <w:r>
              <w:rPr>
                <w:spacing w:val="-2"/>
              </w:rPr>
              <w:t>24,7</w:t>
            </w:r>
            <w:r w:rsidR="006454CC">
              <w:rPr>
                <w:spacing w:val="-2"/>
              </w:rPr>
              <w:t> %</w:t>
            </w:r>
            <w:r>
              <w:rPr>
                <w:spacing w:val="-2"/>
              </w:rPr>
              <w:t xml:space="preserve">, reálné hodinové výdělky zaměstnanců stouply za stejné období </w:t>
            </w:r>
            <w:r w:rsidR="00BC7833">
              <w:rPr>
                <w:spacing w:val="-2"/>
              </w:rPr>
              <w:t>o </w:t>
            </w:r>
            <w:r>
              <w:rPr>
                <w:spacing w:val="-2"/>
              </w:rPr>
              <w:t>26,3</w:t>
            </w:r>
            <w:r w:rsidR="006454CC">
              <w:rPr>
                <w:spacing w:val="-2"/>
              </w:rPr>
              <w:t> %</w:t>
            </w:r>
            <w:r>
              <w:rPr>
                <w:spacing w:val="-2"/>
              </w:rPr>
              <w:t>.</w:t>
            </w:r>
          </w:p>
        </w:tc>
      </w:tr>
      <w:tr w:rsidR="009E674A" w14:paraId="2B467145" w14:textId="77777777" w:rsidTr="006F668F">
        <w:trPr>
          <w:trHeight w:val="145"/>
        </w:trPr>
        <w:tc>
          <w:tcPr>
            <w:tcW w:w="1976" w:type="dxa"/>
          </w:tcPr>
          <w:p w14:paraId="779299D1" w14:textId="77777777" w:rsidR="009E674A" w:rsidRDefault="009E674A" w:rsidP="006F668F">
            <w:pPr>
              <w:pStyle w:val="Marginlie"/>
            </w:pPr>
          </w:p>
        </w:tc>
        <w:tc>
          <w:tcPr>
            <w:tcW w:w="277" w:type="dxa"/>
          </w:tcPr>
          <w:p w14:paraId="4E23D226" w14:textId="77777777" w:rsidR="009E674A" w:rsidRPr="005E4483" w:rsidRDefault="009E674A" w:rsidP="006F668F">
            <w:pPr>
              <w:pStyle w:val="Textpoznpodarou"/>
              <w:jc w:val="both"/>
              <w:rPr>
                <w:spacing w:val="-4"/>
              </w:rPr>
            </w:pPr>
          </w:p>
        </w:tc>
        <w:tc>
          <w:tcPr>
            <w:tcW w:w="7391" w:type="dxa"/>
          </w:tcPr>
          <w:p w14:paraId="4F41D2F2" w14:textId="77777777" w:rsidR="009E674A" w:rsidRPr="004901CA" w:rsidRDefault="009E674A" w:rsidP="006F668F">
            <w:pPr>
              <w:spacing w:after="0"/>
              <w:jc w:val="left"/>
              <w:rPr>
                <w:spacing w:val="-2"/>
              </w:rPr>
            </w:pPr>
            <w:r>
              <w:rPr>
                <w:b/>
                <w:spacing w:val="-4"/>
              </w:rPr>
              <w:t xml:space="preserve">Graf </w:t>
            </w:r>
            <w:r w:rsidR="00BA35F3">
              <w:rPr>
                <w:b/>
                <w:spacing w:val="-4"/>
              </w:rPr>
              <w:t>č. </w:t>
            </w:r>
            <w:r w:rsidR="00BC7833">
              <w:rPr>
                <w:b/>
                <w:spacing w:val="-4"/>
              </w:rPr>
              <w:t>9</w:t>
            </w:r>
            <w:r w:rsidR="009F47E7">
              <w:rPr>
                <w:b/>
                <w:spacing w:val="-4"/>
              </w:rPr>
              <w:t xml:space="preserve">  </w:t>
            </w:r>
            <w:r>
              <w:rPr>
                <w:b/>
                <w:spacing w:val="-4"/>
              </w:rPr>
              <w:t xml:space="preserve">Vztah objemu vyplacených mezd* </w:t>
            </w:r>
            <w:r w:rsidR="00BC7833">
              <w:rPr>
                <w:b/>
                <w:spacing w:val="-4"/>
              </w:rPr>
              <w:t>k </w:t>
            </w:r>
            <w:r>
              <w:rPr>
                <w:b/>
                <w:spacing w:val="-4"/>
              </w:rPr>
              <w:t xml:space="preserve">produktivitě práce </w:t>
            </w:r>
            <w:r w:rsidR="00BC7833">
              <w:rPr>
                <w:b/>
                <w:spacing w:val="-4"/>
              </w:rPr>
              <w:t>a </w:t>
            </w:r>
            <w:r>
              <w:rPr>
                <w:b/>
                <w:spacing w:val="-4"/>
              </w:rPr>
              <w:t>zisku nefinančních podniků</w:t>
            </w:r>
            <w:r w:rsidR="009A4F91">
              <w:rPr>
                <w:b/>
                <w:spacing w:val="-4"/>
              </w:rPr>
              <w:t xml:space="preserve"> </w:t>
            </w:r>
            <w:r w:rsidR="009A4F91">
              <w:rPr>
                <w:spacing w:val="-4"/>
              </w:rPr>
              <w:t>(v</w:t>
            </w:r>
            <w:r w:rsidR="006454CC">
              <w:rPr>
                <w:spacing w:val="-4"/>
              </w:rPr>
              <w:t> %</w:t>
            </w:r>
            <w:r w:rsidR="009A4F91" w:rsidRPr="009A4F91">
              <w:rPr>
                <w:spacing w:val="-4"/>
              </w:rPr>
              <w:t>)</w:t>
            </w:r>
          </w:p>
        </w:tc>
      </w:tr>
      <w:tr w:rsidR="009E674A" w14:paraId="02F88221" w14:textId="77777777" w:rsidTr="003F366D">
        <w:tblPrEx>
          <w:tblCellMar>
            <w:left w:w="70" w:type="dxa"/>
            <w:right w:w="70" w:type="dxa"/>
          </w:tblCellMar>
        </w:tblPrEx>
        <w:trPr>
          <w:trHeight w:val="145"/>
        </w:trPr>
        <w:tc>
          <w:tcPr>
            <w:tcW w:w="1976" w:type="dxa"/>
          </w:tcPr>
          <w:p w14:paraId="4874385C" w14:textId="77777777" w:rsidR="009E674A" w:rsidRDefault="009E674A" w:rsidP="006F668F">
            <w:pPr>
              <w:pStyle w:val="Marginlie"/>
            </w:pPr>
          </w:p>
        </w:tc>
        <w:tc>
          <w:tcPr>
            <w:tcW w:w="277" w:type="dxa"/>
          </w:tcPr>
          <w:p w14:paraId="2DA30886" w14:textId="77777777" w:rsidR="009E674A" w:rsidRPr="005E4483" w:rsidRDefault="009E674A" w:rsidP="006F668F">
            <w:pPr>
              <w:pStyle w:val="Textpoznpodarou"/>
              <w:jc w:val="both"/>
              <w:rPr>
                <w:spacing w:val="-4"/>
              </w:rPr>
            </w:pPr>
          </w:p>
        </w:tc>
        <w:tc>
          <w:tcPr>
            <w:tcW w:w="7391" w:type="dxa"/>
          </w:tcPr>
          <w:p w14:paraId="628AD41F" w14:textId="1CCBBD16" w:rsidR="009E674A" w:rsidRPr="004901CA" w:rsidRDefault="003F366D" w:rsidP="006F668F">
            <w:pPr>
              <w:spacing w:after="0"/>
              <w:rPr>
                <w:spacing w:val="-2"/>
              </w:rPr>
            </w:pPr>
            <w:r>
              <w:rPr>
                <w:noProof/>
              </w:rPr>
              <w:drawing>
                <wp:inline distT="0" distB="0" distL="0" distR="0" wp14:anchorId="4F21AA6A" wp14:editId="3A4F3DF6">
                  <wp:extent cx="4585921" cy="3521294"/>
                  <wp:effectExtent l="0" t="0" r="5715" b="3175"/>
                  <wp:docPr id="49" name="Graf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tc>
      </w:tr>
      <w:tr w:rsidR="009E674A" w14:paraId="69956206" w14:textId="77777777" w:rsidTr="006F668F">
        <w:trPr>
          <w:trHeight w:val="145"/>
        </w:trPr>
        <w:tc>
          <w:tcPr>
            <w:tcW w:w="1976" w:type="dxa"/>
          </w:tcPr>
          <w:p w14:paraId="12A4EFCD" w14:textId="77777777" w:rsidR="009E674A" w:rsidRDefault="009E674A" w:rsidP="006F668F">
            <w:pPr>
              <w:pStyle w:val="Marginlie"/>
            </w:pPr>
          </w:p>
        </w:tc>
        <w:tc>
          <w:tcPr>
            <w:tcW w:w="277" w:type="dxa"/>
          </w:tcPr>
          <w:p w14:paraId="5C904DB6" w14:textId="77777777" w:rsidR="009E674A" w:rsidRPr="005E4483" w:rsidRDefault="009E674A" w:rsidP="006F668F">
            <w:pPr>
              <w:pStyle w:val="Textpoznpodarou"/>
              <w:jc w:val="both"/>
              <w:rPr>
                <w:spacing w:val="-4"/>
              </w:rPr>
            </w:pPr>
          </w:p>
        </w:tc>
        <w:tc>
          <w:tcPr>
            <w:tcW w:w="7391" w:type="dxa"/>
          </w:tcPr>
          <w:p w14:paraId="27021F7A" w14:textId="01B48BE5" w:rsidR="009E674A" w:rsidRDefault="009E674A" w:rsidP="006F668F">
            <w:pPr>
              <w:spacing w:after="0"/>
              <w:rPr>
                <w:rFonts w:cs="Arial"/>
                <w:sz w:val="14"/>
                <w:szCs w:val="14"/>
              </w:rPr>
            </w:pPr>
            <w:r>
              <w:rPr>
                <w:rFonts w:cs="Arial"/>
                <w:sz w:val="14"/>
                <w:szCs w:val="14"/>
              </w:rPr>
              <w:t xml:space="preserve">*Jde </w:t>
            </w:r>
            <w:r w:rsidR="00BC7833">
              <w:rPr>
                <w:rFonts w:cs="Arial"/>
                <w:sz w:val="14"/>
                <w:szCs w:val="14"/>
              </w:rPr>
              <w:t>o </w:t>
            </w:r>
            <w:r>
              <w:rPr>
                <w:rFonts w:cs="Arial"/>
                <w:sz w:val="14"/>
                <w:szCs w:val="14"/>
              </w:rPr>
              <w:t xml:space="preserve">mzdy </w:t>
            </w:r>
            <w:r w:rsidR="00BC7833">
              <w:rPr>
                <w:rFonts w:cs="Arial"/>
                <w:sz w:val="14"/>
                <w:szCs w:val="14"/>
              </w:rPr>
              <w:t>a </w:t>
            </w:r>
            <w:r>
              <w:rPr>
                <w:rFonts w:cs="Arial"/>
                <w:sz w:val="14"/>
                <w:szCs w:val="14"/>
              </w:rPr>
              <w:t xml:space="preserve">platy v pojetí národních účtů. </w:t>
            </w:r>
            <w:r w:rsidRPr="00DE2572">
              <w:rPr>
                <w:rFonts w:cs="Arial"/>
                <w:sz w:val="14"/>
                <w:szCs w:val="14"/>
              </w:rPr>
              <w:t xml:space="preserve">Obsahují </w:t>
            </w:r>
            <w:r w:rsidR="00BC7833" w:rsidRPr="00DE2572">
              <w:rPr>
                <w:rFonts w:cs="Arial"/>
                <w:sz w:val="14"/>
                <w:szCs w:val="14"/>
              </w:rPr>
              <w:t>i</w:t>
            </w:r>
            <w:r w:rsidR="00BC7833">
              <w:rPr>
                <w:rFonts w:cs="Arial"/>
                <w:sz w:val="14"/>
                <w:szCs w:val="14"/>
              </w:rPr>
              <w:t> </w:t>
            </w:r>
            <w:r w:rsidRPr="00DE2572">
              <w:rPr>
                <w:rFonts w:cs="Arial"/>
                <w:sz w:val="14"/>
                <w:szCs w:val="14"/>
              </w:rPr>
              <w:t xml:space="preserve">daň z příjmu </w:t>
            </w:r>
            <w:r w:rsidR="00BC7833" w:rsidRPr="00DE2572">
              <w:rPr>
                <w:rFonts w:cs="Arial"/>
                <w:sz w:val="14"/>
                <w:szCs w:val="14"/>
              </w:rPr>
              <w:t>a</w:t>
            </w:r>
            <w:r w:rsidR="00BC7833">
              <w:rPr>
                <w:rFonts w:cs="Arial"/>
                <w:sz w:val="14"/>
                <w:szCs w:val="14"/>
              </w:rPr>
              <w:t> </w:t>
            </w:r>
            <w:r w:rsidRPr="00DE2572">
              <w:rPr>
                <w:rFonts w:cs="Arial"/>
                <w:sz w:val="14"/>
                <w:szCs w:val="14"/>
              </w:rPr>
              <w:t>sociální příspěvky placené zaměstnancem. Zahrnují také nepeněžní, resp.</w:t>
            </w:r>
            <w:r w:rsidR="009D78F8">
              <w:rPr>
                <w:rFonts w:cs="Arial"/>
                <w:sz w:val="14"/>
                <w:szCs w:val="14"/>
              </w:rPr>
              <w:t> </w:t>
            </w:r>
            <w:r w:rsidRPr="00DE2572">
              <w:rPr>
                <w:rFonts w:cs="Arial"/>
                <w:sz w:val="14"/>
                <w:szCs w:val="14"/>
              </w:rPr>
              <w:t xml:space="preserve">naturální důchody </w:t>
            </w:r>
            <w:r w:rsidR="00BC7833" w:rsidRPr="00DE2572">
              <w:rPr>
                <w:rFonts w:cs="Arial"/>
                <w:sz w:val="14"/>
                <w:szCs w:val="14"/>
              </w:rPr>
              <w:t>i</w:t>
            </w:r>
            <w:r w:rsidR="00BC7833">
              <w:rPr>
                <w:rFonts w:cs="Arial"/>
                <w:sz w:val="14"/>
                <w:szCs w:val="14"/>
              </w:rPr>
              <w:t> </w:t>
            </w:r>
            <w:r w:rsidRPr="00DE2572">
              <w:rPr>
                <w:rFonts w:cs="Arial"/>
                <w:sz w:val="14"/>
                <w:szCs w:val="14"/>
              </w:rPr>
              <w:t>odhad za nezjištěnou (šedou) ekonomiku.</w:t>
            </w:r>
          </w:p>
          <w:p w14:paraId="177E556D" w14:textId="4DB71756" w:rsidR="009E674A" w:rsidRDefault="009E674A" w:rsidP="006F668F">
            <w:pPr>
              <w:spacing w:after="0"/>
              <w:rPr>
                <w:rFonts w:cs="Arial"/>
                <w:sz w:val="14"/>
                <w:szCs w:val="14"/>
              </w:rPr>
            </w:pPr>
            <w:r>
              <w:rPr>
                <w:rFonts w:cs="Arial"/>
                <w:sz w:val="14"/>
                <w:szCs w:val="14"/>
              </w:rPr>
              <w:t>**</w:t>
            </w:r>
            <w:r w:rsidRPr="00B75F31">
              <w:rPr>
                <w:spacing w:val="-2"/>
              </w:rPr>
              <w:t xml:space="preserve"> </w:t>
            </w:r>
            <w:r w:rsidRPr="008F0798">
              <w:rPr>
                <w:rFonts w:cs="Arial"/>
                <w:sz w:val="14"/>
                <w:szCs w:val="14"/>
              </w:rPr>
              <w:t>Do</w:t>
            </w:r>
            <w:r w:rsidR="009D78F8">
              <w:rPr>
                <w:rFonts w:cs="Arial"/>
                <w:sz w:val="14"/>
                <w:szCs w:val="14"/>
              </w:rPr>
              <w:t xml:space="preserve"> </w:t>
            </w:r>
            <w:r w:rsidRPr="008F0798">
              <w:rPr>
                <w:rFonts w:cs="Arial"/>
                <w:sz w:val="14"/>
                <w:szCs w:val="14"/>
              </w:rPr>
              <w:t>reálného vyjádření převedeno s využitím deflátoru výdajů na konečnou spotřebu domácností</w:t>
            </w:r>
            <w:r>
              <w:rPr>
                <w:rFonts w:cs="Arial"/>
                <w:sz w:val="14"/>
                <w:szCs w:val="14"/>
              </w:rPr>
              <w:t>.</w:t>
            </w:r>
          </w:p>
          <w:p w14:paraId="64A002B9" w14:textId="77777777" w:rsidR="009E674A" w:rsidRPr="004901CA" w:rsidRDefault="009E674A" w:rsidP="006F668F">
            <w:pPr>
              <w:spacing w:after="220"/>
              <w:rPr>
                <w:spacing w:val="-2"/>
              </w:rPr>
            </w:pPr>
            <w:r w:rsidRPr="00444E6D">
              <w:rPr>
                <w:rFonts w:cs="Arial"/>
                <w:sz w:val="14"/>
                <w:szCs w:val="14"/>
              </w:rPr>
              <w:t xml:space="preserve">Zdroj: </w:t>
            </w:r>
            <w:r>
              <w:rPr>
                <w:rFonts w:cs="Arial"/>
                <w:sz w:val="14"/>
                <w:szCs w:val="14"/>
              </w:rPr>
              <w:t>ČSÚ (národní účty)</w:t>
            </w:r>
          </w:p>
        </w:tc>
      </w:tr>
      <w:tr w:rsidR="009E674A" w14:paraId="0D46844C" w14:textId="77777777" w:rsidTr="006F668F">
        <w:trPr>
          <w:trHeight w:val="145"/>
        </w:trPr>
        <w:tc>
          <w:tcPr>
            <w:tcW w:w="1976" w:type="dxa"/>
          </w:tcPr>
          <w:p w14:paraId="22DE72D2" w14:textId="77777777" w:rsidR="009E674A" w:rsidRDefault="009E674A" w:rsidP="006F668F">
            <w:pPr>
              <w:pStyle w:val="Marginlie"/>
            </w:pPr>
            <w:r>
              <w:t xml:space="preserve">Poměr mezd </w:t>
            </w:r>
            <w:r w:rsidR="00BC7833">
              <w:t>a </w:t>
            </w:r>
            <w:r>
              <w:t xml:space="preserve">platů k HDP dosáhl loni rekordních 32,6 %. Na jeho mírném dlouhodobém růstu se podílela </w:t>
            </w:r>
            <w:r w:rsidR="00BC7833">
              <w:t>i </w:t>
            </w:r>
            <w:r>
              <w:t>rostoucí váha zaměstnanců na výkonu celé ekonomiky.</w:t>
            </w:r>
          </w:p>
          <w:p w14:paraId="4AE7B8AE" w14:textId="77777777" w:rsidR="009E674A" w:rsidRDefault="009E674A" w:rsidP="006F668F">
            <w:pPr>
              <w:pStyle w:val="Marginlie"/>
            </w:pPr>
          </w:p>
          <w:p w14:paraId="36A4D59C" w14:textId="77777777" w:rsidR="009E674A" w:rsidRDefault="009E674A" w:rsidP="006F668F">
            <w:pPr>
              <w:pStyle w:val="Marginlie"/>
            </w:pPr>
          </w:p>
          <w:p w14:paraId="6CA398D0" w14:textId="77777777" w:rsidR="009E674A" w:rsidRDefault="009E674A" w:rsidP="006F668F">
            <w:pPr>
              <w:pStyle w:val="Marginlie"/>
            </w:pPr>
          </w:p>
          <w:p w14:paraId="5B2A46EB" w14:textId="77777777" w:rsidR="009E674A" w:rsidRDefault="009E674A" w:rsidP="006F668F">
            <w:pPr>
              <w:pStyle w:val="Marginlie"/>
            </w:pPr>
            <w:r>
              <w:lastRenderedPageBreak/>
              <w:t>Mzdová akcelerace se loni citelně projevila v ziskovosti nefinančních podniků.</w:t>
            </w:r>
          </w:p>
        </w:tc>
        <w:tc>
          <w:tcPr>
            <w:tcW w:w="277" w:type="dxa"/>
          </w:tcPr>
          <w:p w14:paraId="7FEF79D0" w14:textId="77777777" w:rsidR="009E674A" w:rsidRPr="005E4483" w:rsidRDefault="009E674A" w:rsidP="006F668F">
            <w:pPr>
              <w:pStyle w:val="Textpoznpodarou"/>
              <w:jc w:val="both"/>
              <w:rPr>
                <w:spacing w:val="-4"/>
              </w:rPr>
            </w:pPr>
          </w:p>
        </w:tc>
        <w:tc>
          <w:tcPr>
            <w:tcW w:w="7391" w:type="dxa"/>
          </w:tcPr>
          <w:p w14:paraId="2121159A" w14:textId="1FBD89F8" w:rsidR="009E674A" w:rsidRPr="004901CA" w:rsidRDefault="009E674A" w:rsidP="006F668F">
            <w:pPr>
              <w:spacing w:after="0"/>
              <w:rPr>
                <w:spacing w:val="-2"/>
              </w:rPr>
            </w:pPr>
            <w:r>
              <w:rPr>
                <w:spacing w:val="-2"/>
              </w:rPr>
              <w:t xml:space="preserve">Poměr objemu vyplacených mezd </w:t>
            </w:r>
            <w:r w:rsidR="00BC7833">
              <w:rPr>
                <w:spacing w:val="-2"/>
              </w:rPr>
              <w:t>a </w:t>
            </w:r>
            <w:r>
              <w:rPr>
                <w:spacing w:val="-2"/>
              </w:rPr>
              <w:t>platů v ekonomice na HDP v Česku dlouhodobě osciloval těsně nad 30</w:t>
            </w:r>
            <w:r w:rsidR="006454CC">
              <w:rPr>
                <w:spacing w:val="-2"/>
              </w:rPr>
              <w:t> %</w:t>
            </w:r>
            <w:r>
              <w:rPr>
                <w:spacing w:val="-2"/>
              </w:rPr>
              <w:t xml:space="preserve">. V posledních třech letech ale zaměstnanci profitovali ze své velmi výhodné pozice na pracovním trhu </w:t>
            </w:r>
            <w:r w:rsidR="00BC7833">
              <w:rPr>
                <w:spacing w:val="-2"/>
              </w:rPr>
              <w:t>a </w:t>
            </w:r>
            <w:r>
              <w:rPr>
                <w:spacing w:val="-2"/>
              </w:rPr>
              <w:t>poměr výdělků dosáhl loni 32,6</w:t>
            </w:r>
            <w:r w:rsidR="006454CC">
              <w:rPr>
                <w:spacing w:val="-2"/>
              </w:rPr>
              <w:t> %</w:t>
            </w:r>
            <w:r>
              <w:rPr>
                <w:spacing w:val="-2"/>
              </w:rPr>
              <w:t>, nejvíce v historii samostatné ČR. Nelze ale opomenout, že za tímto růstem stojí zčásti (zejména po roce 2000) rostoucí váha zaměstnanců na výkonu celé ekonomiky. Zatímco ti se v roce 2018 podíleli na celkové odpracované době v ekonomice 83,6</w:t>
            </w:r>
            <w:r w:rsidR="006454CC">
              <w:rPr>
                <w:spacing w:val="-2"/>
              </w:rPr>
              <w:t> %</w:t>
            </w:r>
            <w:r>
              <w:rPr>
                <w:spacing w:val="-2"/>
              </w:rPr>
              <w:t xml:space="preserve">, </w:t>
            </w:r>
            <w:r w:rsidR="00BC7833">
              <w:rPr>
                <w:spacing w:val="-2"/>
              </w:rPr>
              <w:t>o </w:t>
            </w:r>
            <w:r>
              <w:rPr>
                <w:spacing w:val="-2"/>
              </w:rPr>
              <w:t xml:space="preserve">patnáct let dříve byla jejich váha </w:t>
            </w:r>
            <w:r w:rsidR="00BC7833">
              <w:rPr>
                <w:spacing w:val="-2"/>
              </w:rPr>
              <w:t>o </w:t>
            </w:r>
            <w:r>
              <w:rPr>
                <w:spacing w:val="-2"/>
              </w:rPr>
              <w:t>5</w:t>
            </w:r>
            <w:r w:rsidR="006454CC">
              <w:rPr>
                <w:spacing w:val="-2"/>
              </w:rPr>
              <w:t> p. b.</w:t>
            </w:r>
            <w:r>
              <w:rPr>
                <w:spacing w:val="-2"/>
              </w:rPr>
              <w:t xml:space="preserve"> slabší. Situace na pracovním trhu v loňském roce ale měla méně příznivé dopady na hospodaření nejvýznamnějšího </w:t>
            </w:r>
            <w:r>
              <w:rPr>
                <w:spacing w:val="-2"/>
              </w:rPr>
              <w:lastRenderedPageBreak/>
              <w:t>institucionálního sektoru v ekonomice</w:t>
            </w:r>
            <w:r w:rsidR="0037734D">
              <w:rPr>
                <w:spacing w:val="-2"/>
              </w:rPr>
              <w:t xml:space="preserve"> – </w:t>
            </w:r>
            <w:r>
              <w:rPr>
                <w:spacing w:val="-2"/>
              </w:rPr>
              <w:t>nefinančních podniků</w:t>
            </w:r>
            <w:r>
              <w:rPr>
                <w:rStyle w:val="Znakapoznpodarou"/>
                <w:rFonts w:cs="Arial"/>
                <w:color w:val="0D0D0D" w:themeColor="text1" w:themeTint="F2"/>
                <w:spacing w:val="-4"/>
              </w:rPr>
              <w:footnoteReference w:id="23"/>
            </w:r>
            <w:r>
              <w:rPr>
                <w:spacing w:val="-2"/>
              </w:rPr>
              <w:t>. Jejich hrubý provozní přebytek se poprvé po roce 2010 meziročně snížil (</w:t>
            </w:r>
            <w:r w:rsidR="00BC7833">
              <w:rPr>
                <w:spacing w:val="-2"/>
              </w:rPr>
              <w:t>o </w:t>
            </w:r>
            <w:r>
              <w:rPr>
                <w:spacing w:val="-2"/>
              </w:rPr>
              <w:t>1,5</w:t>
            </w:r>
            <w:r w:rsidR="006454CC">
              <w:rPr>
                <w:spacing w:val="-2"/>
              </w:rPr>
              <w:t> %</w:t>
            </w:r>
            <w:r>
              <w:rPr>
                <w:spacing w:val="-2"/>
              </w:rPr>
              <w:t>) a míra hrubého zisku klesla na 46,7</w:t>
            </w:r>
            <w:r w:rsidR="006454CC">
              <w:rPr>
                <w:spacing w:val="-2"/>
              </w:rPr>
              <w:t> %</w:t>
            </w:r>
            <w:r>
              <w:rPr>
                <w:spacing w:val="-2"/>
              </w:rPr>
              <w:t xml:space="preserve"> (nejnižší hodnotu v historii samostatné ČR). Poměr objemu vyplacených mezd v podnicích k jimi vytvořenému hrubému zisku po roce 2015 stoupal </w:t>
            </w:r>
            <w:r w:rsidR="00BC7833">
              <w:rPr>
                <w:spacing w:val="-2"/>
              </w:rPr>
              <w:t>a </w:t>
            </w:r>
            <w:r>
              <w:rPr>
                <w:spacing w:val="-2"/>
              </w:rPr>
              <w:t>loni dosáhl rekordních 87,6</w:t>
            </w:r>
            <w:r w:rsidR="006454CC">
              <w:rPr>
                <w:spacing w:val="-2"/>
              </w:rPr>
              <w:t> %</w:t>
            </w:r>
            <w:r>
              <w:rPr>
                <w:spacing w:val="-2"/>
              </w:rPr>
              <w:t>.</w:t>
            </w:r>
          </w:p>
        </w:tc>
      </w:tr>
    </w:tbl>
    <w:p w14:paraId="654E18CC" w14:textId="77777777" w:rsidR="009E674A" w:rsidRPr="00EA394F" w:rsidRDefault="009E674A" w:rsidP="009E674A">
      <w:pPr>
        <w:rPr>
          <w:sz w:val="2"/>
          <w:szCs w:val="2"/>
        </w:rPr>
      </w:pPr>
    </w:p>
    <w:p w14:paraId="001A2500" w14:textId="77777777" w:rsidR="009E674A" w:rsidRPr="002A5986" w:rsidRDefault="009E674A" w:rsidP="009E674A">
      <w:pPr>
        <w:spacing w:after="0"/>
        <w:rPr>
          <w:rFonts w:eastAsia="MS Gothic"/>
          <w:b/>
          <w:bCs/>
          <w:color w:val="71818C"/>
          <w:sz w:val="28"/>
          <w:szCs w:val="28"/>
        </w:rPr>
      </w:pPr>
      <w:r>
        <w:rPr>
          <w:rFonts w:eastAsia="MS Gothic"/>
          <w:b/>
          <w:bCs/>
          <w:color w:val="71818C"/>
          <w:sz w:val="28"/>
          <w:szCs w:val="28"/>
        </w:rPr>
        <w:t>1.4. Zaměstnanost cizinců</w:t>
      </w:r>
    </w:p>
    <w:tbl>
      <w:tblPr>
        <w:tblW w:w="9644" w:type="dxa"/>
        <w:tblInd w:w="-15" w:type="dxa"/>
        <w:tblLayout w:type="fixed"/>
        <w:tblCellMar>
          <w:left w:w="0" w:type="dxa"/>
          <w:right w:w="0" w:type="dxa"/>
        </w:tblCellMar>
        <w:tblLook w:val="00A0" w:firstRow="1" w:lastRow="0" w:firstColumn="1" w:lastColumn="0" w:noHBand="0" w:noVBand="0"/>
      </w:tblPr>
      <w:tblGrid>
        <w:gridCol w:w="1976"/>
        <w:gridCol w:w="277"/>
        <w:gridCol w:w="7391"/>
      </w:tblGrid>
      <w:tr w:rsidR="009E674A" w:rsidRPr="00257FB1" w14:paraId="58F5917A" w14:textId="77777777" w:rsidTr="006F668F">
        <w:trPr>
          <w:trHeight w:val="145"/>
        </w:trPr>
        <w:tc>
          <w:tcPr>
            <w:tcW w:w="1976" w:type="dxa"/>
          </w:tcPr>
          <w:p w14:paraId="060A3124" w14:textId="726E5182" w:rsidR="009E674A" w:rsidRDefault="009E674A" w:rsidP="00744D09">
            <w:pPr>
              <w:pStyle w:val="Marginlie"/>
            </w:pPr>
            <w:r>
              <w:t xml:space="preserve">Problém nedostatku volné pracovní síly na tuzemském pracovním trhu se dále vyostřoval. </w:t>
            </w:r>
          </w:p>
        </w:tc>
        <w:tc>
          <w:tcPr>
            <w:tcW w:w="277" w:type="dxa"/>
          </w:tcPr>
          <w:p w14:paraId="500BF823" w14:textId="77777777" w:rsidR="009E674A" w:rsidRPr="005E4483" w:rsidRDefault="009E674A" w:rsidP="006F668F">
            <w:pPr>
              <w:pStyle w:val="Textpoznpodarou"/>
              <w:jc w:val="both"/>
              <w:rPr>
                <w:spacing w:val="-4"/>
              </w:rPr>
            </w:pPr>
          </w:p>
        </w:tc>
        <w:tc>
          <w:tcPr>
            <w:tcW w:w="7391" w:type="dxa"/>
          </w:tcPr>
          <w:p w14:paraId="763B388E" w14:textId="0E45F3FF" w:rsidR="009E674A" w:rsidRPr="00257FB1" w:rsidRDefault="00BC7833" w:rsidP="00744D09">
            <w:pPr>
              <w:spacing w:after="220"/>
              <w:rPr>
                <w:spacing w:val="-2"/>
              </w:rPr>
            </w:pPr>
            <w:r>
              <w:rPr>
                <w:spacing w:val="-2"/>
              </w:rPr>
              <w:t>V </w:t>
            </w:r>
            <w:r w:rsidR="009E674A">
              <w:rPr>
                <w:spacing w:val="-2"/>
              </w:rPr>
              <w:t>době pokračující hospodářské expanze narážely</w:t>
            </w:r>
            <w:r w:rsidR="00992F70">
              <w:rPr>
                <w:spacing w:val="-2"/>
              </w:rPr>
              <w:t xml:space="preserve"> podniky stále více na limity plynoucí </w:t>
            </w:r>
            <w:r>
              <w:rPr>
                <w:spacing w:val="-2"/>
              </w:rPr>
              <w:t>z </w:t>
            </w:r>
            <w:r w:rsidR="00992F70">
              <w:rPr>
                <w:spacing w:val="-2"/>
              </w:rPr>
              <w:t>tuzemského pracovního</w:t>
            </w:r>
            <w:r w:rsidR="009E674A">
              <w:rPr>
                <w:spacing w:val="-2"/>
              </w:rPr>
              <w:t xml:space="preserve"> trhu. </w:t>
            </w:r>
            <w:r w:rsidR="00C3031A">
              <w:rPr>
                <w:spacing w:val="-2"/>
              </w:rPr>
              <w:t>Podle</w:t>
            </w:r>
            <w:r w:rsidR="009E674A">
              <w:rPr>
                <w:spacing w:val="-2"/>
              </w:rPr>
              <w:t xml:space="preserve"> výpovědí podnikových manažerů v rámci konjunkturálních průzkumů se stal nedostatek zaměstnanců hlavní růstovou bariérou v průmyslu již v polovině roku 2017, </w:t>
            </w:r>
            <w:r>
              <w:rPr>
                <w:spacing w:val="-2"/>
              </w:rPr>
              <w:t>o </w:t>
            </w:r>
            <w:r w:rsidR="009E674A">
              <w:rPr>
                <w:spacing w:val="-2"/>
              </w:rPr>
              <w:t xml:space="preserve">rok později </w:t>
            </w:r>
            <w:r>
              <w:rPr>
                <w:spacing w:val="-2"/>
              </w:rPr>
              <w:t>i </w:t>
            </w:r>
            <w:r w:rsidR="009E674A">
              <w:rPr>
                <w:spacing w:val="-2"/>
              </w:rPr>
              <w:t>ve staveb</w:t>
            </w:r>
            <w:r w:rsidR="00E32880">
              <w:rPr>
                <w:spacing w:val="-2"/>
              </w:rPr>
              <w:t xml:space="preserve">nictví, </w:t>
            </w:r>
            <w:r>
              <w:rPr>
                <w:spacing w:val="-2"/>
              </w:rPr>
              <w:t>a </w:t>
            </w:r>
            <w:r w:rsidR="00E32880">
              <w:rPr>
                <w:spacing w:val="-2"/>
              </w:rPr>
              <w:t xml:space="preserve">tomuto stavu se blížila </w:t>
            </w:r>
            <w:r>
              <w:rPr>
                <w:spacing w:val="-2"/>
              </w:rPr>
              <w:t>i </w:t>
            </w:r>
            <w:r w:rsidR="00E32880">
              <w:rPr>
                <w:spacing w:val="-2"/>
              </w:rPr>
              <w:t>situace</w:t>
            </w:r>
            <w:r w:rsidR="009E674A">
              <w:rPr>
                <w:spacing w:val="-2"/>
              </w:rPr>
              <w:t xml:space="preserve"> ve většině odvětví tržních služeb. Přestože zprvu optimistická očekávání dalšího růstu zaměstnanosti v průběhu loňského roku zčásti ochabla (především v průmyslu), poptávka po pracovnících zůstala v tuzemské ekonomice nadále silná. </w:t>
            </w:r>
          </w:p>
        </w:tc>
      </w:tr>
      <w:tr w:rsidR="009E674A" w14:paraId="70655922" w14:textId="77777777" w:rsidTr="006F668F">
        <w:trPr>
          <w:trHeight w:val="145"/>
        </w:trPr>
        <w:tc>
          <w:tcPr>
            <w:tcW w:w="1976" w:type="dxa"/>
          </w:tcPr>
          <w:p w14:paraId="5FDAD2C1" w14:textId="77777777" w:rsidR="009E674A" w:rsidRDefault="009E674A" w:rsidP="006F668F">
            <w:pPr>
              <w:pStyle w:val="Marginlie"/>
            </w:pPr>
            <w:r>
              <w:t>,</w:t>
            </w:r>
          </w:p>
        </w:tc>
        <w:tc>
          <w:tcPr>
            <w:tcW w:w="277" w:type="dxa"/>
          </w:tcPr>
          <w:p w14:paraId="68D4235B" w14:textId="77777777" w:rsidR="009E674A" w:rsidRPr="005E4483" w:rsidRDefault="009E674A" w:rsidP="006F668F">
            <w:pPr>
              <w:pStyle w:val="Textpoznpodarou"/>
              <w:jc w:val="both"/>
              <w:rPr>
                <w:spacing w:val="-4"/>
              </w:rPr>
            </w:pPr>
          </w:p>
        </w:tc>
        <w:tc>
          <w:tcPr>
            <w:tcW w:w="7391" w:type="dxa"/>
          </w:tcPr>
          <w:p w14:paraId="2D5D53D2" w14:textId="04479E1A" w:rsidR="009E674A" w:rsidRPr="008F0798" w:rsidRDefault="009E674A" w:rsidP="006F668F">
            <w:pPr>
              <w:spacing w:after="0"/>
              <w:jc w:val="left"/>
              <w:rPr>
                <w:spacing w:val="-2"/>
              </w:rPr>
            </w:pPr>
            <w:r w:rsidRPr="008F0798">
              <w:rPr>
                <w:b/>
                <w:spacing w:val="-2"/>
              </w:rPr>
              <w:t xml:space="preserve">Graf </w:t>
            </w:r>
            <w:r w:rsidR="00BA35F3">
              <w:rPr>
                <w:b/>
                <w:spacing w:val="-2"/>
              </w:rPr>
              <w:t>č. </w:t>
            </w:r>
            <w:r w:rsidRPr="008F0798">
              <w:rPr>
                <w:b/>
                <w:spacing w:val="-2"/>
              </w:rPr>
              <w:t xml:space="preserve">10  Cizinci evidovaní na úřadech práce </w:t>
            </w:r>
            <w:r w:rsidR="00BC7833" w:rsidRPr="008F0798">
              <w:rPr>
                <w:b/>
                <w:spacing w:val="-2"/>
              </w:rPr>
              <w:t>a</w:t>
            </w:r>
            <w:r w:rsidR="00BC7833">
              <w:rPr>
                <w:b/>
                <w:spacing w:val="-2"/>
              </w:rPr>
              <w:t> </w:t>
            </w:r>
            <w:r w:rsidRPr="008F0798">
              <w:rPr>
                <w:b/>
                <w:spacing w:val="-2"/>
              </w:rPr>
              <w:t xml:space="preserve">cizinci s platným živnostenským oprávněním </w:t>
            </w:r>
            <w:r w:rsidR="00BC7833" w:rsidRPr="008F0798">
              <w:rPr>
                <w:b/>
                <w:spacing w:val="-2"/>
              </w:rPr>
              <w:t>v</w:t>
            </w:r>
            <w:r w:rsidR="00BC7833">
              <w:rPr>
                <w:b/>
                <w:spacing w:val="-2"/>
              </w:rPr>
              <w:t> </w:t>
            </w:r>
            <w:r w:rsidRPr="008F0798">
              <w:rPr>
                <w:b/>
                <w:spacing w:val="-2"/>
              </w:rPr>
              <w:t xml:space="preserve">ČR </w:t>
            </w:r>
            <w:r w:rsidRPr="008F0798">
              <w:rPr>
                <w:spacing w:val="-2"/>
              </w:rPr>
              <w:t>(</w:t>
            </w:r>
            <w:r w:rsidR="00BC7833" w:rsidRPr="008F0798">
              <w:rPr>
                <w:spacing w:val="-2"/>
              </w:rPr>
              <w:t>k</w:t>
            </w:r>
            <w:r w:rsidR="00BC7833">
              <w:rPr>
                <w:spacing w:val="-2"/>
              </w:rPr>
              <w:t> </w:t>
            </w:r>
            <w:r w:rsidRPr="008F0798">
              <w:rPr>
                <w:spacing w:val="-2"/>
              </w:rPr>
              <w:t>31.</w:t>
            </w:r>
            <w:r w:rsidR="00A365AC">
              <w:rPr>
                <w:spacing w:val="-2"/>
              </w:rPr>
              <w:t> </w:t>
            </w:r>
            <w:r w:rsidRPr="008F0798">
              <w:rPr>
                <w:spacing w:val="-2"/>
              </w:rPr>
              <w:t xml:space="preserve">12., </w:t>
            </w:r>
            <w:r w:rsidR="00BC7833" w:rsidRPr="008F0798">
              <w:rPr>
                <w:spacing w:val="-2"/>
              </w:rPr>
              <w:t>v</w:t>
            </w:r>
            <w:r w:rsidR="00BC7833">
              <w:rPr>
                <w:spacing w:val="-2"/>
              </w:rPr>
              <w:t> </w:t>
            </w:r>
            <w:r w:rsidRPr="008F0798">
              <w:rPr>
                <w:spacing w:val="-2"/>
              </w:rPr>
              <w:t>osobách)</w:t>
            </w:r>
          </w:p>
        </w:tc>
      </w:tr>
      <w:tr w:rsidR="009E674A" w14:paraId="638A88D6" w14:textId="77777777" w:rsidTr="006F668F">
        <w:tblPrEx>
          <w:tblCellMar>
            <w:left w:w="70" w:type="dxa"/>
            <w:right w:w="70" w:type="dxa"/>
          </w:tblCellMar>
        </w:tblPrEx>
        <w:trPr>
          <w:trHeight w:val="145"/>
        </w:trPr>
        <w:tc>
          <w:tcPr>
            <w:tcW w:w="1976" w:type="dxa"/>
          </w:tcPr>
          <w:p w14:paraId="7B194FE1" w14:textId="77777777" w:rsidR="009E674A" w:rsidRDefault="009E674A" w:rsidP="006F668F">
            <w:pPr>
              <w:pStyle w:val="Marginlie"/>
            </w:pPr>
          </w:p>
        </w:tc>
        <w:tc>
          <w:tcPr>
            <w:tcW w:w="277" w:type="dxa"/>
          </w:tcPr>
          <w:p w14:paraId="151A658C" w14:textId="77777777" w:rsidR="009E674A" w:rsidRPr="005E4483" w:rsidRDefault="009E674A" w:rsidP="006F668F">
            <w:pPr>
              <w:pStyle w:val="Textpoznpodarou"/>
              <w:jc w:val="both"/>
              <w:rPr>
                <w:spacing w:val="-4"/>
              </w:rPr>
            </w:pPr>
          </w:p>
        </w:tc>
        <w:tc>
          <w:tcPr>
            <w:tcW w:w="7391" w:type="dxa"/>
          </w:tcPr>
          <w:p w14:paraId="30B67A9C" w14:textId="77777777" w:rsidR="009E674A" w:rsidRDefault="009E674A" w:rsidP="006F668F">
            <w:pPr>
              <w:spacing w:after="0"/>
            </w:pPr>
            <w:r w:rsidRPr="00374C4D">
              <w:rPr>
                <w:noProof/>
              </w:rPr>
              <w:drawing>
                <wp:inline distT="0" distB="0" distL="0" distR="0" wp14:anchorId="66AF7578" wp14:editId="743A6112">
                  <wp:extent cx="4574198" cy="3508863"/>
                  <wp:effectExtent l="19050" t="0" r="0" b="0"/>
                  <wp:docPr id="35" name="Graf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tc>
      </w:tr>
      <w:tr w:rsidR="009E674A" w14:paraId="2C476FDE" w14:textId="77777777" w:rsidTr="006F668F">
        <w:trPr>
          <w:trHeight w:val="145"/>
        </w:trPr>
        <w:tc>
          <w:tcPr>
            <w:tcW w:w="1976" w:type="dxa"/>
          </w:tcPr>
          <w:p w14:paraId="54B07599" w14:textId="77777777" w:rsidR="009E674A" w:rsidRDefault="009E674A" w:rsidP="006F668F">
            <w:pPr>
              <w:pStyle w:val="Marginlie"/>
            </w:pPr>
          </w:p>
        </w:tc>
        <w:tc>
          <w:tcPr>
            <w:tcW w:w="277" w:type="dxa"/>
          </w:tcPr>
          <w:p w14:paraId="109C5217" w14:textId="77777777" w:rsidR="009E674A" w:rsidRPr="005E4483" w:rsidRDefault="009E674A" w:rsidP="006F668F">
            <w:pPr>
              <w:pStyle w:val="Textpoznpodarou"/>
              <w:jc w:val="both"/>
              <w:rPr>
                <w:spacing w:val="-4"/>
              </w:rPr>
            </w:pPr>
          </w:p>
        </w:tc>
        <w:tc>
          <w:tcPr>
            <w:tcW w:w="7391" w:type="dxa"/>
          </w:tcPr>
          <w:p w14:paraId="5805F839" w14:textId="459CDB1C" w:rsidR="009E674A" w:rsidRDefault="009E674A" w:rsidP="006F668F">
            <w:pPr>
              <w:spacing w:after="0"/>
              <w:rPr>
                <w:rFonts w:cs="Arial"/>
                <w:sz w:val="14"/>
                <w:szCs w:val="14"/>
              </w:rPr>
            </w:pPr>
            <w:r>
              <w:rPr>
                <w:rFonts w:cs="Arial"/>
                <w:sz w:val="14"/>
                <w:szCs w:val="14"/>
              </w:rPr>
              <w:t xml:space="preserve">Poznámka. Údaje </w:t>
            </w:r>
            <w:r w:rsidR="00BC7833">
              <w:rPr>
                <w:rFonts w:cs="Arial"/>
                <w:sz w:val="14"/>
                <w:szCs w:val="14"/>
              </w:rPr>
              <w:t>o </w:t>
            </w:r>
            <w:r>
              <w:rPr>
                <w:rFonts w:cs="Arial"/>
                <w:sz w:val="14"/>
                <w:szCs w:val="14"/>
              </w:rPr>
              <w:t>počtech cizinců evidovaných na úřadech práce</w:t>
            </w:r>
            <w:r w:rsidR="0019361E">
              <w:rPr>
                <w:rFonts w:cs="Arial"/>
                <w:sz w:val="14"/>
                <w:szCs w:val="14"/>
              </w:rPr>
              <w:t xml:space="preserve"> v ČR (ÚP) v letech 2014 až 2017</w:t>
            </w:r>
            <w:r>
              <w:rPr>
                <w:rFonts w:cs="Arial"/>
                <w:sz w:val="14"/>
                <w:szCs w:val="14"/>
              </w:rPr>
              <w:t xml:space="preserve"> jsou kvalifikovaným odhadem MPSV. Obdobné údaje za roky 2012 </w:t>
            </w:r>
            <w:r w:rsidR="00BC7833">
              <w:rPr>
                <w:rFonts w:cs="Arial"/>
                <w:sz w:val="14"/>
                <w:szCs w:val="14"/>
              </w:rPr>
              <w:t>a </w:t>
            </w:r>
            <w:r>
              <w:rPr>
                <w:rFonts w:cs="Arial"/>
                <w:sz w:val="14"/>
                <w:szCs w:val="14"/>
              </w:rPr>
              <w:t>2013 nejsou k dispozici, údaj za rok 2014 pak není dostupný v členění podle státních občanství.</w:t>
            </w:r>
          </w:p>
          <w:p w14:paraId="78108190" w14:textId="77777777" w:rsidR="009E674A" w:rsidRDefault="009E674A" w:rsidP="006F668F">
            <w:pPr>
              <w:spacing w:after="220"/>
            </w:pPr>
            <w:r w:rsidRPr="00444E6D">
              <w:rPr>
                <w:rFonts w:cs="Arial"/>
                <w:sz w:val="14"/>
                <w:szCs w:val="14"/>
              </w:rPr>
              <w:t xml:space="preserve">Zdroj: </w:t>
            </w:r>
            <w:r>
              <w:rPr>
                <w:rFonts w:cs="Arial"/>
                <w:sz w:val="14"/>
                <w:szCs w:val="14"/>
              </w:rPr>
              <w:t xml:space="preserve">MPSV </w:t>
            </w:r>
            <w:r w:rsidR="00BC7833">
              <w:rPr>
                <w:rFonts w:cs="Arial"/>
                <w:sz w:val="14"/>
                <w:szCs w:val="14"/>
              </w:rPr>
              <w:t>a </w:t>
            </w:r>
            <w:r>
              <w:rPr>
                <w:rFonts w:cs="Arial"/>
                <w:sz w:val="14"/>
                <w:szCs w:val="14"/>
              </w:rPr>
              <w:t>MPO (údaje z registrací)</w:t>
            </w:r>
          </w:p>
        </w:tc>
      </w:tr>
      <w:tr w:rsidR="00744D09" w:rsidRPr="00E316A0" w14:paraId="7D6980B7" w14:textId="77777777" w:rsidTr="006F668F">
        <w:trPr>
          <w:trHeight w:val="145"/>
        </w:trPr>
        <w:tc>
          <w:tcPr>
            <w:tcW w:w="1976" w:type="dxa"/>
          </w:tcPr>
          <w:p w14:paraId="60C23AE5" w14:textId="0E19205C" w:rsidR="00744D09" w:rsidRDefault="00744D09" w:rsidP="006F668F">
            <w:pPr>
              <w:pStyle w:val="Marginlie"/>
            </w:pPr>
            <w:r>
              <w:t>Podniky tak stále častěji využívaly při náboru pracovníky ze zahraničí.</w:t>
            </w:r>
          </w:p>
        </w:tc>
        <w:tc>
          <w:tcPr>
            <w:tcW w:w="277" w:type="dxa"/>
          </w:tcPr>
          <w:p w14:paraId="165A4221" w14:textId="77777777" w:rsidR="00744D09" w:rsidRPr="005E4483" w:rsidRDefault="00744D09" w:rsidP="006F668F">
            <w:pPr>
              <w:pStyle w:val="Textpoznpodarou"/>
              <w:jc w:val="both"/>
              <w:rPr>
                <w:spacing w:val="-4"/>
              </w:rPr>
            </w:pPr>
          </w:p>
        </w:tc>
        <w:tc>
          <w:tcPr>
            <w:tcW w:w="7391" w:type="dxa"/>
          </w:tcPr>
          <w:p w14:paraId="1FA7A4C9" w14:textId="725E5E1E" w:rsidR="00744D09" w:rsidRDefault="00744D09" w:rsidP="006F668F">
            <w:pPr>
              <w:spacing w:after="220"/>
              <w:rPr>
                <w:spacing w:val="-4"/>
              </w:rPr>
            </w:pPr>
            <w:r>
              <w:rPr>
                <w:spacing w:val="-2"/>
              </w:rPr>
              <w:t>S ohledem na skutečnost, že snadno dosažitelné rezervy volných pracovních sil z tuzemska byly již fakticky vyčerpány</w:t>
            </w:r>
            <w:r>
              <w:rPr>
                <w:rStyle w:val="Znakapoznpodarou"/>
                <w:rFonts w:cs="Arial"/>
                <w:color w:val="0D0D0D" w:themeColor="text1" w:themeTint="F2"/>
                <w:spacing w:val="-4"/>
              </w:rPr>
              <w:footnoteReference w:id="24"/>
            </w:r>
            <w:r>
              <w:rPr>
                <w:spacing w:val="-2"/>
              </w:rPr>
              <w:t xml:space="preserve">, obraceli zaměstnavatelé stále více pozornost k zahraničním pracovníkům. Podnikům v tomto ohledu pomáhaly i aktivity státu, který pokračoval v cílených projektech i režimech ekonomické migrace, jež u vybraných skupin cizinců z tzv. „třetích zemí“ zjednodušovaly administrativní procedury </w:t>
            </w:r>
            <w:r>
              <w:rPr>
                <w:spacing w:val="-2"/>
              </w:rPr>
              <w:lastRenderedPageBreak/>
              <w:t>související s pobytovými oprávněními</w:t>
            </w:r>
            <w:r>
              <w:rPr>
                <w:rStyle w:val="Znakapoznpodarou"/>
                <w:rFonts w:cs="Arial"/>
                <w:color w:val="0D0D0D" w:themeColor="text1" w:themeTint="F2"/>
                <w:spacing w:val="-4"/>
              </w:rPr>
              <w:footnoteReference w:id="25"/>
            </w:r>
            <w:r>
              <w:rPr>
                <w:spacing w:val="-2"/>
              </w:rPr>
              <w:t>. Česko bylo také stále atraktivní destinací i pro pracovníky z nejchudších států EU, kteří mohou využívat režim volného pohybu osob v rámci Unie</w:t>
            </w:r>
            <w:r>
              <w:rPr>
                <w:rStyle w:val="Znakapoznpodarou"/>
                <w:rFonts w:cs="Arial"/>
                <w:color w:val="0D0D0D" w:themeColor="text1" w:themeTint="F2"/>
                <w:spacing w:val="-4"/>
              </w:rPr>
              <w:footnoteReference w:id="26"/>
            </w:r>
            <w:r>
              <w:rPr>
                <w:spacing w:val="-2"/>
              </w:rPr>
              <w:t>.</w:t>
            </w:r>
          </w:p>
        </w:tc>
      </w:tr>
      <w:tr w:rsidR="009E674A" w:rsidRPr="00E316A0" w14:paraId="4C6C13A2" w14:textId="77777777" w:rsidTr="006F668F">
        <w:trPr>
          <w:trHeight w:val="145"/>
        </w:trPr>
        <w:tc>
          <w:tcPr>
            <w:tcW w:w="1976" w:type="dxa"/>
          </w:tcPr>
          <w:p w14:paraId="4B9B698B" w14:textId="77777777" w:rsidR="009E674A" w:rsidRDefault="009E674A" w:rsidP="006F668F">
            <w:pPr>
              <w:pStyle w:val="Marginlie"/>
            </w:pPr>
            <w:r>
              <w:lastRenderedPageBreak/>
              <w:t>Počet všech pracujících cizinců v Česku od konce poslední recese strmě roste. Na konci roku 2018 tvořili již osminu pracovní síly v ČR.</w:t>
            </w:r>
          </w:p>
          <w:p w14:paraId="242CE7CB" w14:textId="77777777" w:rsidR="009E674A" w:rsidRDefault="009E674A" w:rsidP="006F668F">
            <w:pPr>
              <w:pStyle w:val="Marginlie"/>
            </w:pPr>
            <w:r>
              <w:t xml:space="preserve">V letech 2016 </w:t>
            </w:r>
            <w:r w:rsidR="00BC7833">
              <w:t>i </w:t>
            </w:r>
            <w:r>
              <w:t>2017 přispívali k rostoucímu počtu pracujících cizinců nejvíce občané EU, loni cizinci z třetích zemí.</w:t>
            </w:r>
          </w:p>
        </w:tc>
        <w:tc>
          <w:tcPr>
            <w:tcW w:w="277" w:type="dxa"/>
          </w:tcPr>
          <w:p w14:paraId="69C5189B" w14:textId="77777777" w:rsidR="009E674A" w:rsidRPr="005E4483" w:rsidRDefault="009E674A" w:rsidP="006F668F">
            <w:pPr>
              <w:pStyle w:val="Textpoznpodarou"/>
              <w:jc w:val="both"/>
              <w:rPr>
                <w:spacing w:val="-4"/>
              </w:rPr>
            </w:pPr>
          </w:p>
        </w:tc>
        <w:tc>
          <w:tcPr>
            <w:tcW w:w="7391" w:type="dxa"/>
          </w:tcPr>
          <w:p w14:paraId="494DE58C" w14:textId="1BE1301B" w:rsidR="009E674A" w:rsidRPr="00E316A0" w:rsidRDefault="009E674A" w:rsidP="006F668F">
            <w:pPr>
              <w:spacing w:after="220"/>
              <w:rPr>
                <w:spacing w:val="-4"/>
              </w:rPr>
            </w:pPr>
            <w:r>
              <w:rPr>
                <w:spacing w:val="-4"/>
              </w:rPr>
              <w:t xml:space="preserve">Podle kvalifikovaných odhadů Ministerstva práce </w:t>
            </w:r>
            <w:r w:rsidR="00BC7833">
              <w:rPr>
                <w:spacing w:val="-4"/>
              </w:rPr>
              <w:t>a </w:t>
            </w:r>
            <w:r>
              <w:rPr>
                <w:spacing w:val="-4"/>
              </w:rPr>
              <w:t>sociálních věcí (pokrývající</w:t>
            </w:r>
            <w:r w:rsidR="00E85E6D">
              <w:rPr>
                <w:spacing w:val="-4"/>
              </w:rPr>
              <w:t>ch</w:t>
            </w:r>
            <w:r>
              <w:rPr>
                <w:spacing w:val="-4"/>
              </w:rPr>
              <w:t xml:space="preserve"> cizince v zaměstnaneckém postavení) </w:t>
            </w:r>
            <w:r w:rsidR="00BC7833">
              <w:rPr>
                <w:spacing w:val="-4"/>
              </w:rPr>
              <w:t>a </w:t>
            </w:r>
            <w:r>
              <w:rPr>
                <w:spacing w:val="-4"/>
              </w:rPr>
              <w:t xml:space="preserve">registračních údajů Ministerstva průmyslu </w:t>
            </w:r>
            <w:r w:rsidR="00BC7833">
              <w:rPr>
                <w:spacing w:val="-4"/>
              </w:rPr>
              <w:t>a </w:t>
            </w:r>
            <w:r>
              <w:rPr>
                <w:spacing w:val="-4"/>
              </w:rPr>
              <w:t>obchodu (</w:t>
            </w:r>
            <w:r w:rsidR="00BC7833">
              <w:rPr>
                <w:spacing w:val="-4"/>
              </w:rPr>
              <w:t>o </w:t>
            </w:r>
            <w:r>
              <w:rPr>
                <w:spacing w:val="-4"/>
              </w:rPr>
              <w:t>cizincích s</w:t>
            </w:r>
            <w:r w:rsidR="00E85E6D">
              <w:rPr>
                <w:spacing w:val="-4"/>
              </w:rPr>
              <w:t xml:space="preserve">e </w:t>
            </w:r>
            <w:r>
              <w:rPr>
                <w:spacing w:val="-4"/>
              </w:rPr>
              <w:t>živnostenským oprávněním) pracovalo na konci roku 2018 v Česku legálně 658,5 tis. cizinců. Proti konci předešlého roku jich přibylo 98,</w:t>
            </w:r>
            <w:r w:rsidR="00D82A1E">
              <w:rPr>
                <w:spacing w:val="-4"/>
              </w:rPr>
              <w:t>9 </w:t>
            </w:r>
            <w:r>
              <w:rPr>
                <w:spacing w:val="-4"/>
              </w:rPr>
              <w:t>tis</w:t>
            </w:r>
            <w:r>
              <w:rPr>
                <w:rStyle w:val="Znakapoznpodarou"/>
                <w:rFonts w:cs="Arial"/>
                <w:color w:val="0D0D0D" w:themeColor="text1" w:themeTint="F2"/>
                <w:spacing w:val="-4"/>
              </w:rPr>
              <w:footnoteReference w:id="27"/>
            </w:r>
            <w:r>
              <w:rPr>
                <w:spacing w:val="-4"/>
              </w:rPr>
              <w:t>, meziroční přírůstek sílil již druhým rokem v řadě. Cizinci tak tvořili již osminu pracovní síly v Česku, bezmála dvojnásobek toho co v roce 2014 či za konjunkturní éry minulé dekády. Počty všech pracujících cizinců od konce poslední recese strmě rostou, téměř výhradně vlivem zaměstnanců</w:t>
            </w:r>
            <w:r>
              <w:rPr>
                <w:rStyle w:val="Znakapoznpodarou"/>
                <w:rFonts w:cs="Arial"/>
                <w:color w:val="0D0D0D" w:themeColor="text1" w:themeTint="F2"/>
                <w:spacing w:val="-4"/>
              </w:rPr>
              <w:footnoteReference w:id="28"/>
            </w:r>
            <w:r>
              <w:rPr>
                <w:spacing w:val="-4"/>
              </w:rPr>
              <w:t xml:space="preserve">. </w:t>
            </w:r>
            <w:r w:rsidR="0022069C">
              <w:rPr>
                <w:spacing w:val="-4"/>
              </w:rPr>
              <w:t xml:space="preserve">Počty </w:t>
            </w:r>
            <w:r>
              <w:rPr>
                <w:spacing w:val="-4"/>
              </w:rPr>
              <w:t xml:space="preserve">cizinců s platným živnostenským oprávněním se sice v posledních čtyřech letech </w:t>
            </w:r>
            <w:r w:rsidR="0022069C">
              <w:rPr>
                <w:spacing w:val="-4"/>
              </w:rPr>
              <w:t xml:space="preserve">navyšovaly </w:t>
            </w:r>
            <w:r>
              <w:rPr>
                <w:spacing w:val="-4"/>
              </w:rPr>
              <w:t xml:space="preserve">též, ale </w:t>
            </w:r>
            <w:r w:rsidR="00BC7833">
              <w:rPr>
                <w:spacing w:val="-4"/>
              </w:rPr>
              <w:t>o </w:t>
            </w:r>
            <w:r>
              <w:rPr>
                <w:spacing w:val="-4"/>
              </w:rPr>
              <w:t>řád nižším tempem. V pozici zaměstnanců pracovalo na konci loňského roku 568,</w:t>
            </w:r>
            <w:r w:rsidR="00D82A1E">
              <w:rPr>
                <w:spacing w:val="-4"/>
              </w:rPr>
              <w:t>7 </w:t>
            </w:r>
            <w:r>
              <w:rPr>
                <w:spacing w:val="-4"/>
              </w:rPr>
              <w:t xml:space="preserve">tis. osob. Zatímco v letech 2016 </w:t>
            </w:r>
            <w:r w:rsidR="0022069C">
              <w:rPr>
                <w:spacing w:val="-4"/>
              </w:rPr>
              <w:t>a</w:t>
            </w:r>
            <w:r>
              <w:rPr>
                <w:spacing w:val="-4"/>
              </w:rPr>
              <w:t> 2017 přispívali k jejich meziročnímu růstu nejvíce pracovníci ze států</w:t>
            </w:r>
            <w:r w:rsidR="0022069C">
              <w:rPr>
                <w:spacing w:val="-4"/>
              </w:rPr>
              <w:t> </w:t>
            </w:r>
            <w:r>
              <w:rPr>
                <w:spacing w:val="-4"/>
              </w:rPr>
              <w:t xml:space="preserve">EU, loni to byli cizinci </w:t>
            </w:r>
            <w:r w:rsidR="00BC7833">
              <w:rPr>
                <w:spacing w:val="-4"/>
              </w:rPr>
              <w:t>z </w:t>
            </w:r>
            <w:r>
              <w:rPr>
                <w:spacing w:val="-4"/>
              </w:rPr>
              <w:t>„třetích zemí“, jejichž kontingent se během roku rozrostl o 60 tis.</w:t>
            </w:r>
            <w:r w:rsidR="0022069C">
              <w:rPr>
                <w:spacing w:val="-4"/>
              </w:rPr>
              <w:t> </w:t>
            </w:r>
            <w:r>
              <w:rPr>
                <w:spacing w:val="-4"/>
              </w:rPr>
              <w:t>osob.</w:t>
            </w:r>
          </w:p>
        </w:tc>
      </w:tr>
      <w:tr w:rsidR="009E674A" w:rsidRPr="00E316A0" w14:paraId="238C759F" w14:textId="77777777" w:rsidTr="006F668F">
        <w:trPr>
          <w:trHeight w:val="145"/>
        </w:trPr>
        <w:tc>
          <w:tcPr>
            <w:tcW w:w="1976" w:type="dxa"/>
          </w:tcPr>
          <w:p w14:paraId="693A1DA4" w14:textId="313FEEBB" w:rsidR="009E674A" w:rsidRDefault="009E674A" w:rsidP="006F668F">
            <w:pPr>
              <w:pStyle w:val="Marginlie"/>
            </w:pPr>
            <w:r>
              <w:t>Cizinci s volným přístupem na unijní pracovní trh tvořili v Česku bezmála dvě třetin</w:t>
            </w:r>
            <w:r w:rsidR="00E32880">
              <w:t>y cizinců v pozici zaměstnanců.</w:t>
            </w:r>
          </w:p>
        </w:tc>
        <w:tc>
          <w:tcPr>
            <w:tcW w:w="277" w:type="dxa"/>
          </w:tcPr>
          <w:p w14:paraId="75901D14" w14:textId="77777777" w:rsidR="009E674A" w:rsidRPr="005E4483" w:rsidRDefault="009E674A" w:rsidP="006F668F">
            <w:pPr>
              <w:pStyle w:val="Textpoznpodarou"/>
              <w:jc w:val="both"/>
              <w:rPr>
                <w:spacing w:val="-4"/>
              </w:rPr>
            </w:pPr>
          </w:p>
        </w:tc>
        <w:tc>
          <w:tcPr>
            <w:tcW w:w="7391" w:type="dxa"/>
          </w:tcPr>
          <w:p w14:paraId="34B875D0" w14:textId="5DAB1B5C" w:rsidR="009E674A" w:rsidRPr="00E316A0" w:rsidRDefault="009E674A" w:rsidP="006F668F">
            <w:pPr>
              <w:spacing w:after="220"/>
              <w:rPr>
                <w:spacing w:val="-4"/>
              </w:rPr>
            </w:pPr>
            <w:r>
              <w:rPr>
                <w:spacing w:val="-4"/>
              </w:rPr>
              <w:t>Cizinci, kteří jsou občany států</w:t>
            </w:r>
            <w:r w:rsidR="00601AFA">
              <w:rPr>
                <w:spacing w:val="-4"/>
              </w:rPr>
              <w:t> </w:t>
            </w:r>
            <w:r>
              <w:rPr>
                <w:spacing w:val="-4"/>
              </w:rPr>
              <w:t xml:space="preserve">EU </w:t>
            </w:r>
            <w:r w:rsidR="00BC7833">
              <w:rPr>
                <w:spacing w:val="-4"/>
              </w:rPr>
              <w:t>a </w:t>
            </w:r>
            <w:r>
              <w:rPr>
                <w:spacing w:val="-4"/>
              </w:rPr>
              <w:t xml:space="preserve">mohou těžit z výhody volného pohybu na </w:t>
            </w:r>
            <w:r w:rsidR="00002FED">
              <w:rPr>
                <w:spacing w:val="-4"/>
              </w:rPr>
              <w:t xml:space="preserve">unijním </w:t>
            </w:r>
            <w:r>
              <w:rPr>
                <w:spacing w:val="-4"/>
              </w:rPr>
              <w:t>pracovním trhu</w:t>
            </w:r>
            <w:r>
              <w:rPr>
                <w:rStyle w:val="Znakapoznpodarou"/>
                <w:rFonts w:cs="Arial"/>
                <w:color w:val="0D0D0D" w:themeColor="text1" w:themeTint="F2"/>
                <w:spacing w:val="-4"/>
              </w:rPr>
              <w:footnoteReference w:id="29"/>
            </w:r>
            <w:r>
              <w:rPr>
                <w:spacing w:val="-4"/>
              </w:rPr>
              <w:t>, tvořili v tuzemsku na konci loňského roku 64,5</w:t>
            </w:r>
            <w:r w:rsidR="006454CC">
              <w:rPr>
                <w:spacing w:val="-4"/>
              </w:rPr>
              <w:t> %</w:t>
            </w:r>
            <w:r>
              <w:rPr>
                <w:spacing w:val="-4"/>
              </w:rPr>
              <w:t xml:space="preserve"> všech cizinců v zaměstnaneckém postavení. Mimo občany „třetích zemí“ mírně převažovali ti, kteří nepotřebují speciální povolení k zaměstnání (124,</w:t>
            </w:r>
            <w:r w:rsidR="00D82A1E">
              <w:rPr>
                <w:spacing w:val="-4"/>
              </w:rPr>
              <w:t>6 </w:t>
            </w:r>
            <w:r>
              <w:rPr>
                <w:spacing w:val="-4"/>
              </w:rPr>
              <w:t>tis.)</w:t>
            </w:r>
            <w:r>
              <w:rPr>
                <w:rStyle w:val="Znakapoznpodarou"/>
                <w:rFonts w:cs="Arial"/>
                <w:color w:val="0D0D0D" w:themeColor="text1" w:themeTint="F2"/>
                <w:spacing w:val="-4"/>
              </w:rPr>
              <w:footnoteReference w:id="30"/>
            </w:r>
            <w:r>
              <w:rPr>
                <w:spacing w:val="-4"/>
              </w:rPr>
              <w:t>. Díky nárůstu v posledních letech tvořily ale skoro dvě pětiny „mimounijních“ zaměstnanců osoby, které vstupovaly na trh práce v ČR na základě pracovního oprávnění</w:t>
            </w:r>
            <w:r>
              <w:rPr>
                <w:rStyle w:val="Znakapoznpodarou"/>
                <w:rFonts w:cs="Arial"/>
                <w:color w:val="0D0D0D" w:themeColor="text1" w:themeTint="F2"/>
                <w:spacing w:val="-4"/>
              </w:rPr>
              <w:footnoteReference w:id="31"/>
            </w:r>
            <w:r>
              <w:rPr>
                <w:spacing w:val="-4"/>
              </w:rPr>
              <w:t>. Jejich podíl byl vyšší mezi muži (45</w:t>
            </w:r>
            <w:r w:rsidR="006454CC">
              <w:rPr>
                <w:spacing w:val="-4"/>
              </w:rPr>
              <w:t> %</w:t>
            </w:r>
            <w:r>
              <w:rPr>
                <w:spacing w:val="-4"/>
              </w:rPr>
              <w:t>)</w:t>
            </w:r>
            <w:r w:rsidR="007A4761">
              <w:rPr>
                <w:spacing w:val="-4"/>
              </w:rPr>
              <w:t>,</w:t>
            </w:r>
            <w:r>
              <w:rPr>
                <w:spacing w:val="-4"/>
              </w:rPr>
              <w:t xml:space="preserve"> v rámci početněji zastoupených skupin cizinců </w:t>
            </w:r>
            <w:r w:rsidR="00BC7833">
              <w:rPr>
                <w:spacing w:val="-4"/>
              </w:rPr>
              <w:t>u </w:t>
            </w:r>
            <w:r>
              <w:rPr>
                <w:spacing w:val="-4"/>
              </w:rPr>
              <w:t xml:space="preserve">občanů Ukrajiny, Běloruska, Srbska, Bosny </w:t>
            </w:r>
            <w:r w:rsidR="00BC7833">
              <w:rPr>
                <w:spacing w:val="-4"/>
              </w:rPr>
              <w:t>a </w:t>
            </w:r>
            <w:r>
              <w:rPr>
                <w:spacing w:val="-4"/>
              </w:rPr>
              <w:t>Hercegoviny, Indie, Nepálu, Filipín, Kore</w:t>
            </w:r>
            <w:r w:rsidR="0046496B">
              <w:rPr>
                <w:spacing w:val="-4"/>
              </w:rPr>
              <w:t>je</w:t>
            </w:r>
            <w:r>
              <w:rPr>
                <w:spacing w:val="-4"/>
              </w:rPr>
              <w:t xml:space="preserve">, Thajska </w:t>
            </w:r>
            <w:r w:rsidR="00BC7833">
              <w:rPr>
                <w:spacing w:val="-4"/>
              </w:rPr>
              <w:t>a </w:t>
            </w:r>
            <w:r>
              <w:rPr>
                <w:spacing w:val="-4"/>
              </w:rPr>
              <w:t>Japonska.</w:t>
            </w:r>
          </w:p>
        </w:tc>
      </w:tr>
      <w:tr w:rsidR="009E674A" w:rsidRPr="00E316A0" w14:paraId="0BC50723" w14:textId="77777777" w:rsidTr="006F668F">
        <w:trPr>
          <w:trHeight w:val="145"/>
        </w:trPr>
        <w:tc>
          <w:tcPr>
            <w:tcW w:w="1976" w:type="dxa"/>
          </w:tcPr>
          <w:p w14:paraId="5E890C0F" w14:textId="77777777" w:rsidR="009E674A" w:rsidRDefault="009E674A" w:rsidP="006F668F">
            <w:pPr>
              <w:pStyle w:val="Marginlie"/>
            </w:pPr>
            <w:r>
              <w:t xml:space="preserve">Mezi zahraničními pracovníky v Česku dlouhodobě dominují Slováci </w:t>
            </w:r>
            <w:r w:rsidR="00BC7833">
              <w:t>a </w:t>
            </w:r>
            <w:r>
              <w:t>Ukrajinci. Ti loni tvořili 53</w:t>
            </w:r>
            <w:r w:rsidR="006454CC">
              <w:t> %</w:t>
            </w:r>
            <w:r>
              <w:t xml:space="preserve"> z nich.</w:t>
            </w:r>
          </w:p>
        </w:tc>
        <w:tc>
          <w:tcPr>
            <w:tcW w:w="277" w:type="dxa"/>
          </w:tcPr>
          <w:p w14:paraId="4AA0773C" w14:textId="77777777" w:rsidR="009E674A" w:rsidRPr="005E4483" w:rsidRDefault="009E674A" w:rsidP="006F668F">
            <w:pPr>
              <w:pStyle w:val="Textpoznpodarou"/>
              <w:jc w:val="both"/>
              <w:rPr>
                <w:spacing w:val="-4"/>
              </w:rPr>
            </w:pPr>
          </w:p>
        </w:tc>
        <w:tc>
          <w:tcPr>
            <w:tcW w:w="7391" w:type="dxa"/>
          </w:tcPr>
          <w:p w14:paraId="090B2632" w14:textId="6ACA4B2F" w:rsidR="009E674A" w:rsidRDefault="009E674A" w:rsidP="006F668F">
            <w:pPr>
              <w:spacing w:after="220"/>
              <w:rPr>
                <w:spacing w:val="-4"/>
              </w:rPr>
            </w:pPr>
            <w:r>
              <w:rPr>
                <w:spacing w:val="-4"/>
              </w:rPr>
              <w:t>Nejpočetněji zastoupenou skupinou všech pracujících cizinců v ČR jsou dlouhodobě občané novějších členských států</w:t>
            </w:r>
            <w:r w:rsidR="0040200B">
              <w:rPr>
                <w:spacing w:val="-4"/>
              </w:rPr>
              <w:t> </w:t>
            </w:r>
            <w:r>
              <w:rPr>
                <w:spacing w:val="-4"/>
              </w:rPr>
              <w:t>EU (</w:t>
            </w:r>
            <w:r w:rsidR="0040200B">
              <w:rPr>
                <w:spacing w:val="-4"/>
              </w:rPr>
              <w:t>které vstupovaly</w:t>
            </w:r>
            <w:r>
              <w:rPr>
                <w:spacing w:val="-4"/>
              </w:rPr>
              <w:t xml:space="preserve"> do Unie po roce 2000). Neplatilo to pouze v konjunkturním období minulé dekády (2006 až 2008), kdy převládali občané „třetích zemí“. Občané starých členských států Unie tvořili loni jen 5,5</w:t>
            </w:r>
            <w:r w:rsidR="006454CC">
              <w:rPr>
                <w:spacing w:val="-4"/>
              </w:rPr>
              <w:t> %</w:t>
            </w:r>
            <w:r>
              <w:rPr>
                <w:spacing w:val="-4"/>
              </w:rPr>
              <w:t xml:space="preserve"> pracujících cizinců (čtvrtinu představovali Němci, následov</w:t>
            </w:r>
            <w:r w:rsidR="0040200B">
              <w:rPr>
                <w:spacing w:val="-4"/>
              </w:rPr>
              <w:t>a</w:t>
            </w:r>
            <w:r>
              <w:rPr>
                <w:spacing w:val="-4"/>
              </w:rPr>
              <w:t>ní občany dalších nejlidnatějších zemí Unie)</w:t>
            </w:r>
            <w:r w:rsidR="00E32880">
              <w:rPr>
                <w:spacing w:val="-4"/>
              </w:rPr>
              <w:t>.</w:t>
            </w:r>
            <w:r>
              <w:rPr>
                <w:spacing w:val="-4"/>
              </w:rPr>
              <w:t xml:space="preserve"> Občané novějších členských států se pak podíleli 55,2</w:t>
            </w:r>
            <w:r w:rsidR="006454CC">
              <w:rPr>
                <w:spacing w:val="-4"/>
              </w:rPr>
              <w:t> %</w:t>
            </w:r>
            <w:r>
              <w:rPr>
                <w:spacing w:val="-4"/>
              </w:rPr>
              <w:t>. V rámci nich tvořili skoro tři pětiny Slováci (21</w:t>
            </w:r>
            <w:r w:rsidR="00D82A1E">
              <w:rPr>
                <w:spacing w:val="-4"/>
              </w:rPr>
              <w:t>0 </w:t>
            </w:r>
            <w:r>
              <w:rPr>
                <w:spacing w:val="-4"/>
              </w:rPr>
              <w:t>tis.), s velkým odstupem pak figurovali Poláci (4</w:t>
            </w:r>
            <w:r w:rsidR="00D82A1E">
              <w:rPr>
                <w:spacing w:val="-4"/>
              </w:rPr>
              <w:t>7 </w:t>
            </w:r>
            <w:r>
              <w:rPr>
                <w:spacing w:val="-4"/>
              </w:rPr>
              <w:t xml:space="preserve">tis.), Rumuni (46 tis.), Bulhaři (36 tis.) </w:t>
            </w:r>
            <w:r w:rsidR="00BC7833">
              <w:rPr>
                <w:spacing w:val="-4"/>
              </w:rPr>
              <w:t>a </w:t>
            </w:r>
            <w:r>
              <w:rPr>
                <w:spacing w:val="-4"/>
              </w:rPr>
              <w:t>Maďaři (1</w:t>
            </w:r>
            <w:r w:rsidR="00D82A1E">
              <w:rPr>
                <w:spacing w:val="-4"/>
              </w:rPr>
              <w:t>9 </w:t>
            </w:r>
            <w:r>
              <w:rPr>
                <w:spacing w:val="-4"/>
              </w:rPr>
              <w:t>tis.). Mezi občany „třetích zemí“ tradičně výrazně dominovali Ukrajinci (55</w:t>
            </w:r>
            <w:r w:rsidR="006454CC">
              <w:rPr>
                <w:spacing w:val="-4"/>
              </w:rPr>
              <w:t> %</w:t>
            </w:r>
            <w:r>
              <w:rPr>
                <w:spacing w:val="-4"/>
              </w:rPr>
              <w:t>, 14</w:t>
            </w:r>
            <w:r w:rsidR="00D82A1E">
              <w:rPr>
                <w:spacing w:val="-4"/>
              </w:rPr>
              <w:t>3 </w:t>
            </w:r>
            <w:r>
              <w:rPr>
                <w:spacing w:val="-4"/>
              </w:rPr>
              <w:t>tis.), k početně významným se řadili také Vietnamci (34 tis.), Rusové (1</w:t>
            </w:r>
            <w:r w:rsidR="00D82A1E">
              <w:rPr>
                <w:spacing w:val="-4"/>
              </w:rPr>
              <w:t>8 </w:t>
            </w:r>
            <w:r>
              <w:rPr>
                <w:spacing w:val="-4"/>
              </w:rPr>
              <w:t>tis.), Mongolové (</w:t>
            </w:r>
            <w:r w:rsidR="00D82A1E">
              <w:rPr>
                <w:spacing w:val="-4"/>
              </w:rPr>
              <w:t>6 </w:t>
            </w:r>
            <w:r>
              <w:rPr>
                <w:spacing w:val="-4"/>
              </w:rPr>
              <w:t xml:space="preserve">tis.), Moldavané </w:t>
            </w:r>
            <w:r w:rsidR="00BC7833">
              <w:rPr>
                <w:spacing w:val="-4"/>
              </w:rPr>
              <w:t>a </w:t>
            </w:r>
            <w:r>
              <w:rPr>
                <w:spacing w:val="-4"/>
              </w:rPr>
              <w:t xml:space="preserve">Bělorusové (po </w:t>
            </w:r>
            <w:r w:rsidR="00D82A1E">
              <w:rPr>
                <w:spacing w:val="-4"/>
              </w:rPr>
              <w:t>5 </w:t>
            </w:r>
            <w:r>
              <w:rPr>
                <w:spacing w:val="-4"/>
              </w:rPr>
              <w:t xml:space="preserve">tis.). Podíl </w:t>
            </w:r>
            <w:r>
              <w:rPr>
                <w:spacing w:val="-4"/>
              </w:rPr>
              <w:lastRenderedPageBreak/>
              <w:t xml:space="preserve">občanů mimounijních států na všech pracujících cizincích v Česku se v období 2016 až 2018 zvýšil </w:t>
            </w:r>
            <w:r w:rsidR="00BC7833">
              <w:rPr>
                <w:spacing w:val="-4"/>
              </w:rPr>
              <w:t>o </w:t>
            </w:r>
            <w:r>
              <w:rPr>
                <w:spacing w:val="-4"/>
              </w:rPr>
              <w:t>6,2</w:t>
            </w:r>
            <w:r w:rsidR="006454CC">
              <w:rPr>
                <w:spacing w:val="-4"/>
              </w:rPr>
              <w:t> p. b.</w:t>
            </w:r>
            <w:r>
              <w:rPr>
                <w:spacing w:val="-4"/>
              </w:rPr>
              <w:t xml:space="preserve"> (na loňských 39,2</w:t>
            </w:r>
            <w:r w:rsidR="006454CC">
              <w:rPr>
                <w:spacing w:val="-4"/>
              </w:rPr>
              <w:t> %</w:t>
            </w:r>
            <w:r>
              <w:rPr>
                <w:spacing w:val="-4"/>
              </w:rPr>
              <w:t>).</w:t>
            </w:r>
          </w:p>
        </w:tc>
      </w:tr>
      <w:tr w:rsidR="009E674A" w:rsidRPr="00E316A0" w14:paraId="048795B8" w14:textId="77777777" w:rsidTr="006F668F">
        <w:trPr>
          <w:trHeight w:val="145"/>
        </w:trPr>
        <w:tc>
          <w:tcPr>
            <w:tcW w:w="1976" w:type="dxa"/>
          </w:tcPr>
          <w:p w14:paraId="20AF7B52" w14:textId="3B9B741F" w:rsidR="009E674A" w:rsidRDefault="00E32880" w:rsidP="006F668F">
            <w:pPr>
              <w:pStyle w:val="Marginlie"/>
            </w:pPr>
            <w:r>
              <w:lastRenderedPageBreak/>
              <w:t>Absolutně ne</w:t>
            </w:r>
            <w:r w:rsidR="0046496B">
              <w:t>j</w:t>
            </w:r>
            <w:r>
              <w:t>více se loni zvyšoval počet občanů Ukrajiny. Nejvyšší procentní růst si ale připsali občané</w:t>
            </w:r>
            <w:r w:rsidR="009E674A">
              <w:t xml:space="preserve"> Srbska.</w:t>
            </w:r>
          </w:p>
          <w:p w14:paraId="071AB5B6" w14:textId="77777777" w:rsidR="009E674A" w:rsidRDefault="009E674A" w:rsidP="006F668F">
            <w:pPr>
              <w:pStyle w:val="Marginlie"/>
            </w:pPr>
          </w:p>
          <w:p w14:paraId="26B9AE15" w14:textId="77777777" w:rsidR="009E674A" w:rsidRDefault="009E674A" w:rsidP="006F668F">
            <w:pPr>
              <w:pStyle w:val="Marginlie"/>
            </w:pPr>
          </w:p>
          <w:p w14:paraId="3C58207D" w14:textId="77777777" w:rsidR="00E32880" w:rsidRDefault="00E32880" w:rsidP="006F668F">
            <w:pPr>
              <w:pStyle w:val="Marginlie"/>
            </w:pPr>
          </w:p>
          <w:p w14:paraId="1BE3327B" w14:textId="77777777" w:rsidR="00E32880" w:rsidRDefault="00E32880" w:rsidP="006F668F">
            <w:pPr>
              <w:pStyle w:val="Marginlie"/>
            </w:pPr>
          </w:p>
          <w:p w14:paraId="76144EB4" w14:textId="77777777" w:rsidR="00E32880" w:rsidRDefault="00E32880" w:rsidP="006F668F">
            <w:pPr>
              <w:pStyle w:val="Marginlie"/>
            </w:pPr>
          </w:p>
          <w:p w14:paraId="041C4E2C" w14:textId="77777777" w:rsidR="009E674A" w:rsidRDefault="009E674A" w:rsidP="006F668F">
            <w:pPr>
              <w:pStyle w:val="Marginlie"/>
            </w:pPr>
            <w:r>
              <w:t>Počet podnikajících občanů Vietnamu klesl již devátým rokem v řadě.</w:t>
            </w:r>
          </w:p>
        </w:tc>
        <w:tc>
          <w:tcPr>
            <w:tcW w:w="277" w:type="dxa"/>
          </w:tcPr>
          <w:p w14:paraId="4CEFAE59" w14:textId="77777777" w:rsidR="009E674A" w:rsidRPr="005E4483" w:rsidRDefault="009E674A" w:rsidP="006F668F">
            <w:pPr>
              <w:pStyle w:val="Textpoznpodarou"/>
              <w:jc w:val="both"/>
              <w:rPr>
                <w:spacing w:val="-4"/>
              </w:rPr>
            </w:pPr>
          </w:p>
        </w:tc>
        <w:tc>
          <w:tcPr>
            <w:tcW w:w="7391" w:type="dxa"/>
          </w:tcPr>
          <w:p w14:paraId="2200674C" w14:textId="6DB32EDA" w:rsidR="009E674A" w:rsidRDefault="009E674A" w:rsidP="006F668F">
            <w:pPr>
              <w:spacing w:after="220"/>
              <w:rPr>
                <w:spacing w:val="-4"/>
              </w:rPr>
            </w:pPr>
            <w:r>
              <w:rPr>
                <w:spacing w:val="-4"/>
              </w:rPr>
              <w:t>Nejrychleji rostoucí skupinou všech pracujících cizinců byli v posledních dvou letech občané Ukrajiny. Jen během roku 2018 jich přibylo téměř 4</w:t>
            </w:r>
            <w:r w:rsidR="00D82A1E">
              <w:rPr>
                <w:spacing w:val="-4"/>
              </w:rPr>
              <w:t>0 </w:t>
            </w:r>
            <w:r>
              <w:rPr>
                <w:spacing w:val="-4"/>
              </w:rPr>
              <w:t>tis. V roce 2016 ale k růstu přispěli nejvíce Slováci (+12,</w:t>
            </w:r>
            <w:r w:rsidR="00D82A1E">
              <w:rPr>
                <w:spacing w:val="-4"/>
              </w:rPr>
              <w:t>3 </w:t>
            </w:r>
            <w:r>
              <w:rPr>
                <w:spacing w:val="-4"/>
              </w:rPr>
              <w:t>tis.). Relativně nejvíce</w:t>
            </w:r>
            <w:r>
              <w:rPr>
                <w:rStyle w:val="Znakapoznpodarou"/>
                <w:rFonts w:cs="Arial"/>
                <w:color w:val="0D0D0D" w:themeColor="text1" w:themeTint="F2"/>
                <w:spacing w:val="-4"/>
              </w:rPr>
              <w:footnoteReference w:id="32"/>
            </w:r>
            <w:r>
              <w:rPr>
                <w:spacing w:val="-4"/>
              </w:rPr>
              <w:t xml:space="preserve"> se pak v tomto roce navyšovaly počty Maďarů, Rumunů </w:t>
            </w:r>
            <w:r w:rsidR="0046496B">
              <w:rPr>
                <w:spacing w:val="-4"/>
              </w:rPr>
              <w:t>a </w:t>
            </w:r>
            <w:r>
              <w:rPr>
                <w:spacing w:val="-4"/>
              </w:rPr>
              <w:t>Bulharů, z nichž velká část mířila do v té době silně rostoucího zpracovatelského průmyslu. Za loňský rok se to týkalo občanů Srbska, jejichž počet se téměř zdvojnásobil (na 3,</w:t>
            </w:r>
            <w:r w:rsidR="00D82A1E">
              <w:rPr>
                <w:spacing w:val="-4"/>
              </w:rPr>
              <w:t>4 </w:t>
            </w:r>
            <w:r>
              <w:rPr>
                <w:spacing w:val="-4"/>
              </w:rPr>
              <w:t xml:space="preserve">tis.). To nepochybně souviselo se zjednodušením přijímacích procedur, které byly pro pracovníky z této země loni </w:t>
            </w:r>
            <w:r w:rsidR="0046496B">
              <w:rPr>
                <w:spacing w:val="-4"/>
              </w:rPr>
              <w:t xml:space="preserve">nově </w:t>
            </w:r>
            <w:r>
              <w:rPr>
                <w:spacing w:val="-4"/>
              </w:rPr>
              <w:t>zavedeny. Nejslabší tempo loni vykázali občané Vietnamu (+7</w:t>
            </w:r>
            <w:r w:rsidR="006454CC">
              <w:rPr>
                <w:spacing w:val="-4"/>
              </w:rPr>
              <w:t> %</w:t>
            </w:r>
            <w:r>
              <w:rPr>
                <w:spacing w:val="-4"/>
              </w:rPr>
              <w:t xml:space="preserve">), což bylo způsobeno </w:t>
            </w:r>
            <w:r w:rsidR="00BC7833">
              <w:rPr>
                <w:spacing w:val="-4"/>
              </w:rPr>
              <w:t>i </w:t>
            </w:r>
            <w:r>
              <w:rPr>
                <w:spacing w:val="-4"/>
              </w:rPr>
              <w:t>tím, že počty podnikajících (</w:t>
            </w:r>
            <w:r w:rsidR="00B37A30">
              <w:rPr>
                <w:spacing w:val="-4"/>
              </w:rPr>
              <w:t xml:space="preserve">kteří </w:t>
            </w:r>
            <w:r>
              <w:rPr>
                <w:spacing w:val="-4"/>
              </w:rPr>
              <w:t>tvoří téměř dvě třetiny pracujících Vietnamců) klesaly již devátým rokem v řadě</w:t>
            </w:r>
            <w:r>
              <w:rPr>
                <w:rStyle w:val="Znakapoznpodarou"/>
                <w:rFonts w:cs="Arial"/>
                <w:color w:val="0D0D0D" w:themeColor="text1" w:themeTint="F2"/>
                <w:spacing w:val="-4"/>
              </w:rPr>
              <w:footnoteReference w:id="33"/>
            </w:r>
            <w:r>
              <w:rPr>
                <w:spacing w:val="-4"/>
              </w:rPr>
              <w:t>. Jestliže na konci roku 2015 byli Vietnamci třetí nejpočetněji zastoupenou skupin</w:t>
            </w:r>
            <w:r w:rsidR="0046496B">
              <w:rPr>
                <w:spacing w:val="-4"/>
              </w:rPr>
              <w:t>o</w:t>
            </w:r>
            <w:r>
              <w:rPr>
                <w:spacing w:val="-4"/>
              </w:rPr>
              <w:t xml:space="preserve">u pracujících cizinců v Česku, </w:t>
            </w:r>
            <w:r w:rsidR="00BC7833">
              <w:rPr>
                <w:spacing w:val="-4"/>
              </w:rPr>
              <w:t>o </w:t>
            </w:r>
            <w:r>
              <w:rPr>
                <w:spacing w:val="-4"/>
              </w:rPr>
              <w:t>tři roky později až šestou.</w:t>
            </w:r>
          </w:p>
        </w:tc>
      </w:tr>
      <w:tr w:rsidR="009E674A" w:rsidRPr="00E316A0" w14:paraId="7EA8C755" w14:textId="77777777" w:rsidTr="006F668F">
        <w:trPr>
          <w:trHeight w:val="145"/>
        </w:trPr>
        <w:tc>
          <w:tcPr>
            <w:tcW w:w="1976" w:type="dxa"/>
          </w:tcPr>
          <w:p w14:paraId="608775C7" w14:textId="77777777" w:rsidR="009E674A" w:rsidRDefault="009E674A" w:rsidP="006F668F">
            <w:pPr>
              <w:pStyle w:val="Marginlie"/>
            </w:pPr>
            <w:r>
              <w:t>Zastoupení žen mezi pracujícími cizinci v ČR mírně rostlo. Ženy ale převažo</w:t>
            </w:r>
            <w:r w:rsidR="00D45615">
              <w:t>valy nad muži jen u pěti států.</w:t>
            </w:r>
          </w:p>
        </w:tc>
        <w:tc>
          <w:tcPr>
            <w:tcW w:w="277" w:type="dxa"/>
          </w:tcPr>
          <w:p w14:paraId="47BE4D80" w14:textId="77777777" w:rsidR="009E674A" w:rsidRPr="005E4483" w:rsidRDefault="009E674A" w:rsidP="006F668F">
            <w:pPr>
              <w:pStyle w:val="Textpoznpodarou"/>
              <w:jc w:val="both"/>
              <w:rPr>
                <w:spacing w:val="-4"/>
              </w:rPr>
            </w:pPr>
          </w:p>
        </w:tc>
        <w:tc>
          <w:tcPr>
            <w:tcW w:w="7391" w:type="dxa"/>
          </w:tcPr>
          <w:p w14:paraId="6AB00B27" w14:textId="478D60D2" w:rsidR="009E674A" w:rsidRDefault="009E674A" w:rsidP="006F668F">
            <w:pPr>
              <w:spacing w:after="220"/>
              <w:rPr>
                <w:spacing w:val="-4"/>
              </w:rPr>
            </w:pPr>
            <w:r>
              <w:rPr>
                <w:spacing w:val="-4"/>
              </w:rPr>
              <w:t>Mezi cizinci v Česku, zejména těmi v zaměstnaneckém postavení, dlouhodobě mírně roste zastoupení žen. Jestliže na konci roku 2011 tvořily ženy 33,9</w:t>
            </w:r>
            <w:r w:rsidR="006454CC">
              <w:rPr>
                <w:spacing w:val="-4"/>
              </w:rPr>
              <w:t> %</w:t>
            </w:r>
            <w:r>
              <w:rPr>
                <w:spacing w:val="-4"/>
              </w:rPr>
              <w:t xml:space="preserve"> všech cizinců, o sedm let později 36,1</w:t>
            </w:r>
            <w:r w:rsidR="006454CC">
              <w:rPr>
                <w:spacing w:val="-4"/>
              </w:rPr>
              <w:t> %</w:t>
            </w:r>
            <w:r>
              <w:rPr>
                <w:spacing w:val="-4"/>
              </w:rPr>
              <w:t xml:space="preserve">. Převaha žen nad muži byla patrná </w:t>
            </w:r>
            <w:r w:rsidR="00BC7833">
              <w:rPr>
                <w:spacing w:val="-4"/>
              </w:rPr>
              <w:t>u </w:t>
            </w:r>
            <w:r>
              <w:rPr>
                <w:spacing w:val="-4"/>
              </w:rPr>
              <w:t>občanů Thajska, Filipín, Mongolska, Kaza</w:t>
            </w:r>
            <w:r w:rsidR="00D45615">
              <w:rPr>
                <w:spacing w:val="-4"/>
              </w:rPr>
              <w:t xml:space="preserve">chstánu </w:t>
            </w:r>
            <w:r w:rsidR="0046496B">
              <w:rPr>
                <w:spacing w:val="-4"/>
              </w:rPr>
              <w:t>a </w:t>
            </w:r>
            <w:r w:rsidR="00D45615">
              <w:rPr>
                <w:spacing w:val="-4"/>
              </w:rPr>
              <w:t>Ruska, vyšší podíl měly</w:t>
            </w:r>
            <w:r>
              <w:rPr>
                <w:spacing w:val="-4"/>
              </w:rPr>
              <w:t xml:space="preserve"> ta</w:t>
            </w:r>
            <w:r w:rsidR="00D45615">
              <w:rPr>
                <w:spacing w:val="-4"/>
              </w:rPr>
              <w:t>ké např.</w:t>
            </w:r>
            <w:r w:rsidR="0046496B">
              <w:rPr>
                <w:spacing w:val="-4"/>
              </w:rPr>
              <w:t> </w:t>
            </w:r>
            <w:r w:rsidR="00D45615">
              <w:rPr>
                <w:spacing w:val="-4"/>
              </w:rPr>
              <w:t>mezi Bělorusy (47 %) a </w:t>
            </w:r>
            <w:r>
              <w:rPr>
                <w:spacing w:val="-4"/>
              </w:rPr>
              <w:t>Ukrajinci (42</w:t>
            </w:r>
            <w:r w:rsidR="006454CC">
              <w:rPr>
                <w:spacing w:val="-4"/>
              </w:rPr>
              <w:t> %</w:t>
            </w:r>
            <w:r>
              <w:rPr>
                <w:spacing w:val="-4"/>
              </w:rPr>
              <w:t xml:space="preserve">). Tři čtvrtiny pracovníků z Rumunska tvořili naopak muži, více než dvoutřetinový podíl měli </w:t>
            </w:r>
            <w:r w:rsidR="00BC7833">
              <w:rPr>
                <w:spacing w:val="-4"/>
              </w:rPr>
              <w:t>i </w:t>
            </w:r>
            <w:r>
              <w:rPr>
                <w:spacing w:val="-4"/>
              </w:rPr>
              <w:t xml:space="preserve">mezi Poláky či Bulhary </w:t>
            </w:r>
            <w:r w:rsidR="00BC7833">
              <w:rPr>
                <w:spacing w:val="-4"/>
              </w:rPr>
              <w:t>a </w:t>
            </w:r>
            <w:r>
              <w:rPr>
                <w:spacing w:val="-4"/>
              </w:rPr>
              <w:t>většinou občanů ze starších členských států</w:t>
            </w:r>
            <w:r w:rsidR="0046496B">
              <w:rPr>
                <w:spacing w:val="-4"/>
              </w:rPr>
              <w:t> </w:t>
            </w:r>
            <w:r>
              <w:rPr>
                <w:spacing w:val="-4"/>
              </w:rPr>
              <w:t xml:space="preserve">EU, z mimounijních balkánských zemí </w:t>
            </w:r>
            <w:r w:rsidR="00BC7833">
              <w:rPr>
                <w:spacing w:val="-4"/>
              </w:rPr>
              <w:t>a </w:t>
            </w:r>
            <w:r>
              <w:rPr>
                <w:spacing w:val="-4"/>
              </w:rPr>
              <w:t xml:space="preserve">také </w:t>
            </w:r>
            <w:r w:rsidR="00BC7833">
              <w:rPr>
                <w:spacing w:val="-4"/>
              </w:rPr>
              <w:t>z </w:t>
            </w:r>
            <w:r>
              <w:rPr>
                <w:spacing w:val="-4"/>
              </w:rPr>
              <w:t>Indie, Uzbekistánu, Nepálu či Kore</w:t>
            </w:r>
            <w:r w:rsidR="0046496B">
              <w:rPr>
                <w:spacing w:val="-4"/>
              </w:rPr>
              <w:t>je</w:t>
            </w:r>
            <w:r>
              <w:rPr>
                <w:spacing w:val="-4"/>
              </w:rPr>
              <w:t>.</w:t>
            </w:r>
          </w:p>
        </w:tc>
      </w:tr>
      <w:tr w:rsidR="009E674A" w:rsidRPr="00CD2028" w14:paraId="00E40088" w14:textId="77777777" w:rsidTr="006F668F">
        <w:trPr>
          <w:trHeight w:val="145"/>
        </w:trPr>
        <w:tc>
          <w:tcPr>
            <w:tcW w:w="1976" w:type="dxa"/>
          </w:tcPr>
          <w:p w14:paraId="19EB2E0E" w14:textId="77777777" w:rsidR="009E674A" w:rsidRDefault="009E674A" w:rsidP="006F668F">
            <w:pPr>
              <w:pStyle w:val="Marginlie"/>
            </w:pPr>
          </w:p>
        </w:tc>
        <w:tc>
          <w:tcPr>
            <w:tcW w:w="277" w:type="dxa"/>
          </w:tcPr>
          <w:p w14:paraId="6E527F6A" w14:textId="77777777" w:rsidR="009E674A" w:rsidRPr="005E4483" w:rsidRDefault="009E674A" w:rsidP="006F668F">
            <w:pPr>
              <w:pStyle w:val="Textpoznpodarou"/>
              <w:jc w:val="both"/>
              <w:rPr>
                <w:spacing w:val="-4"/>
              </w:rPr>
            </w:pPr>
          </w:p>
        </w:tc>
        <w:tc>
          <w:tcPr>
            <w:tcW w:w="7391" w:type="dxa"/>
          </w:tcPr>
          <w:p w14:paraId="6DEEE56A" w14:textId="0BE86DD5" w:rsidR="009E674A" w:rsidRPr="00CD2028" w:rsidRDefault="009E674A" w:rsidP="006F668F">
            <w:pPr>
              <w:spacing w:after="0"/>
              <w:jc w:val="left"/>
              <w:rPr>
                <w:spacing w:val="-4"/>
              </w:rPr>
            </w:pPr>
            <w:r>
              <w:rPr>
                <w:b/>
              </w:rPr>
              <w:t xml:space="preserve">Graf </w:t>
            </w:r>
            <w:r w:rsidR="00BA35F3">
              <w:rPr>
                <w:b/>
              </w:rPr>
              <w:t>č. </w:t>
            </w:r>
            <w:r>
              <w:rPr>
                <w:b/>
              </w:rPr>
              <w:t>11</w:t>
            </w:r>
            <w:r w:rsidRPr="003601A5">
              <w:rPr>
                <w:b/>
              </w:rPr>
              <w:t xml:space="preserve">  </w:t>
            </w:r>
            <w:r>
              <w:rPr>
                <w:b/>
              </w:rPr>
              <w:t>Srovnání struktury zaměstnanců dle hlavních odvětví</w:t>
            </w:r>
            <w:r w:rsidR="0037734D">
              <w:rPr>
                <w:b/>
              </w:rPr>
              <w:t xml:space="preserve"> – </w:t>
            </w:r>
            <w:r>
              <w:rPr>
                <w:b/>
              </w:rPr>
              <w:t xml:space="preserve">cizinci a všichni zaměstnanci v ČR v roce 2018 </w:t>
            </w:r>
            <w:r w:rsidRPr="00037E40">
              <w:t>(</w:t>
            </w:r>
            <w:r w:rsidR="00BC7833">
              <w:t>k </w:t>
            </w:r>
            <w:r>
              <w:t>31.</w:t>
            </w:r>
            <w:r w:rsidR="003C3D7F">
              <w:t> </w:t>
            </w:r>
            <w:r>
              <w:t>12.</w:t>
            </w:r>
            <w:r w:rsidR="003C3D7F">
              <w:t> </w:t>
            </w:r>
            <w:r>
              <w:t>2018, v</w:t>
            </w:r>
            <w:r w:rsidRPr="00761DC0">
              <w:t>%</w:t>
            </w:r>
            <w:r w:rsidRPr="004A3E80">
              <w:t>)</w:t>
            </w:r>
          </w:p>
        </w:tc>
      </w:tr>
      <w:tr w:rsidR="00552CBA" w:rsidRPr="00CD2028" w14:paraId="5323152A" w14:textId="77777777" w:rsidTr="00AA4A77">
        <w:tblPrEx>
          <w:tblCellMar>
            <w:left w:w="70" w:type="dxa"/>
            <w:right w:w="70" w:type="dxa"/>
          </w:tblCellMar>
        </w:tblPrEx>
        <w:trPr>
          <w:trHeight w:val="145"/>
        </w:trPr>
        <w:tc>
          <w:tcPr>
            <w:tcW w:w="1976" w:type="dxa"/>
          </w:tcPr>
          <w:p w14:paraId="45F51FF9" w14:textId="77777777" w:rsidR="00552CBA" w:rsidRDefault="00552CBA" w:rsidP="006F668F">
            <w:pPr>
              <w:pStyle w:val="Marginlie"/>
            </w:pPr>
          </w:p>
        </w:tc>
        <w:tc>
          <w:tcPr>
            <w:tcW w:w="277" w:type="dxa"/>
          </w:tcPr>
          <w:p w14:paraId="67D860A2" w14:textId="77777777" w:rsidR="00552CBA" w:rsidRPr="005E4483" w:rsidRDefault="00552CBA" w:rsidP="006F668F">
            <w:pPr>
              <w:pStyle w:val="Textpoznpodarou"/>
              <w:jc w:val="both"/>
              <w:rPr>
                <w:spacing w:val="-4"/>
              </w:rPr>
            </w:pPr>
          </w:p>
        </w:tc>
        <w:tc>
          <w:tcPr>
            <w:tcW w:w="7391" w:type="dxa"/>
          </w:tcPr>
          <w:p w14:paraId="64635E3C" w14:textId="429DEF9B" w:rsidR="00552CBA" w:rsidRPr="00CD2028" w:rsidRDefault="00AA4A77" w:rsidP="006F668F">
            <w:pPr>
              <w:spacing w:after="0"/>
              <w:rPr>
                <w:spacing w:val="-4"/>
              </w:rPr>
            </w:pPr>
            <w:r>
              <w:rPr>
                <w:noProof/>
              </w:rPr>
              <w:drawing>
                <wp:inline distT="0" distB="0" distL="0" distR="0" wp14:anchorId="3FFDE19A" wp14:editId="7E970847">
                  <wp:extent cx="2271189" cy="3230861"/>
                  <wp:effectExtent l="0" t="0" r="15240" b="8255"/>
                  <wp:docPr id="51" name="Graf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rPr>
                <w:noProof/>
              </w:rPr>
              <w:drawing>
                <wp:inline distT="0" distB="0" distL="0" distR="0" wp14:anchorId="5AD57BCD" wp14:editId="0B33D27F">
                  <wp:extent cx="2258180" cy="3232458"/>
                  <wp:effectExtent l="0" t="0" r="8890" b="6350"/>
                  <wp:docPr id="2" name="Graf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tc>
      </w:tr>
      <w:tr w:rsidR="009E674A" w:rsidRPr="00CD2028" w14:paraId="031A1FA4" w14:textId="77777777" w:rsidTr="006F668F">
        <w:trPr>
          <w:trHeight w:val="145"/>
        </w:trPr>
        <w:tc>
          <w:tcPr>
            <w:tcW w:w="1976" w:type="dxa"/>
          </w:tcPr>
          <w:p w14:paraId="03EFBF48" w14:textId="77777777" w:rsidR="009E674A" w:rsidRDefault="009E674A" w:rsidP="006F668F">
            <w:pPr>
              <w:pStyle w:val="Marginlie"/>
            </w:pPr>
          </w:p>
        </w:tc>
        <w:tc>
          <w:tcPr>
            <w:tcW w:w="277" w:type="dxa"/>
          </w:tcPr>
          <w:p w14:paraId="1F89EA86" w14:textId="77777777" w:rsidR="009E674A" w:rsidRPr="005E4483" w:rsidRDefault="009E674A" w:rsidP="006F668F">
            <w:pPr>
              <w:pStyle w:val="Textpoznpodarou"/>
              <w:jc w:val="both"/>
              <w:rPr>
                <w:spacing w:val="-4"/>
              </w:rPr>
            </w:pPr>
          </w:p>
        </w:tc>
        <w:tc>
          <w:tcPr>
            <w:tcW w:w="7391" w:type="dxa"/>
          </w:tcPr>
          <w:p w14:paraId="08F6E775" w14:textId="77777777" w:rsidR="009E674A" w:rsidRPr="00CD2028" w:rsidRDefault="009E674A" w:rsidP="006F668F">
            <w:pPr>
              <w:spacing w:after="220"/>
              <w:rPr>
                <w:spacing w:val="-2"/>
              </w:rPr>
            </w:pPr>
            <w:r w:rsidRPr="00444E6D">
              <w:rPr>
                <w:rFonts w:cs="Arial"/>
                <w:sz w:val="14"/>
                <w:szCs w:val="14"/>
              </w:rPr>
              <w:t xml:space="preserve">Zdroj: </w:t>
            </w:r>
            <w:r>
              <w:rPr>
                <w:rFonts w:cs="Arial"/>
                <w:sz w:val="14"/>
                <w:szCs w:val="14"/>
              </w:rPr>
              <w:t xml:space="preserve">MPSV </w:t>
            </w:r>
            <w:r w:rsidR="00BC7833">
              <w:rPr>
                <w:rFonts w:cs="Arial"/>
                <w:sz w:val="14"/>
                <w:szCs w:val="14"/>
              </w:rPr>
              <w:t>a </w:t>
            </w:r>
            <w:r>
              <w:rPr>
                <w:rFonts w:cs="Arial"/>
                <w:sz w:val="14"/>
                <w:szCs w:val="14"/>
              </w:rPr>
              <w:t>ČSÚ (VŠPS)</w:t>
            </w:r>
          </w:p>
        </w:tc>
      </w:tr>
      <w:tr w:rsidR="00744D09" w:rsidRPr="003D7E4E" w14:paraId="64A45AED" w14:textId="77777777" w:rsidTr="006F668F">
        <w:trPr>
          <w:trHeight w:val="429"/>
        </w:trPr>
        <w:tc>
          <w:tcPr>
            <w:tcW w:w="1976" w:type="dxa"/>
          </w:tcPr>
          <w:p w14:paraId="15B007CD" w14:textId="54AC339F" w:rsidR="00744D09" w:rsidRDefault="00744D09" w:rsidP="00744D09">
            <w:pPr>
              <w:pStyle w:val="Marginlie"/>
            </w:pPr>
            <w:r>
              <w:t xml:space="preserve">Oproti všem zaměstnancům pracovali cizinci častěji v administrativních a podpůrných činnostech, průmyslu i stavebnictví. </w:t>
            </w:r>
            <w:r>
              <w:br/>
            </w:r>
            <w:r>
              <w:lastRenderedPageBreak/>
              <w:t>Jen minimální uplatnění nacházeli ve veřejných službách.</w:t>
            </w:r>
          </w:p>
        </w:tc>
        <w:tc>
          <w:tcPr>
            <w:tcW w:w="277" w:type="dxa"/>
          </w:tcPr>
          <w:p w14:paraId="1D280B55" w14:textId="77777777" w:rsidR="00744D09" w:rsidRPr="005E4483" w:rsidRDefault="00744D09" w:rsidP="00744D09">
            <w:pPr>
              <w:pStyle w:val="Textpoznpodarou"/>
              <w:jc w:val="both"/>
              <w:rPr>
                <w:spacing w:val="-4"/>
              </w:rPr>
            </w:pPr>
          </w:p>
        </w:tc>
        <w:tc>
          <w:tcPr>
            <w:tcW w:w="7391" w:type="dxa"/>
          </w:tcPr>
          <w:p w14:paraId="244776C6" w14:textId="6D45314D" w:rsidR="00744D09" w:rsidRPr="00506087" w:rsidRDefault="00744D09" w:rsidP="00744D09">
            <w:pPr>
              <w:spacing w:after="180"/>
              <w:rPr>
                <w:spacing w:val="-2"/>
              </w:rPr>
            </w:pPr>
            <w:r>
              <w:rPr>
                <w:spacing w:val="-4"/>
              </w:rPr>
              <w:t xml:space="preserve">Skladba cizinců (v pozici zaměstnanců) dle odvětví, ve kterém pracují, se značně liší od složení všech pracujících zaměstnanců v ČR. Citelné odlišnosti jsou ale patrné i mezi hlavními skupinami cizinců (dle pohlaví či státního občanství). Cizinci oproti všem zaměstnancům v celé ekonomice převažovali zejména v administrativních </w:t>
            </w:r>
            <w:r>
              <w:rPr>
                <w:spacing w:val="-4"/>
              </w:rPr>
              <w:lastRenderedPageBreak/>
              <w:t>a podpůrných činnostech, kde se z drtivé většiny jednalo o nízkokvalifikované agenturní pracovníky, kteří následně směřovali především do průmyslu, stavebnictví či obchodu</w:t>
            </w:r>
            <w:r>
              <w:rPr>
                <w:rStyle w:val="Znakapoznpodarou"/>
                <w:rFonts w:cs="Arial"/>
                <w:color w:val="0D0D0D" w:themeColor="text1" w:themeTint="F2"/>
                <w:spacing w:val="-4"/>
              </w:rPr>
              <w:footnoteReference w:id="34"/>
            </w:r>
            <w:r>
              <w:rPr>
                <w:spacing w:val="-4"/>
              </w:rPr>
              <w:t>. Vyšší podíl měli cizinci také ve stavebnictví. Naopak v odvětví veřejných služeb (sekce O až R) působilo jen 5 % cizinců (resp. osmina cizinců ze starých členských států EU), ale celá čtvrtina všech zaměstnanců v celé ekonomice. Tato citelná disproporce souvisí se skutečností, že pro práci ve veřejných službách jsou charakteristické vyšší kvalifikační nároky a obvykle potřeba velmi dobré znalosti českého jazyka. U mužů i žen lze nalézt i další dílčí odvětvové odlišnosti</w:t>
            </w:r>
            <w:r>
              <w:rPr>
                <w:rStyle w:val="Znakapoznpodarou"/>
                <w:rFonts w:cs="Arial"/>
                <w:color w:val="0D0D0D" w:themeColor="text1" w:themeTint="F2"/>
                <w:spacing w:val="-4"/>
              </w:rPr>
              <w:footnoteReference w:id="35"/>
            </w:r>
            <w:r>
              <w:rPr>
                <w:spacing w:val="-4"/>
              </w:rPr>
              <w:t>.</w:t>
            </w:r>
          </w:p>
        </w:tc>
      </w:tr>
      <w:tr w:rsidR="00744D09" w:rsidRPr="003D7E4E" w14:paraId="0D1D24C1" w14:textId="77777777" w:rsidTr="006F668F">
        <w:trPr>
          <w:trHeight w:val="429"/>
        </w:trPr>
        <w:tc>
          <w:tcPr>
            <w:tcW w:w="1976" w:type="dxa"/>
          </w:tcPr>
          <w:p w14:paraId="1C3C8988" w14:textId="25030352" w:rsidR="00744D09" w:rsidRPr="00106639" w:rsidRDefault="00744D09" w:rsidP="00744D09">
            <w:pPr>
              <w:pStyle w:val="Marginlie"/>
            </w:pPr>
            <w:r>
              <w:lastRenderedPageBreak/>
              <w:t>Průmysl lákal v ČR více</w:t>
            </w:r>
            <w:r w:rsidRPr="00506087">
              <w:t xml:space="preserve"> zaměstnance z ekonomicky slabších států</w:t>
            </w:r>
            <w:r>
              <w:t> </w:t>
            </w:r>
            <w:r w:rsidRPr="00506087">
              <w:t xml:space="preserve">EU, naopak stavebnictví, obchod </w:t>
            </w:r>
            <w:r>
              <w:t>i</w:t>
            </w:r>
            <w:r w:rsidRPr="00506087">
              <w:t> odvětví ubytování, stravování a</w:t>
            </w:r>
            <w:r>
              <w:t> </w:t>
            </w:r>
            <w:r w:rsidRPr="00506087">
              <w:t>pohostinství hlavně cizince z</w:t>
            </w:r>
            <w:r>
              <w:t> </w:t>
            </w:r>
            <w:r w:rsidRPr="00506087">
              <w:t>„třetích zemí“.</w:t>
            </w:r>
          </w:p>
        </w:tc>
        <w:tc>
          <w:tcPr>
            <w:tcW w:w="277" w:type="dxa"/>
          </w:tcPr>
          <w:p w14:paraId="5974EDAA" w14:textId="77777777" w:rsidR="00744D09" w:rsidRPr="005E4483" w:rsidRDefault="00744D09" w:rsidP="00744D09">
            <w:pPr>
              <w:pStyle w:val="Textpoznpodarou"/>
              <w:jc w:val="both"/>
              <w:rPr>
                <w:spacing w:val="-4"/>
              </w:rPr>
            </w:pPr>
          </w:p>
        </w:tc>
        <w:tc>
          <w:tcPr>
            <w:tcW w:w="7391" w:type="dxa"/>
          </w:tcPr>
          <w:p w14:paraId="75CE79A2" w14:textId="5068C689" w:rsidR="00744D09" w:rsidRPr="00506087" w:rsidRDefault="00744D09" w:rsidP="00744D09">
            <w:pPr>
              <w:spacing w:after="180"/>
              <w:rPr>
                <w:spacing w:val="-2"/>
              </w:rPr>
            </w:pPr>
            <w:r w:rsidRPr="00506087">
              <w:rPr>
                <w:spacing w:val="-2"/>
              </w:rPr>
              <w:t>Podíl zaměstnanců ve zpracovatelském průmyslu se u</w:t>
            </w:r>
            <w:r>
              <w:rPr>
                <w:spacing w:val="-2"/>
              </w:rPr>
              <w:t> </w:t>
            </w:r>
            <w:r w:rsidRPr="00506087">
              <w:rPr>
                <w:spacing w:val="-2"/>
              </w:rPr>
              <w:t>cizinců mezi muži (31</w:t>
            </w:r>
            <w:r>
              <w:rPr>
                <w:spacing w:val="-2"/>
              </w:rPr>
              <w:t> %</w:t>
            </w:r>
            <w:r w:rsidRPr="00506087">
              <w:rPr>
                <w:spacing w:val="-2"/>
              </w:rPr>
              <w:t>) a ženami (27</w:t>
            </w:r>
            <w:r>
              <w:rPr>
                <w:spacing w:val="-2"/>
              </w:rPr>
              <w:t> %</w:t>
            </w:r>
            <w:r w:rsidRPr="00506087">
              <w:rPr>
                <w:spacing w:val="-2"/>
              </w:rPr>
              <w:t>) příliš neodlišoval (na rozdíl od veškerých zaměstnanců na pracovním trhu), pro obě skupiny cizinců šlo o</w:t>
            </w:r>
            <w:r>
              <w:rPr>
                <w:spacing w:val="-2"/>
              </w:rPr>
              <w:t> </w:t>
            </w:r>
            <w:r w:rsidRPr="00506087">
              <w:rPr>
                <w:spacing w:val="-2"/>
              </w:rPr>
              <w:t>hlavní odvětví, ve kterém působily. Primární a sekundární sektor ekonomiky se loni u</w:t>
            </w:r>
            <w:r>
              <w:rPr>
                <w:spacing w:val="-2"/>
              </w:rPr>
              <w:t> </w:t>
            </w:r>
            <w:r w:rsidRPr="00506087">
              <w:rPr>
                <w:spacing w:val="-2"/>
              </w:rPr>
              <w:t>cizinců podílel na zaměstnanosti 48</w:t>
            </w:r>
            <w:r>
              <w:rPr>
                <w:spacing w:val="-2"/>
              </w:rPr>
              <w:t> %</w:t>
            </w:r>
            <w:r w:rsidRPr="00506087">
              <w:rPr>
                <w:spacing w:val="-2"/>
              </w:rPr>
              <w:t xml:space="preserve"> (u mužů), resp.</w:t>
            </w:r>
            <w:r>
              <w:rPr>
                <w:spacing w:val="-2"/>
              </w:rPr>
              <w:t> </w:t>
            </w:r>
            <w:r w:rsidRPr="00506087">
              <w:rPr>
                <w:spacing w:val="-2"/>
              </w:rPr>
              <w:t>33</w:t>
            </w:r>
            <w:r>
              <w:rPr>
                <w:spacing w:val="-2"/>
              </w:rPr>
              <w:t> %</w:t>
            </w:r>
            <w:r w:rsidRPr="00506087">
              <w:rPr>
                <w:spacing w:val="-2"/>
              </w:rPr>
              <w:t xml:space="preserve"> (v</w:t>
            </w:r>
            <w:r>
              <w:rPr>
                <w:spacing w:val="-2"/>
              </w:rPr>
              <w:t> </w:t>
            </w:r>
            <w:r w:rsidRPr="00506087">
              <w:rPr>
                <w:spacing w:val="-2"/>
              </w:rPr>
              <w:t>případě žen). Z</w:t>
            </w:r>
            <w:r>
              <w:rPr>
                <w:spacing w:val="-2"/>
              </w:rPr>
              <w:t>pracovatelský průmysl lákal v Česku</w:t>
            </w:r>
            <w:r w:rsidRPr="00506087">
              <w:rPr>
                <w:spacing w:val="-2"/>
              </w:rPr>
              <w:t xml:space="preserve"> především zaměstnance z ekonomicky slabších států</w:t>
            </w:r>
            <w:r>
              <w:rPr>
                <w:spacing w:val="-2"/>
              </w:rPr>
              <w:t> </w:t>
            </w:r>
            <w:r w:rsidRPr="00506087">
              <w:rPr>
                <w:spacing w:val="-2"/>
              </w:rPr>
              <w:t>EU, naopak stavebnictví, obchod i</w:t>
            </w:r>
            <w:r>
              <w:rPr>
                <w:spacing w:val="-2"/>
              </w:rPr>
              <w:t> </w:t>
            </w:r>
            <w:r w:rsidRPr="00506087">
              <w:rPr>
                <w:spacing w:val="-2"/>
              </w:rPr>
              <w:t>odvětví ubytování, stravování a</w:t>
            </w:r>
            <w:r>
              <w:rPr>
                <w:spacing w:val="-2"/>
              </w:rPr>
              <w:t> </w:t>
            </w:r>
            <w:r w:rsidRPr="00506087">
              <w:rPr>
                <w:spacing w:val="-2"/>
              </w:rPr>
              <w:t>pohostinství hlavně cizince z</w:t>
            </w:r>
            <w:r>
              <w:rPr>
                <w:spacing w:val="-2"/>
              </w:rPr>
              <w:t> </w:t>
            </w:r>
            <w:r w:rsidRPr="00506087">
              <w:rPr>
                <w:spacing w:val="-2"/>
              </w:rPr>
              <w:t>„třetích zemí“. Vyspělá odvětví služeb</w:t>
            </w:r>
            <w:r>
              <w:rPr>
                <w:spacing w:val="-2"/>
              </w:rPr>
              <w:t xml:space="preserve"> – </w:t>
            </w:r>
            <w:r w:rsidRPr="00506087">
              <w:rPr>
                <w:spacing w:val="-2"/>
              </w:rPr>
              <w:t>informační a</w:t>
            </w:r>
            <w:r>
              <w:rPr>
                <w:spacing w:val="-2"/>
              </w:rPr>
              <w:t> </w:t>
            </w:r>
            <w:r w:rsidRPr="00506087">
              <w:rPr>
                <w:spacing w:val="-2"/>
              </w:rPr>
              <w:t>komunikační činnosti, finančnictví, profesní, vědecké a technické činnosti a</w:t>
            </w:r>
            <w:r>
              <w:rPr>
                <w:spacing w:val="-2"/>
              </w:rPr>
              <w:t> </w:t>
            </w:r>
            <w:r w:rsidRPr="00506087">
              <w:rPr>
                <w:spacing w:val="-2"/>
              </w:rPr>
              <w:t xml:space="preserve">také vzdělávání </w:t>
            </w:r>
            <w:r>
              <w:rPr>
                <w:spacing w:val="-2"/>
              </w:rPr>
              <w:t>– </w:t>
            </w:r>
            <w:r w:rsidRPr="00506087">
              <w:rPr>
                <w:spacing w:val="-2"/>
              </w:rPr>
              <w:t>vykazoval</w:t>
            </w:r>
            <w:r>
              <w:rPr>
                <w:spacing w:val="-2"/>
              </w:rPr>
              <w:t>a</w:t>
            </w:r>
            <w:r w:rsidRPr="00506087">
              <w:rPr>
                <w:spacing w:val="-2"/>
              </w:rPr>
              <w:t xml:space="preserve"> vysokou atraktivitu pro cizince ze starých členských států</w:t>
            </w:r>
            <w:r>
              <w:rPr>
                <w:spacing w:val="-2"/>
              </w:rPr>
              <w:t> </w:t>
            </w:r>
            <w:r w:rsidRPr="00506087">
              <w:rPr>
                <w:spacing w:val="-2"/>
              </w:rPr>
              <w:t>EU. Ve struktuře jejich zaměstnanosti dosahovala tato odvětví vyšších podílů než u</w:t>
            </w:r>
            <w:r>
              <w:rPr>
                <w:spacing w:val="-2"/>
              </w:rPr>
              <w:t> </w:t>
            </w:r>
            <w:r w:rsidRPr="00506087">
              <w:rPr>
                <w:spacing w:val="-2"/>
              </w:rPr>
              <w:t>pracovníků z ČR. Detailněji to dokládají údaje o odvětvové specializaci nejčetněji zastoupených skupin cizinců na tuzemském pracovním trhu</w:t>
            </w:r>
            <w:r w:rsidRPr="00506087">
              <w:rPr>
                <w:rStyle w:val="Znakapoznpodarou"/>
                <w:rFonts w:cs="Arial"/>
                <w:color w:val="0D0D0D" w:themeColor="text1" w:themeTint="F2"/>
                <w:spacing w:val="-2"/>
              </w:rPr>
              <w:footnoteReference w:id="36"/>
            </w:r>
            <w:r w:rsidRPr="00506087">
              <w:rPr>
                <w:spacing w:val="-2"/>
              </w:rPr>
              <w:t>.</w:t>
            </w:r>
          </w:p>
        </w:tc>
      </w:tr>
      <w:tr w:rsidR="00F36104" w:rsidRPr="003D7E4E" w14:paraId="4DDE2F71" w14:textId="77777777" w:rsidTr="006F668F">
        <w:trPr>
          <w:trHeight w:val="429"/>
        </w:trPr>
        <w:tc>
          <w:tcPr>
            <w:tcW w:w="1976" w:type="dxa"/>
          </w:tcPr>
          <w:p w14:paraId="079E2DCA" w14:textId="603640C0" w:rsidR="00F36104" w:rsidRDefault="00F36104" w:rsidP="00F36104">
            <w:pPr>
              <w:pStyle w:val="Marginlie"/>
            </w:pPr>
            <w:r>
              <w:t>Cizinci pracující v Česku měli v průměru nižší kvalifikační úroveň než všichni zaměstnanci na trhu práce.</w:t>
            </w:r>
          </w:p>
        </w:tc>
        <w:tc>
          <w:tcPr>
            <w:tcW w:w="277" w:type="dxa"/>
          </w:tcPr>
          <w:p w14:paraId="5A4F5D9F" w14:textId="77777777" w:rsidR="00F36104" w:rsidRPr="005E4483" w:rsidRDefault="00F36104" w:rsidP="00F36104">
            <w:pPr>
              <w:pStyle w:val="Textpoznpodarou"/>
              <w:jc w:val="both"/>
              <w:rPr>
                <w:spacing w:val="-4"/>
              </w:rPr>
            </w:pPr>
          </w:p>
        </w:tc>
        <w:tc>
          <w:tcPr>
            <w:tcW w:w="7391" w:type="dxa"/>
          </w:tcPr>
          <w:p w14:paraId="6D037A48" w14:textId="77777777" w:rsidR="00F36104" w:rsidRDefault="00F36104" w:rsidP="00F36104">
            <w:pPr>
              <w:spacing w:after="180"/>
              <w:rPr>
                <w:spacing w:val="-3"/>
              </w:rPr>
            </w:pPr>
            <w:r>
              <w:rPr>
                <w:spacing w:val="-3"/>
              </w:rPr>
              <w:t>Rozdíly v zaměstnanosti cizinců dle odvětví souvisejí i s odlišnou kvalifikační úrovní. Ta je u cizinců jako celku ve srovnání se všemi zaměstnanci na pracovním trhu v ČR nižší. Pod tři nejvyšší kvalifikační třídy, pro něž je v Česku typický nadprůměrný podíl vysokoškolsky vzdělaných, v roce 2018 spadalo 20 % cizinců, ale 37 % veškerých zaměstnanců v ČR. Cizinci měli výrazně nižší zastoupení hlavně v kategorii techničtí a </w:t>
            </w:r>
            <w:r w:rsidRPr="00FB4F7A">
              <w:rPr>
                <w:spacing w:val="-3"/>
              </w:rPr>
              <w:t>odborní pracovníci</w:t>
            </w:r>
            <w:r>
              <w:rPr>
                <w:spacing w:val="-3"/>
              </w:rPr>
              <w:t xml:space="preserve"> a rovněž u specialistů a úředníků (zejména v kategorii žen) a u řemeslníků a opravářů (u mužů). Naopak do třídy pomocných a nekvalifikovaných pracovníků spadalo 30 % všech cizinců, ale jen 6,5 % veškerých zaměstnanců v ČR. U žen byla větší disproporce také ve třídě obsluha strojů a zařízení (mezi cizinci pětina žen, ale jen desetina u všech žen v ČR).</w:t>
            </w:r>
          </w:p>
          <w:p w14:paraId="1061CAE5" w14:textId="77777777" w:rsidR="00F36104" w:rsidRDefault="00F36104" w:rsidP="00F36104">
            <w:pPr>
              <w:spacing w:after="180"/>
              <w:rPr>
                <w:spacing w:val="-3"/>
              </w:rPr>
            </w:pPr>
          </w:p>
          <w:p w14:paraId="373899BC" w14:textId="77777777" w:rsidR="00F36104" w:rsidRDefault="00F36104" w:rsidP="00F36104">
            <w:pPr>
              <w:spacing w:after="180"/>
              <w:rPr>
                <w:spacing w:val="-3"/>
              </w:rPr>
            </w:pPr>
          </w:p>
          <w:p w14:paraId="31C7824A" w14:textId="2BBE1BAE" w:rsidR="00F36104" w:rsidRPr="00506087" w:rsidRDefault="00F36104" w:rsidP="00F36104">
            <w:pPr>
              <w:spacing w:after="180"/>
              <w:rPr>
                <w:spacing w:val="-2"/>
              </w:rPr>
            </w:pPr>
          </w:p>
        </w:tc>
      </w:tr>
    </w:tbl>
    <w:p w14:paraId="3217BEFB" w14:textId="77777777" w:rsidR="009E674A" w:rsidRPr="00141F95" w:rsidRDefault="009E674A" w:rsidP="009E674A">
      <w:pPr>
        <w:spacing w:after="0"/>
        <w:rPr>
          <w:sz w:val="4"/>
          <w:szCs w:val="4"/>
        </w:rPr>
      </w:pPr>
    </w:p>
    <w:p w14:paraId="540665DE" w14:textId="77777777" w:rsidR="009E674A" w:rsidRDefault="009A4F91" w:rsidP="009E674A">
      <w:pPr>
        <w:spacing w:after="0"/>
        <w:rPr>
          <w:b/>
        </w:rPr>
      </w:pPr>
      <w:r>
        <w:rPr>
          <w:b/>
        </w:rPr>
        <w:lastRenderedPageBreak/>
        <w:t>Tabulka</w:t>
      </w:r>
      <w:r w:rsidR="009E674A">
        <w:rPr>
          <w:b/>
        </w:rPr>
        <w:t xml:space="preserve"> </w:t>
      </w:r>
      <w:r w:rsidR="00BA35F3">
        <w:rPr>
          <w:b/>
        </w:rPr>
        <w:t>č. </w:t>
      </w:r>
      <w:r w:rsidR="00BC7833">
        <w:rPr>
          <w:b/>
        </w:rPr>
        <w:t>1</w:t>
      </w:r>
      <w:r w:rsidR="009F47E7">
        <w:rPr>
          <w:b/>
        </w:rPr>
        <w:t xml:space="preserve">  </w:t>
      </w:r>
      <w:r w:rsidR="009E674A">
        <w:rPr>
          <w:b/>
        </w:rPr>
        <w:t xml:space="preserve">Počet zaměstnanců </w:t>
      </w:r>
      <w:r w:rsidR="009E674A" w:rsidRPr="0022249B">
        <w:t>(</w:t>
      </w:r>
      <w:r w:rsidR="00BC7833" w:rsidRPr="0022249B">
        <w:t>v</w:t>
      </w:r>
      <w:r w:rsidR="00BC7833">
        <w:t> </w:t>
      </w:r>
      <w:r w:rsidR="009E674A" w:rsidRPr="0022249B">
        <w:t>tis.)</w:t>
      </w:r>
      <w:r w:rsidR="009E674A">
        <w:rPr>
          <w:b/>
        </w:rPr>
        <w:t xml:space="preserve"> </w:t>
      </w:r>
      <w:r w:rsidR="00BC7833">
        <w:rPr>
          <w:b/>
        </w:rPr>
        <w:t>a </w:t>
      </w:r>
      <w:r w:rsidR="009E674A">
        <w:rPr>
          <w:b/>
        </w:rPr>
        <w:t>jejich skladba dle hlavních tříd klasifikace zaměstnání</w:t>
      </w:r>
    </w:p>
    <w:p w14:paraId="147EE8D1" w14:textId="77777777" w:rsidR="009E674A" w:rsidRDefault="009E674A" w:rsidP="009E674A">
      <w:pPr>
        <w:spacing w:after="0"/>
        <w:rPr>
          <w:szCs w:val="20"/>
        </w:rPr>
      </w:pPr>
      <w:r w:rsidRPr="0022249B">
        <w:t>(v</w:t>
      </w:r>
      <w:r w:rsidR="006454CC">
        <w:t> %</w:t>
      </w:r>
      <w:r w:rsidRPr="0022249B">
        <w:t xml:space="preserve">, srovnání cizinců </w:t>
      </w:r>
      <w:r w:rsidR="00BC7833" w:rsidRPr="0022249B">
        <w:t>a</w:t>
      </w:r>
      <w:r w:rsidR="00BC7833">
        <w:t> </w:t>
      </w:r>
      <w:r w:rsidRPr="0022249B">
        <w:t>všech zaměstnanců na trhu práce v ČR)</w:t>
      </w:r>
    </w:p>
    <w:p w14:paraId="63B6545E" w14:textId="4379C205" w:rsidR="009E674A" w:rsidRDefault="00D37034" w:rsidP="009E674A">
      <w:pPr>
        <w:spacing w:after="0"/>
        <w:rPr>
          <w:szCs w:val="20"/>
        </w:rPr>
      </w:pPr>
      <w:r w:rsidRPr="00D37034">
        <w:drawing>
          <wp:inline distT="0" distB="0" distL="0" distR="0" wp14:anchorId="549C37D6" wp14:editId="46F86F48">
            <wp:extent cx="6120130" cy="2872443"/>
            <wp:effectExtent l="0" t="0" r="0" b="4445"/>
            <wp:docPr id="55" name="Obráze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20130" cy="2872443"/>
                    </a:xfrm>
                    <a:prstGeom prst="rect">
                      <a:avLst/>
                    </a:prstGeom>
                    <a:noFill/>
                    <a:ln>
                      <a:noFill/>
                    </a:ln>
                  </pic:spPr>
                </pic:pic>
              </a:graphicData>
            </a:graphic>
          </wp:inline>
        </w:drawing>
      </w:r>
    </w:p>
    <w:p w14:paraId="64CF8E10" w14:textId="5E9554B4" w:rsidR="009E674A" w:rsidRDefault="009E674A" w:rsidP="009E674A">
      <w:pPr>
        <w:spacing w:after="0"/>
        <w:rPr>
          <w:rFonts w:cs="Arial"/>
          <w:sz w:val="14"/>
          <w:szCs w:val="14"/>
        </w:rPr>
      </w:pPr>
      <w:r>
        <w:rPr>
          <w:rFonts w:cs="Arial"/>
          <w:sz w:val="14"/>
          <w:szCs w:val="14"/>
        </w:rPr>
        <w:t>Poznámka</w:t>
      </w:r>
      <w:r w:rsidR="00C37A78">
        <w:rPr>
          <w:rFonts w:cs="Arial"/>
          <w:sz w:val="14"/>
          <w:szCs w:val="14"/>
        </w:rPr>
        <w:t>:</w:t>
      </w:r>
      <w:r>
        <w:rPr>
          <w:rFonts w:cs="Arial"/>
          <w:sz w:val="14"/>
          <w:szCs w:val="14"/>
        </w:rPr>
        <w:t xml:space="preserve"> Údaje za všechny zaměstnance (bez ohledu na státní občanství) vycházejí z VŠPS </w:t>
      </w:r>
      <w:r w:rsidR="00BC7833">
        <w:rPr>
          <w:rFonts w:cs="Arial"/>
          <w:sz w:val="14"/>
          <w:szCs w:val="14"/>
        </w:rPr>
        <w:t>a </w:t>
      </w:r>
      <w:r>
        <w:rPr>
          <w:rFonts w:cs="Arial"/>
          <w:sz w:val="14"/>
          <w:szCs w:val="14"/>
        </w:rPr>
        <w:t xml:space="preserve">vztahují se </w:t>
      </w:r>
      <w:r w:rsidR="00BC7833">
        <w:rPr>
          <w:rFonts w:cs="Arial"/>
          <w:sz w:val="14"/>
          <w:szCs w:val="14"/>
        </w:rPr>
        <w:t>k</w:t>
      </w:r>
      <w:r w:rsidR="00C37A78">
        <w:rPr>
          <w:rFonts w:cs="Arial"/>
          <w:sz w:val="14"/>
          <w:szCs w:val="14"/>
        </w:rPr>
        <w:t xml:space="preserve">e </w:t>
      </w:r>
      <w:r w:rsidR="00BC7833">
        <w:rPr>
          <w:rFonts w:cs="Arial"/>
          <w:sz w:val="14"/>
          <w:szCs w:val="14"/>
        </w:rPr>
        <w:t>4. </w:t>
      </w:r>
      <w:r>
        <w:rPr>
          <w:rFonts w:cs="Arial"/>
          <w:sz w:val="14"/>
          <w:szCs w:val="14"/>
        </w:rPr>
        <w:t>čtvrtletí příslušného roku, údaje za cizince vycház</w:t>
      </w:r>
      <w:r w:rsidR="00C37A78">
        <w:rPr>
          <w:rFonts w:cs="Arial"/>
          <w:sz w:val="14"/>
          <w:szCs w:val="14"/>
        </w:rPr>
        <w:t>ej</w:t>
      </w:r>
      <w:r>
        <w:rPr>
          <w:rFonts w:cs="Arial"/>
          <w:sz w:val="14"/>
          <w:szCs w:val="14"/>
        </w:rPr>
        <w:t xml:space="preserve">í z počtu evidencí na krajských pobočkách úřadů práce </w:t>
      </w:r>
      <w:r w:rsidR="00BC7833">
        <w:rPr>
          <w:rFonts w:cs="Arial"/>
          <w:sz w:val="14"/>
          <w:szCs w:val="14"/>
        </w:rPr>
        <w:t>a </w:t>
      </w:r>
      <w:r>
        <w:rPr>
          <w:rFonts w:cs="Arial"/>
          <w:sz w:val="14"/>
          <w:szCs w:val="14"/>
        </w:rPr>
        <w:t>vztahují se k 31.</w:t>
      </w:r>
      <w:r w:rsidR="00C37A78">
        <w:rPr>
          <w:rFonts w:cs="Arial"/>
          <w:sz w:val="14"/>
          <w:szCs w:val="14"/>
        </w:rPr>
        <w:t> </w:t>
      </w:r>
      <w:r>
        <w:rPr>
          <w:rFonts w:cs="Arial"/>
          <w:sz w:val="14"/>
          <w:szCs w:val="14"/>
        </w:rPr>
        <w:t>12. příslušného roku.</w:t>
      </w:r>
    </w:p>
    <w:p w14:paraId="0989D595" w14:textId="77777777" w:rsidR="009E674A" w:rsidRDefault="009E674A" w:rsidP="009E674A">
      <w:pPr>
        <w:spacing w:after="0"/>
        <w:rPr>
          <w:szCs w:val="20"/>
        </w:rPr>
      </w:pPr>
      <w:r w:rsidRPr="00444E6D">
        <w:rPr>
          <w:rFonts w:cs="Arial"/>
          <w:sz w:val="14"/>
          <w:szCs w:val="14"/>
        </w:rPr>
        <w:t xml:space="preserve">Zdroj: </w:t>
      </w:r>
      <w:r>
        <w:rPr>
          <w:rFonts w:cs="Arial"/>
          <w:sz w:val="14"/>
          <w:szCs w:val="14"/>
        </w:rPr>
        <w:t xml:space="preserve">MPSV </w:t>
      </w:r>
      <w:r w:rsidR="00BC7833">
        <w:rPr>
          <w:rFonts w:cs="Arial"/>
          <w:sz w:val="14"/>
          <w:szCs w:val="14"/>
        </w:rPr>
        <w:t>a </w:t>
      </w:r>
      <w:r>
        <w:rPr>
          <w:rFonts w:cs="Arial"/>
          <w:sz w:val="14"/>
          <w:szCs w:val="14"/>
        </w:rPr>
        <w:t>ČSÚ (VŠPS)</w:t>
      </w:r>
    </w:p>
    <w:p w14:paraId="07D35979" w14:textId="77777777" w:rsidR="009E674A" w:rsidRDefault="009E674A" w:rsidP="009E674A">
      <w:pPr>
        <w:spacing w:after="0"/>
        <w:rPr>
          <w:sz w:val="14"/>
          <w:szCs w:val="14"/>
        </w:rPr>
      </w:pPr>
    </w:p>
    <w:tbl>
      <w:tblPr>
        <w:tblW w:w="9649" w:type="dxa"/>
        <w:tblInd w:w="-15" w:type="dxa"/>
        <w:tblLayout w:type="fixed"/>
        <w:tblCellMar>
          <w:left w:w="0" w:type="dxa"/>
          <w:right w:w="0" w:type="dxa"/>
        </w:tblCellMar>
        <w:tblLook w:val="00A0" w:firstRow="1" w:lastRow="0" w:firstColumn="1" w:lastColumn="0" w:noHBand="0" w:noVBand="0"/>
      </w:tblPr>
      <w:tblGrid>
        <w:gridCol w:w="1977"/>
        <w:gridCol w:w="277"/>
        <w:gridCol w:w="7395"/>
      </w:tblGrid>
      <w:tr w:rsidR="009E674A" w:rsidRPr="003D7E4E" w14:paraId="22E6F765" w14:textId="77777777" w:rsidTr="006F668F">
        <w:trPr>
          <w:trHeight w:val="429"/>
        </w:trPr>
        <w:tc>
          <w:tcPr>
            <w:tcW w:w="1977" w:type="dxa"/>
          </w:tcPr>
          <w:p w14:paraId="308ED567" w14:textId="48E7E3C1" w:rsidR="009E674A" w:rsidRDefault="009E674A" w:rsidP="006F668F">
            <w:pPr>
              <w:pStyle w:val="Marginlie"/>
            </w:pPr>
            <w:r>
              <w:t>Nejvyšší kvalifikační úroveň měli cizinci ze starých členských států</w:t>
            </w:r>
            <w:r w:rsidR="00136371">
              <w:t> </w:t>
            </w:r>
            <w:r>
              <w:t>EU a z mimoevropských členů OECD,...</w:t>
            </w:r>
          </w:p>
          <w:p w14:paraId="729D902E" w14:textId="77777777" w:rsidR="009E674A" w:rsidRDefault="009E674A" w:rsidP="006F668F">
            <w:pPr>
              <w:pStyle w:val="Marginlie"/>
            </w:pPr>
          </w:p>
          <w:p w14:paraId="21B124A8" w14:textId="77777777" w:rsidR="009E674A" w:rsidRDefault="009E674A" w:rsidP="006F668F">
            <w:pPr>
              <w:pStyle w:val="Marginlie"/>
            </w:pPr>
          </w:p>
          <w:p w14:paraId="23D802E5" w14:textId="77777777" w:rsidR="009E674A" w:rsidRDefault="009E674A" w:rsidP="006F668F">
            <w:pPr>
              <w:pStyle w:val="Marginlie"/>
            </w:pPr>
          </w:p>
          <w:p w14:paraId="30F3D812" w14:textId="7F9CD288" w:rsidR="009E674A" w:rsidRDefault="009E674A" w:rsidP="006F668F">
            <w:pPr>
              <w:pStyle w:val="Marginlie"/>
            </w:pPr>
            <w:r>
              <w:t>…</w:t>
            </w:r>
            <w:r w:rsidR="00136371">
              <w:t> </w:t>
            </w:r>
            <w:r>
              <w:t>opačně na tom byli občané ostatní</w:t>
            </w:r>
            <w:r w:rsidR="00136371">
              <w:t>ch</w:t>
            </w:r>
            <w:r>
              <w:t xml:space="preserve"> států mimo</w:t>
            </w:r>
            <w:r w:rsidR="00136371">
              <w:t> </w:t>
            </w:r>
            <w:r>
              <w:t>EU, zejména ženy.</w:t>
            </w:r>
          </w:p>
          <w:p w14:paraId="15B4EBF4" w14:textId="77777777" w:rsidR="009E674A" w:rsidRPr="00106639" w:rsidRDefault="009E674A" w:rsidP="006F668F">
            <w:pPr>
              <w:pStyle w:val="Marginlie"/>
            </w:pPr>
          </w:p>
        </w:tc>
        <w:tc>
          <w:tcPr>
            <w:tcW w:w="277" w:type="dxa"/>
          </w:tcPr>
          <w:p w14:paraId="58CCB912" w14:textId="77777777" w:rsidR="009E674A" w:rsidRPr="005E4483" w:rsidRDefault="009E674A" w:rsidP="006F668F">
            <w:pPr>
              <w:pStyle w:val="Textpoznpodarou"/>
              <w:jc w:val="both"/>
              <w:rPr>
                <w:spacing w:val="-4"/>
              </w:rPr>
            </w:pPr>
          </w:p>
        </w:tc>
        <w:tc>
          <w:tcPr>
            <w:tcW w:w="7395" w:type="dxa"/>
          </w:tcPr>
          <w:p w14:paraId="40E4C1AE" w14:textId="10EE5AED" w:rsidR="009E674A" w:rsidRPr="00F36104" w:rsidRDefault="009E674A" w:rsidP="006F668F">
            <w:pPr>
              <w:spacing w:after="220"/>
              <w:rPr>
                <w:spacing w:val="-4"/>
              </w:rPr>
            </w:pPr>
            <w:r w:rsidRPr="00F36104">
              <w:rPr>
                <w:spacing w:val="-4"/>
              </w:rPr>
              <w:t>Větší rozdíl v kvalifikační skladbě než na ose tuzemci</w:t>
            </w:r>
            <w:r w:rsidR="0037734D" w:rsidRPr="00F36104">
              <w:rPr>
                <w:spacing w:val="-4"/>
              </w:rPr>
              <w:t xml:space="preserve"> – </w:t>
            </w:r>
            <w:r w:rsidRPr="00F36104">
              <w:rPr>
                <w:spacing w:val="-4"/>
              </w:rPr>
              <w:t>cizinci je patrný mezi cizinci navzájem. Zde představuje tradičně hlavní děl</w:t>
            </w:r>
            <w:r w:rsidR="00136371" w:rsidRPr="00F36104">
              <w:rPr>
                <w:spacing w:val="-4"/>
              </w:rPr>
              <w:t>i</w:t>
            </w:r>
            <w:r w:rsidRPr="00F36104">
              <w:rPr>
                <w:spacing w:val="-4"/>
              </w:rPr>
              <w:t xml:space="preserve">cí linii příslušnost </w:t>
            </w:r>
            <w:r w:rsidR="00BC7833" w:rsidRPr="00F36104">
              <w:rPr>
                <w:spacing w:val="-4"/>
              </w:rPr>
              <w:t>k </w:t>
            </w:r>
            <w:r w:rsidRPr="00F36104">
              <w:rPr>
                <w:spacing w:val="-4"/>
              </w:rPr>
              <w:t>ekonomicky nejvyspělejším státům světa (staré členské státy</w:t>
            </w:r>
            <w:r w:rsidR="00136371" w:rsidRPr="00F36104">
              <w:rPr>
                <w:spacing w:val="-4"/>
              </w:rPr>
              <w:t> </w:t>
            </w:r>
            <w:r w:rsidRPr="00F36104">
              <w:rPr>
                <w:spacing w:val="-4"/>
              </w:rPr>
              <w:t xml:space="preserve">EU </w:t>
            </w:r>
            <w:r w:rsidR="00BC7833" w:rsidRPr="00F36104">
              <w:rPr>
                <w:spacing w:val="-4"/>
              </w:rPr>
              <w:t>a </w:t>
            </w:r>
            <w:r w:rsidRPr="00F36104">
              <w:rPr>
                <w:spacing w:val="-4"/>
              </w:rPr>
              <w:t>drtivá většina mimoevropských členů OECD). Na opačném pólu pak nacházíme ostatní státy s překvapivě relativně malými rozdíly mezi novějšími členy</w:t>
            </w:r>
            <w:r w:rsidR="00136371" w:rsidRPr="00F36104">
              <w:rPr>
                <w:spacing w:val="-4"/>
              </w:rPr>
              <w:t> </w:t>
            </w:r>
            <w:r w:rsidRPr="00F36104">
              <w:rPr>
                <w:spacing w:val="-4"/>
              </w:rPr>
              <w:t xml:space="preserve">EU </w:t>
            </w:r>
            <w:r w:rsidR="00BC7833" w:rsidRPr="00F36104">
              <w:rPr>
                <w:spacing w:val="-4"/>
              </w:rPr>
              <w:t>a </w:t>
            </w:r>
            <w:r w:rsidRPr="00F36104">
              <w:rPr>
                <w:spacing w:val="-4"/>
              </w:rPr>
              <w:t xml:space="preserve">ostatními mimoevropskými státy (výjimkou je Slovensko, které z pohledu skladby cizinců pracujících v ČR představuje určitý přechod mezi oběma hlavními skupinami). </w:t>
            </w:r>
            <w:r w:rsidR="00BC7833" w:rsidRPr="00F36104">
              <w:rPr>
                <w:spacing w:val="-4"/>
              </w:rPr>
              <w:t>U </w:t>
            </w:r>
            <w:r w:rsidRPr="00F36104">
              <w:rPr>
                <w:spacing w:val="-4"/>
              </w:rPr>
              <w:t xml:space="preserve">cizinců ze států EU15 převažovali se zhruba třetinovým podílem mezi muži </w:t>
            </w:r>
            <w:r w:rsidR="00BC7833" w:rsidRPr="00F36104">
              <w:rPr>
                <w:spacing w:val="-4"/>
              </w:rPr>
              <w:t>i </w:t>
            </w:r>
            <w:r w:rsidRPr="00F36104">
              <w:rPr>
                <w:spacing w:val="-4"/>
              </w:rPr>
              <w:t xml:space="preserve">ženami zaměstnanci ve třídě specialistů. Podobnou váhu měli jak </w:t>
            </w:r>
            <w:r w:rsidR="00BC7833" w:rsidRPr="00F36104">
              <w:rPr>
                <w:spacing w:val="-4"/>
              </w:rPr>
              <w:t>u </w:t>
            </w:r>
            <w:r w:rsidRPr="00F36104">
              <w:rPr>
                <w:spacing w:val="-4"/>
              </w:rPr>
              <w:t>cizinců ze zbytku Unie</w:t>
            </w:r>
            <w:r w:rsidR="00136371" w:rsidRPr="00F36104">
              <w:rPr>
                <w:spacing w:val="-4"/>
              </w:rPr>
              <w:t>, tak</w:t>
            </w:r>
            <w:r w:rsidRPr="00F36104">
              <w:rPr>
                <w:spacing w:val="-4"/>
              </w:rPr>
              <w:t xml:space="preserve"> mimo </w:t>
            </w:r>
            <w:r w:rsidR="00136371" w:rsidRPr="00F36104">
              <w:rPr>
                <w:spacing w:val="-4"/>
              </w:rPr>
              <w:t xml:space="preserve">ni </w:t>
            </w:r>
            <w:r w:rsidRPr="00F36104">
              <w:rPr>
                <w:spacing w:val="-4"/>
              </w:rPr>
              <w:t xml:space="preserve">pomocní a nekvalifikovaní pracovníci. Dílčí rozdíl mezi těmito dvěma skupinami lze vidět </w:t>
            </w:r>
            <w:r w:rsidR="00BC7833" w:rsidRPr="00F36104">
              <w:rPr>
                <w:spacing w:val="-4"/>
              </w:rPr>
              <w:t>u </w:t>
            </w:r>
            <w:r w:rsidRPr="00F36104">
              <w:rPr>
                <w:spacing w:val="-4"/>
              </w:rPr>
              <w:t xml:space="preserve">žen (ve třídě specialistů </w:t>
            </w:r>
            <w:r w:rsidR="00BC7833" w:rsidRPr="00F36104">
              <w:rPr>
                <w:spacing w:val="-4"/>
              </w:rPr>
              <w:t>i </w:t>
            </w:r>
            <w:r w:rsidRPr="00F36104">
              <w:rPr>
                <w:spacing w:val="-4"/>
              </w:rPr>
              <w:t>pomocných pracovníků). S určitým zjednodušením lze tvrdit, že ženy z mimounijních států patří k nejméně kvalifikované skupině zaměstnanců na tuzemském pracovním trhu.</w:t>
            </w:r>
          </w:p>
        </w:tc>
      </w:tr>
      <w:tr w:rsidR="00F36104" w:rsidRPr="003D7E4E" w14:paraId="7B02ADBA" w14:textId="77777777" w:rsidTr="006F668F">
        <w:trPr>
          <w:trHeight w:val="429"/>
        </w:trPr>
        <w:tc>
          <w:tcPr>
            <w:tcW w:w="1977" w:type="dxa"/>
          </w:tcPr>
          <w:p w14:paraId="43CBAED6" w14:textId="77777777" w:rsidR="00F36104" w:rsidRDefault="00F36104" w:rsidP="00F36104">
            <w:pPr>
              <w:pStyle w:val="Marginlie"/>
            </w:pPr>
            <w:r>
              <w:t>V Praze byla registrována třetina všech pracujících cizinců v ČR. Spolu se Středočeským krajem pak polovina.</w:t>
            </w:r>
          </w:p>
          <w:p w14:paraId="77FF2699" w14:textId="77777777" w:rsidR="00F36104" w:rsidRDefault="00F36104" w:rsidP="00F36104">
            <w:pPr>
              <w:pStyle w:val="Marginlie"/>
            </w:pPr>
          </w:p>
          <w:p w14:paraId="1278BA24" w14:textId="77777777" w:rsidR="00F36104" w:rsidRDefault="00F36104" w:rsidP="00F36104">
            <w:pPr>
              <w:pStyle w:val="Marginlie"/>
            </w:pPr>
          </w:p>
          <w:p w14:paraId="3C89A29D" w14:textId="77777777" w:rsidR="00F36104" w:rsidRDefault="00F36104" w:rsidP="00F36104">
            <w:pPr>
              <w:pStyle w:val="Marginlie"/>
            </w:pPr>
          </w:p>
          <w:p w14:paraId="073028F8" w14:textId="77777777" w:rsidR="00F36104" w:rsidRDefault="00F36104" w:rsidP="00F36104">
            <w:pPr>
              <w:pStyle w:val="Marginlie"/>
            </w:pPr>
          </w:p>
          <w:p w14:paraId="5DA073F4" w14:textId="77777777" w:rsidR="00F36104" w:rsidRDefault="00F36104" w:rsidP="00F36104">
            <w:pPr>
              <w:pStyle w:val="Marginlie"/>
            </w:pPr>
          </w:p>
          <w:p w14:paraId="681BDFB9" w14:textId="6F8D4AE1" w:rsidR="00F36104" w:rsidRDefault="00F36104" w:rsidP="00F36104">
            <w:pPr>
              <w:pStyle w:val="Marginlie"/>
            </w:pPr>
            <w:r>
              <w:t>V relaci k obyvatelstvu v produktivním věku bylo cizinců nejvíce v okresech Tachov a Mladá Boleslav.</w:t>
            </w:r>
          </w:p>
        </w:tc>
        <w:tc>
          <w:tcPr>
            <w:tcW w:w="277" w:type="dxa"/>
          </w:tcPr>
          <w:p w14:paraId="1062B1D9" w14:textId="77777777" w:rsidR="00F36104" w:rsidRPr="005E4483" w:rsidRDefault="00F36104" w:rsidP="00F36104">
            <w:pPr>
              <w:pStyle w:val="Textpoznpodarou"/>
              <w:jc w:val="both"/>
              <w:rPr>
                <w:spacing w:val="-4"/>
              </w:rPr>
            </w:pPr>
          </w:p>
        </w:tc>
        <w:tc>
          <w:tcPr>
            <w:tcW w:w="7395" w:type="dxa"/>
          </w:tcPr>
          <w:p w14:paraId="354D8C0D" w14:textId="1A7E8184" w:rsidR="00F36104" w:rsidRPr="00F36104" w:rsidRDefault="00F36104" w:rsidP="00F36104">
            <w:pPr>
              <w:spacing w:after="220"/>
              <w:rPr>
                <w:spacing w:val="-4"/>
              </w:rPr>
            </w:pPr>
            <w:r>
              <w:rPr>
                <w:rFonts w:cs="Arial"/>
                <w:spacing w:val="-1"/>
                <w:szCs w:val="20"/>
              </w:rPr>
              <w:t>Rozmístění cizinců na území ČR je dosti nerovnoměrné. V Praze byla na konci roku 2018 evidována třetina z celorepublikového počtu cizinců v pozici zaměstnanců a bezmála 40 % cizinců, kteří byli držiteli živnostenského oprávnění. Z celkového počtu pracujících cizinců bylo v metropoli soustředěno 31,5 % (v rámci kategorie mužů), resp. 39,3 % (u žen). Společně se Středočeským krajem zde působila polovina všech pracujících cizinců v ČR. V relaci k počtu bydlících obyvatel v produktivním věku dosahovali cizinci mezi kraji nejvyšších podílů v Praze (26,4 %) a na Plzeňsku (15,9 %), nejnižších na Olomoucku (3,2 %) a Zlínsku (3,5 %). Na okresní úrovni dominovaly Tachov (38 %) a Mladá Boleslav (28 %), naopak jen minimálně ovlivňovali cizinci pracovní trh na Kroměřížsku, Třebíčsku, Opavsku, Bruntálsku či Šumpersku. Pro region střední Moravy byl také charakteristický nejnižší podíl žen mezi pracujícími cizinci (kolem 30 %). Naproti tomu v Praze a Karlovarském kraji, tedy regionech s vysokým podílem pracovních míst ve službách a výraznější specializací v oblasti cestovního ruchu, tvořily ženy více než 40 %.</w:t>
            </w:r>
          </w:p>
        </w:tc>
      </w:tr>
      <w:tr w:rsidR="00F36104" w:rsidRPr="003D7E4E" w14:paraId="57D29C95" w14:textId="77777777" w:rsidTr="006F668F">
        <w:trPr>
          <w:trHeight w:val="429"/>
        </w:trPr>
        <w:tc>
          <w:tcPr>
            <w:tcW w:w="1977" w:type="dxa"/>
          </w:tcPr>
          <w:p w14:paraId="05174E77" w14:textId="6C60FE67" w:rsidR="00F36104" w:rsidRDefault="00F36104" w:rsidP="00F36104">
            <w:pPr>
              <w:pStyle w:val="Marginlie"/>
            </w:pPr>
            <w:r>
              <w:t>Za posledních sedm let se počet všech pracujících cizinců relativně nejvíce zvýšil v Plzeňském a Středočeském kraji.</w:t>
            </w:r>
          </w:p>
        </w:tc>
        <w:tc>
          <w:tcPr>
            <w:tcW w:w="277" w:type="dxa"/>
          </w:tcPr>
          <w:p w14:paraId="6A29E526" w14:textId="77777777" w:rsidR="00F36104" w:rsidRPr="005E4483" w:rsidRDefault="00F36104" w:rsidP="00F36104">
            <w:pPr>
              <w:pStyle w:val="Textpoznpodarou"/>
              <w:jc w:val="both"/>
              <w:rPr>
                <w:spacing w:val="-4"/>
              </w:rPr>
            </w:pPr>
          </w:p>
        </w:tc>
        <w:tc>
          <w:tcPr>
            <w:tcW w:w="7395" w:type="dxa"/>
          </w:tcPr>
          <w:p w14:paraId="6448CC4D" w14:textId="600CADD3" w:rsidR="00F36104" w:rsidRDefault="00F36104" w:rsidP="00F36104">
            <w:pPr>
              <w:spacing w:after="220"/>
              <w:rPr>
                <w:rFonts w:cs="Arial"/>
                <w:spacing w:val="-1"/>
                <w:szCs w:val="20"/>
              </w:rPr>
            </w:pPr>
            <w:r>
              <w:rPr>
                <w:rFonts w:cs="Arial"/>
                <w:spacing w:val="-1"/>
                <w:szCs w:val="20"/>
              </w:rPr>
              <w:t xml:space="preserve">Mezi roky 2011 a 2018 se počet cizinců pracujících na území ČR více než zdvojnásobil (růst o 111 %). Tento vývoj není nikterak překvapivý, neboť v obou krajních letech se tuzemský trh práce nacházel ve zcela odlišných fázích hospodářského cyklu. Zatímco v Plzeňském kraji se mezi roky 2011 a 2018 </w:t>
            </w:r>
            <w:r>
              <w:rPr>
                <w:rFonts w:cs="Arial"/>
                <w:spacing w:val="-1"/>
                <w:szCs w:val="20"/>
              </w:rPr>
              <w:lastRenderedPageBreak/>
              <w:t>kontingent cizinců takřka ztrojnásobil, v Moravskoslezském kraji posílil „jen“ o necelé dvě třetiny. Na okresní úrovni došlo v jednom případě dokonce k mírnému úbytku cizinců (jednalo se ale o region, kde je role zahraničních pracovníků dlouhodobě spíše okrajová – Rakovnicko). Dynamický růst v této dekádě na Plzeňsku se překvapivě tolik netýkal vlastní krajské metropole, nýbrž většiny ostatních okresů. Souvisel s velmi dobrou dopravní dostupností (vůči klíčovým exportním teritoriím) i dostatečnou nabídkou rozvojových ploch v nových průmyslových zónách. Zaměstnanost cizinců výrazně ovlivnil také rozvoj nových výrobních závodů automobilového průmyslu (Kvasiny, Nošovice). Tento faktor se projevil také v přeshraničním kontextu s negativním dopadem na zahraniční zaměstnanost v ostravské aglomeraci</w:t>
            </w:r>
            <w:r>
              <w:rPr>
                <w:rStyle w:val="Znakapoznpodarou"/>
                <w:rFonts w:cs="Arial"/>
                <w:color w:val="0D0D0D" w:themeColor="text1" w:themeTint="F2"/>
                <w:spacing w:val="-4"/>
              </w:rPr>
              <w:footnoteReference w:id="37"/>
            </w:r>
            <w:r>
              <w:rPr>
                <w:rFonts w:cs="Arial"/>
                <w:spacing w:val="-1"/>
                <w:szCs w:val="20"/>
              </w:rPr>
              <w:t>.</w:t>
            </w:r>
          </w:p>
        </w:tc>
      </w:tr>
      <w:tr w:rsidR="00F36104" w:rsidRPr="00CD2028" w14:paraId="21AD436F" w14:textId="77777777" w:rsidTr="006F66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9"/>
        </w:trPr>
        <w:tc>
          <w:tcPr>
            <w:tcW w:w="1977" w:type="dxa"/>
            <w:tcBorders>
              <w:top w:val="nil"/>
              <w:left w:val="nil"/>
              <w:bottom w:val="nil"/>
              <w:right w:val="nil"/>
            </w:tcBorders>
          </w:tcPr>
          <w:p w14:paraId="11ADA69A" w14:textId="77777777" w:rsidR="00F36104" w:rsidRPr="00106639" w:rsidRDefault="00F36104" w:rsidP="00F36104">
            <w:pPr>
              <w:pStyle w:val="Marginlie"/>
            </w:pPr>
          </w:p>
        </w:tc>
        <w:tc>
          <w:tcPr>
            <w:tcW w:w="277" w:type="dxa"/>
            <w:tcBorders>
              <w:top w:val="nil"/>
              <w:left w:val="nil"/>
              <w:bottom w:val="nil"/>
              <w:right w:val="nil"/>
            </w:tcBorders>
          </w:tcPr>
          <w:p w14:paraId="4DDD0B4E" w14:textId="77777777" w:rsidR="00F36104" w:rsidRPr="005E4483" w:rsidRDefault="00F36104" w:rsidP="00F36104">
            <w:pPr>
              <w:pStyle w:val="Textpoznpodarou"/>
              <w:jc w:val="both"/>
              <w:rPr>
                <w:spacing w:val="-4"/>
              </w:rPr>
            </w:pPr>
          </w:p>
        </w:tc>
        <w:tc>
          <w:tcPr>
            <w:tcW w:w="7395" w:type="dxa"/>
            <w:tcBorders>
              <w:top w:val="nil"/>
              <w:left w:val="nil"/>
              <w:bottom w:val="nil"/>
              <w:right w:val="nil"/>
            </w:tcBorders>
          </w:tcPr>
          <w:p w14:paraId="3407935E" w14:textId="4E8C49FF" w:rsidR="00F36104" w:rsidRPr="00CD2028" w:rsidRDefault="00F36104" w:rsidP="00F36104">
            <w:pPr>
              <w:spacing w:after="0"/>
              <w:jc w:val="left"/>
              <w:rPr>
                <w:spacing w:val="-4"/>
              </w:rPr>
            </w:pPr>
            <w:r>
              <w:rPr>
                <w:b/>
              </w:rPr>
              <w:t>Graf č. 12</w:t>
            </w:r>
            <w:r w:rsidRPr="003601A5">
              <w:rPr>
                <w:b/>
              </w:rPr>
              <w:t xml:space="preserve">  </w:t>
            </w:r>
            <w:r>
              <w:rPr>
                <w:b/>
              </w:rPr>
              <w:t xml:space="preserve">Skladba cizinců z nejvýznamnějších zemí evidovaných na úřadech práce v ČR dle hlavních tříd zaměstnání </w:t>
            </w:r>
            <w:r w:rsidRPr="00037E40">
              <w:t>(</w:t>
            </w:r>
            <w:r>
              <w:t xml:space="preserve">k 31. 12. 2018, </w:t>
            </w:r>
            <w:r w:rsidRPr="00761DC0">
              <w:t>v</w:t>
            </w:r>
            <w:r>
              <w:t> %</w:t>
            </w:r>
            <w:r w:rsidRPr="004A3E80">
              <w:t>)</w:t>
            </w:r>
          </w:p>
        </w:tc>
      </w:tr>
      <w:tr w:rsidR="00F36104" w:rsidRPr="00CD2028" w14:paraId="30FC8AF1" w14:textId="77777777" w:rsidTr="006F66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9"/>
        </w:trPr>
        <w:tc>
          <w:tcPr>
            <w:tcW w:w="1977" w:type="dxa"/>
            <w:tcBorders>
              <w:top w:val="nil"/>
              <w:left w:val="nil"/>
              <w:bottom w:val="nil"/>
              <w:right w:val="nil"/>
            </w:tcBorders>
          </w:tcPr>
          <w:p w14:paraId="0F00BB57" w14:textId="77777777" w:rsidR="00F36104" w:rsidRPr="00106639" w:rsidRDefault="00F36104" w:rsidP="00F36104">
            <w:pPr>
              <w:pStyle w:val="Marginlie"/>
            </w:pPr>
          </w:p>
        </w:tc>
        <w:tc>
          <w:tcPr>
            <w:tcW w:w="277" w:type="dxa"/>
            <w:tcBorders>
              <w:top w:val="nil"/>
              <w:left w:val="nil"/>
              <w:bottom w:val="nil"/>
              <w:right w:val="nil"/>
            </w:tcBorders>
          </w:tcPr>
          <w:p w14:paraId="2A1FAD0F" w14:textId="77777777" w:rsidR="00F36104" w:rsidRPr="005E4483" w:rsidRDefault="00F36104" w:rsidP="00F36104">
            <w:pPr>
              <w:pStyle w:val="Textpoznpodarou"/>
              <w:jc w:val="both"/>
              <w:rPr>
                <w:spacing w:val="-4"/>
              </w:rPr>
            </w:pPr>
          </w:p>
        </w:tc>
        <w:tc>
          <w:tcPr>
            <w:tcW w:w="7395" w:type="dxa"/>
            <w:tcBorders>
              <w:top w:val="nil"/>
              <w:left w:val="nil"/>
              <w:bottom w:val="nil"/>
              <w:right w:val="nil"/>
            </w:tcBorders>
          </w:tcPr>
          <w:p w14:paraId="1C3ED19F" w14:textId="77777777" w:rsidR="00F36104" w:rsidRPr="00CD2028" w:rsidRDefault="00F36104" w:rsidP="00F36104">
            <w:pPr>
              <w:spacing w:after="40"/>
              <w:rPr>
                <w:spacing w:val="-4"/>
              </w:rPr>
            </w:pPr>
            <w:r w:rsidRPr="0041290F">
              <w:rPr>
                <w:noProof/>
                <w:spacing w:val="-4"/>
              </w:rPr>
              <w:drawing>
                <wp:inline distT="0" distB="0" distL="0" distR="0" wp14:anchorId="7CCB020D" wp14:editId="131AAA15">
                  <wp:extent cx="4585921" cy="3518388"/>
                  <wp:effectExtent l="0" t="0" r="5129" b="0"/>
                  <wp:docPr id="28" name="Graf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tc>
      </w:tr>
      <w:tr w:rsidR="00F36104" w:rsidRPr="00FC0E7D" w14:paraId="402C6101" w14:textId="77777777" w:rsidTr="006F66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9"/>
        </w:trPr>
        <w:tc>
          <w:tcPr>
            <w:tcW w:w="1977" w:type="dxa"/>
            <w:tcBorders>
              <w:top w:val="nil"/>
              <w:left w:val="nil"/>
              <w:bottom w:val="nil"/>
              <w:right w:val="nil"/>
            </w:tcBorders>
          </w:tcPr>
          <w:p w14:paraId="636B12A5" w14:textId="77777777" w:rsidR="00F36104" w:rsidRPr="00106639" w:rsidRDefault="00F36104" w:rsidP="00F36104">
            <w:pPr>
              <w:pStyle w:val="Marginlie"/>
            </w:pPr>
          </w:p>
        </w:tc>
        <w:tc>
          <w:tcPr>
            <w:tcW w:w="277" w:type="dxa"/>
            <w:tcBorders>
              <w:top w:val="nil"/>
              <w:left w:val="nil"/>
              <w:bottom w:val="nil"/>
              <w:right w:val="nil"/>
            </w:tcBorders>
          </w:tcPr>
          <w:p w14:paraId="1DB72EA4" w14:textId="77777777" w:rsidR="00F36104" w:rsidRPr="005E4483" w:rsidRDefault="00F36104" w:rsidP="00F36104">
            <w:pPr>
              <w:pStyle w:val="Textpoznpodarou"/>
              <w:jc w:val="both"/>
              <w:rPr>
                <w:spacing w:val="-4"/>
              </w:rPr>
            </w:pPr>
          </w:p>
        </w:tc>
        <w:tc>
          <w:tcPr>
            <w:tcW w:w="7395" w:type="dxa"/>
            <w:tcBorders>
              <w:top w:val="nil"/>
              <w:left w:val="nil"/>
              <w:bottom w:val="nil"/>
              <w:right w:val="nil"/>
            </w:tcBorders>
          </w:tcPr>
          <w:p w14:paraId="1785163C" w14:textId="3B06C651" w:rsidR="00F36104" w:rsidRPr="0003506E" w:rsidRDefault="00F36104" w:rsidP="00F36104">
            <w:pPr>
              <w:spacing w:after="0"/>
              <w:rPr>
                <w:rFonts w:cs="Arial"/>
                <w:spacing w:val="-1"/>
                <w:sz w:val="14"/>
                <w:szCs w:val="14"/>
              </w:rPr>
            </w:pPr>
            <w:r w:rsidRPr="0003506E">
              <w:rPr>
                <w:rFonts w:cs="Arial"/>
                <w:spacing w:val="-1"/>
                <w:sz w:val="14"/>
                <w:szCs w:val="14"/>
              </w:rPr>
              <w:t>Vysvětlivka ke zkratkám zemí: ESP</w:t>
            </w:r>
            <w:r>
              <w:rPr>
                <w:rFonts w:cs="Arial"/>
                <w:spacing w:val="-1"/>
                <w:sz w:val="14"/>
                <w:szCs w:val="14"/>
              </w:rPr>
              <w:t xml:space="preserve"> </w:t>
            </w:r>
            <w:r w:rsidRPr="0003506E">
              <w:rPr>
                <w:rFonts w:cs="Arial"/>
                <w:spacing w:val="-1"/>
                <w:sz w:val="14"/>
                <w:szCs w:val="14"/>
              </w:rPr>
              <w:t>=</w:t>
            </w:r>
            <w:r>
              <w:rPr>
                <w:rFonts w:cs="Arial"/>
                <w:spacing w:val="-1"/>
                <w:sz w:val="14"/>
                <w:szCs w:val="14"/>
              </w:rPr>
              <w:t xml:space="preserve"> </w:t>
            </w:r>
            <w:r w:rsidRPr="0003506E">
              <w:rPr>
                <w:rFonts w:cs="Arial"/>
                <w:spacing w:val="-1"/>
                <w:sz w:val="14"/>
                <w:szCs w:val="14"/>
              </w:rPr>
              <w:t>Španělsko, PRT</w:t>
            </w:r>
            <w:r>
              <w:rPr>
                <w:rFonts w:cs="Arial"/>
                <w:spacing w:val="-1"/>
                <w:sz w:val="14"/>
                <w:szCs w:val="14"/>
              </w:rPr>
              <w:t xml:space="preserve"> </w:t>
            </w:r>
            <w:r w:rsidRPr="0003506E">
              <w:rPr>
                <w:rFonts w:cs="Arial"/>
                <w:spacing w:val="-1"/>
                <w:sz w:val="14"/>
                <w:szCs w:val="14"/>
              </w:rPr>
              <w:t>=</w:t>
            </w:r>
            <w:r>
              <w:rPr>
                <w:rFonts w:cs="Arial"/>
                <w:spacing w:val="-1"/>
                <w:sz w:val="14"/>
                <w:szCs w:val="14"/>
              </w:rPr>
              <w:t xml:space="preserve"> </w:t>
            </w:r>
            <w:r w:rsidRPr="0003506E">
              <w:rPr>
                <w:rFonts w:cs="Arial"/>
                <w:spacing w:val="-1"/>
                <w:sz w:val="14"/>
                <w:szCs w:val="14"/>
              </w:rPr>
              <w:t>Portugalsko, GRC</w:t>
            </w:r>
            <w:r>
              <w:rPr>
                <w:rFonts w:cs="Arial"/>
                <w:spacing w:val="-1"/>
                <w:sz w:val="14"/>
                <w:szCs w:val="14"/>
              </w:rPr>
              <w:t xml:space="preserve"> </w:t>
            </w:r>
            <w:r w:rsidRPr="0003506E">
              <w:rPr>
                <w:rFonts w:cs="Arial"/>
                <w:spacing w:val="-1"/>
                <w:sz w:val="14"/>
                <w:szCs w:val="14"/>
              </w:rPr>
              <w:t>=</w:t>
            </w:r>
            <w:r>
              <w:rPr>
                <w:rFonts w:cs="Arial"/>
                <w:spacing w:val="-1"/>
                <w:sz w:val="14"/>
                <w:szCs w:val="14"/>
              </w:rPr>
              <w:t xml:space="preserve"> </w:t>
            </w:r>
            <w:r w:rsidRPr="0003506E">
              <w:rPr>
                <w:rFonts w:cs="Arial"/>
                <w:spacing w:val="-1"/>
                <w:sz w:val="14"/>
                <w:szCs w:val="14"/>
              </w:rPr>
              <w:t>Řecko, TUR</w:t>
            </w:r>
            <w:r>
              <w:rPr>
                <w:rFonts w:cs="Arial"/>
                <w:spacing w:val="-1"/>
                <w:sz w:val="14"/>
                <w:szCs w:val="14"/>
              </w:rPr>
              <w:t xml:space="preserve"> </w:t>
            </w:r>
            <w:r w:rsidRPr="0003506E">
              <w:rPr>
                <w:rFonts w:cs="Arial"/>
                <w:spacing w:val="-1"/>
                <w:sz w:val="14"/>
                <w:szCs w:val="14"/>
              </w:rPr>
              <w:t>=</w:t>
            </w:r>
            <w:r>
              <w:rPr>
                <w:rFonts w:cs="Arial"/>
                <w:spacing w:val="-1"/>
                <w:sz w:val="14"/>
                <w:szCs w:val="14"/>
              </w:rPr>
              <w:t xml:space="preserve"> </w:t>
            </w:r>
            <w:r w:rsidRPr="0003506E">
              <w:rPr>
                <w:rFonts w:cs="Arial"/>
                <w:spacing w:val="-1"/>
                <w:sz w:val="14"/>
                <w:szCs w:val="14"/>
              </w:rPr>
              <w:t>Turecko, BIH</w:t>
            </w:r>
            <w:r>
              <w:rPr>
                <w:rFonts w:cs="Arial"/>
                <w:spacing w:val="-1"/>
                <w:sz w:val="14"/>
                <w:szCs w:val="14"/>
              </w:rPr>
              <w:t xml:space="preserve"> </w:t>
            </w:r>
            <w:r w:rsidRPr="0003506E">
              <w:rPr>
                <w:rFonts w:cs="Arial"/>
                <w:spacing w:val="-1"/>
                <w:sz w:val="14"/>
                <w:szCs w:val="14"/>
              </w:rPr>
              <w:t>=</w:t>
            </w:r>
            <w:r>
              <w:rPr>
                <w:rFonts w:cs="Arial"/>
                <w:spacing w:val="-1"/>
                <w:sz w:val="14"/>
                <w:szCs w:val="14"/>
              </w:rPr>
              <w:t xml:space="preserve"> </w:t>
            </w:r>
            <w:r w:rsidRPr="0003506E">
              <w:rPr>
                <w:rFonts w:cs="Arial"/>
                <w:spacing w:val="-1"/>
                <w:sz w:val="14"/>
                <w:szCs w:val="14"/>
              </w:rPr>
              <w:t>Bosna a Hercegovina, MKD</w:t>
            </w:r>
            <w:r>
              <w:rPr>
                <w:rFonts w:cs="Arial"/>
                <w:spacing w:val="-1"/>
                <w:sz w:val="14"/>
                <w:szCs w:val="14"/>
              </w:rPr>
              <w:t xml:space="preserve"> </w:t>
            </w:r>
            <w:r w:rsidRPr="0003506E">
              <w:rPr>
                <w:rFonts w:cs="Arial"/>
                <w:spacing w:val="-1"/>
                <w:sz w:val="14"/>
                <w:szCs w:val="14"/>
              </w:rPr>
              <w:t>=</w:t>
            </w:r>
            <w:r>
              <w:rPr>
                <w:rFonts w:cs="Arial"/>
                <w:spacing w:val="-1"/>
                <w:sz w:val="14"/>
                <w:szCs w:val="14"/>
              </w:rPr>
              <w:t xml:space="preserve"> </w:t>
            </w:r>
            <w:r w:rsidRPr="0003506E">
              <w:rPr>
                <w:rFonts w:cs="Arial"/>
                <w:spacing w:val="-1"/>
                <w:sz w:val="14"/>
                <w:szCs w:val="14"/>
              </w:rPr>
              <w:t>Severní Makedonie.</w:t>
            </w:r>
          </w:p>
          <w:p w14:paraId="67B2A84D" w14:textId="2DBADFB5" w:rsidR="00F36104" w:rsidRPr="0003506E" w:rsidRDefault="00F36104" w:rsidP="00F36104">
            <w:pPr>
              <w:spacing w:after="0"/>
              <w:rPr>
                <w:rFonts w:cs="Arial"/>
                <w:spacing w:val="-1"/>
                <w:sz w:val="14"/>
                <w:szCs w:val="14"/>
              </w:rPr>
            </w:pPr>
            <w:r w:rsidRPr="0003506E">
              <w:rPr>
                <w:rFonts w:cs="Arial"/>
                <w:spacing w:val="-1"/>
                <w:sz w:val="14"/>
                <w:szCs w:val="14"/>
              </w:rPr>
              <w:t>Popis tříd klasifikace zaměstnání (ISCO): 1</w:t>
            </w:r>
            <w:r>
              <w:rPr>
                <w:rFonts w:cs="Arial"/>
                <w:spacing w:val="-1"/>
                <w:sz w:val="14"/>
                <w:szCs w:val="14"/>
              </w:rPr>
              <w:t>–</w:t>
            </w:r>
            <w:r w:rsidRPr="0003506E">
              <w:rPr>
                <w:rFonts w:cs="Arial"/>
                <w:spacing w:val="-1"/>
                <w:sz w:val="14"/>
                <w:szCs w:val="14"/>
              </w:rPr>
              <w:t>2</w:t>
            </w:r>
            <w:r>
              <w:rPr>
                <w:rFonts w:cs="Arial"/>
                <w:spacing w:val="-1"/>
                <w:sz w:val="14"/>
                <w:szCs w:val="14"/>
              </w:rPr>
              <w:t> </w:t>
            </w:r>
            <w:r w:rsidRPr="0003506E">
              <w:rPr>
                <w:rFonts w:cs="Arial"/>
                <w:spacing w:val="-1"/>
                <w:sz w:val="14"/>
                <w:szCs w:val="14"/>
              </w:rPr>
              <w:t>–</w:t>
            </w:r>
            <w:r>
              <w:rPr>
                <w:rFonts w:cs="Arial"/>
                <w:spacing w:val="-1"/>
                <w:sz w:val="14"/>
                <w:szCs w:val="14"/>
              </w:rPr>
              <w:t> </w:t>
            </w:r>
            <w:r w:rsidRPr="0003506E">
              <w:rPr>
                <w:rFonts w:cs="Arial"/>
                <w:spacing w:val="-1"/>
                <w:sz w:val="14"/>
                <w:szCs w:val="14"/>
              </w:rPr>
              <w:t>Vedoucí a</w:t>
            </w:r>
            <w:r>
              <w:rPr>
                <w:rFonts w:cs="Arial"/>
                <w:spacing w:val="-1"/>
                <w:sz w:val="14"/>
                <w:szCs w:val="14"/>
              </w:rPr>
              <w:t> </w:t>
            </w:r>
            <w:r w:rsidRPr="0003506E">
              <w:rPr>
                <w:rFonts w:cs="Arial"/>
                <w:spacing w:val="-1"/>
                <w:sz w:val="14"/>
                <w:szCs w:val="14"/>
              </w:rPr>
              <w:t>řídící pracovníci, Specialisté, 3</w:t>
            </w:r>
            <w:r>
              <w:rPr>
                <w:rFonts w:cs="Arial"/>
                <w:spacing w:val="-1"/>
                <w:sz w:val="14"/>
                <w:szCs w:val="14"/>
              </w:rPr>
              <w:t> </w:t>
            </w:r>
            <w:r w:rsidRPr="0003506E">
              <w:rPr>
                <w:rFonts w:cs="Arial"/>
                <w:spacing w:val="-1"/>
                <w:sz w:val="14"/>
                <w:szCs w:val="14"/>
              </w:rPr>
              <w:t>–</w:t>
            </w:r>
            <w:r>
              <w:rPr>
                <w:rFonts w:cs="Arial"/>
                <w:spacing w:val="-1"/>
                <w:sz w:val="14"/>
                <w:szCs w:val="14"/>
              </w:rPr>
              <w:t> </w:t>
            </w:r>
            <w:r w:rsidRPr="0003506E">
              <w:rPr>
                <w:rFonts w:cs="Arial"/>
                <w:spacing w:val="-1"/>
                <w:sz w:val="14"/>
                <w:szCs w:val="14"/>
              </w:rPr>
              <w:t>Techničtí a</w:t>
            </w:r>
            <w:r>
              <w:rPr>
                <w:rFonts w:cs="Arial"/>
                <w:spacing w:val="-1"/>
                <w:sz w:val="14"/>
                <w:szCs w:val="14"/>
              </w:rPr>
              <w:t> </w:t>
            </w:r>
            <w:r w:rsidRPr="0003506E">
              <w:rPr>
                <w:rFonts w:cs="Arial"/>
                <w:spacing w:val="-1"/>
                <w:sz w:val="14"/>
                <w:szCs w:val="14"/>
              </w:rPr>
              <w:t>odborní pracovníci, 4</w:t>
            </w:r>
            <w:r>
              <w:rPr>
                <w:rFonts w:cs="Arial"/>
                <w:spacing w:val="-1"/>
                <w:sz w:val="14"/>
                <w:szCs w:val="14"/>
              </w:rPr>
              <w:t> </w:t>
            </w:r>
            <w:r w:rsidRPr="0003506E">
              <w:rPr>
                <w:rFonts w:cs="Arial"/>
                <w:spacing w:val="-1"/>
                <w:sz w:val="14"/>
                <w:szCs w:val="14"/>
              </w:rPr>
              <w:t>–</w:t>
            </w:r>
            <w:r>
              <w:rPr>
                <w:rFonts w:cs="Arial"/>
                <w:spacing w:val="-1"/>
                <w:sz w:val="14"/>
                <w:szCs w:val="14"/>
              </w:rPr>
              <w:t> </w:t>
            </w:r>
            <w:r w:rsidRPr="0003506E">
              <w:rPr>
                <w:rFonts w:cs="Arial"/>
                <w:spacing w:val="-1"/>
                <w:sz w:val="14"/>
                <w:szCs w:val="14"/>
              </w:rPr>
              <w:t>Úředníci, 5</w:t>
            </w:r>
            <w:r>
              <w:rPr>
                <w:rFonts w:cs="Arial"/>
                <w:spacing w:val="-1"/>
                <w:sz w:val="14"/>
                <w:szCs w:val="14"/>
              </w:rPr>
              <w:t> </w:t>
            </w:r>
            <w:r w:rsidRPr="0003506E">
              <w:rPr>
                <w:rFonts w:cs="Arial"/>
                <w:spacing w:val="-1"/>
                <w:sz w:val="14"/>
                <w:szCs w:val="14"/>
              </w:rPr>
              <w:t>–</w:t>
            </w:r>
            <w:r>
              <w:rPr>
                <w:rFonts w:cs="Arial"/>
                <w:spacing w:val="-1"/>
                <w:sz w:val="14"/>
                <w:szCs w:val="14"/>
              </w:rPr>
              <w:t> </w:t>
            </w:r>
            <w:r w:rsidRPr="0003506E">
              <w:rPr>
                <w:rFonts w:cs="Arial"/>
                <w:spacing w:val="-1"/>
                <w:sz w:val="14"/>
                <w:szCs w:val="14"/>
              </w:rPr>
              <w:t>Pracovníci ve službách a prodeji, 6</w:t>
            </w:r>
            <w:r>
              <w:rPr>
                <w:rFonts w:cs="Arial"/>
                <w:spacing w:val="-1"/>
                <w:sz w:val="14"/>
                <w:szCs w:val="14"/>
              </w:rPr>
              <w:t> – </w:t>
            </w:r>
            <w:r w:rsidRPr="0003506E">
              <w:rPr>
                <w:rFonts w:cs="Arial"/>
                <w:spacing w:val="-1"/>
                <w:sz w:val="14"/>
                <w:szCs w:val="14"/>
              </w:rPr>
              <w:t>Kvalifikovaní pracovníci v zemědělství, lesnictví a rybářství, 7</w:t>
            </w:r>
            <w:r>
              <w:rPr>
                <w:rFonts w:cs="Arial"/>
                <w:spacing w:val="-1"/>
                <w:sz w:val="14"/>
                <w:szCs w:val="14"/>
              </w:rPr>
              <w:t> </w:t>
            </w:r>
            <w:r w:rsidRPr="0003506E">
              <w:rPr>
                <w:rFonts w:cs="Arial"/>
                <w:spacing w:val="-1"/>
                <w:sz w:val="14"/>
                <w:szCs w:val="14"/>
              </w:rPr>
              <w:t>–</w:t>
            </w:r>
            <w:r>
              <w:rPr>
                <w:rFonts w:cs="Arial"/>
                <w:spacing w:val="-1"/>
                <w:sz w:val="14"/>
                <w:szCs w:val="14"/>
              </w:rPr>
              <w:t> </w:t>
            </w:r>
            <w:r w:rsidRPr="0003506E">
              <w:rPr>
                <w:rFonts w:cs="Arial"/>
                <w:spacing w:val="-1"/>
                <w:sz w:val="14"/>
                <w:szCs w:val="14"/>
              </w:rPr>
              <w:t>Řemeslníci a</w:t>
            </w:r>
            <w:r>
              <w:rPr>
                <w:rFonts w:cs="Arial"/>
                <w:spacing w:val="-1"/>
                <w:sz w:val="14"/>
                <w:szCs w:val="14"/>
              </w:rPr>
              <w:t> </w:t>
            </w:r>
            <w:r w:rsidRPr="0003506E">
              <w:rPr>
                <w:rFonts w:cs="Arial"/>
                <w:spacing w:val="-1"/>
                <w:sz w:val="14"/>
                <w:szCs w:val="14"/>
              </w:rPr>
              <w:t>opraváři, 8</w:t>
            </w:r>
            <w:r>
              <w:rPr>
                <w:rFonts w:cs="Arial"/>
                <w:spacing w:val="-1"/>
                <w:sz w:val="14"/>
                <w:szCs w:val="14"/>
              </w:rPr>
              <w:t> </w:t>
            </w:r>
            <w:r w:rsidRPr="0003506E">
              <w:rPr>
                <w:rFonts w:cs="Arial"/>
                <w:spacing w:val="-1"/>
                <w:sz w:val="14"/>
                <w:szCs w:val="14"/>
              </w:rPr>
              <w:t>–</w:t>
            </w:r>
            <w:r>
              <w:rPr>
                <w:rFonts w:cs="Arial"/>
                <w:spacing w:val="-1"/>
                <w:sz w:val="14"/>
                <w:szCs w:val="14"/>
              </w:rPr>
              <w:t> </w:t>
            </w:r>
            <w:r w:rsidRPr="0003506E">
              <w:rPr>
                <w:rFonts w:cs="Arial"/>
                <w:spacing w:val="-1"/>
                <w:sz w:val="14"/>
                <w:szCs w:val="14"/>
              </w:rPr>
              <w:t>Obsluha strojů a</w:t>
            </w:r>
            <w:r>
              <w:rPr>
                <w:rFonts w:cs="Arial"/>
                <w:spacing w:val="-1"/>
                <w:sz w:val="14"/>
                <w:szCs w:val="14"/>
              </w:rPr>
              <w:t> </w:t>
            </w:r>
            <w:r w:rsidRPr="0003506E">
              <w:rPr>
                <w:rFonts w:cs="Arial"/>
                <w:spacing w:val="-1"/>
                <w:sz w:val="14"/>
                <w:szCs w:val="14"/>
              </w:rPr>
              <w:t>zařízení, montéři, 9</w:t>
            </w:r>
            <w:r>
              <w:rPr>
                <w:rFonts w:cs="Arial"/>
                <w:spacing w:val="-1"/>
                <w:sz w:val="14"/>
                <w:szCs w:val="14"/>
              </w:rPr>
              <w:t> </w:t>
            </w:r>
            <w:r w:rsidRPr="0003506E">
              <w:rPr>
                <w:rFonts w:cs="Arial"/>
                <w:spacing w:val="-1"/>
                <w:sz w:val="14"/>
                <w:szCs w:val="14"/>
              </w:rPr>
              <w:t>–</w:t>
            </w:r>
            <w:r>
              <w:rPr>
                <w:rFonts w:cs="Arial"/>
                <w:spacing w:val="-1"/>
                <w:sz w:val="14"/>
                <w:szCs w:val="14"/>
              </w:rPr>
              <w:t> </w:t>
            </w:r>
            <w:r w:rsidRPr="0003506E">
              <w:rPr>
                <w:rFonts w:cs="Arial"/>
                <w:spacing w:val="-1"/>
                <w:sz w:val="14"/>
                <w:szCs w:val="14"/>
              </w:rPr>
              <w:t>Pomocní a</w:t>
            </w:r>
            <w:r>
              <w:rPr>
                <w:rFonts w:cs="Arial"/>
                <w:spacing w:val="-1"/>
                <w:sz w:val="14"/>
                <w:szCs w:val="14"/>
              </w:rPr>
              <w:t> </w:t>
            </w:r>
            <w:r w:rsidRPr="0003506E">
              <w:rPr>
                <w:rFonts w:cs="Arial"/>
                <w:spacing w:val="-1"/>
                <w:sz w:val="14"/>
                <w:szCs w:val="14"/>
              </w:rPr>
              <w:t>nekvalifikovaní pracovníci.</w:t>
            </w:r>
          </w:p>
          <w:p w14:paraId="4BEF8E21" w14:textId="77777777" w:rsidR="00F36104" w:rsidRPr="00FC0E7D" w:rsidRDefault="00F36104" w:rsidP="00F36104">
            <w:pPr>
              <w:spacing w:after="220"/>
              <w:rPr>
                <w:rFonts w:cs="Arial"/>
                <w:sz w:val="14"/>
                <w:szCs w:val="14"/>
              </w:rPr>
            </w:pPr>
            <w:r w:rsidRPr="00444E6D">
              <w:rPr>
                <w:rFonts w:cs="Arial"/>
                <w:sz w:val="14"/>
                <w:szCs w:val="14"/>
              </w:rPr>
              <w:t xml:space="preserve">Zdroj: </w:t>
            </w:r>
            <w:r>
              <w:rPr>
                <w:rFonts w:cs="Arial"/>
                <w:sz w:val="14"/>
                <w:szCs w:val="14"/>
              </w:rPr>
              <w:t>MPSV</w:t>
            </w:r>
          </w:p>
        </w:tc>
      </w:tr>
      <w:tr w:rsidR="00F36104" w:rsidRPr="003D7E4E" w14:paraId="6A89135B" w14:textId="77777777" w:rsidTr="006F66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9"/>
        </w:trPr>
        <w:tc>
          <w:tcPr>
            <w:tcW w:w="1977" w:type="dxa"/>
            <w:tcBorders>
              <w:top w:val="nil"/>
              <w:left w:val="nil"/>
              <w:bottom w:val="nil"/>
              <w:right w:val="nil"/>
            </w:tcBorders>
          </w:tcPr>
          <w:p w14:paraId="36DDDEE3" w14:textId="1C7E8A39" w:rsidR="00F36104" w:rsidRDefault="00F36104" w:rsidP="00F36104">
            <w:pPr>
              <w:pStyle w:val="Marginlie"/>
            </w:pPr>
            <w:r>
              <w:t>Nejvyšší podíl občanů EU ze všech cizinců v zaměstnanecké pozici zaznamenaly příhraniční okresy s Polskem a Slovenskem.</w:t>
            </w:r>
          </w:p>
        </w:tc>
        <w:tc>
          <w:tcPr>
            <w:tcW w:w="277" w:type="dxa"/>
            <w:tcBorders>
              <w:top w:val="nil"/>
              <w:left w:val="nil"/>
              <w:bottom w:val="nil"/>
              <w:right w:val="nil"/>
            </w:tcBorders>
          </w:tcPr>
          <w:p w14:paraId="78BC7889" w14:textId="77777777" w:rsidR="00F36104" w:rsidRPr="005E4483" w:rsidRDefault="00F36104" w:rsidP="00F36104">
            <w:pPr>
              <w:pStyle w:val="Textpoznpodarou"/>
              <w:jc w:val="both"/>
              <w:rPr>
                <w:spacing w:val="-4"/>
              </w:rPr>
            </w:pPr>
          </w:p>
        </w:tc>
        <w:tc>
          <w:tcPr>
            <w:tcW w:w="7395" w:type="dxa"/>
            <w:tcBorders>
              <w:top w:val="nil"/>
              <w:left w:val="nil"/>
              <w:bottom w:val="nil"/>
              <w:right w:val="nil"/>
            </w:tcBorders>
          </w:tcPr>
          <w:p w14:paraId="71692A4F" w14:textId="16A598FC" w:rsidR="00F36104" w:rsidRDefault="00F36104" w:rsidP="00F36104">
            <w:pPr>
              <w:spacing w:after="220"/>
              <w:rPr>
                <w:rFonts w:cs="Arial"/>
                <w:spacing w:val="-1"/>
                <w:szCs w:val="20"/>
              </w:rPr>
            </w:pPr>
            <w:r>
              <w:rPr>
                <w:spacing w:val="-4"/>
              </w:rPr>
              <w:t>Zahraniční pracovníci, kteří jsou občany států EU a mohou těžit z výhody volného pohybu na unijním pracovním trhu</w:t>
            </w:r>
            <w:r>
              <w:rPr>
                <w:rStyle w:val="Znakapoznpodarou"/>
                <w:rFonts w:cs="Arial"/>
                <w:color w:val="0D0D0D" w:themeColor="text1" w:themeTint="F2"/>
                <w:spacing w:val="-4"/>
              </w:rPr>
              <w:footnoteReference w:id="38"/>
            </w:r>
            <w:r>
              <w:rPr>
                <w:spacing w:val="-4"/>
              </w:rPr>
              <w:t xml:space="preserve">, tvořili loni v ČR bezmála dvě třetiny všech cizinců v pozici zaměstnanců. Jejich zastoupení se v posledních třech letech snižovalo (v roce 2015 čítalo 76 %). Podíl těchto pracovníků byl na konci roku 2018 mezi muži o 8 p. b. vyšší než u žen. Osoby s právem volného pohybu na unijním pracovním trhu dosahovaly nejsilnějšího zastoupení ze všech cizinců v zaměstnanecké pozici v příhraničních okresech s Polskem a se Slovenskem (s maximem v okrese Karviná – 95 %). Významnou roli měly také v některých územích se silnou koncentrací průmyslu (Mladoboleslavsko, severní </w:t>
            </w:r>
            <w:r w:rsidRPr="00920304">
              <w:rPr>
                <w:spacing w:val="-4"/>
              </w:rPr>
              <w:t>P</w:t>
            </w:r>
            <w:r>
              <w:rPr>
                <w:spacing w:val="-4"/>
              </w:rPr>
              <w:t xml:space="preserve">lzeňsko). Pracovníci mimo země EU pak mezi </w:t>
            </w:r>
            <w:r>
              <w:rPr>
                <w:spacing w:val="-4"/>
              </w:rPr>
              <w:lastRenderedPageBreak/>
              <w:t>zaměstnanými cizinci převládali jen v sedmi okresech (výrazně pouze na Českolipsku, kde dosahovali vysokých 70 %).</w:t>
            </w:r>
          </w:p>
        </w:tc>
      </w:tr>
      <w:tr w:rsidR="00F36104" w:rsidRPr="003D7E4E" w14:paraId="7CCA9595" w14:textId="77777777" w:rsidTr="006F66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9"/>
        </w:trPr>
        <w:tc>
          <w:tcPr>
            <w:tcW w:w="1977" w:type="dxa"/>
            <w:tcBorders>
              <w:top w:val="nil"/>
              <w:left w:val="nil"/>
              <w:bottom w:val="nil"/>
              <w:right w:val="nil"/>
            </w:tcBorders>
          </w:tcPr>
          <w:p w14:paraId="27B8713D" w14:textId="77777777" w:rsidR="00F36104" w:rsidRDefault="00F36104" w:rsidP="00F36104">
            <w:pPr>
              <w:pStyle w:val="Marginlie"/>
            </w:pPr>
            <w:r>
              <w:lastRenderedPageBreak/>
              <w:t>Podíl podnikajících mezi všemi pracujícími cizinci byl loni nejnižší v éře samostatné ČR,…</w:t>
            </w:r>
          </w:p>
          <w:p w14:paraId="69DCE934" w14:textId="77777777" w:rsidR="00F36104" w:rsidRDefault="00F36104" w:rsidP="00F36104">
            <w:pPr>
              <w:pStyle w:val="Marginlie"/>
            </w:pPr>
          </w:p>
          <w:p w14:paraId="5AEB6AFF" w14:textId="77777777" w:rsidR="00F36104" w:rsidRDefault="00F36104" w:rsidP="00F36104">
            <w:pPr>
              <w:pStyle w:val="Marginlie"/>
            </w:pPr>
          </w:p>
          <w:p w14:paraId="1474A330" w14:textId="77777777" w:rsidR="00F36104" w:rsidRDefault="00F36104" w:rsidP="00F36104">
            <w:pPr>
              <w:pStyle w:val="Marginlie"/>
            </w:pPr>
          </w:p>
          <w:p w14:paraId="59A52727" w14:textId="69EAC7F9" w:rsidR="00F36104" w:rsidRDefault="00F36104" w:rsidP="00F36104">
            <w:pPr>
              <w:pStyle w:val="Marginlie"/>
            </w:pPr>
            <w:r>
              <w:t>… v Ústeckém a Karlovarském kraji dosahoval trojnásobné výše než ve středních a východních Čechách.</w:t>
            </w:r>
          </w:p>
        </w:tc>
        <w:tc>
          <w:tcPr>
            <w:tcW w:w="277" w:type="dxa"/>
            <w:tcBorders>
              <w:top w:val="nil"/>
              <w:left w:val="nil"/>
              <w:bottom w:val="nil"/>
              <w:right w:val="nil"/>
            </w:tcBorders>
          </w:tcPr>
          <w:p w14:paraId="2FDBDE48" w14:textId="77777777" w:rsidR="00F36104" w:rsidRPr="005E4483" w:rsidRDefault="00F36104" w:rsidP="00F36104">
            <w:pPr>
              <w:pStyle w:val="Textpoznpodarou"/>
              <w:jc w:val="both"/>
              <w:rPr>
                <w:spacing w:val="-4"/>
              </w:rPr>
            </w:pPr>
          </w:p>
        </w:tc>
        <w:tc>
          <w:tcPr>
            <w:tcW w:w="7395" w:type="dxa"/>
            <w:tcBorders>
              <w:top w:val="nil"/>
              <w:left w:val="nil"/>
              <w:bottom w:val="nil"/>
              <w:right w:val="nil"/>
            </w:tcBorders>
          </w:tcPr>
          <w:p w14:paraId="20EB4534" w14:textId="21A92CD9" w:rsidR="00F36104" w:rsidRDefault="00F36104" w:rsidP="00F36104">
            <w:pPr>
              <w:spacing w:after="220"/>
              <w:rPr>
                <w:spacing w:val="-4"/>
              </w:rPr>
            </w:pPr>
            <w:r>
              <w:rPr>
                <w:spacing w:val="-4"/>
              </w:rPr>
              <w:t>Počet cizinců, kteří jsou v ČR držiteli platného živnostenského oprávnění, nedoznal v posledním desetiletí výraznějších změn. Na celkovém počtu pracujících cizinců se tyto osoby na sklonku roku 2018 podílely 13,6 %, což bylo nejméně za dobu existence samostatné ČR. Vedle výrazně dominantní skupiny Vietnamců vykazují vyšší míru podnikatelské aktivity v Česku rovněž občané starších členských států EU (24 %) či pracovníci z vyspělých mimoevropských ekonomik – USA (43 %), Kanady či Austrálie. Mírně vyšší sklon k podnikání měli i Rusové (18 %), Ukrajinci (15 %) i občané většiny balkánských států. Podnikající cizinci tvořili nejvyšší podíl na všech pracujících cizincích v Ústeckém (30 %) a Karlovarském kraji (28 %). Na Děčínsku, jako jediném okresu ČR, dokonce početně převyšovali cizince v zaměstnaneckém postavení. Naopak v regionech se silnou koncentrací automobilového průmyslu představovali pouhý zlomek všech pracujících cizinců (do 5 %). Územní rozložení podnikajících cizinců se do značné míry kryje s distribucí občanů Vietnamu.</w:t>
            </w:r>
          </w:p>
        </w:tc>
      </w:tr>
    </w:tbl>
    <w:p w14:paraId="02D97017" w14:textId="1D38E992" w:rsidR="009A4F91" w:rsidRDefault="009A4F91" w:rsidP="009E674A">
      <w:pPr>
        <w:spacing w:after="0" w:line="240" w:lineRule="auto"/>
        <w:rPr>
          <w:noProof/>
          <w:szCs w:val="20"/>
        </w:rPr>
      </w:pPr>
    </w:p>
    <w:p w14:paraId="2B654462" w14:textId="0FDE933D" w:rsidR="00F36104" w:rsidRDefault="00F36104" w:rsidP="009E674A">
      <w:pPr>
        <w:spacing w:after="0" w:line="240" w:lineRule="auto"/>
        <w:rPr>
          <w:noProof/>
          <w:szCs w:val="20"/>
        </w:rPr>
      </w:pPr>
    </w:p>
    <w:p w14:paraId="68C338F0" w14:textId="5621479F" w:rsidR="00F36104" w:rsidRDefault="00F36104" w:rsidP="009E674A">
      <w:pPr>
        <w:spacing w:after="0" w:line="240" w:lineRule="auto"/>
        <w:rPr>
          <w:noProof/>
          <w:szCs w:val="20"/>
        </w:rPr>
      </w:pPr>
    </w:p>
    <w:p w14:paraId="55C5784D" w14:textId="790CCA56" w:rsidR="00F36104" w:rsidRDefault="00F36104" w:rsidP="009E674A">
      <w:pPr>
        <w:spacing w:after="0" w:line="240" w:lineRule="auto"/>
        <w:rPr>
          <w:noProof/>
          <w:szCs w:val="20"/>
        </w:rPr>
      </w:pPr>
    </w:p>
    <w:p w14:paraId="7ABB413F" w14:textId="54A4654F" w:rsidR="00F36104" w:rsidRDefault="00F36104" w:rsidP="009E674A">
      <w:pPr>
        <w:spacing w:after="0" w:line="240" w:lineRule="auto"/>
        <w:rPr>
          <w:noProof/>
          <w:szCs w:val="20"/>
        </w:rPr>
      </w:pPr>
    </w:p>
    <w:p w14:paraId="41CF5C12" w14:textId="0F69147F" w:rsidR="00F36104" w:rsidRDefault="00F36104" w:rsidP="009E674A">
      <w:pPr>
        <w:spacing w:after="0" w:line="240" w:lineRule="auto"/>
        <w:rPr>
          <w:noProof/>
          <w:szCs w:val="20"/>
        </w:rPr>
      </w:pPr>
    </w:p>
    <w:p w14:paraId="4D440C6D" w14:textId="36947457" w:rsidR="00F36104" w:rsidRDefault="00F36104" w:rsidP="009E674A">
      <w:pPr>
        <w:spacing w:after="0" w:line="240" w:lineRule="auto"/>
        <w:rPr>
          <w:noProof/>
          <w:szCs w:val="20"/>
        </w:rPr>
      </w:pPr>
    </w:p>
    <w:p w14:paraId="784004F8" w14:textId="4360FA02" w:rsidR="00F36104" w:rsidRDefault="00F36104" w:rsidP="009E674A">
      <w:pPr>
        <w:spacing w:after="0" w:line="240" w:lineRule="auto"/>
        <w:rPr>
          <w:noProof/>
          <w:szCs w:val="20"/>
        </w:rPr>
      </w:pPr>
    </w:p>
    <w:p w14:paraId="7A63E77B" w14:textId="0FE3AFF2" w:rsidR="00F36104" w:rsidRDefault="00F36104" w:rsidP="009E674A">
      <w:pPr>
        <w:spacing w:after="0" w:line="240" w:lineRule="auto"/>
        <w:rPr>
          <w:noProof/>
          <w:szCs w:val="20"/>
        </w:rPr>
      </w:pPr>
    </w:p>
    <w:p w14:paraId="2CE197BB" w14:textId="762ED3A5" w:rsidR="00F36104" w:rsidRDefault="00F36104" w:rsidP="009E674A">
      <w:pPr>
        <w:spacing w:after="0" w:line="240" w:lineRule="auto"/>
        <w:rPr>
          <w:noProof/>
          <w:szCs w:val="20"/>
        </w:rPr>
      </w:pPr>
    </w:p>
    <w:p w14:paraId="7D7A462B" w14:textId="0C2AD114" w:rsidR="00F36104" w:rsidRDefault="00F36104" w:rsidP="009E674A">
      <w:pPr>
        <w:spacing w:after="0" w:line="240" w:lineRule="auto"/>
        <w:rPr>
          <w:noProof/>
          <w:szCs w:val="20"/>
        </w:rPr>
      </w:pPr>
    </w:p>
    <w:p w14:paraId="61A3AAC1" w14:textId="0997D81F" w:rsidR="00F36104" w:rsidRDefault="00F36104" w:rsidP="009E674A">
      <w:pPr>
        <w:spacing w:after="0" w:line="240" w:lineRule="auto"/>
        <w:rPr>
          <w:noProof/>
          <w:szCs w:val="20"/>
        </w:rPr>
      </w:pPr>
    </w:p>
    <w:p w14:paraId="214AD60F" w14:textId="41A835B0" w:rsidR="00F36104" w:rsidRDefault="00F36104" w:rsidP="009E674A">
      <w:pPr>
        <w:spacing w:after="0" w:line="240" w:lineRule="auto"/>
        <w:rPr>
          <w:noProof/>
          <w:szCs w:val="20"/>
        </w:rPr>
      </w:pPr>
    </w:p>
    <w:p w14:paraId="6D207F32" w14:textId="20597553" w:rsidR="00F36104" w:rsidRDefault="00F36104" w:rsidP="009E674A">
      <w:pPr>
        <w:spacing w:after="0" w:line="240" w:lineRule="auto"/>
        <w:rPr>
          <w:noProof/>
          <w:szCs w:val="20"/>
        </w:rPr>
      </w:pPr>
    </w:p>
    <w:p w14:paraId="22F6A8D3" w14:textId="2B00C62D" w:rsidR="00F36104" w:rsidRDefault="00F36104" w:rsidP="009E674A">
      <w:pPr>
        <w:spacing w:after="0" w:line="240" w:lineRule="auto"/>
        <w:rPr>
          <w:noProof/>
          <w:szCs w:val="20"/>
        </w:rPr>
      </w:pPr>
    </w:p>
    <w:p w14:paraId="57BF79BF" w14:textId="63D458E0" w:rsidR="00F36104" w:rsidRDefault="00F36104" w:rsidP="009E674A">
      <w:pPr>
        <w:spacing w:after="0" w:line="240" w:lineRule="auto"/>
        <w:rPr>
          <w:noProof/>
          <w:szCs w:val="20"/>
        </w:rPr>
      </w:pPr>
    </w:p>
    <w:p w14:paraId="646284A1" w14:textId="42E4DE1C" w:rsidR="00F36104" w:rsidRDefault="00F36104" w:rsidP="009E674A">
      <w:pPr>
        <w:spacing w:after="0" w:line="240" w:lineRule="auto"/>
        <w:rPr>
          <w:noProof/>
          <w:szCs w:val="20"/>
        </w:rPr>
      </w:pPr>
    </w:p>
    <w:p w14:paraId="6129A62C" w14:textId="60E08A0E" w:rsidR="00F36104" w:rsidRDefault="00F36104" w:rsidP="009E674A">
      <w:pPr>
        <w:spacing w:after="0" w:line="240" w:lineRule="auto"/>
        <w:rPr>
          <w:noProof/>
          <w:szCs w:val="20"/>
        </w:rPr>
      </w:pPr>
    </w:p>
    <w:p w14:paraId="211D1A19" w14:textId="73006A5E" w:rsidR="00F36104" w:rsidRDefault="00F36104" w:rsidP="009E674A">
      <w:pPr>
        <w:spacing w:after="0" w:line="240" w:lineRule="auto"/>
        <w:rPr>
          <w:noProof/>
          <w:szCs w:val="20"/>
        </w:rPr>
      </w:pPr>
    </w:p>
    <w:p w14:paraId="71FD8B63" w14:textId="1B5305EF" w:rsidR="00F36104" w:rsidRDefault="00F36104" w:rsidP="009E674A">
      <w:pPr>
        <w:spacing w:after="0" w:line="240" w:lineRule="auto"/>
        <w:rPr>
          <w:noProof/>
          <w:szCs w:val="20"/>
        </w:rPr>
      </w:pPr>
    </w:p>
    <w:p w14:paraId="5B1765C8" w14:textId="1851FAB7" w:rsidR="00F36104" w:rsidRDefault="00F36104" w:rsidP="009E674A">
      <w:pPr>
        <w:spacing w:after="0" w:line="240" w:lineRule="auto"/>
        <w:rPr>
          <w:noProof/>
          <w:szCs w:val="20"/>
        </w:rPr>
      </w:pPr>
    </w:p>
    <w:p w14:paraId="1C0C02BE" w14:textId="03258ACF" w:rsidR="00F36104" w:rsidRDefault="00F36104" w:rsidP="009E674A">
      <w:pPr>
        <w:spacing w:after="0" w:line="240" w:lineRule="auto"/>
        <w:rPr>
          <w:noProof/>
          <w:szCs w:val="20"/>
        </w:rPr>
      </w:pPr>
    </w:p>
    <w:p w14:paraId="524ADD5F" w14:textId="3F3F6893" w:rsidR="00F36104" w:rsidRDefault="00F36104" w:rsidP="009E674A">
      <w:pPr>
        <w:spacing w:after="0" w:line="240" w:lineRule="auto"/>
        <w:rPr>
          <w:noProof/>
          <w:szCs w:val="20"/>
        </w:rPr>
      </w:pPr>
    </w:p>
    <w:p w14:paraId="7E9BB6A6" w14:textId="1FE8EDFB" w:rsidR="00F36104" w:rsidRDefault="00F36104" w:rsidP="009E674A">
      <w:pPr>
        <w:spacing w:after="0" w:line="240" w:lineRule="auto"/>
        <w:rPr>
          <w:noProof/>
          <w:szCs w:val="20"/>
        </w:rPr>
      </w:pPr>
    </w:p>
    <w:p w14:paraId="45FE6D41" w14:textId="0775EC07" w:rsidR="00F36104" w:rsidRDefault="00F36104" w:rsidP="009E674A">
      <w:pPr>
        <w:spacing w:after="0" w:line="240" w:lineRule="auto"/>
        <w:rPr>
          <w:noProof/>
          <w:szCs w:val="20"/>
        </w:rPr>
      </w:pPr>
    </w:p>
    <w:p w14:paraId="51EC7AF8" w14:textId="697332FB" w:rsidR="00F36104" w:rsidRDefault="00F36104" w:rsidP="009E674A">
      <w:pPr>
        <w:spacing w:after="0" w:line="240" w:lineRule="auto"/>
        <w:rPr>
          <w:noProof/>
          <w:szCs w:val="20"/>
        </w:rPr>
      </w:pPr>
    </w:p>
    <w:p w14:paraId="0377C285" w14:textId="1F821B5B" w:rsidR="00F36104" w:rsidRDefault="00F36104" w:rsidP="009E674A">
      <w:pPr>
        <w:spacing w:after="0" w:line="240" w:lineRule="auto"/>
        <w:rPr>
          <w:noProof/>
          <w:szCs w:val="20"/>
        </w:rPr>
      </w:pPr>
    </w:p>
    <w:p w14:paraId="5D603C89" w14:textId="16D02D87" w:rsidR="00F36104" w:rsidRDefault="00F36104" w:rsidP="009E674A">
      <w:pPr>
        <w:spacing w:after="0" w:line="240" w:lineRule="auto"/>
        <w:rPr>
          <w:noProof/>
          <w:szCs w:val="20"/>
        </w:rPr>
      </w:pPr>
    </w:p>
    <w:p w14:paraId="4B6F58D4" w14:textId="67B4E809" w:rsidR="00F36104" w:rsidRDefault="00F36104" w:rsidP="009E674A">
      <w:pPr>
        <w:spacing w:after="0" w:line="240" w:lineRule="auto"/>
        <w:rPr>
          <w:noProof/>
          <w:szCs w:val="20"/>
        </w:rPr>
      </w:pPr>
    </w:p>
    <w:p w14:paraId="22368B85" w14:textId="2BC81F8E" w:rsidR="00F36104" w:rsidRDefault="00F36104" w:rsidP="009E674A">
      <w:pPr>
        <w:spacing w:after="0" w:line="240" w:lineRule="auto"/>
        <w:rPr>
          <w:noProof/>
          <w:szCs w:val="20"/>
        </w:rPr>
      </w:pPr>
    </w:p>
    <w:p w14:paraId="376F525E" w14:textId="38CED8DD" w:rsidR="00F36104" w:rsidRDefault="00F36104" w:rsidP="009E674A">
      <w:pPr>
        <w:spacing w:after="0" w:line="240" w:lineRule="auto"/>
        <w:rPr>
          <w:noProof/>
          <w:szCs w:val="20"/>
        </w:rPr>
      </w:pPr>
    </w:p>
    <w:p w14:paraId="726266C1" w14:textId="47D222C0" w:rsidR="00F36104" w:rsidRDefault="00F36104" w:rsidP="009E674A">
      <w:pPr>
        <w:spacing w:after="0" w:line="240" w:lineRule="auto"/>
        <w:rPr>
          <w:noProof/>
          <w:szCs w:val="20"/>
        </w:rPr>
      </w:pPr>
    </w:p>
    <w:p w14:paraId="638BF996" w14:textId="6E5C138C" w:rsidR="00F36104" w:rsidRDefault="00F36104" w:rsidP="009E674A">
      <w:pPr>
        <w:spacing w:after="0" w:line="240" w:lineRule="auto"/>
        <w:rPr>
          <w:noProof/>
          <w:szCs w:val="20"/>
        </w:rPr>
      </w:pPr>
    </w:p>
    <w:p w14:paraId="5D66D3FA" w14:textId="75935CD8" w:rsidR="00F36104" w:rsidRDefault="00F36104" w:rsidP="009E674A">
      <w:pPr>
        <w:spacing w:after="0" w:line="240" w:lineRule="auto"/>
        <w:rPr>
          <w:noProof/>
          <w:szCs w:val="20"/>
        </w:rPr>
      </w:pPr>
    </w:p>
    <w:p w14:paraId="315DB3D2" w14:textId="1DBDD70D" w:rsidR="00F36104" w:rsidRDefault="00F36104" w:rsidP="009E674A">
      <w:pPr>
        <w:spacing w:after="0" w:line="240" w:lineRule="auto"/>
        <w:rPr>
          <w:noProof/>
          <w:szCs w:val="20"/>
        </w:rPr>
      </w:pPr>
    </w:p>
    <w:p w14:paraId="16EFC1BA" w14:textId="4FEB0B04" w:rsidR="00F36104" w:rsidRDefault="00F36104" w:rsidP="009E674A">
      <w:pPr>
        <w:spacing w:after="0" w:line="240" w:lineRule="auto"/>
        <w:rPr>
          <w:noProof/>
          <w:szCs w:val="20"/>
        </w:rPr>
      </w:pPr>
    </w:p>
    <w:p w14:paraId="071271EC" w14:textId="48987A7C" w:rsidR="00F36104" w:rsidRDefault="00F36104" w:rsidP="009E674A">
      <w:pPr>
        <w:spacing w:after="0" w:line="240" w:lineRule="auto"/>
        <w:rPr>
          <w:noProof/>
          <w:szCs w:val="20"/>
        </w:rPr>
      </w:pPr>
    </w:p>
    <w:p w14:paraId="1C9FC456" w14:textId="37288962" w:rsidR="00F36104" w:rsidRDefault="00F36104" w:rsidP="009E674A">
      <w:pPr>
        <w:spacing w:after="0" w:line="240" w:lineRule="auto"/>
        <w:rPr>
          <w:noProof/>
          <w:szCs w:val="20"/>
        </w:rPr>
      </w:pPr>
    </w:p>
    <w:p w14:paraId="292B362A" w14:textId="6FFC77F5" w:rsidR="00F36104" w:rsidRDefault="00F36104" w:rsidP="009E674A">
      <w:pPr>
        <w:spacing w:after="0" w:line="240" w:lineRule="auto"/>
        <w:rPr>
          <w:noProof/>
          <w:szCs w:val="20"/>
        </w:rPr>
      </w:pPr>
    </w:p>
    <w:p w14:paraId="4392DDE7" w14:textId="4A33FBF9" w:rsidR="00F36104" w:rsidRDefault="00F36104" w:rsidP="009E674A">
      <w:pPr>
        <w:spacing w:after="0" w:line="240" w:lineRule="auto"/>
        <w:rPr>
          <w:noProof/>
          <w:szCs w:val="20"/>
        </w:rPr>
      </w:pPr>
    </w:p>
    <w:p w14:paraId="47565C85" w14:textId="77777777" w:rsidR="00F36104" w:rsidRDefault="00F36104" w:rsidP="009E674A">
      <w:pPr>
        <w:spacing w:after="0" w:line="240" w:lineRule="auto"/>
        <w:rPr>
          <w:noProof/>
          <w:szCs w:val="20"/>
        </w:rPr>
      </w:pPr>
    </w:p>
    <w:p w14:paraId="6AADD8AD" w14:textId="77777777" w:rsidR="0037785F" w:rsidRDefault="0037785F" w:rsidP="009E674A">
      <w:pPr>
        <w:spacing w:after="0" w:line="240" w:lineRule="auto"/>
        <w:rPr>
          <w:noProof/>
          <w:szCs w:val="20"/>
        </w:rPr>
      </w:pPr>
    </w:p>
    <w:p w14:paraId="2A5E5924" w14:textId="77777777" w:rsidR="009E674A" w:rsidRDefault="009A4F91" w:rsidP="0037785F">
      <w:pPr>
        <w:spacing w:after="100" w:line="240" w:lineRule="auto"/>
        <w:rPr>
          <w:szCs w:val="20"/>
        </w:rPr>
      </w:pPr>
      <w:r>
        <w:rPr>
          <w:noProof/>
          <w:szCs w:val="20"/>
        </w:rPr>
        <w:lastRenderedPageBreak/>
        <w:t xml:space="preserve"> Kartogramy </w:t>
      </w:r>
      <w:r w:rsidR="00BA35F3">
        <w:rPr>
          <w:noProof/>
          <w:szCs w:val="20"/>
        </w:rPr>
        <w:t>č. </w:t>
      </w:r>
      <w:r w:rsidR="00BC7833">
        <w:rPr>
          <w:noProof/>
          <w:szCs w:val="20"/>
        </w:rPr>
        <w:t>1 </w:t>
      </w:r>
      <w:r>
        <w:rPr>
          <w:noProof/>
          <w:szCs w:val="20"/>
        </w:rPr>
        <w:t>až 4</w:t>
      </w:r>
    </w:p>
    <w:p w14:paraId="008E80F7" w14:textId="77777777" w:rsidR="009E674A" w:rsidRDefault="009A4F91" w:rsidP="009E674A">
      <w:pPr>
        <w:spacing w:after="0" w:line="240" w:lineRule="auto"/>
        <w:rPr>
          <w:sz w:val="16"/>
          <w:szCs w:val="16"/>
        </w:rPr>
      </w:pPr>
      <w:r>
        <w:rPr>
          <w:noProof/>
          <w:szCs w:val="20"/>
        </w:rPr>
        <w:drawing>
          <wp:inline distT="0" distB="0" distL="0" distR="0" wp14:anchorId="00FB96C3" wp14:editId="4ED373FB">
            <wp:extent cx="6112800" cy="4320000"/>
            <wp:effectExtent l="0" t="0" r="2540" b="4445"/>
            <wp:docPr id="61" name="Obrázek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izinci-okresy-2018-1.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112800" cy="4320000"/>
                    </a:xfrm>
                    <a:prstGeom prst="rect">
                      <a:avLst/>
                    </a:prstGeom>
                  </pic:spPr>
                </pic:pic>
              </a:graphicData>
            </a:graphic>
          </wp:inline>
        </w:drawing>
      </w:r>
    </w:p>
    <w:p w14:paraId="75F630C2" w14:textId="77777777" w:rsidR="009A4F91" w:rsidRPr="0037785F" w:rsidRDefault="009A4F91" w:rsidP="009E674A">
      <w:pPr>
        <w:spacing w:after="0" w:line="240" w:lineRule="auto"/>
        <w:rPr>
          <w:sz w:val="16"/>
          <w:szCs w:val="16"/>
        </w:rPr>
      </w:pPr>
    </w:p>
    <w:p w14:paraId="00B9890E" w14:textId="77777777" w:rsidR="009E674A" w:rsidRPr="005D13C2" w:rsidRDefault="009E674A" w:rsidP="009E674A">
      <w:pPr>
        <w:spacing w:after="0" w:line="240" w:lineRule="auto"/>
        <w:rPr>
          <w:szCs w:val="20"/>
        </w:rPr>
      </w:pPr>
      <w:r>
        <w:rPr>
          <w:noProof/>
          <w:sz w:val="4"/>
          <w:szCs w:val="4"/>
        </w:rPr>
        <w:drawing>
          <wp:inline distT="0" distB="0" distL="0" distR="0" wp14:anchorId="2115466B" wp14:editId="483B3AD5">
            <wp:extent cx="6112800" cy="4320000"/>
            <wp:effectExtent l="0" t="0" r="2540" b="4445"/>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Cizinci-okresy-2018-2.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112800" cy="4320000"/>
                    </a:xfrm>
                    <a:prstGeom prst="rect">
                      <a:avLst/>
                    </a:prstGeom>
                  </pic:spPr>
                </pic:pic>
              </a:graphicData>
            </a:graphic>
          </wp:inline>
        </w:drawing>
      </w:r>
    </w:p>
    <w:p w14:paraId="68CB7F6D" w14:textId="77777777" w:rsidR="009E674A" w:rsidRDefault="009E674A" w:rsidP="009E674A">
      <w:pPr>
        <w:spacing w:after="0" w:line="240" w:lineRule="auto"/>
        <w:rPr>
          <w:szCs w:val="20"/>
        </w:rPr>
      </w:pPr>
      <w:r>
        <w:rPr>
          <w:noProof/>
          <w:szCs w:val="20"/>
        </w:rPr>
        <w:lastRenderedPageBreak/>
        <w:drawing>
          <wp:inline distT="0" distB="0" distL="0" distR="0" wp14:anchorId="234CCD8E" wp14:editId="547681B3">
            <wp:extent cx="6314400" cy="4464000"/>
            <wp:effectExtent l="0" t="0" r="0" b="0"/>
            <wp:docPr id="31" name="Obráze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izinci-okresy-2018-3.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314400" cy="4464000"/>
                    </a:xfrm>
                    <a:prstGeom prst="rect">
                      <a:avLst/>
                    </a:prstGeom>
                  </pic:spPr>
                </pic:pic>
              </a:graphicData>
            </a:graphic>
          </wp:inline>
        </w:drawing>
      </w:r>
    </w:p>
    <w:p w14:paraId="61E47248" w14:textId="77777777" w:rsidR="009E674A" w:rsidRPr="00867030" w:rsidRDefault="009E674A" w:rsidP="009E674A">
      <w:pPr>
        <w:spacing w:after="0" w:line="240" w:lineRule="auto"/>
        <w:rPr>
          <w:sz w:val="16"/>
          <w:szCs w:val="16"/>
        </w:rPr>
      </w:pPr>
    </w:p>
    <w:p w14:paraId="140118DD" w14:textId="77777777" w:rsidR="009E674A" w:rsidRDefault="009E674A" w:rsidP="009E674A">
      <w:pPr>
        <w:spacing w:after="0" w:line="240" w:lineRule="auto"/>
        <w:rPr>
          <w:szCs w:val="20"/>
        </w:rPr>
      </w:pPr>
      <w:r>
        <w:rPr>
          <w:noProof/>
          <w:szCs w:val="20"/>
        </w:rPr>
        <w:drawing>
          <wp:inline distT="0" distB="0" distL="0" distR="0" wp14:anchorId="615A83F2" wp14:editId="6884C589">
            <wp:extent cx="6120130" cy="4326890"/>
            <wp:effectExtent l="0" t="0" r="0" b="0"/>
            <wp:docPr id="32" name="Obráze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izinci-okresy-2018-4.jpg"/>
                    <pic:cNvPicPr/>
                  </pic:nvPicPr>
                  <pic:blipFill>
                    <a:blip r:embed="rId25">
                      <a:extLst>
                        <a:ext uri="{28A0092B-C50C-407E-A947-70E740481C1C}">
                          <a14:useLocalDpi xmlns:a14="http://schemas.microsoft.com/office/drawing/2010/main" val="0"/>
                        </a:ext>
                      </a:extLst>
                    </a:blip>
                    <a:stretch>
                      <a:fillRect/>
                    </a:stretch>
                  </pic:blipFill>
                  <pic:spPr>
                    <a:xfrm>
                      <a:off x="0" y="0"/>
                      <a:ext cx="6120130" cy="4326890"/>
                    </a:xfrm>
                    <a:prstGeom prst="rect">
                      <a:avLst/>
                    </a:prstGeom>
                  </pic:spPr>
                </pic:pic>
              </a:graphicData>
            </a:graphic>
          </wp:inline>
        </w:drawing>
      </w:r>
    </w:p>
    <w:p w14:paraId="09238E8F" w14:textId="77777777" w:rsidR="009E674A" w:rsidRPr="002A5986" w:rsidRDefault="009E674A" w:rsidP="009E674A">
      <w:pPr>
        <w:spacing w:after="0"/>
        <w:rPr>
          <w:rFonts w:eastAsia="MS Gothic"/>
          <w:b/>
          <w:bCs/>
          <w:color w:val="71818C"/>
          <w:sz w:val="28"/>
          <w:szCs w:val="28"/>
        </w:rPr>
      </w:pPr>
      <w:r>
        <w:rPr>
          <w:rFonts w:eastAsia="MS Gothic"/>
          <w:b/>
          <w:bCs/>
          <w:color w:val="71818C"/>
          <w:sz w:val="28"/>
          <w:szCs w:val="28"/>
        </w:rPr>
        <w:lastRenderedPageBreak/>
        <w:t>1.5. Kvalitativní aspekty zaměstnanosti</w:t>
      </w:r>
    </w:p>
    <w:tbl>
      <w:tblPr>
        <w:tblW w:w="9644" w:type="dxa"/>
        <w:tblInd w:w="-15" w:type="dxa"/>
        <w:tblLayout w:type="fixed"/>
        <w:tblCellMar>
          <w:left w:w="0" w:type="dxa"/>
          <w:right w:w="0" w:type="dxa"/>
        </w:tblCellMar>
        <w:tblLook w:val="00A0" w:firstRow="1" w:lastRow="0" w:firstColumn="1" w:lastColumn="0" w:noHBand="0" w:noVBand="0"/>
      </w:tblPr>
      <w:tblGrid>
        <w:gridCol w:w="1976"/>
        <w:gridCol w:w="277"/>
        <w:gridCol w:w="7391"/>
      </w:tblGrid>
      <w:tr w:rsidR="009E674A" w:rsidRPr="001C7003" w14:paraId="6CDB1383" w14:textId="77777777" w:rsidTr="006F668F">
        <w:trPr>
          <w:trHeight w:val="429"/>
        </w:trPr>
        <w:tc>
          <w:tcPr>
            <w:tcW w:w="1976" w:type="dxa"/>
          </w:tcPr>
          <w:p w14:paraId="3420C73C" w14:textId="77777777" w:rsidR="009E674A" w:rsidRPr="00502D3B" w:rsidRDefault="009E674A" w:rsidP="006F668F">
            <w:pPr>
              <w:pStyle w:val="Marginlie"/>
              <w:rPr>
                <w:spacing w:val="0"/>
              </w:rPr>
            </w:pPr>
            <w:r w:rsidRPr="00502D3B">
              <w:rPr>
                <w:spacing w:val="0"/>
              </w:rPr>
              <w:t xml:space="preserve">Velmi výhodné postavení zaměstnanců na trhu práce </w:t>
            </w:r>
            <w:r w:rsidR="00BC7833" w:rsidRPr="00502D3B">
              <w:rPr>
                <w:spacing w:val="0"/>
              </w:rPr>
              <w:t>v</w:t>
            </w:r>
            <w:r w:rsidR="00BC7833">
              <w:rPr>
                <w:spacing w:val="0"/>
              </w:rPr>
              <w:t> </w:t>
            </w:r>
            <w:r w:rsidRPr="00502D3B">
              <w:rPr>
                <w:spacing w:val="0"/>
              </w:rPr>
              <w:t xml:space="preserve">éře konjunktury </w:t>
            </w:r>
            <w:r>
              <w:rPr>
                <w:spacing w:val="0"/>
              </w:rPr>
              <w:t>rozšiřuje</w:t>
            </w:r>
            <w:r w:rsidR="00590429">
              <w:rPr>
                <w:spacing w:val="0"/>
              </w:rPr>
              <w:t xml:space="preserve"> možnosti pro užívání</w:t>
            </w:r>
            <w:r>
              <w:rPr>
                <w:spacing w:val="0"/>
              </w:rPr>
              <w:t xml:space="preserve"> zaměstnaneckých benefitů</w:t>
            </w:r>
            <w:r w:rsidR="00590429">
              <w:rPr>
                <w:spacing w:val="0"/>
              </w:rPr>
              <w:t xml:space="preserve"> i</w:t>
            </w:r>
            <w:r w:rsidR="00590429">
              <w:t> </w:t>
            </w:r>
            <w:r w:rsidR="00BC7833">
              <w:rPr>
                <w:spacing w:val="0"/>
              </w:rPr>
              <w:t>k </w:t>
            </w:r>
            <w:r w:rsidR="00590429">
              <w:rPr>
                <w:spacing w:val="0"/>
              </w:rPr>
              <w:t>růstu celkové kvality pracovních podmínek</w:t>
            </w:r>
            <w:r w:rsidRPr="00502D3B">
              <w:rPr>
                <w:spacing w:val="0"/>
              </w:rPr>
              <w:t>.</w:t>
            </w:r>
          </w:p>
        </w:tc>
        <w:tc>
          <w:tcPr>
            <w:tcW w:w="277" w:type="dxa"/>
          </w:tcPr>
          <w:p w14:paraId="688826FB" w14:textId="77777777" w:rsidR="009E674A" w:rsidRPr="00D455DF" w:rsidRDefault="009E674A" w:rsidP="006F668F">
            <w:pPr>
              <w:pStyle w:val="Textpoznpodarou"/>
              <w:jc w:val="both"/>
              <w:rPr>
                <w:spacing w:val="-4"/>
              </w:rPr>
            </w:pPr>
          </w:p>
        </w:tc>
        <w:tc>
          <w:tcPr>
            <w:tcW w:w="7391" w:type="dxa"/>
          </w:tcPr>
          <w:p w14:paraId="4A4C5163" w14:textId="6F067FC9" w:rsidR="009E674A" w:rsidRPr="00D455DF" w:rsidRDefault="009E674A" w:rsidP="006F668F">
            <w:pPr>
              <w:spacing w:after="220"/>
              <w:rPr>
                <w:spacing w:val="-3"/>
              </w:rPr>
            </w:pPr>
            <w:r>
              <w:rPr>
                <w:spacing w:val="-3"/>
              </w:rPr>
              <w:t>Prohlubující se nerovnováha na trhu práce, jež se projevovala velmi nízkou mírou nezaměstnanosti (blížící se ke svým přirozeným limitům) doprovázenou rekordním počtem neobsazených volných míst</w:t>
            </w:r>
            <w:r w:rsidR="00590429">
              <w:rPr>
                <w:spacing w:val="-3"/>
              </w:rPr>
              <w:t>,</w:t>
            </w:r>
            <w:r>
              <w:rPr>
                <w:spacing w:val="-3"/>
              </w:rPr>
              <w:t xml:space="preserve"> vedla v roce 2018 k akceleraci mzdového růstu. Kromě toho byli patrně zaměstnavatelé</w:t>
            </w:r>
            <w:r w:rsidR="00B336D6">
              <w:rPr>
                <w:spacing w:val="-3"/>
              </w:rPr>
              <w:t>,</w:t>
            </w:r>
            <w:r>
              <w:rPr>
                <w:spacing w:val="-3"/>
              </w:rPr>
              <w:t xml:space="preserve"> čelící narůstajícím obtížím při získávání nových pracovníků</w:t>
            </w:r>
            <w:r w:rsidR="00B336D6">
              <w:rPr>
                <w:spacing w:val="-3"/>
              </w:rPr>
              <w:t>,</w:t>
            </w:r>
            <w:r>
              <w:rPr>
                <w:spacing w:val="-3"/>
              </w:rPr>
              <w:t xml:space="preserve"> nuceni k využití stále širšího spektra zaměstnaneckých benefitů v peněžní </w:t>
            </w:r>
            <w:r w:rsidR="00BC7833">
              <w:rPr>
                <w:spacing w:val="-3"/>
              </w:rPr>
              <w:t>i </w:t>
            </w:r>
            <w:r>
              <w:rPr>
                <w:spacing w:val="-3"/>
              </w:rPr>
              <w:t>naturální formě</w:t>
            </w:r>
            <w:r>
              <w:rPr>
                <w:rStyle w:val="Znakapoznpodarou"/>
                <w:rFonts w:cs="Arial"/>
                <w:color w:val="0D0D0D" w:themeColor="text1" w:themeTint="F2"/>
                <w:spacing w:val="-4"/>
              </w:rPr>
              <w:footnoteReference w:id="39"/>
            </w:r>
            <w:r>
              <w:rPr>
                <w:spacing w:val="-3"/>
              </w:rPr>
              <w:t xml:space="preserve">. </w:t>
            </w:r>
            <w:r w:rsidR="00B336D6">
              <w:rPr>
                <w:spacing w:val="-3"/>
              </w:rPr>
              <w:t xml:space="preserve">Jako </w:t>
            </w:r>
            <w:r>
              <w:rPr>
                <w:spacing w:val="-3"/>
              </w:rPr>
              <w:t xml:space="preserve">benefity v širším slova smyslu lze chápat </w:t>
            </w:r>
            <w:r w:rsidR="00BC7833">
              <w:rPr>
                <w:spacing w:val="-3"/>
              </w:rPr>
              <w:t>i </w:t>
            </w:r>
            <w:r>
              <w:rPr>
                <w:spacing w:val="-3"/>
              </w:rPr>
              <w:t>různé flexibilní formy pracovní</w:t>
            </w:r>
            <w:r w:rsidR="00590429">
              <w:rPr>
                <w:spacing w:val="-3"/>
              </w:rPr>
              <w:t>ch</w:t>
            </w:r>
            <w:r>
              <w:rPr>
                <w:spacing w:val="-3"/>
              </w:rPr>
              <w:t xml:space="preserve"> úvazků, které vycház</w:t>
            </w:r>
            <w:r w:rsidR="00B336D6">
              <w:rPr>
                <w:spacing w:val="-3"/>
              </w:rPr>
              <w:t>ej</w:t>
            </w:r>
            <w:r>
              <w:rPr>
                <w:spacing w:val="-3"/>
              </w:rPr>
              <w:t>í vstříc potřebám specifických skupin zaměstnanců (např</w:t>
            </w:r>
            <w:r w:rsidR="00590429">
              <w:rPr>
                <w:spacing w:val="-3"/>
              </w:rPr>
              <w:t>.</w:t>
            </w:r>
            <w:r w:rsidR="00B336D6">
              <w:rPr>
                <w:spacing w:val="-3"/>
              </w:rPr>
              <w:t> </w:t>
            </w:r>
            <w:r w:rsidR="00590429">
              <w:rPr>
                <w:spacing w:val="-3"/>
              </w:rPr>
              <w:t>ženám na rodičovské dovolené</w:t>
            </w:r>
            <w:r>
              <w:rPr>
                <w:spacing w:val="-3"/>
              </w:rPr>
              <w:t xml:space="preserve">). Z výhodného postavení v době vrcholící konjunktury ale mohou profitovat </w:t>
            </w:r>
            <w:r w:rsidR="00BC7833">
              <w:rPr>
                <w:spacing w:val="-3"/>
              </w:rPr>
              <w:t>i </w:t>
            </w:r>
            <w:r>
              <w:rPr>
                <w:spacing w:val="-3"/>
              </w:rPr>
              <w:t>širší skupiny zaměstnaných osob (např.</w:t>
            </w:r>
            <w:r w:rsidR="00B336D6">
              <w:rPr>
                <w:spacing w:val="-3"/>
              </w:rPr>
              <w:t> </w:t>
            </w:r>
            <w:r>
              <w:rPr>
                <w:spacing w:val="-3"/>
              </w:rPr>
              <w:t>poklesem výskytu prekérních forem pracovních úvazků).</w:t>
            </w:r>
          </w:p>
        </w:tc>
      </w:tr>
      <w:tr w:rsidR="009E674A" w:rsidRPr="001C7003" w14:paraId="61D8DBAD" w14:textId="77777777" w:rsidTr="006F668F">
        <w:trPr>
          <w:trHeight w:val="429"/>
        </w:trPr>
        <w:tc>
          <w:tcPr>
            <w:tcW w:w="1976" w:type="dxa"/>
          </w:tcPr>
          <w:p w14:paraId="2B886C8C" w14:textId="61D696EE" w:rsidR="009E674A" w:rsidRDefault="009E674A" w:rsidP="006F668F">
            <w:pPr>
              <w:pStyle w:val="Marginlie"/>
            </w:pPr>
            <w:r>
              <w:t>Četnost flexibilních forem pracovních úvazků v poslední dekádě v ČR mírně</w:t>
            </w:r>
            <w:r w:rsidR="00B336D6">
              <w:t>,</w:t>
            </w:r>
            <w:r>
              <w:t xml:space="preserve"> ale plynule rostla.</w:t>
            </w:r>
          </w:p>
          <w:p w14:paraId="2BB8F653" w14:textId="77777777" w:rsidR="009E674A" w:rsidRDefault="009E674A" w:rsidP="006F668F">
            <w:pPr>
              <w:pStyle w:val="Marginlie"/>
            </w:pPr>
          </w:p>
          <w:p w14:paraId="71CEA238" w14:textId="77777777" w:rsidR="009E674A" w:rsidRDefault="009E674A" w:rsidP="006F668F">
            <w:pPr>
              <w:pStyle w:val="Marginlie"/>
            </w:pPr>
          </w:p>
          <w:p w14:paraId="1F3236E8" w14:textId="77777777" w:rsidR="009E674A" w:rsidRDefault="009E674A" w:rsidP="006F668F">
            <w:pPr>
              <w:pStyle w:val="Marginlie"/>
            </w:pPr>
          </w:p>
          <w:p w14:paraId="64711FCC" w14:textId="77777777" w:rsidR="009E674A" w:rsidRDefault="009E674A" w:rsidP="006F668F">
            <w:pPr>
              <w:pStyle w:val="Marginlie"/>
            </w:pPr>
          </w:p>
          <w:p w14:paraId="62DDB3D1" w14:textId="77777777" w:rsidR="009E674A" w:rsidRPr="00D455DF" w:rsidRDefault="009E674A" w:rsidP="006F668F">
            <w:pPr>
              <w:pStyle w:val="Marginlie"/>
            </w:pPr>
            <w:r>
              <w:t>Zkrácené úvazky využívají nejvíce osoby do 2</w:t>
            </w:r>
            <w:r w:rsidR="00D82A1E">
              <w:t>5 </w:t>
            </w:r>
            <w:r>
              <w:t xml:space="preserve">let, ženy s dětmi předškolního věku </w:t>
            </w:r>
            <w:r w:rsidR="00BC7833">
              <w:t>i </w:t>
            </w:r>
            <w:r>
              <w:t>pracující senioři.</w:t>
            </w:r>
          </w:p>
        </w:tc>
        <w:tc>
          <w:tcPr>
            <w:tcW w:w="277" w:type="dxa"/>
          </w:tcPr>
          <w:p w14:paraId="6E48498A" w14:textId="77777777" w:rsidR="009E674A" w:rsidRPr="00D455DF" w:rsidRDefault="009E674A" w:rsidP="006F668F">
            <w:pPr>
              <w:pStyle w:val="Textpoznpodarou"/>
              <w:jc w:val="both"/>
              <w:rPr>
                <w:spacing w:val="-4"/>
              </w:rPr>
            </w:pPr>
          </w:p>
        </w:tc>
        <w:tc>
          <w:tcPr>
            <w:tcW w:w="7391" w:type="dxa"/>
          </w:tcPr>
          <w:p w14:paraId="663A338F" w14:textId="71C3F573" w:rsidR="009E674A" w:rsidRPr="00D455DF" w:rsidRDefault="009E674A" w:rsidP="006F668F">
            <w:pPr>
              <w:spacing w:after="220"/>
              <w:rPr>
                <w:spacing w:val="-3"/>
              </w:rPr>
            </w:pPr>
            <w:r>
              <w:rPr>
                <w:spacing w:val="-3"/>
              </w:rPr>
              <w:t xml:space="preserve">Četnost využívání flexibilních forem pracovních úvazků </w:t>
            </w:r>
            <w:r w:rsidR="00BC7833">
              <w:rPr>
                <w:spacing w:val="-3"/>
              </w:rPr>
              <w:t>v </w:t>
            </w:r>
            <w:r>
              <w:rPr>
                <w:spacing w:val="-3"/>
              </w:rPr>
              <w:t>tuzemsku, která patří ve srovnání se státy</w:t>
            </w:r>
            <w:r w:rsidR="00B336D6">
              <w:rPr>
                <w:spacing w:val="-3"/>
              </w:rPr>
              <w:t> </w:t>
            </w:r>
            <w:r>
              <w:rPr>
                <w:spacing w:val="-3"/>
              </w:rPr>
              <w:t xml:space="preserve">EU tradičně k výrazně podprůměrným, se v poslední dekádě mírně zvyšovala. Růst byl spíše plynulého charakteru, náznaky jeho zrychlování lze v současném konjunkturním období pozorovat jen </w:t>
            </w:r>
            <w:r w:rsidR="00BC7833">
              <w:rPr>
                <w:spacing w:val="-3"/>
              </w:rPr>
              <w:t>u </w:t>
            </w:r>
            <w:r>
              <w:rPr>
                <w:spacing w:val="-3"/>
              </w:rPr>
              <w:t xml:space="preserve">práce na zkrácený úvazek (zejména </w:t>
            </w:r>
            <w:r w:rsidR="00BC7833">
              <w:rPr>
                <w:spacing w:val="-3"/>
              </w:rPr>
              <w:t>u </w:t>
            </w:r>
            <w:r>
              <w:rPr>
                <w:spacing w:val="-3"/>
              </w:rPr>
              <w:t>žen s dětmi předškolního věku). Zkrácený úvazek využívalo loni 7,5</w:t>
            </w:r>
            <w:r w:rsidR="006454CC">
              <w:rPr>
                <w:spacing w:val="-3"/>
              </w:rPr>
              <w:t> %</w:t>
            </w:r>
            <w:r>
              <w:rPr>
                <w:spacing w:val="-3"/>
              </w:rPr>
              <w:t xml:space="preserve"> zam</w:t>
            </w:r>
            <w:r w:rsidR="00590429">
              <w:rPr>
                <w:spacing w:val="-3"/>
              </w:rPr>
              <w:t xml:space="preserve">ěstnanců, </w:t>
            </w:r>
            <w:r w:rsidR="00BC7833">
              <w:rPr>
                <w:spacing w:val="-3"/>
              </w:rPr>
              <w:t>o </w:t>
            </w:r>
            <w:r w:rsidR="00590429">
              <w:rPr>
                <w:spacing w:val="-3"/>
              </w:rPr>
              <w:t xml:space="preserve">polovinu více než </w:t>
            </w:r>
            <w:r>
              <w:rPr>
                <w:spacing w:val="-3"/>
              </w:rPr>
              <w:t>na vrcholu konjunktury minulé dekády. Ve skupině 25</w:t>
            </w:r>
            <w:r>
              <w:rPr>
                <w:spacing w:val="-2"/>
              </w:rPr>
              <w:t>–</w:t>
            </w:r>
            <w:r>
              <w:rPr>
                <w:spacing w:val="-3"/>
              </w:rPr>
              <w:t xml:space="preserve">49letých takto v roce 2018 pracovala téměř každá čtvrtá žena s nejmladším dítětem do </w:t>
            </w:r>
            <w:r w:rsidR="00D82A1E">
              <w:rPr>
                <w:spacing w:val="-3"/>
              </w:rPr>
              <w:t>6 </w:t>
            </w:r>
            <w:r>
              <w:rPr>
                <w:spacing w:val="-3"/>
              </w:rPr>
              <w:t xml:space="preserve">let věku, každá osmá s dítětem ve věku </w:t>
            </w:r>
            <w:r w:rsidR="00BC7833">
              <w:rPr>
                <w:spacing w:val="-3"/>
              </w:rPr>
              <w:t>6</w:t>
            </w:r>
            <w:r>
              <w:rPr>
                <w:spacing w:val="-2"/>
              </w:rPr>
              <w:t>–</w:t>
            </w:r>
            <w:r>
              <w:rPr>
                <w:spacing w:val="-3"/>
              </w:rPr>
              <w:t>1</w:t>
            </w:r>
            <w:r w:rsidR="00D82A1E">
              <w:rPr>
                <w:spacing w:val="-3"/>
              </w:rPr>
              <w:t>1 </w:t>
            </w:r>
            <w:r>
              <w:rPr>
                <w:spacing w:val="-3"/>
              </w:rPr>
              <w:t xml:space="preserve">let, ale pouze každá dvacátá bezdětná žena. Zkrácené úvazky jsou z velké části doménou nejmladších </w:t>
            </w:r>
            <w:r w:rsidR="00BC7833">
              <w:rPr>
                <w:spacing w:val="-3"/>
              </w:rPr>
              <w:t>i </w:t>
            </w:r>
            <w:r>
              <w:rPr>
                <w:spacing w:val="-3"/>
              </w:rPr>
              <w:t xml:space="preserve">nejstarších osob na trhu práce. Využívala je sedmina pracovníků do 25 let </w:t>
            </w:r>
            <w:r w:rsidR="00BC7833">
              <w:rPr>
                <w:spacing w:val="-3"/>
              </w:rPr>
              <w:t>i </w:t>
            </w:r>
            <w:r>
              <w:rPr>
                <w:spacing w:val="-3"/>
              </w:rPr>
              <w:t>ve věku 60</w:t>
            </w:r>
            <w:r>
              <w:rPr>
                <w:spacing w:val="-2"/>
              </w:rPr>
              <w:t>–6</w:t>
            </w:r>
            <w:r w:rsidR="00D82A1E">
              <w:rPr>
                <w:spacing w:val="-2"/>
              </w:rPr>
              <w:t>4 </w:t>
            </w:r>
            <w:r>
              <w:rPr>
                <w:spacing w:val="-2"/>
              </w:rPr>
              <w:t xml:space="preserve">let </w:t>
            </w:r>
            <w:r w:rsidR="00BC7833">
              <w:rPr>
                <w:spacing w:val="-2"/>
              </w:rPr>
              <w:t>a </w:t>
            </w:r>
            <w:r>
              <w:rPr>
                <w:spacing w:val="-2"/>
              </w:rPr>
              <w:t xml:space="preserve">až polovina osob 65–74letých. </w:t>
            </w:r>
            <w:r w:rsidR="00BC7833">
              <w:rPr>
                <w:spacing w:val="-2"/>
              </w:rPr>
              <w:t>U </w:t>
            </w:r>
            <w:r>
              <w:rPr>
                <w:spacing w:val="-2"/>
              </w:rPr>
              <w:t>nejmladších osob za poslední dekádu využívání těchto úvazků také nejvíce posílilo.</w:t>
            </w:r>
          </w:p>
        </w:tc>
      </w:tr>
      <w:tr w:rsidR="009E674A" w:rsidRPr="001C7003" w14:paraId="5FD91B14" w14:textId="77777777" w:rsidTr="006F668F">
        <w:trPr>
          <w:trHeight w:val="429"/>
        </w:trPr>
        <w:tc>
          <w:tcPr>
            <w:tcW w:w="1976" w:type="dxa"/>
          </w:tcPr>
          <w:p w14:paraId="577056CF" w14:textId="77777777" w:rsidR="009E674A" w:rsidRPr="001C7003" w:rsidRDefault="009E674A" w:rsidP="006F668F">
            <w:pPr>
              <w:pStyle w:val="Marginlie"/>
            </w:pPr>
          </w:p>
        </w:tc>
        <w:tc>
          <w:tcPr>
            <w:tcW w:w="277" w:type="dxa"/>
          </w:tcPr>
          <w:p w14:paraId="0BBF30AC" w14:textId="77777777" w:rsidR="009E674A" w:rsidRPr="001C7003" w:rsidRDefault="009E674A" w:rsidP="006F668F">
            <w:pPr>
              <w:pStyle w:val="Textpoznpodarou"/>
              <w:jc w:val="both"/>
              <w:rPr>
                <w:spacing w:val="-4"/>
              </w:rPr>
            </w:pPr>
          </w:p>
        </w:tc>
        <w:tc>
          <w:tcPr>
            <w:tcW w:w="7391" w:type="dxa"/>
          </w:tcPr>
          <w:p w14:paraId="40BAF86C" w14:textId="77777777" w:rsidR="009E674A" w:rsidRPr="00590429" w:rsidRDefault="009E674A" w:rsidP="006F668F">
            <w:pPr>
              <w:spacing w:after="0"/>
              <w:jc w:val="left"/>
              <w:rPr>
                <w:b/>
                <w:spacing w:val="-3"/>
              </w:rPr>
            </w:pPr>
            <w:r w:rsidRPr="003D7E4E">
              <w:rPr>
                <w:b/>
                <w:spacing w:val="-3"/>
              </w:rPr>
              <w:t xml:space="preserve">Graf </w:t>
            </w:r>
            <w:r w:rsidR="00BA35F3">
              <w:rPr>
                <w:b/>
                <w:spacing w:val="-3"/>
              </w:rPr>
              <w:t>č. </w:t>
            </w:r>
            <w:r>
              <w:rPr>
                <w:b/>
                <w:spacing w:val="-3"/>
              </w:rPr>
              <w:t>13</w:t>
            </w:r>
            <w:r w:rsidRPr="003D7E4E">
              <w:rPr>
                <w:b/>
                <w:spacing w:val="-3"/>
              </w:rPr>
              <w:t xml:space="preserve">  </w:t>
            </w:r>
            <w:r>
              <w:rPr>
                <w:b/>
                <w:spacing w:val="-3"/>
              </w:rPr>
              <w:t>Podíl vybraných forem pracovních úvazk</w:t>
            </w:r>
            <w:r w:rsidRPr="00590429">
              <w:rPr>
                <w:b/>
                <w:spacing w:val="-3"/>
              </w:rPr>
              <w:t>ů</w:t>
            </w:r>
            <w:r w:rsidR="00590429" w:rsidRPr="00590429">
              <w:rPr>
                <w:b/>
                <w:spacing w:val="-3"/>
              </w:rPr>
              <w:t xml:space="preserve"> na celkové zaměstnanosti </w:t>
            </w:r>
            <w:r w:rsidR="00BC7833" w:rsidRPr="00590429">
              <w:rPr>
                <w:b/>
                <w:spacing w:val="-3"/>
              </w:rPr>
              <w:t>v</w:t>
            </w:r>
            <w:r w:rsidR="00BC7833">
              <w:rPr>
                <w:b/>
                <w:spacing w:val="-3"/>
              </w:rPr>
              <w:t> </w:t>
            </w:r>
            <w:r w:rsidR="00590429" w:rsidRPr="00590429">
              <w:rPr>
                <w:b/>
                <w:spacing w:val="-3"/>
              </w:rPr>
              <w:t>příslušné sociodemografické skupině</w:t>
            </w:r>
            <w:r w:rsidR="00590429">
              <w:rPr>
                <w:spacing w:val="-3"/>
              </w:rPr>
              <w:t xml:space="preserve"> (v</w:t>
            </w:r>
            <w:r w:rsidR="006454CC">
              <w:rPr>
                <w:spacing w:val="-3"/>
              </w:rPr>
              <w:t> %</w:t>
            </w:r>
            <w:r w:rsidRPr="00555090">
              <w:rPr>
                <w:spacing w:val="-3"/>
              </w:rPr>
              <w:t>)</w:t>
            </w:r>
          </w:p>
        </w:tc>
      </w:tr>
      <w:tr w:rsidR="009E674A" w14:paraId="1E83A6B1" w14:textId="77777777" w:rsidTr="00D37034">
        <w:tblPrEx>
          <w:tblCellMar>
            <w:left w:w="70" w:type="dxa"/>
            <w:right w:w="70" w:type="dxa"/>
          </w:tblCellMar>
        </w:tblPrEx>
        <w:trPr>
          <w:trHeight w:val="429"/>
        </w:trPr>
        <w:tc>
          <w:tcPr>
            <w:tcW w:w="1976" w:type="dxa"/>
          </w:tcPr>
          <w:p w14:paraId="26F0B1EC" w14:textId="77777777" w:rsidR="009E674A" w:rsidRPr="00106639" w:rsidRDefault="009E674A" w:rsidP="006F668F">
            <w:pPr>
              <w:pStyle w:val="Marginlie"/>
            </w:pPr>
          </w:p>
        </w:tc>
        <w:tc>
          <w:tcPr>
            <w:tcW w:w="277" w:type="dxa"/>
          </w:tcPr>
          <w:p w14:paraId="7AE67489" w14:textId="77777777" w:rsidR="009E674A" w:rsidRPr="005E4483" w:rsidRDefault="009E674A" w:rsidP="006F668F">
            <w:pPr>
              <w:pStyle w:val="Textpoznpodarou"/>
              <w:jc w:val="both"/>
              <w:rPr>
                <w:spacing w:val="-4"/>
              </w:rPr>
            </w:pPr>
          </w:p>
        </w:tc>
        <w:tc>
          <w:tcPr>
            <w:tcW w:w="7391" w:type="dxa"/>
          </w:tcPr>
          <w:p w14:paraId="7611A8BF" w14:textId="45A61184" w:rsidR="009E674A" w:rsidRDefault="00D37034" w:rsidP="006F668F">
            <w:pPr>
              <w:spacing w:after="0" w:line="240" w:lineRule="auto"/>
            </w:pPr>
            <w:r>
              <w:rPr>
                <w:noProof/>
              </w:rPr>
              <w:drawing>
                <wp:inline distT="0" distB="0" distL="0" distR="0" wp14:anchorId="0EFAD790" wp14:editId="144A2071">
                  <wp:extent cx="4604385" cy="3613150"/>
                  <wp:effectExtent l="0" t="0" r="5715" b="6350"/>
                  <wp:docPr id="56" name="Graf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tc>
      </w:tr>
      <w:tr w:rsidR="009E674A" w:rsidRPr="00711FC2" w14:paraId="2DC8B44A" w14:textId="77777777" w:rsidTr="006F668F">
        <w:trPr>
          <w:trHeight w:val="429"/>
        </w:trPr>
        <w:tc>
          <w:tcPr>
            <w:tcW w:w="1976" w:type="dxa"/>
          </w:tcPr>
          <w:p w14:paraId="3B9E9F28" w14:textId="77777777" w:rsidR="009E674A" w:rsidRPr="00106639" w:rsidRDefault="009E674A" w:rsidP="006F668F">
            <w:pPr>
              <w:pStyle w:val="Marginlie"/>
            </w:pPr>
          </w:p>
        </w:tc>
        <w:tc>
          <w:tcPr>
            <w:tcW w:w="277" w:type="dxa"/>
          </w:tcPr>
          <w:p w14:paraId="4F4C869D" w14:textId="77777777" w:rsidR="009E674A" w:rsidRPr="005E4483" w:rsidRDefault="009E674A" w:rsidP="006F668F">
            <w:pPr>
              <w:pStyle w:val="Textpoznpodarou"/>
              <w:jc w:val="both"/>
              <w:rPr>
                <w:spacing w:val="-4"/>
              </w:rPr>
            </w:pPr>
          </w:p>
        </w:tc>
        <w:tc>
          <w:tcPr>
            <w:tcW w:w="7391" w:type="dxa"/>
          </w:tcPr>
          <w:p w14:paraId="45D52102" w14:textId="4CD62B07" w:rsidR="009E674A" w:rsidRDefault="009E674A" w:rsidP="006F668F">
            <w:pPr>
              <w:spacing w:after="0"/>
              <w:jc w:val="left"/>
              <w:rPr>
                <w:rFonts w:cs="Arial"/>
                <w:sz w:val="14"/>
                <w:szCs w:val="14"/>
              </w:rPr>
            </w:pPr>
            <w:r>
              <w:rPr>
                <w:rFonts w:cs="Arial"/>
                <w:sz w:val="14"/>
                <w:szCs w:val="14"/>
              </w:rPr>
              <w:t xml:space="preserve">Poznámka: </w:t>
            </w:r>
            <w:r w:rsidR="00BC7833">
              <w:rPr>
                <w:rFonts w:cs="Arial"/>
                <w:sz w:val="14"/>
                <w:szCs w:val="14"/>
              </w:rPr>
              <w:t>U </w:t>
            </w:r>
            <w:r>
              <w:rPr>
                <w:rFonts w:cs="Arial"/>
                <w:sz w:val="14"/>
                <w:szCs w:val="14"/>
              </w:rPr>
              <w:t xml:space="preserve">práce z domova jde </w:t>
            </w:r>
            <w:r w:rsidR="00BC7833">
              <w:rPr>
                <w:rFonts w:cs="Arial"/>
                <w:sz w:val="14"/>
                <w:szCs w:val="14"/>
              </w:rPr>
              <w:t>o </w:t>
            </w:r>
            <w:r>
              <w:rPr>
                <w:rFonts w:cs="Arial"/>
                <w:sz w:val="14"/>
                <w:szCs w:val="14"/>
              </w:rPr>
              <w:t>podíl osob, které uvedly, že touto formou pracují občas nebo obvykle.</w:t>
            </w:r>
          </w:p>
          <w:p w14:paraId="1C6019C1" w14:textId="77777777" w:rsidR="009E674A" w:rsidRPr="00711FC2" w:rsidRDefault="009E674A" w:rsidP="006F668F">
            <w:pPr>
              <w:spacing w:after="0"/>
              <w:jc w:val="left"/>
            </w:pPr>
            <w:r>
              <w:rPr>
                <w:rFonts w:cs="Arial"/>
                <w:sz w:val="14"/>
                <w:szCs w:val="14"/>
              </w:rPr>
              <w:t xml:space="preserve">Zdroj: Eurostat </w:t>
            </w:r>
            <w:r w:rsidR="00BC7833">
              <w:rPr>
                <w:rFonts w:cs="Arial"/>
                <w:sz w:val="14"/>
                <w:szCs w:val="14"/>
              </w:rPr>
              <w:t>a </w:t>
            </w:r>
            <w:r>
              <w:rPr>
                <w:rFonts w:cs="Arial"/>
                <w:sz w:val="14"/>
                <w:szCs w:val="14"/>
              </w:rPr>
              <w:t>ČSÚ (VŠPS)</w:t>
            </w:r>
          </w:p>
        </w:tc>
      </w:tr>
      <w:tr w:rsidR="009E674A" w:rsidRPr="00711FC2" w14:paraId="353B4DBF" w14:textId="77777777" w:rsidTr="006F668F">
        <w:trPr>
          <w:trHeight w:val="429"/>
        </w:trPr>
        <w:tc>
          <w:tcPr>
            <w:tcW w:w="1976" w:type="dxa"/>
          </w:tcPr>
          <w:p w14:paraId="07B9570C" w14:textId="77777777" w:rsidR="009E674A" w:rsidRDefault="009E674A" w:rsidP="006F668F">
            <w:pPr>
              <w:pStyle w:val="Marginlie"/>
            </w:pPr>
            <w:r>
              <w:lastRenderedPageBreak/>
              <w:t xml:space="preserve">Podíl pracujících na zkrácené úvazky byl nejvyšší </w:t>
            </w:r>
            <w:r w:rsidR="00BC7833">
              <w:t>u </w:t>
            </w:r>
            <w:r>
              <w:t>osob se základním vzděláním,…</w:t>
            </w:r>
          </w:p>
          <w:p w14:paraId="6C4D2ADE" w14:textId="77777777" w:rsidR="009E674A" w:rsidRDefault="009E674A" w:rsidP="006F668F">
            <w:pPr>
              <w:pStyle w:val="Marginlie"/>
            </w:pPr>
          </w:p>
          <w:p w14:paraId="677279BC" w14:textId="77777777" w:rsidR="009E674A" w:rsidRDefault="009E674A" w:rsidP="006F668F">
            <w:pPr>
              <w:pStyle w:val="Marginlie"/>
            </w:pPr>
          </w:p>
          <w:p w14:paraId="2DB52180" w14:textId="77777777" w:rsidR="009E674A" w:rsidRDefault="009E674A" w:rsidP="006F668F">
            <w:pPr>
              <w:pStyle w:val="Marginlie"/>
            </w:pPr>
          </w:p>
          <w:p w14:paraId="18D2FD2D" w14:textId="77777777" w:rsidR="009E674A" w:rsidRDefault="009E674A" w:rsidP="006F668F">
            <w:pPr>
              <w:pStyle w:val="Marginlie"/>
            </w:pPr>
          </w:p>
          <w:p w14:paraId="71475A5F" w14:textId="55CEAA54" w:rsidR="009E674A" w:rsidRDefault="009E674A" w:rsidP="006F668F">
            <w:pPr>
              <w:pStyle w:val="Marginlie"/>
            </w:pPr>
            <w:r>
              <w:t>…</w:t>
            </w:r>
            <w:r w:rsidR="00333BE7">
              <w:t> </w:t>
            </w:r>
            <w:r>
              <w:t>mezi odvětvími pak hlavně v administrativních a podpůrných činnostech.</w:t>
            </w:r>
          </w:p>
          <w:p w14:paraId="5962E319" w14:textId="77777777" w:rsidR="009E674A" w:rsidRPr="00106639" w:rsidRDefault="009E674A" w:rsidP="006F668F">
            <w:pPr>
              <w:pStyle w:val="Marginlie"/>
            </w:pPr>
          </w:p>
        </w:tc>
        <w:tc>
          <w:tcPr>
            <w:tcW w:w="277" w:type="dxa"/>
          </w:tcPr>
          <w:p w14:paraId="41AF2833" w14:textId="77777777" w:rsidR="009E674A" w:rsidRPr="00356158" w:rsidRDefault="009E674A" w:rsidP="006F668F">
            <w:pPr>
              <w:pStyle w:val="Textpoznpodarou"/>
              <w:jc w:val="both"/>
              <w:rPr>
                <w:rFonts w:eastAsia="Times New Roman"/>
                <w:spacing w:val="-2"/>
                <w:sz w:val="16"/>
                <w:szCs w:val="16"/>
              </w:rPr>
            </w:pPr>
          </w:p>
        </w:tc>
        <w:tc>
          <w:tcPr>
            <w:tcW w:w="7391" w:type="dxa"/>
          </w:tcPr>
          <w:p w14:paraId="77A5F880" w14:textId="14B5AA64" w:rsidR="009E674A" w:rsidRPr="00E043A1" w:rsidRDefault="00BC7833" w:rsidP="006F668F">
            <w:pPr>
              <w:spacing w:after="220"/>
              <w:rPr>
                <w:spacing w:val="-2"/>
                <w:szCs w:val="20"/>
              </w:rPr>
            </w:pPr>
            <w:r w:rsidRPr="00E043A1">
              <w:rPr>
                <w:spacing w:val="-2"/>
                <w:szCs w:val="20"/>
              </w:rPr>
              <w:t>V</w:t>
            </w:r>
            <w:r>
              <w:rPr>
                <w:spacing w:val="-2"/>
                <w:szCs w:val="20"/>
              </w:rPr>
              <w:t> </w:t>
            </w:r>
            <w:r w:rsidR="009E674A" w:rsidRPr="00E043A1">
              <w:rPr>
                <w:spacing w:val="-2"/>
                <w:szCs w:val="20"/>
              </w:rPr>
              <w:t xml:space="preserve">roce 2018 využívalo zkrácených pracovních </w:t>
            </w:r>
            <w:r w:rsidR="009E674A">
              <w:rPr>
                <w:spacing w:val="-2"/>
                <w:szCs w:val="20"/>
              </w:rPr>
              <w:t>úvazků 6</w:t>
            </w:r>
            <w:r w:rsidR="006454CC">
              <w:rPr>
                <w:spacing w:val="-2"/>
                <w:szCs w:val="20"/>
              </w:rPr>
              <w:t> %</w:t>
            </w:r>
            <w:r w:rsidR="009E674A" w:rsidRPr="00E043A1">
              <w:rPr>
                <w:spacing w:val="-2"/>
                <w:szCs w:val="20"/>
              </w:rPr>
              <w:t xml:space="preserve"> </w:t>
            </w:r>
            <w:r w:rsidR="009E674A">
              <w:rPr>
                <w:spacing w:val="-2"/>
                <w:szCs w:val="20"/>
              </w:rPr>
              <w:t>osob se středoškolským vzděláním, 9</w:t>
            </w:r>
            <w:r w:rsidR="006454CC">
              <w:rPr>
                <w:spacing w:val="-2"/>
                <w:szCs w:val="20"/>
              </w:rPr>
              <w:t> %</w:t>
            </w:r>
            <w:r w:rsidR="009E674A">
              <w:rPr>
                <w:spacing w:val="-2"/>
                <w:szCs w:val="20"/>
              </w:rPr>
              <w:t xml:space="preserve"> vysokoškoláků </w:t>
            </w:r>
            <w:r>
              <w:rPr>
                <w:spacing w:val="-2"/>
                <w:szCs w:val="20"/>
              </w:rPr>
              <w:t>a </w:t>
            </w:r>
            <w:r w:rsidR="009E674A">
              <w:rPr>
                <w:spacing w:val="-2"/>
                <w:szCs w:val="20"/>
              </w:rPr>
              <w:t>14</w:t>
            </w:r>
            <w:r w:rsidR="006454CC">
              <w:rPr>
                <w:spacing w:val="-2"/>
                <w:szCs w:val="20"/>
              </w:rPr>
              <w:t> %</w:t>
            </w:r>
            <w:r w:rsidR="009E674A">
              <w:rPr>
                <w:spacing w:val="-2"/>
                <w:szCs w:val="20"/>
              </w:rPr>
              <w:t xml:space="preserve"> osob s maximálně základním vzdělání</w:t>
            </w:r>
            <w:r w:rsidR="005123B5">
              <w:rPr>
                <w:spacing w:val="-2"/>
                <w:szCs w:val="20"/>
              </w:rPr>
              <w:t xml:space="preserve">m. Osoby </w:t>
            </w:r>
            <w:r>
              <w:rPr>
                <w:spacing w:val="-2"/>
                <w:szCs w:val="20"/>
              </w:rPr>
              <w:t>s </w:t>
            </w:r>
            <w:r w:rsidR="005123B5">
              <w:rPr>
                <w:spacing w:val="-2"/>
                <w:szCs w:val="20"/>
              </w:rPr>
              <w:t>nejnižším stupněm</w:t>
            </w:r>
            <w:r w:rsidR="009E674A">
              <w:rPr>
                <w:spacing w:val="-2"/>
                <w:szCs w:val="20"/>
              </w:rPr>
              <w:t xml:space="preserve"> vzdělání převažovaly v tomto ohledu ve všech věkových skupinách (vyjma skupiny 20</w:t>
            </w:r>
            <w:r w:rsidR="00D82A1E">
              <w:rPr>
                <w:spacing w:val="-2"/>
                <w:szCs w:val="20"/>
              </w:rPr>
              <w:t>–</w:t>
            </w:r>
            <w:r w:rsidR="009E674A">
              <w:rPr>
                <w:spacing w:val="-2"/>
                <w:szCs w:val="20"/>
              </w:rPr>
              <w:t>2</w:t>
            </w:r>
            <w:r w:rsidR="00D82A1E">
              <w:rPr>
                <w:spacing w:val="-2"/>
                <w:szCs w:val="20"/>
              </w:rPr>
              <w:t>4 </w:t>
            </w:r>
            <w:r w:rsidR="009E674A">
              <w:rPr>
                <w:spacing w:val="-2"/>
                <w:szCs w:val="20"/>
              </w:rPr>
              <w:t>let). Častější využívání těchto úvazků mezi lidmi se základním vzděláním může souviset s tím, že tout</w:t>
            </w:r>
            <w:r w:rsidR="005123B5">
              <w:rPr>
                <w:spacing w:val="-2"/>
                <w:szCs w:val="20"/>
              </w:rPr>
              <w:t>o formou pracuje nezanedbatelná</w:t>
            </w:r>
            <w:r w:rsidR="009E674A">
              <w:rPr>
                <w:spacing w:val="-2"/>
                <w:szCs w:val="20"/>
              </w:rPr>
              <w:t xml:space="preserve"> část zdravotně postižených. Z pohledu odvětví je širší využití zkrácených úvazků z velké části omezeno jen na služby</w:t>
            </w:r>
            <w:r w:rsidR="009E674A">
              <w:rPr>
                <w:rStyle w:val="Znakapoznpodarou"/>
                <w:rFonts w:cs="Arial"/>
                <w:color w:val="0D0D0D" w:themeColor="text1" w:themeTint="F2"/>
                <w:spacing w:val="-4"/>
              </w:rPr>
              <w:footnoteReference w:id="40"/>
            </w:r>
            <w:r w:rsidR="009E674A">
              <w:rPr>
                <w:spacing w:val="-2"/>
                <w:szCs w:val="20"/>
              </w:rPr>
              <w:t xml:space="preserve">. Nejvíce </w:t>
            </w:r>
            <w:r w:rsidR="00333BE7">
              <w:rPr>
                <w:spacing w:val="-2"/>
                <w:szCs w:val="20"/>
              </w:rPr>
              <w:t xml:space="preserve">byly </w:t>
            </w:r>
            <w:r w:rsidR="009E674A">
              <w:rPr>
                <w:spacing w:val="-2"/>
                <w:szCs w:val="20"/>
              </w:rPr>
              <w:t xml:space="preserve">loni </w:t>
            </w:r>
            <w:r w:rsidR="00333BE7">
              <w:rPr>
                <w:spacing w:val="-2"/>
                <w:szCs w:val="20"/>
              </w:rPr>
              <w:t xml:space="preserve">zkrácené úvazky praktikovány </w:t>
            </w:r>
            <w:r w:rsidR="009E674A">
              <w:rPr>
                <w:spacing w:val="-2"/>
                <w:szCs w:val="20"/>
              </w:rPr>
              <w:t xml:space="preserve">v kulturních, zábavních </w:t>
            </w:r>
            <w:r w:rsidR="00333BE7">
              <w:rPr>
                <w:spacing w:val="-2"/>
                <w:szCs w:val="20"/>
              </w:rPr>
              <w:t>a</w:t>
            </w:r>
            <w:r>
              <w:rPr>
                <w:spacing w:val="-2"/>
                <w:szCs w:val="20"/>
              </w:rPr>
              <w:t> </w:t>
            </w:r>
            <w:r w:rsidR="009E674A">
              <w:rPr>
                <w:spacing w:val="-2"/>
                <w:szCs w:val="20"/>
              </w:rPr>
              <w:t xml:space="preserve">rekreačních činnostech </w:t>
            </w:r>
            <w:r>
              <w:rPr>
                <w:spacing w:val="-2"/>
                <w:szCs w:val="20"/>
              </w:rPr>
              <w:t>a </w:t>
            </w:r>
            <w:r w:rsidR="009E674A">
              <w:rPr>
                <w:spacing w:val="-2"/>
                <w:szCs w:val="20"/>
              </w:rPr>
              <w:t xml:space="preserve">též v administrativních </w:t>
            </w:r>
            <w:r w:rsidR="00333BE7">
              <w:rPr>
                <w:spacing w:val="-2"/>
                <w:szCs w:val="20"/>
              </w:rPr>
              <w:t>a</w:t>
            </w:r>
            <w:r>
              <w:rPr>
                <w:spacing w:val="-2"/>
                <w:szCs w:val="20"/>
              </w:rPr>
              <w:t> </w:t>
            </w:r>
            <w:r w:rsidR="009E674A">
              <w:rPr>
                <w:spacing w:val="-2"/>
                <w:szCs w:val="20"/>
              </w:rPr>
              <w:t xml:space="preserve">podpůrných činnostech </w:t>
            </w:r>
            <w:r w:rsidR="005123B5">
              <w:rPr>
                <w:spacing w:val="-2"/>
                <w:szCs w:val="20"/>
              </w:rPr>
              <w:t>(v obou případech takto působilo</w:t>
            </w:r>
            <w:r w:rsidR="009E674A">
              <w:rPr>
                <w:spacing w:val="-2"/>
                <w:szCs w:val="20"/>
              </w:rPr>
              <w:t xml:space="preserve"> 17</w:t>
            </w:r>
            <w:r w:rsidR="006454CC">
              <w:rPr>
                <w:spacing w:val="-2"/>
                <w:szCs w:val="20"/>
              </w:rPr>
              <w:t> %</w:t>
            </w:r>
            <w:r w:rsidR="009E674A">
              <w:rPr>
                <w:spacing w:val="-2"/>
                <w:szCs w:val="20"/>
              </w:rPr>
              <w:t xml:space="preserve"> pracovníků). Alespoň osmina osob takto pracovala také v ubytování, stravování </w:t>
            </w:r>
            <w:r>
              <w:rPr>
                <w:spacing w:val="-2"/>
                <w:szCs w:val="20"/>
              </w:rPr>
              <w:t>a </w:t>
            </w:r>
            <w:r w:rsidR="009E674A">
              <w:rPr>
                <w:spacing w:val="-2"/>
                <w:szCs w:val="20"/>
              </w:rPr>
              <w:t xml:space="preserve">pohostinství, v profesních, vědeckých a technických činnostech </w:t>
            </w:r>
            <w:r>
              <w:rPr>
                <w:spacing w:val="-2"/>
                <w:szCs w:val="20"/>
              </w:rPr>
              <w:t>a </w:t>
            </w:r>
            <w:r w:rsidR="009E674A">
              <w:rPr>
                <w:spacing w:val="-2"/>
                <w:szCs w:val="20"/>
              </w:rPr>
              <w:t>ve většině odvětví veřejných služeb</w:t>
            </w:r>
            <w:r w:rsidR="009E674A">
              <w:rPr>
                <w:rStyle w:val="Znakapoznpodarou"/>
                <w:rFonts w:cs="Arial"/>
                <w:color w:val="0D0D0D" w:themeColor="text1" w:themeTint="F2"/>
                <w:spacing w:val="-4"/>
              </w:rPr>
              <w:footnoteReference w:id="41"/>
            </w:r>
            <w:r w:rsidR="009E674A">
              <w:rPr>
                <w:spacing w:val="-2"/>
                <w:szCs w:val="20"/>
              </w:rPr>
              <w:t>.</w:t>
            </w:r>
          </w:p>
        </w:tc>
      </w:tr>
      <w:tr w:rsidR="009E674A" w:rsidRPr="00711FC2" w14:paraId="022BDB77" w14:textId="77777777" w:rsidTr="006F668F">
        <w:trPr>
          <w:trHeight w:val="429"/>
        </w:trPr>
        <w:tc>
          <w:tcPr>
            <w:tcW w:w="1976" w:type="dxa"/>
          </w:tcPr>
          <w:p w14:paraId="3F226CFB" w14:textId="6976E48E" w:rsidR="009E674A" w:rsidRDefault="009E674A" w:rsidP="006F668F">
            <w:pPr>
              <w:pStyle w:val="Marginlie"/>
            </w:pPr>
            <w:r>
              <w:t xml:space="preserve">Možnosti práce z domova využívala loni desetina pracovníků. Jednalo se hlavně </w:t>
            </w:r>
            <w:r w:rsidR="00BC7833">
              <w:t>o </w:t>
            </w:r>
            <w:r>
              <w:t>lidi nad 6</w:t>
            </w:r>
            <w:r w:rsidR="00D82A1E">
              <w:t>0 </w:t>
            </w:r>
            <w:r>
              <w:t xml:space="preserve">let </w:t>
            </w:r>
            <w:r w:rsidR="00BC7833">
              <w:t>a </w:t>
            </w:r>
            <w:r>
              <w:t xml:space="preserve">především </w:t>
            </w:r>
            <w:r w:rsidR="00BC7833">
              <w:t>o </w:t>
            </w:r>
            <w:r>
              <w:t>podnikatele.</w:t>
            </w:r>
          </w:p>
          <w:p w14:paraId="26BBB5CC" w14:textId="77777777" w:rsidR="009E674A" w:rsidRDefault="009E674A" w:rsidP="006F668F">
            <w:pPr>
              <w:pStyle w:val="Marginlie"/>
            </w:pPr>
          </w:p>
          <w:p w14:paraId="0A3A1A12" w14:textId="77777777" w:rsidR="009E674A" w:rsidRDefault="009E674A" w:rsidP="006F668F">
            <w:pPr>
              <w:pStyle w:val="Marginlie"/>
            </w:pPr>
          </w:p>
          <w:p w14:paraId="7206D889" w14:textId="77777777" w:rsidR="009E674A" w:rsidRDefault="009E674A" w:rsidP="006F668F">
            <w:pPr>
              <w:pStyle w:val="Marginlie"/>
            </w:pPr>
          </w:p>
          <w:p w14:paraId="0BAE0239" w14:textId="77777777" w:rsidR="009E674A" w:rsidRDefault="009E674A" w:rsidP="006F668F">
            <w:pPr>
              <w:pStyle w:val="Marginlie"/>
            </w:pPr>
          </w:p>
          <w:p w14:paraId="2D980153" w14:textId="77777777" w:rsidR="009E674A" w:rsidRDefault="009E674A" w:rsidP="006F668F">
            <w:pPr>
              <w:pStyle w:val="Marginlie"/>
            </w:pPr>
          </w:p>
          <w:p w14:paraId="3B77A4F8" w14:textId="77777777" w:rsidR="009E674A" w:rsidRDefault="009E674A" w:rsidP="006F668F">
            <w:pPr>
              <w:pStyle w:val="Marginlie"/>
            </w:pPr>
          </w:p>
          <w:p w14:paraId="7800936F" w14:textId="77777777" w:rsidR="009E674A" w:rsidRDefault="009E674A" w:rsidP="006F668F">
            <w:pPr>
              <w:pStyle w:val="Marginlie"/>
            </w:pPr>
            <w:r>
              <w:t>Mezi zaměstnanci takto pracoval pouze každý pětadvacátý. K mírnému růstu došlo až po roce 2015.</w:t>
            </w:r>
          </w:p>
          <w:p w14:paraId="49250541" w14:textId="77777777" w:rsidR="009E674A" w:rsidRPr="00106639" w:rsidRDefault="009E674A" w:rsidP="006F668F">
            <w:pPr>
              <w:pStyle w:val="Marginlie"/>
            </w:pPr>
          </w:p>
        </w:tc>
        <w:tc>
          <w:tcPr>
            <w:tcW w:w="277" w:type="dxa"/>
          </w:tcPr>
          <w:p w14:paraId="2C47793D" w14:textId="77777777" w:rsidR="009E674A" w:rsidRPr="00356158" w:rsidRDefault="009E674A" w:rsidP="006F668F">
            <w:pPr>
              <w:pStyle w:val="Textpoznpodarou"/>
              <w:jc w:val="both"/>
              <w:rPr>
                <w:rFonts w:eastAsia="Times New Roman"/>
                <w:spacing w:val="-2"/>
                <w:sz w:val="16"/>
                <w:szCs w:val="16"/>
              </w:rPr>
            </w:pPr>
          </w:p>
        </w:tc>
        <w:tc>
          <w:tcPr>
            <w:tcW w:w="7391" w:type="dxa"/>
          </w:tcPr>
          <w:p w14:paraId="4D02DED8" w14:textId="58F7DD0F" w:rsidR="009E674A" w:rsidRPr="00955EC6" w:rsidRDefault="009E674A" w:rsidP="006F668F">
            <w:pPr>
              <w:spacing w:after="220"/>
              <w:rPr>
                <w:spacing w:val="-2"/>
                <w:szCs w:val="20"/>
              </w:rPr>
            </w:pPr>
            <w:r w:rsidRPr="00955EC6">
              <w:rPr>
                <w:spacing w:val="-2"/>
                <w:szCs w:val="20"/>
              </w:rPr>
              <w:t xml:space="preserve">Možnosti práce z domova </w:t>
            </w:r>
            <w:r>
              <w:rPr>
                <w:spacing w:val="-2"/>
                <w:szCs w:val="20"/>
              </w:rPr>
              <w:t>využívala v roce 2018 necelá desetina všech pracovníků (5,5</w:t>
            </w:r>
            <w:r w:rsidR="006454CC">
              <w:rPr>
                <w:spacing w:val="-2"/>
                <w:szCs w:val="20"/>
              </w:rPr>
              <w:t> %</w:t>
            </w:r>
            <w:r>
              <w:rPr>
                <w:spacing w:val="-2"/>
                <w:szCs w:val="20"/>
              </w:rPr>
              <w:t xml:space="preserve"> občas, 4,2</w:t>
            </w:r>
            <w:r w:rsidR="006454CC">
              <w:rPr>
                <w:spacing w:val="-2"/>
                <w:szCs w:val="20"/>
              </w:rPr>
              <w:t> %</w:t>
            </w:r>
            <w:r>
              <w:rPr>
                <w:spacing w:val="-2"/>
                <w:szCs w:val="20"/>
              </w:rPr>
              <w:t xml:space="preserve"> obvykle). Za posledních deset let se jejich podíl zvýšil o necelou polovinu</w:t>
            </w:r>
            <w:r>
              <w:rPr>
                <w:rStyle w:val="Znakapoznpodarou"/>
                <w:rFonts w:cs="Arial"/>
                <w:color w:val="0D0D0D" w:themeColor="text1" w:themeTint="F2"/>
                <w:spacing w:val="-4"/>
              </w:rPr>
              <w:footnoteReference w:id="42"/>
            </w:r>
            <w:r>
              <w:rPr>
                <w:spacing w:val="-2"/>
                <w:szCs w:val="20"/>
              </w:rPr>
              <w:t>. Četnost této formy práce se dle pohlaví významně neliší, roste však s dosaženým věkem. Zatímco mezi pracovníky do 2</w:t>
            </w:r>
            <w:r w:rsidR="00D82A1E">
              <w:rPr>
                <w:spacing w:val="-2"/>
                <w:szCs w:val="20"/>
              </w:rPr>
              <w:t>5 </w:t>
            </w:r>
            <w:r>
              <w:rPr>
                <w:spacing w:val="-2"/>
                <w:szCs w:val="20"/>
              </w:rPr>
              <w:t xml:space="preserve">let šlo </w:t>
            </w:r>
            <w:r w:rsidR="00BC7833">
              <w:rPr>
                <w:spacing w:val="-2"/>
                <w:szCs w:val="20"/>
              </w:rPr>
              <w:t>o </w:t>
            </w:r>
            <w:r>
              <w:rPr>
                <w:spacing w:val="-2"/>
                <w:szCs w:val="20"/>
              </w:rPr>
              <w:t>necelá 3</w:t>
            </w:r>
            <w:r w:rsidR="006454CC">
              <w:rPr>
                <w:spacing w:val="-2"/>
                <w:szCs w:val="20"/>
              </w:rPr>
              <w:t> %</w:t>
            </w:r>
            <w:r>
              <w:rPr>
                <w:spacing w:val="-2"/>
                <w:szCs w:val="20"/>
              </w:rPr>
              <w:t xml:space="preserve">, u třicátníků již </w:t>
            </w:r>
            <w:r w:rsidR="00BC7833">
              <w:rPr>
                <w:spacing w:val="-2"/>
                <w:szCs w:val="20"/>
              </w:rPr>
              <w:t>o </w:t>
            </w:r>
            <w:r>
              <w:rPr>
                <w:spacing w:val="-2"/>
                <w:szCs w:val="20"/>
              </w:rPr>
              <w:t xml:space="preserve">desetinu. K dalšímu růstu dochází až </w:t>
            </w:r>
            <w:r w:rsidR="00BC7833">
              <w:rPr>
                <w:spacing w:val="-2"/>
                <w:szCs w:val="20"/>
              </w:rPr>
              <w:t>u </w:t>
            </w:r>
            <w:r>
              <w:rPr>
                <w:spacing w:val="-2"/>
                <w:szCs w:val="20"/>
              </w:rPr>
              <w:t>osob na konci produktivního věku. Mezi 60</w:t>
            </w:r>
            <w:r>
              <w:rPr>
                <w:spacing w:val="-2"/>
              </w:rPr>
              <w:t>–</w:t>
            </w:r>
            <w:r>
              <w:rPr>
                <w:spacing w:val="-2"/>
                <w:szCs w:val="20"/>
              </w:rPr>
              <w:t xml:space="preserve">64letými jde </w:t>
            </w:r>
            <w:r w:rsidR="00BC7833">
              <w:rPr>
                <w:spacing w:val="-2"/>
                <w:szCs w:val="20"/>
              </w:rPr>
              <w:t>o </w:t>
            </w:r>
            <w:r>
              <w:rPr>
                <w:spacing w:val="-2"/>
                <w:szCs w:val="20"/>
              </w:rPr>
              <w:t xml:space="preserve">osminu </w:t>
            </w:r>
            <w:r w:rsidR="00BC7833">
              <w:rPr>
                <w:spacing w:val="-2"/>
                <w:szCs w:val="20"/>
              </w:rPr>
              <w:t>a u </w:t>
            </w:r>
            <w:r>
              <w:rPr>
                <w:spacing w:val="-2"/>
                <w:szCs w:val="20"/>
              </w:rPr>
              <w:t>osob nad 6</w:t>
            </w:r>
            <w:r w:rsidR="00D82A1E">
              <w:rPr>
                <w:spacing w:val="-2"/>
                <w:szCs w:val="20"/>
              </w:rPr>
              <w:t>4 </w:t>
            </w:r>
            <w:r>
              <w:rPr>
                <w:spacing w:val="-2"/>
                <w:szCs w:val="20"/>
              </w:rPr>
              <w:t xml:space="preserve">let skoro </w:t>
            </w:r>
            <w:r w:rsidR="00BC7833">
              <w:rPr>
                <w:spacing w:val="-2"/>
                <w:szCs w:val="20"/>
              </w:rPr>
              <w:t>o </w:t>
            </w:r>
            <w:r>
              <w:rPr>
                <w:spacing w:val="-2"/>
                <w:szCs w:val="20"/>
              </w:rPr>
              <w:t>čtvrtinu (</w:t>
            </w:r>
            <w:r w:rsidR="00BC7833">
              <w:rPr>
                <w:spacing w:val="-2"/>
                <w:szCs w:val="20"/>
              </w:rPr>
              <w:t>s </w:t>
            </w:r>
            <w:r>
              <w:rPr>
                <w:spacing w:val="-2"/>
                <w:szCs w:val="20"/>
              </w:rPr>
              <w:t xml:space="preserve">vyšším podílem mezi muži). Možnosti práce </w:t>
            </w:r>
            <w:r w:rsidR="00333BE7">
              <w:rPr>
                <w:spacing w:val="-2"/>
                <w:szCs w:val="20"/>
              </w:rPr>
              <w:t>z</w:t>
            </w:r>
            <w:r>
              <w:rPr>
                <w:spacing w:val="-2"/>
                <w:szCs w:val="20"/>
              </w:rPr>
              <w:t xml:space="preserve"> domova </w:t>
            </w:r>
            <w:r w:rsidRPr="00955EC6">
              <w:rPr>
                <w:spacing w:val="-2"/>
                <w:szCs w:val="20"/>
              </w:rPr>
              <w:t>závis</w:t>
            </w:r>
            <w:r w:rsidR="00333BE7">
              <w:rPr>
                <w:spacing w:val="-2"/>
                <w:szCs w:val="20"/>
              </w:rPr>
              <w:t>ej</w:t>
            </w:r>
            <w:r w:rsidRPr="00955EC6">
              <w:rPr>
                <w:spacing w:val="-2"/>
                <w:szCs w:val="20"/>
              </w:rPr>
              <w:t>í především na postavení v zaměstnání.</w:t>
            </w:r>
            <w:r>
              <w:rPr>
                <w:spacing w:val="-2"/>
                <w:szCs w:val="20"/>
              </w:rPr>
              <w:t xml:space="preserve"> Jestliže mezi zamě</w:t>
            </w:r>
            <w:r w:rsidR="005123B5">
              <w:rPr>
                <w:spacing w:val="-2"/>
                <w:szCs w:val="20"/>
              </w:rPr>
              <w:t xml:space="preserve">stnanci </w:t>
            </w:r>
            <w:r w:rsidR="00333BE7">
              <w:rPr>
                <w:spacing w:val="-2"/>
                <w:szCs w:val="20"/>
              </w:rPr>
              <w:t xml:space="preserve">jich </w:t>
            </w:r>
            <w:r w:rsidR="005123B5">
              <w:rPr>
                <w:spacing w:val="-2"/>
                <w:szCs w:val="20"/>
              </w:rPr>
              <w:t>takto pracoval</w:t>
            </w:r>
            <w:r w:rsidR="00333BE7">
              <w:rPr>
                <w:spacing w:val="-2"/>
                <w:szCs w:val="20"/>
              </w:rPr>
              <w:t>o</w:t>
            </w:r>
            <w:r w:rsidR="005123B5">
              <w:rPr>
                <w:spacing w:val="-2"/>
                <w:szCs w:val="20"/>
              </w:rPr>
              <w:t xml:space="preserve"> jen 4</w:t>
            </w:r>
            <w:r w:rsidR="006454CC">
              <w:rPr>
                <w:spacing w:val="-2"/>
                <w:szCs w:val="20"/>
              </w:rPr>
              <w:t> %</w:t>
            </w:r>
            <w:r w:rsidR="005123B5">
              <w:rPr>
                <w:spacing w:val="-2"/>
                <w:szCs w:val="20"/>
              </w:rPr>
              <w:t xml:space="preserve"> (bez rozdílů mezi muži </w:t>
            </w:r>
            <w:r w:rsidR="00BC7833">
              <w:rPr>
                <w:spacing w:val="-2"/>
                <w:szCs w:val="20"/>
              </w:rPr>
              <w:t>a </w:t>
            </w:r>
            <w:r w:rsidR="005123B5">
              <w:rPr>
                <w:spacing w:val="-2"/>
                <w:szCs w:val="20"/>
              </w:rPr>
              <w:t>ženami</w:t>
            </w:r>
            <w:r>
              <w:rPr>
                <w:spacing w:val="-2"/>
                <w:szCs w:val="20"/>
              </w:rPr>
              <w:t>), u</w:t>
            </w:r>
            <w:r w:rsidRPr="00955EC6">
              <w:rPr>
                <w:spacing w:val="-2"/>
                <w:szCs w:val="20"/>
              </w:rPr>
              <w:t> </w:t>
            </w:r>
            <w:r>
              <w:rPr>
                <w:spacing w:val="-2"/>
                <w:szCs w:val="20"/>
              </w:rPr>
              <w:t>zaměstnavatelů (podnikatelů se zaměstnanci) 30</w:t>
            </w:r>
            <w:r w:rsidR="006454CC">
              <w:rPr>
                <w:spacing w:val="-2"/>
                <w:szCs w:val="20"/>
              </w:rPr>
              <w:t> %</w:t>
            </w:r>
            <w:r w:rsidR="00333BE7">
              <w:rPr>
                <w:spacing w:val="-2"/>
                <w:szCs w:val="20"/>
              </w:rPr>
              <w:t>,</w:t>
            </w:r>
            <w:r>
              <w:rPr>
                <w:spacing w:val="-2"/>
                <w:szCs w:val="20"/>
              </w:rPr>
              <w:t xml:space="preserve"> </w:t>
            </w:r>
            <w:r w:rsidR="00BC7833">
              <w:rPr>
                <w:spacing w:val="-2"/>
                <w:szCs w:val="20"/>
              </w:rPr>
              <w:t>a v </w:t>
            </w:r>
            <w:r>
              <w:rPr>
                <w:spacing w:val="-2"/>
                <w:szCs w:val="20"/>
              </w:rPr>
              <w:t>případě sebezaměstnaných či pomáhajících rodinných příslušníků dokonce 37</w:t>
            </w:r>
            <w:r w:rsidR="006454CC">
              <w:rPr>
                <w:spacing w:val="-2"/>
                <w:szCs w:val="20"/>
              </w:rPr>
              <w:t> %</w:t>
            </w:r>
            <w:r>
              <w:rPr>
                <w:spacing w:val="-2"/>
                <w:szCs w:val="20"/>
              </w:rPr>
              <w:t xml:space="preserve"> (</w:t>
            </w:r>
            <w:r w:rsidR="00BC7833">
              <w:rPr>
                <w:spacing w:val="-2"/>
                <w:szCs w:val="20"/>
              </w:rPr>
              <w:t>s </w:t>
            </w:r>
            <w:r>
              <w:rPr>
                <w:spacing w:val="-2"/>
                <w:szCs w:val="20"/>
              </w:rPr>
              <w:t xml:space="preserve">vyšším podílem mezi ženami). Zatímco </w:t>
            </w:r>
            <w:r w:rsidR="00BC7833">
              <w:rPr>
                <w:spacing w:val="-2"/>
                <w:szCs w:val="20"/>
              </w:rPr>
              <w:t>u </w:t>
            </w:r>
            <w:r>
              <w:rPr>
                <w:spacing w:val="-2"/>
                <w:szCs w:val="20"/>
              </w:rPr>
              <w:t xml:space="preserve">zaměstnanců došlo </w:t>
            </w:r>
            <w:r w:rsidR="00BC7833">
              <w:rPr>
                <w:spacing w:val="-2"/>
                <w:szCs w:val="20"/>
              </w:rPr>
              <w:t>k </w:t>
            </w:r>
            <w:r>
              <w:rPr>
                <w:spacing w:val="-2"/>
                <w:szCs w:val="20"/>
              </w:rPr>
              <w:t xml:space="preserve">mírnému růstu těchto forem práce až po roce 2015, </w:t>
            </w:r>
            <w:r w:rsidR="00BC7833">
              <w:rPr>
                <w:spacing w:val="-2"/>
                <w:szCs w:val="20"/>
              </w:rPr>
              <w:t>u </w:t>
            </w:r>
            <w:r>
              <w:rPr>
                <w:spacing w:val="-2"/>
                <w:szCs w:val="20"/>
              </w:rPr>
              <w:t xml:space="preserve">obou skupin podnikatelů byl růst za poslední dekádu mnohem plynulejší </w:t>
            </w:r>
            <w:r w:rsidR="00BC7833">
              <w:rPr>
                <w:spacing w:val="-2"/>
                <w:szCs w:val="20"/>
              </w:rPr>
              <w:t>a </w:t>
            </w:r>
            <w:r>
              <w:rPr>
                <w:spacing w:val="-2"/>
                <w:szCs w:val="20"/>
              </w:rPr>
              <w:t>intenzivnější (</w:t>
            </w:r>
            <w:r w:rsidR="00BC7833">
              <w:rPr>
                <w:spacing w:val="-2"/>
                <w:szCs w:val="20"/>
              </w:rPr>
              <w:t>v </w:t>
            </w:r>
            <w:r>
              <w:rPr>
                <w:spacing w:val="-2"/>
                <w:szCs w:val="20"/>
              </w:rPr>
              <w:t xml:space="preserve">úhrnu </w:t>
            </w:r>
            <w:r w:rsidR="00BC7833">
              <w:rPr>
                <w:spacing w:val="-2"/>
                <w:szCs w:val="20"/>
              </w:rPr>
              <w:t>o </w:t>
            </w:r>
            <w:r>
              <w:rPr>
                <w:spacing w:val="-2"/>
                <w:szCs w:val="20"/>
              </w:rPr>
              <w:t xml:space="preserve">bezmála deset procentních bodů). Lepší možnosti skloubení pracovního </w:t>
            </w:r>
            <w:r w:rsidR="00BC7833">
              <w:rPr>
                <w:spacing w:val="-2"/>
                <w:szCs w:val="20"/>
              </w:rPr>
              <w:t>a </w:t>
            </w:r>
            <w:r>
              <w:rPr>
                <w:spacing w:val="-2"/>
                <w:szCs w:val="20"/>
              </w:rPr>
              <w:t xml:space="preserve">rodinného života </w:t>
            </w:r>
            <w:r w:rsidR="00BC7833">
              <w:rPr>
                <w:spacing w:val="-2"/>
                <w:szCs w:val="20"/>
              </w:rPr>
              <w:t>u </w:t>
            </w:r>
            <w:r>
              <w:rPr>
                <w:spacing w:val="-2"/>
                <w:szCs w:val="20"/>
              </w:rPr>
              <w:t>některých forem drobného podnikání mohou být jedním z faktorů vysvětlující</w:t>
            </w:r>
            <w:r w:rsidR="00333BE7">
              <w:rPr>
                <w:spacing w:val="-2"/>
                <w:szCs w:val="20"/>
              </w:rPr>
              <w:t>ch</w:t>
            </w:r>
            <w:r>
              <w:rPr>
                <w:spacing w:val="-2"/>
                <w:szCs w:val="20"/>
              </w:rPr>
              <w:t xml:space="preserve"> nárůst počtu </w:t>
            </w:r>
            <w:r w:rsidR="00BC7833">
              <w:rPr>
                <w:spacing w:val="-2"/>
                <w:szCs w:val="20"/>
              </w:rPr>
              <w:t>i </w:t>
            </w:r>
            <w:r>
              <w:rPr>
                <w:spacing w:val="-2"/>
                <w:szCs w:val="20"/>
              </w:rPr>
              <w:t>podílu sebezaměstnaných žen</w:t>
            </w:r>
            <w:r>
              <w:rPr>
                <w:rStyle w:val="Znakapoznpodarou"/>
                <w:rFonts w:cs="Arial"/>
                <w:color w:val="0D0D0D" w:themeColor="text1" w:themeTint="F2"/>
                <w:spacing w:val="-4"/>
              </w:rPr>
              <w:footnoteReference w:id="43"/>
            </w:r>
            <w:r>
              <w:rPr>
                <w:spacing w:val="-2"/>
                <w:szCs w:val="20"/>
              </w:rPr>
              <w:t>.</w:t>
            </w:r>
          </w:p>
        </w:tc>
      </w:tr>
      <w:tr w:rsidR="009E674A" w:rsidRPr="00711FC2" w14:paraId="6D89168B" w14:textId="77777777" w:rsidTr="006F668F">
        <w:trPr>
          <w:trHeight w:val="429"/>
        </w:trPr>
        <w:tc>
          <w:tcPr>
            <w:tcW w:w="1976" w:type="dxa"/>
          </w:tcPr>
          <w:p w14:paraId="678F1349" w14:textId="77777777" w:rsidR="009E674A" w:rsidRPr="00106639" w:rsidRDefault="009E674A" w:rsidP="006F668F">
            <w:pPr>
              <w:pStyle w:val="Marginlie"/>
            </w:pPr>
            <w:r>
              <w:t xml:space="preserve">Podíl nedobrovolně pracujících na dobu určitou klesl mezi roky 2015 </w:t>
            </w:r>
            <w:r w:rsidR="00BC7833">
              <w:t>a </w:t>
            </w:r>
            <w:r>
              <w:t xml:space="preserve">2018 </w:t>
            </w:r>
            <w:r w:rsidR="00BC7833">
              <w:t>o </w:t>
            </w:r>
            <w:r>
              <w:t>dvě pětiny. Snížil se také podíl nedobrovolně zaměstnaných na zkrácené úvazky.</w:t>
            </w:r>
          </w:p>
        </w:tc>
        <w:tc>
          <w:tcPr>
            <w:tcW w:w="277" w:type="dxa"/>
          </w:tcPr>
          <w:p w14:paraId="76E3B40E" w14:textId="77777777" w:rsidR="009E674A" w:rsidRPr="00356158" w:rsidRDefault="009E674A" w:rsidP="006F668F">
            <w:pPr>
              <w:pStyle w:val="Textpoznpodarou"/>
              <w:jc w:val="both"/>
              <w:rPr>
                <w:rFonts w:eastAsia="Times New Roman"/>
                <w:spacing w:val="-2"/>
                <w:sz w:val="16"/>
                <w:szCs w:val="16"/>
              </w:rPr>
            </w:pPr>
          </w:p>
        </w:tc>
        <w:tc>
          <w:tcPr>
            <w:tcW w:w="7391" w:type="dxa"/>
          </w:tcPr>
          <w:p w14:paraId="187F7A72" w14:textId="49CE412F" w:rsidR="009E674A" w:rsidRPr="00955EC6" w:rsidRDefault="009E674A" w:rsidP="006F668F">
            <w:pPr>
              <w:spacing w:after="220"/>
              <w:rPr>
                <w:spacing w:val="-2"/>
                <w:szCs w:val="20"/>
              </w:rPr>
            </w:pPr>
            <w:r>
              <w:rPr>
                <w:spacing w:val="-2"/>
                <w:szCs w:val="20"/>
              </w:rPr>
              <w:t>Nedostatečně saturov</w:t>
            </w:r>
            <w:r w:rsidR="00333BE7">
              <w:rPr>
                <w:spacing w:val="-2"/>
                <w:szCs w:val="20"/>
              </w:rPr>
              <w:t>aná</w:t>
            </w:r>
            <w:r>
              <w:rPr>
                <w:spacing w:val="-2"/>
                <w:szCs w:val="20"/>
              </w:rPr>
              <w:t xml:space="preserve"> poptávka po pracovnících se v posledních letech odrazila v dalších kvalitativních charakteristikách zaměstnanosti. Nejviditelnější</w:t>
            </w:r>
            <w:r w:rsidR="005123B5">
              <w:rPr>
                <w:spacing w:val="-2"/>
                <w:szCs w:val="20"/>
              </w:rPr>
              <w:t>m</w:t>
            </w:r>
            <w:r>
              <w:rPr>
                <w:spacing w:val="-2"/>
                <w:szCs w:val="20"/>
              </w:rPr>
              <w:t xml:space="preserve"> rysem bylo snížení zastoupení prekérních forem pracovních úvazků. Mezi roky 2015 </w:t>
            </w:r>
            <w:r w:rsidR="00BC7833">
              <w:rPr>
                <w:spacing w:val="-2"/>
                <w:szCs w:val="20"/>
              </w:rPr>
              <w:t>a </w:t>
            </w:r>
            <w:r>
              <w:rPr>
                <w:spacing w:val="-2"/>
                <w:szCs w:val="20"/>
              </w:rPr>
              <w:t xml:space="preserve">2018 klesl podíl zaměstnanců pracujících na dobu určitou </w:t>
            </w:r>
            <w:r w:rsidR="00BC7833">
              <w:rPr>
                <w:spacing w:val="-2"/>
                <w:szCs w:val="20"/>
              </w:rPr>
              <w:t>z </w:t>
            </w:r>
            <w:r>
              <w:rPr>
                <w:spacing w:val="-2"/>
                <w:szCs w:val="20"/>
              </w:rPr>
              <w:t>rekordních 10,4</w:t>
            </w:r>
            <w:r w:rsidR="006454CC">
              <w:rPr>
                <w:spacing w:val="-2"/>
                <w:szCs w:val="20"/>
              </w:rPr>
              <w:t> %</w:t>
            </w:r>
            <w:r>
              <w:rPr>
                <w:rStyle w:val="Znakapoznpodarou"/>
                <w:rFonts w:cs="Arial"/>
                <w:color w:val="0D0D0D" w:themeColor="text1" w:themeTint="F2"/>
                <w:spacing w:val="-4"/>
              </w:rPr>
              <w:footnoteReference w:id="44"/>
            </w:r>
            <w:r>
              <w:rPr>
                <w:spacing w:val="-2"/>
                <w:szCs w:val="20"/>
              </w:rPr>
              <w:t xml:space="preserve"> na 8,9 %. Efekt hospodářského cyklu je ještě více patrný, pokud započítáme pouze osoby, které pracují na dobu určitou z důvodu nemožnosti nalézt trvalou práci</w:t>
            </w:r>
            <w:r>
              <w:rPr>
                <w:rStyle w:val="Znakapoznpodarou"/>
                <w:rFonts w:cs="Arial"/>
                <w:color w:val="0D0D0D" w:themeColor="text1" w:themeTint="F2"/>
                <w:spacing w:val="-4"/>
              </w:rPr>
              <w:footnoteReference w:id="45"/>
            </w:r>
            <w:r>
              <w:rPr>
                <w:spacing w:val="-2"/>
                <w:szCs w:val="20"/>
              </w:rPr>
              <w:t>. Tyto osoby tvořily loni 5,1</w:t>
            </w:r>
            <w:r w:rsidR="006454CC">
              <w:rPr>
                <w:spacing w:val="-2"/>
                <w:szCs w:val="20"/>
              </w:rPr>
              <w:t> %</w:t>
            </w:r>
            <w:r>
              <w:rPr>
                <w:spacing w:val="-2"/>
                <w:szCs w:val="20"/>
              </w:rPr>
              <w:t xml:space="preserve"> zaměstnanců, před třemi lety ale 8,4</w:t>
            </w:r>
            <w:r w:rsidR="006454CC">
              <w:rPr>
                <w:spacing w:val="-2"/>
                <w:szCs w:val="20"/>
              </w:rPr>
              <w:t> %</w:t>
            </w:r>
            <w:r>
              <w:rPr>
                <w:spacing w:val="-2"/>
                <w:szCs w:val="20"/>
              </w:rPr>
              <w:t xml:space="preserve">. Loňský podíl odpovídá běžné úrovni za konjunktury minulé dekády. Obdobný vývoj byl patrný také </w:t>
            </w:r>
            <w:r w:rsidR="00BC7833">
              <w:rPr>
                <w:spacing w:val="-2"/>
                <w:szCs w:val="20"/>
              </w:rPr>
              <w:t>u </w:t>
            </w:r>
            <w:r>
              <w:rPr>
                <w:spacing w:val="-2"/>
                <w:szCs w:val="20"/>
              </w:rPr>
              <w:t>podskupiny tvořené agenturními pracovníky s term</w:t>
            </w:r>
            <w:r w:rsidR="00327B04">
              <w:rPr>
                <w:spacing w:val="-2"/>
                <w:szCs w:val="20"/>
              </w:rPr>
              <w:t>í</w:t>
            </w:r>
            <w:r>
              <w:rPr>
                <w:spacing w:val="-2"/>
                <w:szCs w:val="20"/>
              </w:rPr>
              <w:t>novanými pracovními smlouvami. Klesl také</w:t>
            </w:r>
            <w:r w:rsidR="006454CC">
              <w:rPr>
                <w:spacing w:val="-2"/>
                <w:szCs w:val="20"/>
              </w:rPr>
              <w:t xml:space="preserve"> </w:t>
            </w:r>
            <w:r>
              <w:rPr>
                <w:spacing w:val="-2"/>
                <w:szCs w:val="20"/>
              </w:rPr>
              <w:t>podíl nedobrovolně zaměstnaných na zkrácené úvazky</w:t>
            </w:r>
            <w:r w:rsidR="0037734D">
              <w:rPr>
                <w:spacing w:val="-2"/>
                <w:szCs w:val="20"/>
              </w:rPr>
              <w:t xml:space="preserve"> – </w:t>
            </w:r>
            <w:r>
              <w:rPr>
                <w:spacing w:val="-2"/>
                <w:szCs w:val="20"/>
              </w:rPr>
              <w:t>ze 17,5</w:t>
            </w:r>
            <w:r w:rsidR="006454CC">
              <w:rPr>
                <w:spacing w:val="-2"/>
                <w:szCs w:val="20"/>
              </w:rPr>
              <w:t> %</w:t>
            </w:r>
            <w:r>
              <w:rPr>
                <w:spacing w:val="-2"/>
                <w:szCs w:val="20"/>
              </w:rPr>
              <w:t xml:space="preserve"> v roce 2014 na 5,4</w:t>
            </w:r>
            <w:r w:rsidR="006454CC">
              <w:rPr>
                <w:spacing w:val="-2"/>
                <w:szCs w:val="20"/>
              </w:rPr>
              <w:t> %</w:t>
            </w:r>
            <w:r>
              <w:rPr>
                <w:spacing w:val="-2"/>
                <w:szCs w:val="20"/>
              </w:rPr>
              <w:t>. Loňský podíl řadil</w:t>
            </w:r>
            <w:r w:rsidR="005123B5">
              <w:rPr>
                <w:spacing w:val="-2"/>
                <w:szCs w:val="20"/>
              </w:rPr>
              <w:t xml:space="preserve"> Česko (společně s Estonskem) do čela</w:t>
            </w:r>
            <w:r>
              <w:rPr>
                <w:spacing w:val="-2"/>
                <w:szCs w:val="20"/>
              </w:rPr>
              <w:t xml:space="preserve"> zemí</w:t>
            </w:r>
            <w:r w:rsidR="00327B04">
              <w:rPr>
                <w:spacing w:val="-2"/>
                <w:szCs w:val="20"/>
              </w:rPr>
              <w:t> </w:t>
            </w:r>
            <w:r>
              <w:rPr>
                <w:spacing w:val="-2"/>
                <w:szCs w:val="20"/>
              </w:rPr>
              <w:t>EU (</w:t>
            </w:r>
            <w:r w:rsidR="00BC7833">
              <w:rPr>
                <w:spacing w:val="-2"/>
                <w:szCs w:val="20"/>
              </w:rPr>
              <w:t>v </w:t>
            </w:r>
            <w:r>
              <w:rPr>
                <w:spacing w:val="-2"/>
                <w:szCs w:val="20"/>
              </w:rPr>
              <w:t xml:space="preserve">celé Unii šlo skoro </w:t>
            </w:r>
            <w:r w:rsidR="00BC7833">
              <w:rPr>
                <w:spacing w:val="-2"/>
                <w:szCs w:val="20"/>
              </w:rPr>
              <w:t>o </w:t>
            </w:r>
            <w:r>
              <w:rPr>
                <w:spacing w:val="-2"/>
                <w:szCs w:val="20"/>
              </w:rPr>
              <w:t>čtvrtinu zaměstnanců).</w:t>
            </w:r>
          </w:p>
        </w:tc>
      </w:tr>
      <w:tr w:rsidR="009E674A" w:rsidRPr="00711FC2" w14:paraId="6524336F" w14:textId="77777777" w:rsidTr="006F668F">
        <w:trPr>
          <w:trHeight w:val="429"/>
        </w:trPr>
        <w:tc>
          <w:tcPr>
            <w:tcW w:w="1976" w:type="dxa"/>
          </w:tcPr>
          <w:p w14:paraId="3F32B600" w14:textId="689010A4" w:rsidR="009E674A" w:rsidRPr="00106639" w:rsidRDefault="00BC7833" w:rsidP="006F668F">
            <w:pPr>
              <w:pStyle w:val="Marginlie"/>
            </w:pPr>
            <w:r>
              <w:t>V </w:t>
            </w:r>
            <w:r w:rsidR="009E674A">
              <w:t xml:space="preserve">poslední dekádě se snižoval </w:t>
            </w:r>
            <w:r>
              <w:t>i </w:t>
            </w:r>
            <w:r w:rsidR="009E674A">
              <w:t xml:space="preserve">podíl osob s dlouhou týdenní pracovní dobou </w:t>
            </w:r>
            <w:r>
              <w:t>i </w:t>
            </w:r>
            <w:r w:rsidR="009E674A">
              <w:t xml:space="preserve">zastoupení </w:t>
            </w:r>
            <w:r w:rsidR="00327B04">
              <w:t xml:space="preserve">osob </w:t>
            </w:r>
            <w:r w:rsidR="009E674A">
              <w:lastRenderedPageBreak/>
              <w:t xml:space="preserve">obvykle pracujících </w:t>
            </w:r>
            <w:r>
              <w:t>o </w:t>
            </w:r>
            <w:r w:rsidR="009E674A">
              <w:t>víkendu.</w:t>
            </w:r>
          </w:p>
        </w:tc>
        <w:tc>
          <w:tcPr>
            <w:tcW w:w="277" w:type="dxa"/>
          </w:tcPr>
          <w:p w14:paraId="177D003C" w14:textId="77777777" w:rsidR="009E674A" w:rsidRPr="00356158" w:rsidRDefault="009E674A" w:rsidP="006F668F">
            <w:pPr>
              <w:pStyle w:val="Textpoznpodarou"/>
              <w:jc w:val="both"/>
              <w:rPr>
                <w:rFonts w:eastAsia="Times New Roman"/>
                <w:spacing w:val="-2"/>
                <w:sz w:val="16"/>
                <w:szCs w:val="16"/>
              </w:rPr>
            </w:pPr>
          </w:p>
        </w:tc>
        <w:tc>
          <w:tcPr>
            <w:tcW w:w="7391" w:type="dxa"/>
          </w:tcPr>
          <w:p w14:paraId="317EB64B" w14:textId="5B81E730" w:rsidR="009E674A" w:rsidRPr="00955EC6" w:rsidRDefault="009E674A" w:rsidP="006F668F">
            <w:pPr>
              <w:spacing w:after="220"/>
              <w:rPr>
                <w:spacing w:val="-2"/>
                <w:szCs w:val="20"/>
              </w:rPr>
            </w:pPr>
            <w:r>
              <w:rPr>
                <w:spacing w:val="-2"/>
                <w:szCs w:val="20"/>
              </w:rPr>
              <w:t>Za posledních deset let lze pozorovat také snižování podílů zaměstnaných, kteří odpracovali obvykle více než 4</w:t>
            </w:r>
            <w:r w:rsidR="00D82A1E">
              <w:rPr>
                <w:spacing w:val="-2"/>
                <w:szCs w:val="20"/>
              </w:rPr>
              <w:t>8 </w:t>
            </w:r>
            <w:r>
              <w:rPr>
                <w:spacing w:val="-2"/>
                <w:szCs w:val="20"/>
              </w:rPr>
              <w:t>hodin týdně</w:t>
            </w:r>
            <w:r w:rsidR="00327B04">
              <w:rPr>
                <w:spacing w:val="-2"/>
                <w:szCs w:val="20"/>
              </w:rPr>
              <w:t>,</w:t>
            </w:r>
            <w:r>
              <w:rPr>
                <w:spacing w:val="-2"/>
                <w:szCs w:val="20"/>
              </w:rPr>
              <w:t xml:space="preserve"> </w:t>
            </w:r>
            <w:r w:rsidR="00BC7833">
              <w:rPr>
                <w:spacing w:val="-2"/>
                <w:szCs w:val="20"/>
              </w:rPr>
              <w:t>a </w:t>
            </w:r>
            <w:r>
              <w:rPr>
                <w:spacing w:val="-2"/>
                <w:szCs w:val="20"/>
              </w:rPr>
              <w:t xml:space="preserve">s tím související pokles četnosti osob, které obvykle pracovaly </w:t>
            </w:r>
            <w:r w:rsidR="00BC7833">
              <w:rPr>
                <w:spacing w:val="-2"/>
                <w:szCs w:val="20"/>
              </w:rPr>
              <w:t>o </w:t>
            </w:r>
            <w:r>
              <w:rPr>
                <w:spacing w:val="-2"/>
                <w:szCs w:val="20"/>
              </w:rPr>
              <w:t>víkendu. Jestliže v roce 2008 vykonávalo mezi osobami ve věku 15</w:t>
            </w:r>
            <w:r>
              <w:rPr>
                <w:spacing w:val="-2"/>
              </w:rPr>
              <w:t>–</w:t>
            </w:r>
            <w:r>
              <w:rPr>
                <w:spacing w:val="-2"/>
                <w:szCs w:val="20"/>
              </w:rPr>
              <w:t>6</w:t>
            </w:r>
            <w:r w:rsidR="00D82A1E">
              <w:rPr>
                <w:spacing w:val="-2"/>
                <w:szCs w:val="20"/>
              </w:rPr>
              <w:t>4 </w:t>
            </w:r>
            <w:r>
              <w:rPr>
                <w:spacing w:val="-2"/>
                <w:szCs w:val="20"/>
              </w:rPr>
              <w:t>let obvykle pracovní činnost v sobotu 23,0</w:t>
            </w:r>
            <w:r w:rsidR="006454CC">
              <w:rPr>
                <w:spacing w:val="-2"/>
                <w:szCs w:val="20"/>
              </w:rPr>
              <w:t> %</w:t>
            </w:r>
            <w:r w:rsidR="00327B04">
              <w:rPr>
                <w:spacing w:val="-2"/>
                <w:szCs w:val="20"/>
              </w:rPr>
              <w:t>,</w:t>
            </w:r>
            <w:r>
              <w:rPr>
                <w:spacing w:val="-2"/>
                <w:szCs w:val="20"/>
              </w:rPr>
              <w:t xml:space="preserve"> </w:t>
            </w:r>
            <w:r w:rsidR="00BC7833">
              <w:rPr>
                <w:spacing w:val="-2"/>
                <w:szCs w:val="20"/>
              </w:rPr>
              <w:t>o </w:t>
            </w:r>
            <w:r>
              <w:rPr>
                <w:spacing w:val="-2"/>
                <w:szCs w:val="20"/>
              </w:rPr>
              <w:t>deset let později 15,9</w:t>
            </w:r>
            <w:r w:rsidR="006454CC">
              <w:rPr>
                <w:spacing w:val="-2"/>
                <w:szCs w:val="20"/>
              </w:rPr>
              <w:t> %</w:t>
            </w:r>
            <w:r>
              <w:rPr>
                <w:spacing w:val="-2"/>
                <w:szCs w:val="20"/>
              </w:rPr>
              <w:t xml:space="preserve">. </w:t>
            </w:r>
            <w:r w:rsidR="00BC7833">
              <w:rPr>
                <w:spacing w:val="-2"/>
                <w:szCs w:val="20"/>
              </w:rPr>
              <w:lastRenderedPageBreak/>
              <w:t>U </w:t>
            </w:r>
            <w:r>
              <w:rPr>
                <w:spacing w:val="-2"/>
                <w:szCs w:val="20"/>
              </w:rPr>
              <w:t xml:space="preserve">nedělní práce </w:t>
            </w:r>
            <w:r w:rsidR="00327B04">
              <w:rPr>
                <w:spacing w:val="-2"/>
                <w:szCs w:val="20"/>
              </w:rPr>
              <w:t>by</w:t>
            </w:r>
            <w:r>
              <w:rPr>
                <w:spacing w:val="-2"/>
                <w:szCs w:val="20"/>
              </w:rPr>
              <w:t>l obdobný posun ze 14,6</w:t>
            </w:r>
            <w:r w:rsidR="006454CC">
              <w:rPr>
                <w:spacing w:val="-2"/>
                <w:szCs w:val="20"/>
              </w:rPr>
              <w:t> %</w:t>
            </w:r>
            <w:r>
              <w:rPr>
                <w:spacing w:val="-2"/>
                <w:szCs w:val="20"/>
              </w:rPr>
              <w:t xml:space="preserve"> na 11,3</w:t>
            </w:r>
            <w:r w:rsidR="006454CC">
              <w:rPr>
                <w:spacing w:val="-2"/>
                <w:szCs w:val="20"/>
              </w:rPr>
              <w:t> %</w:t>
            </w:r>
            <w:r>
              <w:rPr>
                <w:spacing w:val="-2"/>
                <w:szCs w:val="20"/>
              </w:rPr>
              <w:t xml:space="preserve">. Na </w:t>
            </w:r>
            <w:r w:rsidR="00327B04">
              <w:rPr>
                <w:spacing w:val="-2"/>
                <w:szCs w:val="20"/>
              </w:rPr>
              <w:t>druhé straně</w:t>
            </w:r>
            <w:r>
              <w:rPr>
                <w:spacing w:val="-2"/>
                <w:szCs w:val="20"/>
              </w:rPr>
              <w:t xml:space="preserve"> v tomto období mírně vzrostl podíl příležitostné víkendové práce</w:t>
            </w:r>
            <w:r w:rsidR="0037734D">
              <w:rPr>
                <w:spacing w:val="-2"/>
                <w:szCs w:val="20"/>
              </w:rPr>
              <w:t xml:space="preserve"> – </w:t>
            </w:r>
            <w:r w:rsidR="00BC7833">
              <w:rPr>
                <w:spacing w:val="-2"/>
                <w:szCs w:val="20"/>
              </w:rPr>
              <w:t>o </w:t>
            </w:r>
            <w:r>
              <w:rPr>
                <w:spacing w:val="-2"/>
                <w:szCs w:val="20"/>
              </w:rPr>
              <w:t>sobotách ze 17,1</w:t>
            </w:r>
            <w:r w:rsidR="006454CC">
              <w:rPr>
                <w:spacing w:val="-2"/>
                <w:szCs w:val="20"/>
              </w:rPr>
              <w:t> %</w:t>
            </w:r>
            <w:r>
              <w:rPr>
                <w:spacing w:val="-2"/>
                <w:szCs w:val="20"/>
              </w:rPr>
              <w:t xml:space="preserve"> na 21,5</w:t>
            </w:r>
            <w:r w:rsidR="006454CC">
              <w:rPr>
                <w:spacing w:val="-2"/>
                <w:szCs w:val="20"/>
              </w:rPr>
              <w:t> %</w:t>
            </w:r>
            <w:r>
              <w:rPr>
                <w:spacing w:val="-2"/>
                <w:szCs w:val="20"/>
              </w:rPr>
              <w:t xml:space="preserve"> </w:t>
            </w:r>
            <w:r w:rsidR="00BC7833">
              <w:rPr>
                <w:spacing w:val="-2"/>
                <w:szCs w:val="20"/>
              </w:rPr>
              <w:t>a </w:t>
            </w:r>
            <w:r w:rsidR="00EA2A43">
              <w:rPr>
                <w:spacing w:val="-2"/>
                <w:szCs w:val="20"/>
              </w:rPr>
              <w:t>o </w:t>
            </w:r>
            <w:r>
              <w:rPr>
                <w:spacing w:val="-2"/>
                <w:szCs w:val="20"/>
              </w:rPr>
              <w:t xml:space="preserve">nedělích </w:t>
            </w:r>
            <w:r w:rsidR="00BC7833">
              <w:rPr>
                <w:spacing w:val="-2"/>
                <w:szCs w:val="20"/>
              </w:rPr>
              <w:t>z </w:t>
            </w:r>
            <w:r>
              <w:rPr>
                <w:spacing w:val="-2"/>
                <w:szCs w:val="20"/>
              </w:rPr>
              <w:t>11,3</w:t>
            </w:r>
            <w:r w:rsidR="006454CC">
              <w:rPr>
                <w:spacing w:val="-2"/>
                <w:szCs w:val="20"/>
              </w:rPr>
              <w:t> %</w:t>
            </w:r>
            <w:r>
              <w:rPr>
                <w:spacing w:val="-2"/>
                <w:szCs w:val="20"/>
              </w:rPr>
              <w:t xml:space="preserve"> na 14,5</w:t>
            </w:r>
            <w:r w:rsidR="006454CC">
              <w:rPr>
                <w:spacing w:val="-2"/>
                <w:szCs w:val="20"/>
              </w:rPr>
              <w:t> %</w:t>
            </w:r>
            <w:r>
              <w:rPr>
                <w:spacing w:val="-2"/>
                <w:szCs w:val="20"/>
              </w:rPr>
              <w:t>. Podíl osob uvádě</w:t>
            </w:r>
            <w:r w:rsidR="00537E4B">
              <w:rPr>
                <w:spacing w:val="-2"/>
                <w:szCs w:val="20"/>
              </w:rPr>
              <w:t xml:space="preserve">jících, že </w:t>
            </w:r>
            <w:r w:rsidR="00BC7833">
              <w:rPr>
                <w:spacing w:val="-2"/>
                <w:szCs w:val="20"/>
              </w:rPr>
              <w:t>o </w:t>
            </w:r>
            <w:r w:rsidR="00537E4B">
              <w:rPr>
                <w:spacing w:val="-2"/>
                <w:szCs w:val="20"/>
              </w:rPr>
              <w:t>víkendu nepracují</w:t>
            </w:r>
            <w:r>
              <w:rPr>
                <w:spacing w:val="-2"/>
                <w:szCs w:val="20"/>
              </w:rPr>
              <w:t xml:space="preserve"> vůbec, tak klesl jen mírně. Víkendová práce je častější </w:t>
            </w:r>
            <w:r w:rsidR="00BC7833">
              <w:rPr>
                <w:spacing w:val="-2"/>
                <w:szCs w:val="20"/>
              </w:rPr>
              <w:t>u </w:t>
            </w:r>
            <w:r>
              <w:rPr>
                <w:spacing w:val="-2"/>
                <w:szCs w:val="20"/>
              </w:rPr>
              <w:t xml:space="preserve">mužů (zejména pokud jde </w:t>
            </w:r>
            <w:r w:rsidR="00BC7833">
              <w:rPr>
                <w:spacing w:val="-2"/>
                <w:szCs w:val="20"/>
              </w:rPr>
              <w:t>o </w:t>
            </w:r>
            <w:r>
              <w:rPr>
                <w:spacing w:val="-2"/>
                <w:szCs w:val="20"/>
              </w:rPr>
              <w:t>tu příležitostnou), její „obliba“</w:t>
            </w:r>
            <w:r w:rsidR="00327B04">
              <w:rPr>
                <w:spacing w:val="-2"/>
                <w:szCs w:val="20"/>
              </w:rPr>
              <w:t xml:space="preserve"> </w:t>
            </w:r>
            <w:r>
              <w:rPr>
                <w:spacing w:val="-2"/>
                <w:szCs w:val="20"/>
              </w:rPr>
              <w:t>se snižuje s narůstajícím věkem</w:t>
            </w:r>
            <w:r>
              <w:rPr>
                <w:rStyle w:val="Znakapoznpodarou"/>
                <w:rFonts w:cs="Arial"/>
                <w:color w:val="0D0D0D" w:themeColor="text1" w:themeTint="F2"/>
                <w:spacing w:val="-4"/>
              </w:rPr>
              <w:footnoteReference w:id="46"/>
            </w:r>
            <w:r>
              <w:rPr>
                <w:spacing w:val="-2"/>
                <w:szCs w:val="20"/>
              </w:rPr>
              <w:t>.</w:t>
            </w:r>
          </w:p>
        </w:tc>
      </w:tr>
      <w:tr w:rsidR="009E674A" w:rsidRPr="00711FC2" w14:paraId="19B213C5" w14:textId="77777777" w:rsidTr="006F668F">
        <w:trPr>
          <w:trHeight w:val="429"/>
        </w:trPr>
        <w:tc>
          <w:tcPr>
            <w:tcW w:w="1976" w:type="dxa"/>
          </w:tcPr>
          <w:p w14:paraId="38D62183" w14:textId="77777777" w:rsidR="009E674A" w:rsidRDefault="009E674A" w:rsidP="006F668F">
            <w:pPr>
              <w:pStyle w:val="Marginlie"/>
            </w:pPr>
            <w:r>
              <w:lastRenderedPageBreak/>
              <w:t xml:space="preserve">Obvyklá víkendová práce byla častější mezi podnikateli </w:t>
            </w:r>
            <w:r w:rsidR="00BC7833">
              <w:t>a </w:t>
            </w:r>
            <w:r>
              <w:t xml:space="preserve">také </w:t>
            </w:r>
            <w:r w:rsidR="00BC7833">
              <w:t>u </w:t>
            </w:r>
            <w:r>
              <w:t xml:space="preserve">osob pracujících ve službách </w:t>
            </w:r>
            <w:r w:rsidR="00BC7833">
              <w:t>a </w:t>
            </w:r>
            <w:r>
              <w:t xml:space="preserve">obchodě či v zemědělství, lesnictví </w:t>
            </w:r>
            <w:r w:rsidR="00BC7833">
              <w:t>a </w:t>
            </w:r>
            <w:r>
              <w:t>rybářství.</w:t>
            </w:r>
          </w:p>
          <w:p w14:paraId="09D05F8E" w14:textId="77777777" w:rsidR="009E674A" w:rsidRDefault="009E674A" w:rsidP="006F668F">
            <w:pPr>
              <w:pStyle w:val="Marginlie"/>
            </w:pPr>
          </w:p>
          <w:p w14:paraId="19EE9092" w14:textId="77777777" w:rsidR="009E674A" w:rsidRDefault="009E674A" w:rsidP="006F668F">
            <w:pPr>
              <w:pStyle w:val="Marginlie"/>
            </w:pPr>
          </w:p>
          <w:p w14:paraId="702CFD8A" w14:textId="77777777" w:rsidR="009E674A" w:rsidRDefault="009E674A" w:rsidP="006F668F">
            <w:pPr>
              <w:pStyle w:val="Marginlie"/>
            </w:pPr>
          </w:p>
          <w:p w14:paraId="0907826F" w14:textId="77777777" w:rsidR="009E674A" w:rsidRDefault="009E674A" w:rsidP="006F668F">
            <w:pPr>
              <w:pStyle w:val="Marginlie"/>
            </w:pPr>
          </w:p>
          <w:p w14:paraId="00239400" w14:textId="77777777" w:rsidR="009E674A" w:rsidRDefault="009E674A" w:rsidP="006F668F">
            <w:pPr>
              <w:pStyle w:val="Marginlie"/>
            </w:pPr>
          </w:p>
          <w:p w14:paraId="6FF175E6" w14:textId="77777777" w:rsidR="009E674A" w:rsidRPr="00106639" w:rsidRDefault="009E674A" w:rsidP="006F668F">
            <w:pPr>
              <w:pStyle w:val="Marginlie"/>
            </w:pPr>
            <w:r>
              <w:t>Pokles výskytu časté víkendové práce měl v poslední dekádě převážně plošný charakter.</w:t>
            </w:r>
          </w:p>
        </w:tc>
        <w:tc>
          <w:tcPr>
            <w:tcW w:w="277" w:type="dxa"/>
          </w:tcPr>
          <w:p w14:paraId="1D44F7B6" w14:textId="77777777" w:rsidR="009E674A" w:rsidRPr="00356158" w:rsidRDefault="009E674A" w:rsidP="006F668F">
            <w:pPr>
              <w:pStyle w:val="Textpoznpodarou"/>
              <w:jc w:val="both"/>
              <w:rPr>
                <w:rFonts w:eastAsia="Times New Roman"/>
                <w:spacing w:val="-2"/>
                <w:sz w:val="16"/>
                <w:szCs w:val="16"/>
              </w:rPr>
            </w:pPr>
          </w:p>
        </w:tc>
        <w:tc>
          <w:tcPr>
            <w:tcW w:w="7391" w:type="dxa"/>
          </w:tcPr>
          <w:p w14:paraId="79DFCC6B" w14:textId="2D482261" w:rsidR="009E674A" w:rsidRDefault="009E674A" w:rsidP="006F668F">
            <w:pPr>
              <w:spacing w:after="220"/>
              <w:rPr>
                <w:spacing w:val="-2"/>
                <w:szCs w:val="20"/>
              </w:rPr>
            </w:pPr>
            <w:r>
              <w:rPr>
                <w:spacing w:val="-2"/>
                <w:szCs w:val="20"/>
              </w:rPr>
              <w:t xml:space="preserve">Četnost víkendové práce se liší </w:t>
            </w:r>
            <w:r w:rsidR="00BC7833">
              <w:rPr>
                <w:spacing w:val="-2"/>
                <w:szCs w:val="20"/>
              </w:rPr>
              <w:t>v </w:t>
            </w:r>
            <w:r>
              <w:rPr>
                <w:spacing w:val="-2"/>
                <w:szCs w:val="20"/>
              </w:rPr>
              <w:t xml:space="preserve">závislosti </w:t>
            </w:r>
            <w:r w:rsidR="00C653FE">
              <w:rPr>
                <w:spacing w:val="-2"/>
                <w:szCs w:val="20"/>
              </w:rPr>
              <w:t xml:space="preserve">na </w:t>
            </w:r>
            <w:r>
              <w:rPr>
                <w:spacing w:val="-2"/>
                <w:szCs w:val="20"/>
              </w:rPr>
              <w:t xml:space="preserve">charakteru vykonávané činnosti </w:t>
            </w:r>
            <w:r w:rsidR="00BC7833">
              <w:rPr>
                <w:spacing w:val="-2"/>
                <w:szCs w:val="20"/>
              </w:rPr>
              <w:t>a </w:t>
            </w:r>
            <w:r>
              <w:rPr>
                <w:spacing w:val="-2"/>
                <w:szCs w:val="20"/>
              </w:rPr>
              <w:t>postavení v zaměstnání. V sobotu či neděli loni pracovalo bezmála 30</w:t>
            </w:r>
            <w:r w:rsidR="006454CC">
              <w:rPr>
                <w:spacing w:val="-2"/>
                <w:szCs w:val="20"/>
              </w:rPr>
              <w:t> %</w:t>
            </w:r>
            <w:r>
              <w:rPr>
                <w:spacing w:val="-2"/>
                <w:szCs w:val="20"/>
              </w:rPr>
              <w:t xml:space="preserve"> podnikatelů se zaměstnanci, čtvrtina sebezaměstnaných, ale jen každý sedmý zaměstnanec. V některých odvětvích či profesích lze víkendovou práci považovat za přirozenou. V kategorii pracovníků </w:t>
            </w:r>
            <w:r w:rsidR="008B685F">
              <w:rPr>
                <w:spacing w:val="-2"/>
                <w:szCs w:val="20"/>
              </w:rPr>
              <w:t xml:space="preserve">ve </w:t>
            </w:r>
            <w:r>
              <w:rPr>
                <w:spacing w:val="-2"/>
                <w:szCs w:val="20"/>
              </w:rPr>
              <w:t xml:space="preserve">službách </w:t>
            </w:r>
            <w:r w:rsidR="00BC7833">
              <w:rPr>
                <w:spacing w:val="-2"/>
                <w:szCs w:val="20"/>
              </w:rPr>
              <w:t>a </w:t>
            </w:r>
            <w:r>
              <w:rPr>
                <w:spacing w:val="-2"/>
                <w:szCs w:val="20"/>
              </w:rPr>
              <w:t xml:space="preserve">obchodě </w:t>
            </w:r>
            <w:r w:rsidR="00BC7833">
              <w:rPr>
                <w:spacing w:val="-2"/>
                <w:szCs w:val="20"/>
              </w:rPr>
              <w:t>a </w:t>
            </w:r>
            <w:r>
              <w:rPr>
                <w:spacing w:val="-2"/>
                <w:szCs w:val="20"/>
              </w:rPr>
              <w:t xml:space="preserve">také u kvalifikovaných pracovníků v zemědělství, lesnictví </w:t>
            </w:r>
            <w:r w:rsidR="00BC7833">
              <w:rPr>
                <w:spacing w:val="-2"/>
                <w:szCs w:val="20"/>
              </w:rPr>
              <w:t>a </w:t>
            </w:r>
            <w:r>
              <w:rPr>
                <w:spacing w:val="-2"/>
                <w:szCs w:val="20"/>
              </w:rPr>
              <w:t xml:space="preserve">rybářství tuto formu práce uváděla více než třetina zaměstnanců </w:t>
            </w:r>
            <w:r w:rsidR="00BC7833">
              <w:rPr>
                <w:spacing w:val="-2"/>
                <w:szCs w:val="20"/>
              </w:rPr>
              <w:t>a </w:t>
            </w:r>
            <w:r>
              <w:rPr>
                <w:spacing w:val="-2"/>
                <w:szCs w:val="20"/>
              </w:rPr>
              <w:t xml:space="preserve">skoro polovina osob samostatně výdělečně činných. Naopak mezi úředníky </w:t>
            </w:r>
            <w:r w:rsidR="00BC7833">
              <w:rPr>
                <w:spacing w:val="-2"/>
                <w:szCs w:val="20"/>
              </w:rPr>
              <w:t>a </w:t>
            </w:r>
            <w:r>
              <w:rPr>
                <w:spacing w:val="-2"/>
                <w:szCs w:val="20"/>
              </w:rPr>
              <w:t>také ve třídách zahrnující</w:t>
            </w:r>
            <w:r w:rsidR="00537E4B">
              <w:rPr>
                <w:spacing w:val="-2"/>
                <w:szCs w:val="20"/>
              </w:rPr>
              <w:t>ch</w:t>
            </w:r>
            <w:r>
              <w:rPr>
                <w:spacing w:val="-2"/>
                <w:szCs w:val="20"/>
              </w:rPr>
              <w:t xml:space="preserve"> nejvíce kvalifikované činnosti šlo jen </w:t>
            </w:r>
            <w:r w:rsidR="00BC7833">
              <w:rPr>
                <w:spacing w:val="-2"/>
                <w:szCs w:val="20"/>
              </w:rPr>
              <w:t>o </w:t>
            </w:r>
            <w:r>
              <w:rPr>
                <w:spacing w:val="-2"/>
                <w:szCs w:val="20"/>
              </w:rPr>
              <w:t>8–12</w:t>
            </w:r>
            <w:r w:rsidR="006454CC">
              <w:rPr>
                <w:spacing w:val="-2"/>
                <w:szCs w:val="20"/>
              </w:rPr>
              <w:t> %</w:t>
            </w:r>
            <w:r>
              <w:rPr>
                <w:spacing w:val="-2"/>
                <w:szCs w:val="20"/>
              </w:rPr>
              <w:t xml:space="preserve"> osob</w:t>
            </w:r>
            <w:r>
              <w:rPr>
                <w:rStyle w:val="Znakapoznpodarou"/>
                <w:rFonts w:cs="Arial"/>
                <w:color w:val="0D0D0D" w:themeColor="text1" w:themeTint="F2"/>
                <w:spacing w:val="-4"/>
              </w:rPr>
              <w:footnoteReference w:id="47"/>
            </w:r>
            <w:r>
              <w:rPr>
                <w:spacing w:val="-2"/>
                <w:szCs w:val="20"/>
              </w:rPr>
              <w:t xml:space="preserve">. Překvapivě vykázali podobně nízký podíl také pomocní a nekvalifikovaní pracovníci, naproti tomu </w:t>
            </w:r>
            <w:r w:rsidR="00BC7833">
              <w:rPr>
                <w:spacing w:val="-2"/>
                <w:szCs w:val="20"/>
              </w:rPr>
              <w:t>u </w:t>
            </w:r>
            <w:r>
              <w:rPr>
                <w:spacing w:val="-2"/>
                <w:szCs w:val="20"/>
              </w:rPr>
              <w:t>osob obsluhujících stroje a zařízení (v</w:t>
            </w:r>
            <w:r w:rsidR="00BA35F3">
              <w:rPr>
                <w:spacing w:val="-2"/>
                <w:szCs w:val="20"/>
              </w:rPr>
              <w:t>č. </w:t>
            </w:r>
            <w:r>
              <w:rPr>
                <w:spacing w:val="-2"/>
                <w:szCs w:val="20"/>
              </w:rPr>
              <w:t>montérů) šlo o nadprůměrných 20</w:t>
            </w:r>
            <w:r w:rsidR="006454CC">
              <w:rPr>
                <w:spacing w:val="-2"/>
                <w:szCs w:val="20"/>
              </w:rPr>
              <w:t> %</w:t>
            </w:r>
            <w:r>
              <w:rPr>
                <w:spacing w:val="-2"/>
                <w:szCs w:val="20"/>
              </w:rPr>
              <w:t xml:space="preserve">. Pokles četnosti obvyklé víkendové práce byl za poslední desetiletí poměrně rovnoměrný z pohledu pohlaví, postavení v zaměstnání i většiny kvalifikačních tříd (nejvíce </w:t>
            </w:r>
            <w:r w:rsidR="00772DA9">
              <w:rPr>
                <w:spacing w:val="-2"/>
                <w:szCs w:val="20"/>
              </w:rPr>
              <w:t>se projevil u zákonodárců</w:t>
            </w:r>
            <w:r>
              <w:rPr>
                <w:spacing w:val="-2"/>
                <w:szCs w:val="20"/>
              </w:rPr>
              <w:t xml:space="preserve"> </w:t>
            </w:r>
            <w:r w:rsidR="00BC7833">
              <w:rPr>
                <w:spacing w:val="-2"/>
                <w:szCs w:val="20"/>
              </w:rPr>
              <w:t>a </w:t>
            </w:r>
            <w:r>
              <w:rPr>
                <w:spacing w:val="-2"/>
                <w:szCs w:val="20"/>
              </w:rPr>
              <w:t>vedoucí</w:t>
            </w:r>
            <w:r w:rsidR="00772DA9">
              <w:rPr>
                <w:spacing w:val="-2"/>
                <w:szCs w:val="20"/>
              </w:rPr>
              <w:t>ch</w:t>
            </w:r>
            <w:r>
              <w:rPr>
                <w:spacing w:val="-2"/>
                <w:szCs w:val="20"/>
              </w:rPr>
              <w:t xml:space="preserve"> </w:t>
            </w:r>
            <w:r w:rsidR="00BC7833">
              <w:rPr>
                <w:spacing w:val="-2"/>
                <w:szCs w:val="20"/>
              </w:rPr>
              <w:t>i </w:t>
            </w:r>
            <w:r>
              <w:rPr>
                <w:spacing w:val="-2"/>
                <w:szCs w:val="20"/>
              </w:rPr>
              <w:t>řídící</w:t>
            </w:r>
            <w:r w:rsidR="00772DA9">
              <w:rPr>
                <w:spacing w:val="-2"/>
                <w:szCs w:val="20"/>
              </w:rPr>
              <w:t>ch</w:t>
            </w:r>
            <w:r>
              <w:rPr>
                <w:spacing w:val="-2"/>
                <w:szCs w:val="20"/>
              </w:rPr>
              <w:t xml:space="preserve"> </w:t>
            </w:r>
            <w:r w:rsidR="00772DA9">
              <w:rPr>
                <w:spacing w:val="-2"/>
                <w:szCs w:val="20"/>
              </w:rPr>
              <w:t xml:space="preserve">pracovníků </w:t>
            </w:r>
            <w:r w:rsidR="00BC7833">
              <w:rPr>
                <w:spacing w:val="-2"/>
                <w:szCs w:val="20"/>
              </w:rPr>
              <w:t>a </w:t>
            </w:r>
            <w:r>
              <w:rPr>
                <w:spacing w:val="-2"/>
                <w:szCs w:val="20"/>
              </w:rPr>
              <w:t xml:space="preserve">dále </w:t>
            </w:r>
            <w:r w:rsidR="00772DA9">
              <w:rPr>
                <w:spacing w:val="-2"/>
                <w:szCs w:val="20"/>
              </w:rPr>
              <w:t xml:space="preserve">pracovníků </w:t>
            </w:r>
            <w:r>
              <w:rPr>
                <w:spacing w:val="-2"/>
                <w:szCs w:val="20"/>
              </w:rPr>
              <w:t xml:space="preserve">ve službách </w:t>
            </w:r>
            <w:r w:rsidR="00BC7833">
              <w:rPr>
                <w:spacing w:val="-2"/>
                <w:szCs w:val="20"/>
              </w:rPr>
              <w:t>a </w:t>
            </w:r>
            <w:r>
              <w:rPr>
                <w:spacing w:val="-2"/>
                <w:szCs w:val="20"/>
              </w:rPr>
              <w:t xml:space="preserve">obchodě, naopak </w:t>
            </w:r>
            <w:r w:rsidR="00BC7833">
              <w:rPr>
                <w:spacing w:val="-2"/>
                <w:szCs w:val="20"/>
              </w:rPr>
              <w:t>u </w:t>
            </w:r>
            <w:r>
              <w:rPr>
                <w:spacing w:val="-2"/>
                <w:szCs w:val="20"/>
              </w:rPr>
              <w:t>specialistů jen osciloval kolem 10</w:t>
            </w:r>
            <w:r w:rsidR="006454CC">
              <w:rPr>
                <w:spacing w:val="-2"/>
                <w:szCs w:val="20"/>
              </w:rPr>
              <w:t> %</w:t>
            </w:r>
            <w:r>
              <w:rPr>
                <w:spacing w:val="-2"/>
                <w:szCs w:val="20"/>
              </w:rPr>
              <w:t>).</w:t>
            </w:r>
          </w:p>
        </w:tc>
      </w:tr>
      <w:tr w:rsidR="009E674A" w:rsidRPr="00711FC2" w14:paraId="406CE1F9" w14:textId="77777777" w:rsidTr="006F668F">
        <w:trPr>
          <w:trHeight w:val="429"/>
        </w:trPr>
        <w:tc>
          <w:tcPr>
            <w:tcW w:w="1976" w:type="dxa"/>
          </w:tcPr>
          <w:p w14:paraId="5FAD1972" w14:textId="77777777" w:rsidR="009E674A" w:rsidRPr="00106639" w:rsidRDefault="009E674A" w:rsidP="006F668F">
            <w:pPr>
              <w:pStyle w:val="Marginlie"/>
            </w:pPr>
            <w:r>
              <w:t xml:space="preserve"> </w:t>
            </w:r>
          </w:p>
        </w:tc>
        <w:tc>
          <w:tcPr>
            <w:tcW w:w="277" w:type="dxa"/>
          </w:tcPr>
          <w:p w14:paraId="0EB6230D" w14:textId="77777777" w:rsidR="009E674A" w:rsidRPr="005E4483" w:rsidRDefault="009E674A" w:rsidP="006F668F">
            <w:pPr>
              <w:pStyle w:val="Textpoznpodarou"/>
              <w:jc w:val="both"/>
              <w:rPr>
                <w:spacing w:val="-4"/>
              </w:rPr>
            </w:pPr>
          </w:p>
        </w:tc>
        <w:tc>
          <w:tcPr>
            <w:tcW w:w="7391" w:type="dxa"/>
          </w:tcPr>
          <w:p w14:paraId="7C6B6E21" w14:textId="304A8AE8" w:rsidR="009E674A" w:rsidRPr="00537E4B" w:rsidRDefault="009E674A" w:rsidP="00537E4B">
            <w:pPr>
              <w:spacing w:after="0"/>
            </w:pPr>
            <w:r>
              <w:rPr>
                <w:b/>
              </w:rPr>
              <w:t xml:space="preserve">Graf </w:t>
            </w:r>
            <w:r w:rsidR="00BA35F3">
              <w:rPr>
                <w:b/>
              </w:rPr>
              <w:t>č. </w:t>
            </w:r>
            <w:r>
              <w:rPr>
                <w:b/>
              </w:rPr>
              <w:t>14</w:t>
            </w:r>
            <w:r w:rsidRPr="003601A5">
              <w:rPr>
                <w:b/>
              </w:rPr>
              <w:t xml:space="preserve">  </w:t>
            </w:r>
            <w:r>
              <w:rPr>
                <w:b/>
              </w:rPr>
              <w:t>Podíl osob působících v náročnějších pracovních podmínkách</w:t>
            </w:r>
            <w:r w:rsidR="00537E4B">
              <w:rPr>
                <w:b/>
              </w:rPr>
              <w:t xml:space="preserve"> na </w:t>
            </w:r>
            <w:r w:rsidR="00537E4B" w:rsidRPr="00537E4B">
              <w:rPr>
                <w:b/>
              </w:rPr>
              <w:t>všech zaměstnancích, resp. zaměstnaných</w:t>
            </w:r>
            <w:r w:rsidR="008B685F">
              <w:rPr>
                <w:b/>
              </w:rPr>
              <w:t>,</w:t>
            </w:r>
            <w:r w:rsidR="00537E4B" w:rsidRPr="00537E4B">
              <w:rPr>
                <w:b/>
              </w:rPr>
              <w:t xml:space="preserve"> ve věku 15 až 6</w:t>
            </w:r>
            <w:r w:rsidR="00D82A1E" w:rsidRPr="00537E4B">
              <w:rPr>
                <w:b/>
              </w:rPr>
              <w:t>4</w:t>
            </w:r>
            <w:r w:rsidR="00D82A1E">
              <w:rPr>
                <w:b/>
              </w:rPr>
              <w:t> </w:t>
            </w:r>
            <w:r w:rsidR="00537E4B" w:rsidRPr="00537E4B">
              <w:rPr>
                <w:b/>
              </w:rPr>
              <w:t>let</w:t>
            </w:r>
            <w:r w:rsidR="00537E4B">
              <w:t xml:space="preserve"> (</w:t>
            </w:r>
            <w:r w:rsidR="008B685F">
              <w:t>v </w:t>
            </w:r>
            <w:r w:rsidR="00537E4B">
              <w:t>%</w:t>
            </w:r>
            <w:r w:rsidRPr="00DC7FBA">
              <w:t>)</w:t>
            </w:r>
          </w:p>
        </w:tc>
      </w:tr>
      <w:tr w:rsidR="009E674A" w14:paraId="1B23C214" w14:textId="77777777" w:rsidTr="00D37034">
        <w:tblPrEx>
          <w:tblCellMar>
            <w:left w:w="70" w:type="dxa"/>
            <w:right w:w="70" w:type="dxa"/>
          </w:tblCellMar>
        </w:tblPrEx>
        <w:trPr>
          <w:trHeight w:val="429"/>
        </w:trPr>
        <w:tc>
          <w:tcPr>
            <w:tcW w:w="1976" w:type="dxa"/>
          </w:tcPr>
          <w:p w14:paraId="2C25DC35" w14:textId="77777777" w:rsidR="009E674A" w:rsidRPr="00106639" w:rsidRDefault="009E674A" w:rsidP="006F668F">
            <w:pPr>
              <w:pStyle w:val="Marginlie"/>
            </w:pPr>
          </w:p>
        </w:tc>
        <w:tc>
          <w:tcPr>
            <w:tcW w:w="277" w:type="dxa"/>
          </w:tcPr>
          <w:p w14:paraId="437DB36C" w14:textId="77777777" w:rsidR="009E674A" w:rsidRPr="005E4483" w:rsidRDefault="009E674A" w:rsidP="006F668F">
            <w:pPr>
              <w:pStyle w:val="Textpoznpodarou"/>
              <w:jc w:val="both"/>
              <w:rPr>
                <w:spacing w:val="-4"/>
              </w:rPr>
            </w:pPr>
          </w:p>
        </w:tc>
        <w:tc>
          <w:tcPr>
            <w:tcW w:w="7391" w:type="dxa"/>
          </w:tcPr>
          <w:p w14:paraId="48590BBA" w14:textId="4BB7AAAA" w:rsidR="009E674A" w:rsidRDefault="00D37034" w:rsidP="006F668F">
            <w:pPr>
              <w:spacing w:after="0"/>
            </w:pPr>
            <w:r>
              <w:rPr>
                <w:noProof/>
              </w:rPr>
              <w:drawing>
                <wp:inline distT="0" distB="0" distL="0" distR="0" wp14:anchorId="601B258E" wp14:editId="41E7F3FA">
                  <wp:extent cx="4585921" cy="3524250"/>
                  <wp:effectExtent l="0" t="0" r="5715" b="0"/>
                  <wp:docPr id="57" name="Graf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tc>
      </w:tr>
      <w:tr w:rsidR="009E674A" w:rsidRPr="00711FC2" w14:paraId="34C08125" w14:textId="77777777" w:rsidTr="006F668F">
        <w:trPr>
          <w:trHeight w:val="429"/>
        </w:trPr>
        <w:tc>
          <w:tcPr>
            <w:tcW w:w="1976" w:type="dxa"/>
          </w:tcPr>
          <w:p w14:paraId="45D93522" w14:textId="77777777" w:rsidR="009E674A" w:rsidRPr="00106639" w:rsidRDefault="009E674A" w:rsidP="006F668F">
            <w:pPr>
              <w:pStyle w:val="Marginlie"/>
            </w:pPr>
          </w:p>
        </w:tc>
        <w:tc>
          <w:tcPr>
            <w:tcW w:w="277" w:type="dxa"/>
          </w:tcPr>
          <w:p w14:paraId="38D83836" w14:textId="77777777" w:rsidR="009E674A" w:rsidRPr="005E4483" w:rsidRDefault="009E674A" w:rsidP="006F668F">
            <w:pPr>
              <w:pStyle w:val="Textpoznpodarou"/>
              <w:jc w:val="both"/>
              <w:rPr>
                <w:spacing w:val="-4"/>
              </w:rPr>
            </w:pPr>
          </w:p>
        </w:tc>
        <w:tc>
          <w:tcPr>
            <w:tcW w:w="7391" w:type="dxa"/>
          </w:tcPr>
          <w:p w14:paraId="59F147CE" w14:textId="7D78FE0F" w:rsidR="009E674A" w:rsidRPr="00DC7FBA" w:rsidRDefault="009E674A" w:rsidP="006F668F">
            <w:pPr>
              <w:spacing w:after="0" w:line="240" w:lineRule="auto"/>
              <w:jc w:val="left"/>
              <w:rPr>
                <w:rFonts w:cs="Arial"/>
                <w:sz w:val="14"/>
                <w:szCs w:val="14"/>
              </w:rPr>
            </w:pPr>
            <w:r w:rsidRPr="00DC7FBA">
              <w:rPr>
                <w:rFonts w:cs="Arial"/>
                <w:sz w:val="14"/>
                <w:szCs w:val="14"/>
              </w:rPr>
              <w:t>*Osoby pracující touto formou obvykle, **Osoby, které nemohly najít práci na plný úvazek, **Osoby, které nemohly najít trvalou práci (</w:t>
            </w:r>
            <w:r>
              <w:rPr>
                <w:rFonts w:cs="Arial"/>
                <w:sz w:val="14"/>
                <w:szCs w:val="14"/>
              </w:rPr>
              <w:t>resp.</w:t>
            </w:r>
            <w:r w:rsidR="008B685F">
              <w:rPr>
                <w:rFonts w:cs="Arial"/>
                <w:sz w:val="14"/>
                <w:szCs w:val="14"/>
              </w:rPr>
              <w:t> </w:t>
            </w:r>
            <w:r>
              <w:rPr>
                <w:rFonts w:cs="Arial"/>
                <w:sz w:val="14"/>
                <w:szCs w:val="14"/>
              </w:rPr>
              <w:t xml:space="preserve">práci </w:t>
            </w:r>
            <w:r w:rsidRPr="00DC7FBA">
              <w:rPr>
                <w:rFonts w:cs="Arial"/>
                <w:sz w:val="14"/>
                <w:szCs w:val="14"/>
              </w:rPr>
              <w:t>na dobu neurčitou)</w:t>
            </w:r>
          </w:p>
          <w:p w14:paraId="185CA206" w14:textId="77777777" w:rsidR="009E674A" w:rsidRPr="00DC7FBA" w:rsidRDefault="009E674A" w:rsidP="006F668F">
            <w:pPr>
              <w:spacing w:after="220"/>
              <w:jc w:val="left"/>
              <w:rPr>
                <w:rFonts w:cs="Arial"/>
                <w:sz w:val="14"/>
                <w:szCs w:val="14"/>
              </w:rPr>
            </w:pPr>
            <w:r>
              <w:rPr>
                <w:rFonts w:cs="Arial"/>
                <w:sz w:val="14"/>
                <w:szCs w:val="14"/>
              </w:rPr>
              <w:t xml:space="preserve">Zdroj: Eurostat </w:t>
            </w:r>
            <w:r w:rsidR="00BC7833">
              <w:rPr>
                <w:rFonts w:cs="Arial"/>
                <w:sz w:val="14"/>
                <w:szCs w:val="14"/>
              </w:rPr>
              <w:t>a </w:t>
            </w:r>
            <w:r>
              <w:rPr>
                <w:rFonts w:cs="Arial"/>
                <w:sz w:val="14"/>
                <w:szCs w:val="14"/>
              </w:rPr>
              <w:t>ČSÚ (VŠPS)</w:t>
            </w:r>
          </w:p>
        </w:tc>
      </w:tr>
      <w:tr w:rsidR="009E674A" w:rsidRPr="00CD2028" w14:paraId="3175EF75" w14:textId="77777777" w:rsidTr="006F668F">
        <w:trPr>
          <w:trHeight w:val="429"/>
        </w:trPr>
        <w:tc>
          <w:tcPr>
            <w:tcW w:w="1976" w:type="dxa"/>
          </w:tcPr>
          <w:p w14:paraId="58272E6C" w14:textId="77777777" w:rsidR="009E674A" w:rsidRDefault="009E674A" w:rsidP="006F668F">
            <w:pPr>
              <w:pStyle w:val="Marginlie"/>
            </w:pPr>
            <w:r>
              <w:t xml:space="preserve">Podíl zaměstnanců pracujících na směny se dlouhodobě výrazně nemění. Je doménou </w:t>
            </w:r>
            <w:r>
              <w:lastRenderedPageBreak/>
              <w:t>především nejmladších pracovníků.</w:t>
            </w:r>
          </w:p>
          <w:p w14:paraId="722CD819" w14:textId="77777777" w:rsidR="009E674A" w:rsidRDefault="009E674A" w:rsidP="006F668F">
            <w:pPr>
              <w:pStyle w:val="Marginlie"/>
            </w:pPr>
          </w:p>
          <w:p w14:paraId="3D6B2261" w14:textId="4E68F4FA" w:rsidR="009E674A" w:rsidRDefault="00BC7833" w:rsidP="006F668F">
            <w:pPr>
              <w:pStyle w:val="Marginlie"/>
            </w:pPr>
            <w:r>
              <w:t>U </w:t>
            </w:r>
            <w:r w:rsidR="009E674A">
              <w:t>žen ve věku 25–3</w:t>
            </w:r>
            <w:r w:rsidR="00D82A1E">
              <w:t>9 </w:t>
            </w:r>
            <w:r w:rsidR="009E674A">
              <w:t xml:space="preserve">let dochází k výraznému </w:t>
            </w:r>
            <w:r w:rsidR="00537E4B">
              <w:t>snížení četnosti práce na směny v důs</w:t>
            </w:r>
            <w:r w:rsidR="00BC09D5">
              <w:t>l</w:t>
            </w:r>
            <w:r w:rsidR="00537E4B">
              <w:t>edku obtížného skloubení této práce s </w:t>
            </w:r>
            <w:r w:rsidR="00F57510">
              <w:t>péčí</w:t>
            </w:r>
            <w:r w:rsidR="00537E4B">
              <w:t xml:space="preserve"> </w:t>
            </w:r>
            <w:r>
              <w:t>o </w:t>
            </w:r>
            <w:r w:rsidR="00537E4B">
              <w:t>malé děti.</w:t>
            </w:r>
          </w:p>
        </w:tc>
        <w:tc>
          <w:tcPr>
            <w:tcW w:w="277" w:type="dxa"/>
          </w:tcPr>
          <w:p w14:paraId="5212C146" w14:textId="77777777" w:rsidR="009E674A" w:rsidRPr="00356158" w:rsidRDefault="009E674A" w:rsidP="006F668F">
            <w:pPr>
              <w:pStyle w:val="Textpoznpodarou"/>
              <w:jc w:val="both"/>
              <w:rPr>
                <w:rFonts w:eastAsia="Times New Roman"/>
                <w:spacing w:val="-2"/>
                <w:sz w:val="16"/>
                <w:szCs w:val="16"/>
              </w:rPr>
            </w:pPr>
          </w:p>
        </w:tc>
        <w:tc>
          <w:tcPr>
            <w:tcW w:w="7391" w:type="dxa"/>
          </w:tcPr>
          <w:p w14:paraId="348D72B2" w14:textId="435BA6AD" w:rsidR="009E674A" w:rsidRPr="00B42156" w:rsidRDefault="009E674A" w:rsidP="006F668F">
            <w:pPr>
              <w:spacing w:after="220"/>
              <w:rPr>
                <w:spacing w:val="-2"/>
                <w:szCs w:val="20"/>
              </w:rPr>
            </w:pPr>
            <w:r w:rsidRPr="00B42156">
              <w:rPr>
                <w:spacing w:val="-2"/>
                <w:szCs w:val="20"/>
              </w:rPr>
              <w:t xml:space="preserve">Jestliže víkendová práce je v některých činnostech </w:t>
            </w:r>
            <w:r>
              <w:rPr>
                <w:spacing w:val="-2"/>
                <w:szCs w:val="20"/>
              </w:rPr>
              <w:t xml:space="preserve">(služby vázané na volnočasové aktivity obyvatelstva, stavebnictví, energetika) přirozená </w:t>
            </w:r>
            <w:r w:rsidR="00BC7833">
              <w:rPr>
                <w:spacing w:val="-2"/>
                <w:szCs w:val="20"/>
              </w:rPr>
              <w:t>a </w:t>
            </w:r>
            <w:r>
              <w:rPr>
                <w:spacing w:val="-2"/>
                <w:szCs w:val="20"/>
              </w:rPr>
              <w:t>zejména v době hospodářského růstu</w:t>
            </w:r>
            <w:r w:rsidRPr="00B42156">
              <w:rPr>
                <w:spacing w:val="-2"/>
                <w:szCs w:val="20"/>
              </w:rPr>
              <w:t xml:space="preserve"> dokonce </w:t>
            </w:r>
            <w:r w:rsidR="00BC7833">
              <w:rPr>
                <w:spacing w:val="-2"/>
                <w:szCs w:val="20"/>
              </w:rPr>
              <w:t>i </w:t>
            </w:r>
            <w:r w:rsidRPr="00B42156">
              <w:rPr>
                <w:spacing w:val="-2"/>
                <w:szCs w:val="20"/>
              </w:rPr>
              <w:t>vítaná forma</w:t>
            </w:r>
            <w:r>
              <w:rPr>
                <w:spacing w:val="-2"/>
                <w:szCs w:val="20"/>
              </w:rPr>
              <w:t xml:space="preserve"> aktivity, v případě směnné</w:t>
            </w:r>
            <w:r w:rsidR="00BC09D5">
              <w:rPr>
                <w:spacing w:val="-2"/>
                <w:szCs w:val="20"/>
              </w:rPr>
              <w:t>,</w:t>
            </w:r>
            <w:r>
              <w:rPr>
                <w:spacing w:val="-2"/>
                <w:szCs w:val="20"/>
              </w:rPr>
              <w:t xml:space="preserve"> či dokonce noční práce jde </w:t>
            </w:r>
            <w:r w:rsidR="00BC7833">
              <w:rPr>
                <w:spacing w:val="-2"/>
                <w:szCs w:val="20"/>
              </w:rPr>
              <w:t>o </w:t>
            </w:r>
            <w:r>
              <w:rPr>
                <w:spacing w:val="-2"/>
                <w:szCs w:val="20"/>
              </w:rPr>
              <w:t xml:space="preserve">formy, které představují pro zaměstnance (bez ohledu na mzdové </w:t>
            </w:r>
            <w:r>
              <w:rPr>
                <w:spacing w:val="-2"/>
                <w:szCs w:val="20"/>
              </w:rPr>
              <w:lastRenderedPageBreak/>
              <w:t>benefity z toho plynoucí) trvale zvýšenou zátěž, v</w:t>
            </w:r>
            <w:r w:rsidR="00BA35F3">
              <w:rPr>
                <w:spacing w:val="-2"/>
                <w:szCs w:val="20"/>
              </w:rPr>
              <w:t>č. </w:t>
            </w:r>
            <w:r>
              <w:rPr>
                <w:spacing w:val="-2"/>
                <w:szCs w:val="20"/>
              </w:rPr>
              <w:t>možných zdravotních důsledků. Práci na směny deklarovalo loni 27,7</w:t>
            </w:r>
            <w:r w:rsidR="006454CC">
              <w:rPr>
                <w:spacing w:val="-2"/>
                <w:szCs w:val="20"/>
              </w:rPr>
              <w:t> %</w:t>
            </w:r>
            <w:r>
              <w:rPr>
                <w:spacing w:val="-2"/>
                <w:szCs w:val="20"/>
              </w:rPr>
              <w:t xml:space="preserve"> všech zaměstnanců, její četnost v celé dostupné časové řadě (od roku 2001) oscilovala mezi 27 až 30</w:t>
            </w:r>
            <w:r w:rsidR="006454CC">
              <w:rPr>
                <w:spacing w:val="-2"/>
                <w:szCs w:val="20"/>
              </w:rPr>
              <w:t> %</w:t>
            </w:r>
            <w:r>
              <w:rPr>
                <w:spacing w:val="-2"/>
                <w:szCs w:val="20"/>
              </w:rPr>
              <w:t xml:space="preserve">. Přesto lze po roce 2015 identifikovat náznak trendu, </w:t>
            </w:r>
            <w:r w:rsidR="00BC7833">
              <w:rPr>
                <w:spacing w:val="-2"/>
                <w:szCs w:val="20"/>
              </w:rPr>
              <w:t>a </w:t>
            </w:r>
            <w:r>
              <w:rPr>
                <w:spacing w:val="-2"/>
                <w:szCs w:val="20"/>
              </w:rPr>
              <w:t>to u</w:t>
            </w:r>
            <w:r w:rsidR="00BC09D5">
              <w:rPr>
                <w:spacing w:val="-2"/>
                <w:szCs w:val="20"/>
              </w:rPr>
              <w:t> </w:t>
            </w:r>
            <w:r>
              <w:rPr>
                <w:spacing w:val="-2"/>
                <w:szCs w:val="20"/>
              </w:rPr>
              <w:t xml:space="preserve">žen, </w:t>
            </w:r>
            <w:r w:rsidR="00BC7833">
              <w:rPr>
                <w:spacing w:val="-2"/>
                <w:szCs w:val="20"/>
              </w:rPr>
              <w:t>u </w:t>
            </w:r>
            <w:r>
              <w:rPr>
                <w:spacing w:val="-2"/>
                <w:szCs w:val="20"/>
              </w:rPr>
              <w:t>nichž se za poslední tři roky podíl směnné práce snížil z 28,9</w:t>
            </w:r>
            <w:r w:rsidR="006454CC">
              <w:rPr>
                <w:spacing w:val="-2"/>
                <w:szCs w:val="20"/>
              </w:rPr>
              <w:t> %</w:t>
            </w:r>
            <w:r>
              <w:rPr>
                <w:spacing w:val="-2"/>
                <w:szCs w:val="20"/>
              </w:rPr>
              <w:t xml:space="preserve"> na 26,2</w:t>
            </w:r>
            <w:r w:rsidR="006454CC">
              <w:rPr>
                <w:spacing w:val="-2"/>
                <w:szCs w:val="20"/>
              </w:rPr>
              <w:t> %</w:t>
            </w:r>
            <w:r>
              <w:rPr>
                <w:spacing w:val="-2"/>
                <w:szCs w:val="20"/>
              </w:rPr>
              <w:t xml:space="preserve">. Podíl mužů praktikujících směnný režim dlouhodobě velmi mírně převyšuje úroveň </w:t>
            </w:r>
            <w:r w:rsidR="00176A60">
              <w:rPr>
                <w:spacing w:val="-2"/>
                <w:szCs w:val="20"/>
              </w:rPr>
              <w:t>žen. Větší rozdíly jsou patrné při analýze věkových skupin</w:t>
            </w:r>
            <w:r>
              <w:rPr>
                <w:spacing w:val="-2"/>
                <w:szCs w:val="20"/>
              </w:rPr>
              <w:t>. Mezi mladými do 2</w:t>
            </w:r>
            <w:r w:rsidR="00D82A1E">
              <w:rPr>
                <w:spacing w:val="-2"/>
                <w:szCs w:val="20"/>
              </w:rPr>
              <w:t>5 </w:t>
            </w:r>
            <w:r>
              <w:rPr>
                <w:spacing w:val="-2"/>
                <w:szCs w:val="20"/>
              </w:rPr>
              <w:t>let takto</w:t>
            </w:r>
            <w:r w:rsidR="00176A60">
              <w:rPr>
                <w:spacing w:val="-2"/>
                <w:szCs w:val="20"/>
              </w:rPr>
              <w:t xml:space="preserve"> loni pracovalo 41</w:t>
            </w:r>
            <w:r w:rsidR="006454CC">
              <w:rPr>
                <w:spacing w:val="-2"/>
                <w:szCs w:val="20"/>
              </w:rPr>
              <w:t> %</w:t>
            </w:r>
            <w:r w:rsidR="00176A60">
              <w:rPr>
                <w:spacing w:val="-2"/>
                <w:szCs w:val="20"/>
              </w:rPr>
              <w:t xml:space="preserve">, </w:t>
            </w:r>
            <w:r w:rsidR="00BC7833">
              <w:rPr>
                <w:spacing w:val="-2"/>
                <w:szCs w:val="20"/>
              </w:rPr>
              <w:t>u </w:t>
            </w:r>
            <w:r w:rsidR="00176A60">
              <w:rPr>
                <w:spacing w:val="-2"/>
                <w:szCs w:val="20"/>
              </w:rPr>
              <w:t>osob 60</w:t>
            </w:r>
            <w:r w:rsidR="00BC09D5">
              <w:rPr>
                <w:spacing w:val="-2"/>
                <w:szCs w:val="20"/>
              </w:rPr>
              <w:t>-</w:t>
            </w:r>
            <w:r w:rsidR="00176A60">
              <w:rPr>
                <w:spacing w:val="-2"/>
                <w:szCs w:val="20"/>
              </w:rPr>
              <w:t xml:space="preserve"> až </w:t>
            </w:r>
            <w:r>
              <w:rPr>
                <w:spacing w:val="-2"/>
                <w:szCs w:val="20"/>
              </w:rPr>
              <w:t xml:space="preserve">64letých </w:t>
            </w:r>
            <w:r w:rsidR="00BC7833">
              <w:rPr>
                <w:spacing w:val="-2"/>
                <w:szCs w:val="20"/>
              </w:rPr>
              <w:t>o </w:t>
            </w:r>
            <w:r>
              <w:rPr>
                <w:spacing w:val="-2"/>
                <w:szCs w:val="20"/>
              </w:rPr>
              <w:t>polovinu méně a mezi seniory nad 6</w:t>
            </w:r>
            <w:r w:rsidR="00D82A1E">
              <w:rPr>
                <w:spacing w:val="-2"/>
                <w:szCs w:val="20"/>
              </w:rPr>
              <w:t>4 </w:t>
            </w:r>
            <w:r>
              <w:rPr>
                <w:spacing w:val="-2"/>
                <w:szCs w:val="20"/>
              </w:rPr>
              <w:t>let pouze 13</w:t>
            </w:r>
            <w:r w:rsidR="006454CC">
              <w:rPr>
                <w:spacing w:val="-2"/>
                <w:szCs w:val="20"/>
              </w:rPr>
              <w:t> %</w:t>
            </w:r>
            <w:r>
              <w:rPr>
                <w:spacing w:val="-2"/>
                <w:szCs w:val="20"/>
              </w:rPr>
              <w:t xml:space="preserve">. Zatímco </w:t>
            </w:r>
            <w:r w:rsidR="00BC7833">
              <w:rPr>
                <w:spacing w:val="-2"/>
                <w:szCs w:val="20"/>
              </w:rPr>
              <w:t>u </w:t>
            </w:r>
            <w:r>
              <w:rPr>
                <w:spacing w:val="-2"/>
                <w:szCs w:val="20"/>
              </w:rPr>
              <w:t xml:space="preserve">mužů klesá četnost směnné práce s dosaženým věkem plynule, </w:t>
            </w:r>
            <w:r w:rsidR="00BC7833">
              <w:rPr>
                <w:spacing w:val="-2"/>
                <w:szCs w:val="20"/>
              </w:rPr>
              <w:t>u </w:t>
            </w:r>
            <w:r>
              <w:rPr>
                <w:spacing w:val="-2"/>
                <w:szCs w:val="20"/>
              </w:rPr>
              <w:t xml:space="preserve">žen je patrný citelný propad ve skupině 25–39letých (související s obtížným skloubením této práce s řádnou péčí </w:t>
            </w:r>
            <w:r w:rsidR="00BC7833">
              <w:rPr>
                <w:spacing w:val="-2"/>
                <w:szCs w:val="20"/>
              </w:rPr>
              <w:t>o </w:t>
            </w:r>
            <w:r>
              <w:rPr>
                <w:spacing w:val="-2"/>
                <w:szCs w:val="20"/>
              </w:rPr>
              <w:t xml:space="preserve">děti) </w:t>
            </w:r>
            <w:r w:rsidR="00BC7833">
              <w:rPr>
                <w:spacing w:val="-2"/>
                <w:szCs w:val="20"/>
              </w:rPr>
              <w:t>a </w:t>
            </w:r>
            <w:r>
              <w:rPr>
                <w:spacing w:val="-2"/>
                <w:szCs w:val="20"/>
              </w:rPr>
              <w:t xml:space="preserve">následný růst ve středním věku (vrcholící ve skupině </w:t>
            </w:r>
            <w:r w:rsidR="00BC09D5">
              <w:rPr>
                <w:spacing w:val="-2"/>
                <w:szCs w:val="20"/>
              </w:rPr>
              <w:br/>
            </w:r>
            <w:r>
              <w:rPr>
                <w:spacing w:val="-2"/>
                <w:szCs w:val="20"/>
              </w:rPr>
              <w:t xml:space="preserve">50–54letých, kde dokonce mírně převyšuje obdobný podíl </w:t>
            </w:r>
            <w:r w:rsidR="00BC7833">
              <w:rPr>
                <w:spacing w:val="-2"/>
                <w:szCs w:val="20"/>
              </w:rPr>
              <w:t>u </w:t>
            </w:r>
            <w:r>
              <w:rPr>
                <w:spacing w:val="-2"/>
                <w:szCs w:val="20"/>
              </w:rPr>
              <w:t xml:space="preserve">směnné práce mužů). Věkový profil </w:t>
            </w:r>
            <w:r w:rsidR="00BC7833">
              <w:rPr>
                <w:spacing w:val="-2"/>
                <w:szCs w:val="20"/>
              </w:rPr>
              <w:t>u </w:t>
            </w:r>
            <w:r>
              <w:rPr>
                <w:spacing w:val="-2"/>
                <w:szCs w:val="20"/>
              </w:rPr>
              <w:t xml:space="preserve">práce na směny se v čase příliš nemění, vyjma krajních věkových skupin. </w:t>
            </w:r>
            <w:r w:rsidR="00BC7833">
              <w:rPr>
                <w:spacing w:val="-2"/>
                <w:szCs w:val="20"/>
              </w:rPr>
              <w:t>U </w:t>
            </w:r>
            <w:r>
              <w:rPr>
                <w:spacing w:val="-2"/>
                <w:szCs w:val="20"/>
              </w:rPr>
              <w:t xml:space="preserve">nich je </w:t>
            </w:r>
            <w:r w:rsidR="00BC09D5">
              <w:rPr>
                <w:spacing w:val="-2"/>
                <w:szCs w:val="20"/>
              </w:rPr>
              <w:t xml:space="preserve">to </w:t>
            </w:r>
            <w:r>
              <w:rPr>
                <w:spacing w:val="-2"/>
                <w:szCs w:val="20"/>
              </w:rPr>
              <w:t>ovlivněn</w:t>
            </w:r>
            <w:r w:rsidR="00BC09D5">
              <w:rPr>
                <w:spacing w:val="-2"/>
                <w:szCs w:val="20"/>
              </w:rPr>
              <w:t>o</w:t>
            </w:r>
            <w:r>
              <w:rPr>
                <w:spacing w:val="-2"/>
                <w:szCs w:val="20"/>
              </w:rPr>
              <w:t xml:space="preserve"> buď nízkým počtem osob na trhu práce (mladí do 2</w:t>
            </w:r>
            <w:r w:rsidR="00D82A1E">
              <w:rPr>
                <w:spacing w:val="-2"/>
                <w:szCs w:val="20"/>
              </w:rPr>
              <w:t>0 </w:t>
            </w:r>
            <w:r>
              <w:rPr>
                <w:spacing w:val="-2"/>
                <w:szCs w:val="20"/>
              </w:rPr>
              <w:t xml:space="preserve">let), nebo </w:t>
            </w:r>
            <w:r w:rsidR="00BC09D5">
              <w:rPr>
                <w:spacing w:val="-2"/>
                <w:szCs w:val="20"/>
              </w:rPr>
              <w:t>posunem</w:t>
            </w:r>
            <w:r>
              <w:rPr>
                <w:spacing w:val="-2"/>
                <w:szCs w:val="20"/>
              </w:rPr>
              <w:t xml:space="preserve"> důchodového věku (ženy ve skupině 60–6</w:t>
            </w:r>
            <w:r w:rsidR="00D82A1E">
              <w:rPr>
                <w:spacing w:val="-2"/>
                <w:szCs w:val="20"/>
              </w:rPr>
              <w:t>4 </w:t>
            </w:r>
            <w:r>
              <w:rPr>
                <w:spacing w:val="-2"/>
                <w:szCs w:val="20"/>
              </w:rPr>
              <w:t>let).</w:t>
            </w:r>
          </w:p>
        </w:tc>
      </w:tr>
      <w:tr w:rsidR="009E674A" w:rsidRPr="0064673E" w14:paraId="0135C7DA" w14:textId="77777777" w:rsidTr="006F668F">
        <w:trPr>
          <w:trHeight w:val="429"/>
        </w:trPr>
        <w:tc>
          <w:tcPr>
            <w:tcW w:w="1976" w:type="dxa"/>
          </w:tcPr>
          <w:p w14:paraId="14701859" w14:textId="77777777" w:rsidR="009E674A" w:rsidRDefault="009E674A" w:rsidP="006F668F">
            <w:pPr>
              <w:pStyle w:val="Marginlie"/>
            </w:pPr>
          </w:p>
        </w:tc>
        <w:tc>
          <w:tcPr>
            <w:tcW w:w="277" w:type="dxa"/>
          </w:tcPr>
          <w:p w14:paraId="2B62D4B1" w14:textId="77777777" w:rsidR="009E674A" w:rsidRPr="005E4483" w:rsidRDefault="009E674A" w:rsidP="006F668F">
            <w:pPr>
              <w:pStyle w:val="Textpoznpodarou"/>
              <w:jc w:val="both"/>
              <w:rPr>
                <w:spacing w:val="-4"/>
              </w:rPr>
            </w:pPr>
          </w:p>
        </w:tc>
        <w:tc>
          <w:tcPr>
            <w:tcW w:w="7391" w:type="dxa"/>
          </w:tcPr>
          <w:p w14:paraId="09865349" w14:textId="77777777" w:rsidR="009E674A" w:rsidRPr="00176A60" w:rsidRDefault="009E674A" w:rsidP="00176A60">
            <w:pPr>
              <w:spacing w:after="0"/>
              <w:jc w:val="left"/>
            </w:pPr>
            <w:r>
              <w:rPr>
                <w:b/>
              </w:rPr>
              <w:t xml:space="preserve">Graf </w:t>
            </w:r>
            <w:r w:rsidR="00BA35F3">
              <w:rPr>
                <w:b/>
              </w:rPr>
              <w:t>č. </w:t>
            </w:r>
            <w:r>
              <w:rPr>
                <w:b/>
              </w:rPr>
              <w:t>15</w:t>
            </w:r>
            <w:r w:rsidRPr="003601A5">
              <w:rPr>
                <w:b/>
              </w:rPr>
              <w:t xml:space="preserve">  </w:t>
            </w:r>
            <w:r>
              <w:rPr>
                <w:b/>
              </w:rPr>
              <w:t>Podíl osob pracujících na směny</w:t>
            </w:r>
            <w:r w:rsidR="00176A60">
              <w:rPr>
                <w:b/>
              </w:rPr>
              <w:t xml:space="preserve"> na všech zaměstnancích v</w:t>
            </w:r>
            <w:r w:rsidR="00176A60">
              <w:rPr>
                <w:spacing w:val="-2"/>
                <w:szCs w:val="20"/>
              </w:rPr>
              <w:t> </w:t>
            </w:r>
            <w:r w:rsidR="00176A60" w:rsidRPr="00590429">
              <w:rPr>
                <w:b/>
                <w:spacing w:val="-3"/>
              </w:rPr>
              <w:t>příslušné sociodemografické skupině</w:t>
            </w:r>
            <w:r w:rsidR="00176A60">
              <w:rPr>
                <w:spacing w:val="-3"/>
              </w:rPr>
              <w:t xml:space="preserve"> (v</w:t>
            </w:r>
            <w:r w:rsidR="006454CC">
              <w:rPr>
                <w:spacing w:val="-3"/>
              </w:rPr>
              <w:t> %</w:t>
            </w:r>
            <w:r w:rsidR="00176A60" w:rsidRPr="00555090">
              <w:rPr>
                <w:spacing w:val="-3"/>
              </w:rPr>
              <w:t>)</w:t>
            </w:r>
          </w:p>
        </w:tc>
      </w:tr>
      <w:tr w:rsidR="009E674A" w:rsidRPr="0064673E" w14:paraId="74A1887E" w14:textId="77777777" w:rsidTr="006F4BFC">
        <w:tblPrEx>
          <w:tblCellMar>
            <w:left w:w="70" w:type="dxa"/>
            <w:right w:w="70" w:type="dxa"/>
          </w:tblCellMar>
        </w:tblPrEx>
        <w:trPr>
          <w:trHeight w:val="429"/>
        </w:trPr>
        <w:tc>
          <w:tcPr>
            <w:tcW w:w="1976" w:type="dxa"/>
          </w:tcPr>
          <w:p w14:paraId="0740AFBE" w14:textId="77777777" w:rsidR="009E674A" w:rsidRDefault="009E674A" w:rsidP="006F668F">
            <w:pPr>
              <w:pStyle w:val="Marginlie"/>
            </w:pPr>
          </w:p>
        </w:tc>
        <w:tc>
          <w:tcPr>
            <w:tcW w:w="277" w:type="dxa"/>
          </w:tcPr>
          <w:p w14:paraId="57A2D2AE" w14:textId="77777777" w:rsidR="009E674A" w:rsidRPr="005E4483" w:rsidRDefault="009E674A" w:rsidP="006F668F">
            <w:pPr>
              <w:pStyle w:val="Textpoznpodarou"/>
              <w:jc w:val="both"/>
              <w:rPr>
                <w:spacing w:val="-4"/>
              </w:rPr>
            </w:pPr>
          </w:p>
        </w:tc>
        <w:tc>
          <w:tcPr>
            <w:tcW w:w="7391" w:type="dxa"/>
          </w:tcPr>
          <w:p w14:paraId="1C794D92" w14:textId="4FBD80A5" w:rsidR="009E674A" w:rsidRPr="0064673E" w:rsidRDefault="006F4BFC" w:rsidP="006F668F">
            <w:pPr>
              <w:spacing w:after="0" w:line="240" w:lineRule="auto"/>
              <w:jc w:val="left"/>
              <w:rPr>
                <w:rFonts w:cs="Arial"/>
                <w:sz w:val="14"/>
                <w:szCs w:val="14"/>
              </w:rPr>
            </w:pPr>
            <w:r>
              <w:rPr>
                <w:noProof/>
              </w:rPr>
              <w:drawing>
                <wp:inline distT="0" distB="0" distL="0" distR="0" wp14:anchorId="33FD0E03" wp14:editId="509A3AB3">
                  <wp:extent cx="4585921" cy="3524250"/>
                  <wp:effectExtent l="0" t="0" r="5715" b="0"/>
                  <wp:docPr id="58" name="Graf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tc>
      </w:tr>
      <w:tr w:rsidR="009E674A" w:rsidRPr="0064673E" w14:paraId="5CD9DF93" w14:textId="77777777" w:rsidTr="006F668F">
        <w:trPr>
          <w:trHeight w:val="429"/>
        </w:trPr>
        <w:tc>
          <w:tcPr>
            <w:tcW w:w="1976" w:type="dxa"/>
          </w:tcPr>
          <w:p w14:paraId="73FE3B49" w14:textId="77777777" w:rsidR="009E674A" w:rsidRDefault="009E674A" w:rsidP="006F668F">
            <w:pPr>
              <w:pStyle w:val="Marginlie"/>
            </w:pPr>
          </w:p>
        </w:tc>
        <w:tc>
          <w:tcPr>
            <w:tcW w:w="277" w:type="dxa"/>
          </w:tcPr>
          <w:p w14:paraId="7B3566E9" w14:textId="77777777" w:rsidR="009E674A" w:rsidRPr="005E4483" w:rsidRDefault="009E674A" w:rsidP="006F668F">
            <w:pPr>
              <w:pStyle w:val="Textpoznpodarou"/>
              <w:jc w:val="both"/>
              <w:rPr>
                <w:spacing w:val="-4"/>
              </w:rPr>
            </w:pPr>
          </w:p>
        </w:tc>
        <w:tc>
          <w:tcPr>
            <w:tcW w:w="7391" w:type="dxa"/>
          </w:tcPr>
          <w:p w14:paraId="4ABA018A" w14:textId="77777777" w:rsidR="009E674A" w:rsidRPr="0064673E" w:rsidRDefault="009E674A" w:rsidP="006F668F">
            <w:pPr>
              <w:spacing w:after="0" w:line="240" w:lineRule="auto"/>
              <w:jc w:val="left"/>
              <w:rPr>
                <w:rFonts w:cs="Arial"/>
                <w:sz w:val="14"/>
                <w:szCs w:val="14"/>
              </w:rPr>
            </w:pPr>
            <w:r>
              <w:rPr>
                <w:rFonts w:cs="Arial"/>
                <w:sz w:val="14"/>
                <w:szCs w:val="14"/>
              </w:rPr>
              <w:t xml:space="preserve">Zdroj: Eurostat </w:t>
            </w:r>
            <w:r w:rsidR="00BC7833">
              <w:rPr>
                <w:rFonts w:cs="Arial"/>
                <w:sz w:val="14"/>
                <w:szCs w:val="14"/>
              </w:rPr>
              <w:t>a </w:t>
            </w:r>
            <w:r>
              <w:rPr>
                <w:rFonts w:cs="Arial"/>
                <w:sz w:val="14"/>
                <w:szCs w:val="14"/>
              </w:rPr>
              <w:t>ČSÚ (VŠPS)</w:t>
            </w:r>
          </w:p>
        </w:tc>
      </w:tr>
      <w:tr w:rsidR="009E674A" w:rsidRPr="0064673E" w14:paraId="2FBBDA6B" w14:textId="77777777" w:rsidTr="006F668F">
        <w:trPr>
          <w:trHeight w:val="429"/>
        </w:trPr>
        <w:tc>
          <w:tcPr>
            <w:tcW w:w="1976" w:type="dxa"/>
          </w:tcPr>
          <w:p w14:paraId="2D62FF71" w14:textId="11D9D0E6" w:rsidR="009E674A" w:rsidRDefault="009E674A" w:rsidP="006F668F">
            <w:pPr>
              <w:pStyle w:val="Marginlie"/>
            </w:pPr>
            <w:r>
              <w:t>Podíl pracujících na směny se výrazně liší dle odvětví. Mezi muži dominuje v ubytování, stravování</w:t>
            </w:r>
            <w:r w:rsidR="003A5473">
              <w:t xml:space="preserve"> a </w:t>
            </w:r>
            <w:r>
              <w:t>pohostinství, u žen ve zdravotní a sociální péči.</w:t>
            </w:r>
          </w:p>
        </w:tc>
        <w:tc>
          <w:tcPr>
            <w:tcW w:w="277" w:type="dxa"/>
          </w:tcPr>
          <w:p w14:paraId="49EE6140" w14:textId="77777777" w:rsidR="009E674A" w:rsidRPr="00356158" w:rsidRDefault="009E674A" w:rsidP="006F668F">
            <w:pPr>
              <w:pStyle w:val="Textpoznpodarou"/>
              <w:jc w:val="both"/>
              <w:rPr>
                <w:rFonts w:eastAsia="Times New Roman"/>
                <w:spacing w:val="-2"/>
                <w:sz w:val="16"/>
                <w:szCs w:val="16"/>
              </w:rPr>
            </w:pPr>
          </w:p>
        </w:tc>
        <w:tc>
          <w:tcPr>
            <w:tcW w:w="7391" w:type="dxa"/>
          </w:tcPr>
          <w:p w14:paraId="5915ADDD" w14:textId="2E16009B" w:rsidR="009E674A" w:rsidRPr="00E46DDF" w:rsidRDefault="009E674A" w:rsidP="006F668F">
            <w:pPr>
              <w:spacing w:after="220"/>
              <w:rPr>
                <w:spacing w:val="-2"/>
                <w:szCs w:val="20"/>
              </w:rPr>
            </w:pPr>
            <w:r>
              <w:rPr>
                <w:spacing w:val="-2"/>
                <w:szCs w:val="20"/>
              </w:rPr>
              <w:t xml:space="preserve">Práce na směny souvisí </w:t>
            </w:r>
            <w:r w:rsidR="00BC7833">
              <w:rPr>
                <w:spacing w:val="-2"/>
                <w:szCs w:val="20"/>
              </w:rPr>
              <w:t>i </w:t>
            </w:r>
            <w:r>
              <w:rPr>
                <w:spacing w:val="-2"/>
                <w:szCs w:val="20"/>
              </w:rPr>
              <w:t xml:space="preserve">s odvětvím působnosti zaměstnance. Mezi muži jich touto formou dlouhodobě pracuje nadpoloviční část </w:t>
            </w:r>
            <w:r w:rsidR="00BC7833">
              <w:rPr>
                <w:spacing w:val="-2"/>
                <w:szCs w:val="20"/>
              </w:rPr>
              <w:t>v </w:t>
            </w:r>
            <w:r>
              <w:rPr>
                <w:spacing w:val="-2"/>
                <w:szCs w:val="20"/>
              </w:rPr>
              <w:t xml:space="preserve">ubytování, stravování a pohostinství </w:t>
            </w:r>
            <w:r w:rsidR="00BC7833">
              <w:rPr>
                <w:spacing w:val="-2"/>
                <w:szCs w:val="20"/>
              </w:rPr>
              <w:t>a </w:t>
            </w:r>
            <w:r>
              <w:rPr>
                <w:spacing w:val="-2"/>
                <w:szCs w:val="20"/>
              </w:rPr>
              <w:t xml:space="preserve">též v těžbě </w:t>
            </w:r>
            <w:r w:rsidR="00BC7833">
              <w:rPr>
                <w:spacing w:val="-2"/>
                <w:szCs w:val="20"/>
              </w:rPr>
              <w:t>a </w:t>
            </w:r>
            <w:r>
              <w:rPr>
                <w:spacing w:val="-2"/>
                <w:szCs w:val="20"/>
              </w:rPr>
              <w:t>dobývání. Kolem 40</w:t>
            </w:r>
            <w:r w:rsidR="006454CC">
              <w:rPr>
                <w:spacing w:val="-2"/>
                <w:szCs w:val="20"/>
              </w:rPr>
              <w:t> %</w:t>
            </w:r>
            <w:r>
              <w:rPr>
                <w:spacing w:val="-2"/>
                <w:szCs w:val="20"/>
              </w:rPr>
              <w:t xml:space="preserve"> dosahuje také v energetice, dopravě a skladování </w:t>
            </w:r>
            <w:r w:rsidR="00BC7833">
              <w:rPr>
                <w:spacing w:val="-2"/>
                <w:szCs w:val="20"/>
              </w:rPr>
              <w:t>a </w:t>
            </w:r>
            <w:r>
              <w:rPr>
                <w:spacing w:val="-2"/>
                <w:szCs w:val="20"/>
              </w:rPr>
              <w:t xml:space="preserve">rovněž ve zpracovatelském průmyslu (kde působí více než polovina z celkového absolutního počtu takto zaměstnaných mužů). </w:t>
            </w:r>
            <w:r w:rsidR="00BC7833">
              <w:rPr>
                <w:spacing w:val="-2"/>
                <w:szCs w:val="20"/>
              </w:rPr>
              <w:t>U </w:t>
            </w:r>
            <w:r>
              <w:rPr>
                <w:spacing w:val="-2"/>
                <w:szCs w:val="20"/>
              </w:rPr>
              <w:t>žen dominují s</w:t>
            </w:r>
            <w:r w:rsidR="003A5473">
              <w:rPr>
                <w:spacing w:val="-2"/>
                <w:szCs w:val="20"/>
              </w:rPr>
              <w:t xml:space="preserve">e </w:t>
            </w:r>
            <w:r>
              <w:rPr>
                <w:spacing w:val="-2"/>
                <w:szCs w:val="20"/>
              </w:rPr>
              <w:t>40</w:t>
            </w:r>
            <w:r w:rsidR="006454CC">
              <w:rPr>
                <w:spacing w:val="-2"/>
                <w:szCs w:val="20"/>
              </w:rPr>
              <w:t xml:space="preserve">% </w:t>
            </w:r>
            <w:r>
              <w:rPr>
                <w:spacing w:val="-2"/>
                <w:szCs w:val="20"/>
              </w:rPr>
              <w:t xml:space="preserve">zastoupením odvětví zdravotní </w:t>
            </w:r>
            <w:r w:rsidR="00BC7833">
              <w:rPr>
                <w:spacing w:val="-2"/>
                <w:szCs w:val="20"/>
              </w:rPr>
              <w:t>a </w:t>
            </w:r>
            <w:r>
              <w:rPr>
                <w:spacing w:val="-2"/>
                <w:szCs w:val="20"/>
              </w:rPr>
              <w:t xml:space="preserve">sociální péče </w:t>
            </w:r>
            <w:r w:rsidR="00BC7833">
              <w:rPr>
                <w:spacing w:val="-2"/>
                <w:szCs w:val="20"/>
              </w:rPr>
              <w:t>a </w:t>
            </w:r>
            <w:r>
              <w:rPr>
                <w:spacing w:val="-2"/>
                <w:szCs w:val="20"/>
              </w:rPr>
              <w:t xml:space="preserve">uskupení obchod, ubytování, stravování a pohostinství. Se směnným režimem úzce souvisí </w:t>
            </w:r>
            <w:r w:rsidR="00BC7833">
              <w:rPr>
                <w:spacing w:val="-2"/>
                <w:szCs w:val="20"/>
              </w:rPr>
              <w:t>i </w:t>
            </w:r>
            <w:r>
              <w:rPr>
                <w:spacing w:val="-2"/>
                <w:szCs w:val="20"/>
              </w:rPr>
              <w:t xml:space="preserve">noční práce, která se navíc týká všech osob na trhu práce. Dlouhodobě je noční práce obvyklá pro 5 % zaměstnaných, </w:t>
            </w:r>
            <w:r w:rsidR="003A5473">
              <w:rPr>
                <w:spacing w:val="-2"/>
                <w:szCs w:val="20"/>
              </w:rPr>
              <w:t xml:space="preserve">občas </w:t>
            </w:r>
            <w:r>
              <w:rPr>
                <w:spacing w:val="-2"/>
                <w:szCs w:val="20"/>
              </w:rPr>
              <w:t xml:space="preserve">ji navíc praktikuje každý osmý až devátý. Mezi zaměstnanci je zhruba dvakrát častější než </w:t>
            </w:r>
            <w:r w:rsidR="00BC7833">
              <w:rPr>
                <w:spacing w:val="-2"/>
                <w:szCs w:val="20"/>
              </w:rPr>
              <w:t>u </w:t>
            </w:r>
            <w:r>
              <w:rPr>
                <w:spacing w:val="-2"/>
                <w:szCs w:val="20"/>
              </w:rPr>
              <w:t xml:space="preserve">všech podnikatelů. Těsná vazba směnné </w:t>
            </w:r>
            <w:r w:rsidR="00BC7833">
              <w:rPr>
                <w:spacing w:val="-2"/>
                <w:szCs w:val="20"/>
              </w:rPr>
              <w:t>i </w:t>
            </w:r>
            <w:r>
              <w:rPr>
                <w:spacing w:val="-2"/>
                <w:szCs w:val="20"/>
              </w:rPr>
              <w:t xml:space="preserve">noční práce na odvětvovou skladbu ekonomiky vysvětluje fakt, že jejich podíl se v dlouhodobějším </w:t>
            </w:r>
            <w:r>
              <w:rPr>
                <w:spacing w:val="-2"/>
                <w:szCs w:val="20"/>
              </w:rPr>
              <w:lastRenderedPageBreak/>
              <w:t xml:space="preserve">pohledu výrazněji nemění. Ovlivňuje </w:t>
            </w:r>
            <w:r w:rsidR="00BC7833">
              <w:rPr>
                <w:spacing w:val="-2"/>
                <w:szCs w:val="20"/>
              </w:rPr>
              <w:t>i </w:t>
            </w:r>
            <w:r>
              <w:rPr>
                <w:spacing w:val="-2"/>
                <w:szCs w:val="20"/>
              </w:rPr>
              <w:t>mezinárodní postavení. Podíl pracujících na směny byl loni v ČR šestý nejvyšší v EU (</w:t>
            </w:r>
            <w:r w:rsidR="00BC7833">
              <w:rPr>
                <w:spacing w:val="-2"/>
                <w:szCs w:val="20"/>
              </w:rPr>
              <w:t>v </w:t>
            </w:r>
            <w:r>
              <w:rPr>
                <w:spacing w:val="-2"/>
                <w:szCs w:val="20"/>
              </w:rPr>
              <w:t>níž činil 18</w:t>
            </w:r>
            <w:r w:rsidR="006454CC">
              <w:rPr>
                <w:spacing w:val="-2"/>
                <w:szCs w:val="20"/>
              </w:rPr>
              <w:t> %</w:t>
            </w:r>
            <w:r>
              <w:rPr>
                <w:spacing w:val="-2"/>
                <w:szCs w:val="20"/>
              </w:rPr>
              <w:t>).</w:t>
            </w:r>
          </w:p>
        </w:tc>
      </w:tr>
      <w:tr w:rsidR="009E674A" w:rsidRPr="0064673E" w14:paraId="13B63B95" w14:textId="77777777" w:rsidTr="006F668F">
        <w:trPr>
          <w:trHeight w:val="429"/>
        </w:trPr>
        <w:tc>
          <w:tcPr>
            <w:tcW w:w="1976" w:type="dxa"/>
          </w:tcPr>
          <w:p w14:paraId="54B6FA42" w14:textId="3C789C49" w:rsidR="009E674A" w:rsidRDefault="009E674A" w:rsidP="006F668F">
            <w:pPr>
              <w:pStyle w:val="Marginlie"/>
            </w:pPr>
            <w:r>
              <w:lastRenderedPageBreak/>
              <w:t>Podíl zaměstnaných s dlouhou pracovní dobou se za posledních deset let snížil ze 17,3</w:t>
            </w:r>
            <w:r w:rsidR="006454CC">
              <w:t> %</w:t>
            </w:r>
            <w:r>
              <w:t xml:space="preserve"> na 11,4</w:t>
            </w:r>
            <w:r w:rsidR="006454CC">
              <w:t> %</w:t>
            </w:r>
            <w:r>
              <w:t>.</w:t>
            </w:r>
          </w:p>
        </w:tc>
        <w:tc>
          <w:tcPr>
            <w:tcW w:w="277" w:type="dxa"/>
          </w:tcPr>
          <w:p w14:paraId="0AABA972" w14:textId="77777777" w:rsidR="009E674A" w:rsidRPr="00356158" w:rsidRDefault="009E674A" w:rsidP="006F668F">
            <w:pPr>
              <w:pStyle w:val="Textpoznpodarou"/>
              <w:jc w:val="both"/>
              <w:rPr>
                <w:rFonts w:eastAsia="Times New Roman"/>
                <w:spacing w:val="-2"/>
                <w:sz w:val="16"/>
                <w:szCs w:val="16"/>
              </w:rPr>
            </w:pPr>
          </w:p>
        </w:tc>
        <w:tc>
          <w:tcPr>
            <w:tcW w:w="7391" w:type="dxa"/>
          </w:tcPr>
          <w:p w14:paraId="76902A5D" w14:textId="7A1074DB" w:rsidR="009E674A" w:rsidRPr="00E46DDF" w:rsidRDefault="009E674A" w:rsidP="006F668F">
            <w:pPr>
              <w:spacing w:after="220"/>
              <w:rPr>
                <w:spacing w:val="-2"/>
                <w:szCs w:val="20"/>
              </w:rPr>
            </w:pPr>
            <w:r>
              <w:rPr>
                <w:spacing w:val="-2"/>
                <w:szCs w:val="20"/>
              </w:rPr>
              <w:t>Po roce 2008 dochází k poklesu podílu osob s dlouhou pracovní dobou (nad 4</w:t>
            </w:r>
            <w:r w:rsidR="00D82A1E">
              <w:rPr>
                <w:spacing w:val="-2"/>
                <w:szCs w:val="20"/>
              </w:rPr>
              <w:t>8 </w:t>
            </w:r>
            <w:r>
              <w:rPr>
                <w:spacing w:val="-2"/>
                <w:szCs w:val="20"/>
              </w:rPr>
              <w:t>hodin týdně). Tuto loni uvedlo 11,4</w:t>
            </w:r>
            <w:r w:rsidR="006454CC">
              <w:rPr>
                <w:spacing w:val="-2"/>
                <w:szCs w:val="20"/>
              </w:rPr>
              <w:t> %</w:t>
            </w:r>
            <w:r>
              <w:rPr>
                <w:spacing w:val="-2"/>
                <w:szCs w:val="20"/>
              </w:rPr>
              <w:t xml:space="preserve"> pracovníků, </w:t>
            </w:r>
            <w:r w:rsidR="00BC7833">
              <w:rPr>
                <w:spacing w:val="-2"/>
                <w:szCs w:val="20"/>
              </w:rPr>
              <w:t>o </w:t>
            </w:r>
            <w:r>
              <w:rPr>
                <w:spacing w:val="-2"/>
                <w:szCs w:val="20"/>
              </w:rPr>
              <w:t xml:space="preserve">deset let dříve byla jejich četnost </w:t>
            </w:r>
            <w:r w:rsidR="00BC7833">
              <w:rPr>
                <w:spacing w:val="-2"/>
                <w:szCs w:val="20"/>
              </w:rPr>
              <w:t>o </w:t>
            </w:r>
            <w:r>
              <w:rPr>
                <w:spacing w:val="-2"/>
                <w:szCs w:val="20"/>
              </w:rPr>
              <w:t xml:space="preserve">polovinu vyšší. Přispěl k tomu hlavně vývoj do roku 2014, kdy tento pokles souvisel také se snižováním průměrného počtu odpracovaných hodin na zaměstnaného v celé ekonomice. Snížení délky pracovní doby bylo doprovázeno </w:t>
            </w:r>
            <w:r w:rsidR="00BC7833">
              <w:rPr>
                <w:spacing w:val="-2"/>
                <w:szCs w:val="20"/>
              </w:rPr>
              <w:t>i </w:t>
            </w:r>
            <w:r>
              <w:rPr>
                <w:spacing w:val="-2"/>
                <w:szCs w:val="20"/>
              </w:rPr>
              <w:t xml:space="preserve">pozvolným růstem částečných úvazků, zejména </w:t>
            </w:r>
            <w:r w:rsidR="00BC7833">
              <w:rPr>
                <w:spacing w:val="-2"/>
                <w:szCs w:val="20"/>
              </w:rPr>
              <w:t>u </w:t>
            </w:r>
            <w:r>
              <w:rPr>
                <w:spacing w:val="-2"/>
                <w:szCs w:val="20"/>
              </w:rPr>
              <w:t xml:space="preserve">žen. Podíl osob s dlouhou obvyklou pracovní dobou byl v roce 2018 </w:t>
            </w:r>
            <w:r w:rsidR="00BC7833">
              <w:rPr>
                <w:spacing w:val="-2"/>
                <w:szCs w:val="20"/>
              </w:rPr>
              <w:t>u </w:t>
            </w:r>
            <w:r>
              <w:rPr>
                <w:spacing w:val="-2"/>
                <w:szCs w:val="20"/>
              </w:rPr>
              <w:t xml:space="preserve">mužů čtyřikrát vyšší než </w:t>
            </w:r>
            <w:r w:rsidR="00BC7833">
              <w:rPr>
                <w:spacing w:val="-2"/>
                <w:szCs w:val="20"/>
              </w:rPr>
              <w:t>u </w:t>
            </w:r>
            <w:r>
              <w:rPr>
                <w:spacing w:val="-2"/>
                <w:szCs w:val="20"/>
              </w:rPr>
              <w:t>žen.</w:t>
            </w:r>
          </w:p>
        </w:tc>
      </w:tr>
      <w:tr w:rsidR="009E674A" w:rsidRPr="0064673E" w14:paraId="5007E8AF" w14:textId="77777777" w:rsidTr="006F668F">
        <w:trPr>
          <w:trHeight w:val="429"/>
        </w:trPr>
        <w:tc>
          <w:tcPr>
            <w:tcW w:w="1976" w:type="dxa"/>
          </w:tcPr>
          <w:p w14:paraId="5118781A" w14:textId="77777777" w:rsidR="009E674A" w:rsidRDefault="009E674A" w:rsidP="006F668F">
            <w:pPr>
              <w:pStyle w:val="Marginlie"/>
            </w:pPr>
          </w:p>
        </w:tc>
        <w:tc>
          <w:tcPr>
            <w:tcW w:w="277" w:type="dxa"/>
          </w:tcPr>
          <w:p w14:paraId="32C46765" w14:textId="77777777" w:rsidR="009E674A" w:rsidRPr="005E4483" w:rsidRDefault="009E674A" w:rsidP="006F668F">
            <w:pPr>
              <w:pStyle w:val="Textpoznpodarou"/>
              <w:jc w:val="both"/>
              <w:rPr>
                <w:spacing w:val="-4"/>
              </w:rPr>
            </w:pPr>
          </w:p>
        </w:tc>
        <w:tc>
          <w:tcPr>
            <w:tcW w:w="7391" w:type="dxa"/>
          </w:tcPr>
          <w:p w14:paraId="33BF6163" w14:textId="22A87E75" w:rsidR="009E674A" w:rsidRPr="00C703AD" w:rsidRDefault="009E674A" w:rsidP="0015045D">
            <w:pPr>
              <w:spacing w:after="0"/>
              <w:jc w:val="left"/>
            </w:pPr>
            <w:r>
              <w:rPr>
                <w:b/>
              </w:rPr>
              <w:t xml:space="preserve">Graf </w:t>
            </w:r>
            <w:r w:rsidR="00BA35F3">
              <w:rPr>
                <w:b/>
              </w:rPr>
              <w:t>č. </w:t>
            </w:r>
            <w:r>
              <w:rPr>
                <w:b/>
              </w:rPr>
              <w:t>16</w:t>
            </w:r>
            <w:r w:rsidRPr="003601A5">
              <w:rPr>
                <w:b/>
              </w:rPr>
              <w:t xml:space="preserve">  </w:t>
            </w:r>
            <w:r>
              <w:rPr>
                <w:b/>
              </w:rPr>
              <w:t xml:space="preserve">Podíl </w:t>
            </w:r>
            <w:r w:rsidR="0015045D">
              <w:rPr>
                <w:b/>
              </w:rPr>
              <w:t xml:space="preserve">zaměstnaných </w:t>
            </w:r>
            <w:r w:rsidR="00B62D21">
              <w:rPr>
                <w:b/>
              </w:rPr>
              <w:t xml:space="preserve">osob </w:t>
            </w:r>
            <w:r>
              <w:rPr>
                <w:b/>
              </w:rPr>
              <w:t>ve věku 15 až 6</w:t>
            </w:r>
            <w:r w:rsidR="00D82A1E">
              <w:rPr>
                <w:b/>
              </w:rPr>
              <w:t>4 </w:t>
            </w:r>
            <w:r>
              <w:rPr>
                <w:b/>
              </w:rPr>
              <w:t>let, které odpracovaly obvykle více než 4</w:t>
            </w:r>
            <w:r w:rsidR="00D82A1E">
              <w:rPr>
                <w:b/>
              </w:rPr>
              <w:t>8 </w:t>
            </w:r>
            <w:r>
              <w:rPr>
                <w:b/>
              </w:rPr>
              <w:t xml:space="preserve">hodin týdně </w:t>
            </w:r>
            <w:r>
              <w:t>(</w:t>
            </w:r>
            <w:r w:rsidR="0015045D">
              <w:t>v</w:t>
            </w:r>
            <w:r w:rsidR="006454CC">
              <w:t> %</w:t>
            </w:r>
            <w:r w:rsidR="0015045D">
              <w:t>)</w:t>
            </w:r>
          </w:p>
        </w:tc>
      </w:tr>
      <w:tr w:rsidR="009E674A" w:rsidRPr="0064673E" w14:paraId="0B453F96" w14:textId="77777777" w:rsidTr="006901FF">
        <w:tblPrEx>
          <w:tblCellMar>
            <w:left w:w="70" w:type="dxa"/>
            <w:right w:w="70" w:type="dxa"/>
          </w:tblCellMar>
        </w:tblPrEx>
        <w:trPr>
          <w:trHeight w:val="429"/>
        </w:trPr>
        <w:tc>
          <w:tcPr>
            <w:tcW w:w="1976" w:type="dxa"/>
          </w:tcPr>
          <w:p w14:paraId="5A76539F" w14:textId="77777777" w:rsidR="009E674A" w:rsidRDefault="009E674A" w:rsidP="006F668F">
            <w:pPr>
              <w:pStyle w:val="Marginlie"/>
            </w:pPr>
          </w:p>
        </w:tc>
        <w:tc>
          <w:tcPr>
            <w:tcW w:w="277" w:type="dxa"/>
          </w:tcPr>
          <w:p w14:paraId="0872D0A2" w14:textId="77777777" w:rsidR="009E674A" w:rsidRPr="005E4483" w:rsidRDefault="009E674A" w:rsidP="006F668F">
            <w:pPr>
              <w:pStyle w:val="Textpoznpodarou"/>
              <w:jc w:val="both"/>
              <w:rPr>
                <w:spacing w:val="-4"/>
              </w:rPr>
            </w:pPr>
          </w:p>
        </w:tc>
        <w:tc>
          <w:tcPr>
            <w:tcW w:w="7391" w:type="dxa"/>
          </w:tcPr>
          <w:p w14:paraId="37BA9079" w14:textId="768DB9CC" w:rsidR="009E674A" w:rsidRPr="0064673E" w:rsidRDefault="006901FF" w:rsidP="006F668F">
            <w:pPr>
              <w:spacing w:after="0" w:line="240" w:lineRule="auto"/>
              <w:jc w:val="left"/>
              <w:rPr>
                <w:rFonts w:cs="Arial"/>
                <w:sz w:val="14"/>
                <w:szCs w:val="14"/>
              </w:rPr>
            </w:pPr>
            <w:r>
              <w:rPr>
                <w:noProof/>
              </w:rPr>
              <w:drawing>
                <wp:inline distT="0" distB="0" distL="0" distR="0" wp14:anchorId="361DAD63" wp14:editId="464205E8">
                  <wp:extent cx="4585921" cy="3496099"/>
                  <wp:effectExtent l="0" t="0" r="5715" b="0"/>
                  <wp:docPr id="59" name="Graf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tc>
      </w:tr>
      <w:tr w:rsidR="009E674A" w:rsidRPr="0064673E" w14:paraId="44452AE5" w14:textId="77777777" w:rsidTr="006F668F">
        <w:trPr>
          <w:trHeight w:val="429"/>
        </w:trPr>
        <w:tc>
          <w:tcPr>
            <w:tcW w:w="1976" w:type="dxa"/>
          </w:tcPr>
          <w:p w14:paraId="7AA517DC" w14:textId="77777777" w:rsidR="009E674A" w:rsidRDefault="009E674A" w:rsidP="006F668F">
            <w:pPr>
              <w:pStyle w:val="Marginlie"/>
            </w:pPr>
          </w:p>
        </w:tc>
        <w:tc>
          <w:tcPr>
            <w:tcW w:w="277" w:type="dxa"/>
          </w:tcPr>
          <w:p w14:paraId="2A913FDF" w14:textId="77777777" w:rsidR="009E674A" w:rsidRPr="005E4483" w:rsidRDefault="009E674A" w:rsidP="006F668F">
            <w:pPr>
              <w:pStyle w:val="Textpoznpodarou"/>
              <w:jc w:val="both"/>
              <w:rPr>
                <w:spacing w:val="-4"/>
              </w:rPr>
            </w:pPr>
          </w:p>
        </w:tc>
        <w:tc>
          <w:tcPr>
            <w:tcW w:w="7391" w:type="dxa"/>
          </w:tcPr>
          <w:p w14:paraId="214C05B0" w14:textId="6F2660A2" w:rsidR="009E674A" w:rsidRDefault="009E674A" w:rsidP="006F668F">
            <w:pPr>
              <w:spacing w:after="0" w:line="240" w:lineRule="auto"/>
              <w:jc w:val="left"/>
              <w:rPr>
                <w:rFonts w:cs="Arial"/>
                <w:sz w:val="14"/>
                <w:szCs w:val="14"/>
              </w:rPr>
            </w:pPr>
            <w:r>
              <w:rPr>
                <w:rFonts w:cs="Arial"/>
                <w:sz w:val="14"/>
                <w:szCs w:val="14"/>
              </w:rPr>
              <w:t>Poznámka: Z důvodu snížené vypovídací schopnosti nejsou v některých třídách zaměstnanosti uvedeny údaje za zaměstnavatele, resp.</w:t>
            </w:r>
            <w:r w:rsidR="00B62D21">
              <w:rPr>
                <w:rFonts w:cs="Arial"/>
                <w:sz w:val="14"/>
                <w:szCs w:val="14"/>
              </w:rPr>
              <w:t> </w:t>
            </w:r>
            <w:r>
              <w:rPr>
                <w:rFonts w:cs="Arial"/>
                <w:sz w:val="14"/>
                <w:szCs w:val="14"/>
              </w:rPr>
              <w:t>všechny podnikající osoby.</w:t>
            </w:r>
          </w:p>
          <w:p w14:paraId="7C82E2D6" w14:textId="77777777" w:rsidR="009E674A" w:rsidRPr="0064673E" w:rsidRDefault="009E674A" w:rsidP="006F668F">
            <w:pPr>
              <w:spacing w:after="220" w:line="240" w:lineRule="auto"/>
              <w:jc w:val="left"/>
              <w:rPr>
                <w:rFonts w:cs="Arial"/>
                <w:sz w:val="14"/>
                <w:szCs w:val="14"/>
              </w:rPr>
            </w:pPr>
            <w:r>
              <w:rPr>
                <w:rFonts w:cs="Arial"/>
                <w:sz w:val="14"/>
                <w:szCs w:val="14"/>
              </w:rPr>
              <w:t xml:space="preserve">Zdroj: Eurostat </w:t>
            </w:r>
            <w:r w:rsidR="00BC7833">
              <w:rPr>
                <w:rFonts w:cs="Arial"/>
                <w:sz w:val="14"/>
                <w:szCs w:val="14"/>
              </w:rPr>
              <w:t>a </w:t>
            </w:r>
            <w:r>
              <w:rPr>
                <w:rFonts w:cs="Arial"/>
                <w:sz w:val="14"/>
                <w:szCs w:val="14"/>
              </w:rPr>
              <w:t>ČSÚ (VŠPS)</w:t>
            </w:r>
          </w:p>
        </w:tc>
      </w:tr>
      <w:tr w:rsidR="009E674A" w:rsidRPr="0064673E" w14:paraId="550C9997" w14:textId="77777777" w:rsidTr="006F668F">
        <w:trPr>
          <w:trHeight w:val="429"/>
        </w:trPr>
        <w:tc>
          <w:tcPr>
            <w:tcW w:w="1976" w:type="dxa"/>
          </w:tcPr>
          <w:p w14:paraId="2C8B7679" w14:textId="77777777" w:rsidR="009E674A" w:rsidRDefault="009E674A" w:rsidP="006F668F">
            <w:pPr>
              <w:pStyle w:val="Marginlie"/>
            </w:pPr>
            <w:r>
              <w:t>Delší pracovní doba se výrazně liší v závislosti na postavení v zaměstnání. Mezi zaměstnanci, kde je její podíl nejnižší, v poslední dekádě plynule klesala.</w:t>
            </w:r>
          </w:p>
          <w:p w14:paraId="7D4CCD48" w14:textId="77777777" w:rsidR="009E674A" w:rsidRDefault="009E674A" w:rsidP="006F668F">
            <w:pPr>
              <w:pStyle w:val="Marginlie"/>
            </w:pPr>
          </w:p>
          <w:p w14:paraId="066C2E62" w14:textId="77777777" w:rsidR="009E674A" w:rsidRDefault="009E674A" w:rsidP="006F668F">
            <w:pPr>
              <w:pStyle w:val="Marginlie"/>
            </w:pPr>
          </w:p>
          <w:p w14:paraId="7F3C1660" w14:textId="77777777" w:rsidR="009E674A" w:rsidRDefault="009E674A" w:rsidP="006F668F">
            <w:pPr>
              <w:pStyle w:val="Marginlie"/>
            </w:pPr>
          </w:p>
          <w:p w14:paraId="3F336A98" w14:textId="77777777" w:rsidR="009E674A" w:rsidRDefault="009E674A" w:rsidP="006F668F">
            <w:pPr>
              <w:pStyle w:val="Marginlie"/>
            </w:pPr>
          </w:p>
          <w:p w14:paraId="328D1DAA" w14:textId="77777777" w:rsidR="009E674A" w:rsidRDefault="009E674A" w:rsidP="006F668F">
            <w:pPr>
              <w:pStyle w:val="Marginlie"/>
            </w:pPr>
          </w:p>
          <w:p w14:paraId="6AB7D16E" w14:textId="77777777" w:rsidR="009E674A" w:rsidRDefault="009E674A" w:rsidP="006F668F">
            <w:pPr>
              <w:pStyle w:val="Marginlie"/>
            </w:pPr>
          </w:p>
          <w:p w14:paraId="28EA5E86" w14:textId="77777777" w:rsidR="009E674A" w:rsidRDefault="009E674A" w:rsidP="006F668F">
            <w:pPr>
              <w:pStyle w:val="Marginlie"/>
            </w:pPr>
            <w:r>
              <w:t xml:space="preserve">S delší pracovní dobou se tradičně nejméně setkávají osoby v kvalifikační třídě úředníků </w:t>
            </w:r>
            <w:r w:rsidR="00BC7833">
              <w:t>a </w:t>
            </w:r>
            <w:r>
              <w:t xml:space="preserve">také pomocných </w:t>
            </w:r>
            <w:r w:rsidR="00BC7833">
              <w:t>a </w:t>
            </w:r>
            <w:r>
              <w:t>nekvalifikovaných pracovníků.</w:t>
            </w:r>
          </w:p>
          <w:p w14:paraId="4239144B" w14:textId="77777777" w:rsidR="009E674A" w:rsidRDefault="009E674A" w:rsidP="006F668F">
            <w:pPr>
              <w:pStyle w:val="Marginlie"/>
            </w:pPr>
          </w:p>
        </w:tc>
        <w:tc>
          <w:tcPr>
            <w:tcW w:w="277" w:type="dxa"/>
          </w:tcPr>
          <w:p w14:paraId="22CC6461" w14:textId="77777777" w:rsidR="009E674A" w:rsidRPr="005E4483" w:rsidRDefault="009E674A" w:rsidP="006F668F">
            <w:pPr>
              <w:pStyle w:val="Textpoznpodarou"/>
              <w:jc w:val="both"/>
              <w:rPr>
                <w:spacing w:val="-4"/>
              </w:rPr>
            </w:pPr>
          </w:p>
        </w:tc>
        <w:tc>
          <w:tcPr>
            <w:tcW w:w="7391" w:type="dxa"/>
          </w:tcPr>
          <w:p w14:paraId="16339CA1" w14:textId="1D221845" w:rsidR="009E674A" w:rsidRPr="00032364" w:rsidRDefault="009E674A" w:rsidP="0019361E">
            <w:pPr>
              <w:spacing w:after="160"/>
              <w:rPr>
                <w:spacing w:val="-2"/>
                <w:szCs w:val="20"/>
              </w:rPr>
            </w:pPr>
            <w:r>
              <w:rPr>
                <w:spacing w:val="-2"/>
                <w:szCs w:val="20"/>
              </w:rPr>
              <w:t>Průměrná délka pracovní doby, v</w:t>
            </w:r>
            <w:r w:rsidR="00BA35F3">
              <w:rPr>
                <w:spacing w:val="-2"/>
                <w:szCs w:val="20"/>
              </w:rPr>
              <w:t>č. </w:t>
            </w:r>
            <w:r>
              <w:rPr>
                <w:spacing w:val="-2"/>
                <w:szCs w:val="20"/>
              </w:rPr>
              <w:t>vysokého počtu týdenních hodin</w:t>
            </w:r>
            <w:r w:rsidR="0015045D">
              <w:rPr>
                <w:spacing w:val="-2"/>
                <w:szCs w:val="20"/>
              </w:rPr>
              <w:t>,</w:t>
            </w:r>
            <w:r>
              <w:rPr>
                <w:spacing w:val="-2"/>
                <w:szCs w:val="20"/>
              </w:rPr>
              <w:t xml:space="preserve"> souvisí primárně </w:t>
            </w:r>
            <w:r w:rsidR="00BC7833">
              <w:rPr>
                <w:spacing w:val="-2"/>
                <w:szCs w:val="20"/>
              </w:rPr>
              <w:t>s </w:t>
            </w:r>
            <w:r>
              <w:rPr>
                <w:spacing w:val="-2"/>
                <w:szCs w:val="20"/>
              </w:rPr>
              <w:t xml:space="preserve">postavením v zaměstnání. Jestliže </w:t>
            </w:r>
            <w:r w:rsidR="008832E3">
              <w:rPr>
                <w:spacing w:val="-2"/>
                <w:szCs w:val="20"/>
              </w:rPr>
              <w:t>zaměstnanců</w:t>
            </w:r>
            <w:r>
              <w:rPr>
                <w:spacing w:val="-2"/>
                <w:szCs w:val="20"/>
              </w:rPr>
              <w:t xml:space="preserve"> obvykle pracovalo více než 4</w:t>
            </w:r>
            <w:r w:rsidR="00D82A1E">
              <w:rPr>
                <w:spacing w:val="-2"/>
                <w:szCs w:val="20"/>
              </w:rPr>
              <w:t>8 </w:t>
            </w:r>
            <w:r>
              <w:rPr>
                <w:spacing w:val="-2"/>
                <w:szCs w:val="20"/>
              </w:rPr>
              <w:t>hodin týdně jen 5,7</w:t>
            </w:r>
            <w:r w:rsidR="006454CC">
              <w:rPr>
                <w:spacing w:val="-2"/>
                <w:szCs w:val="20"/>
              </w:rPr>
              <w:t> %</w:t>
            </w:r>
            <w:r>
              <w:rPr>
                <w:spacing w:val="-2"/>
                <w:szCs w:val="20"/>
              </w:rPr>
              <w:t xml:space="preserve">, </w:t>
            </w:r>
            <w:r w:rsidR="00BC7833">
              <w:rPr>
                <w:spacing w:val="-2"/>
                <w:szCs w:val="20"/>
              </w:rPr>
              <w:t>u </w:t>
            </w:r>
            <w:r>
              <w:rPr>
                <w:spacing w:val="-2"/>
                <w:szCs w:val="20"/>
              </w:rPr>
              <w:t>osob samostatně výdělečně činných 38,4</w:t>
            </w:r>
            <w:r w:rsidR="006454CC">
              <w:rPr>
                <w:spacing w:val="-2"/>
                <w:szCs w:val="20"/>
              </w:rPr>
              <w:t> %</w:t>
            </w:r>
            <w:r>
              <w:rPr>
                <w:spacing w:val="-2"/>
                <w:szCs w:val="20"/>
              </w:rPr>
              <w:t xml:space="preserve"> a mezi</w:t>
            </w:r>
            <w:r w:rsidR="008832E3">
              <w:rPr>
                <w:spacing w:val="-2"/>
                <w:szCs w:val="20"/>
              </w:rPr>
              <w:t xml:space="preserve"> </w:t>
            </w:r>
            <w:r>
              <w:rPr>
                <w:spacing w:val="-2"/>
                <w:szCs w:val="20"/>
              </w:rPr>
              <w:t>zaměstnavateli š</w:t>
            </w:r>
            <w:r w:rsidR="0015045D">
              <w:rPr>
                <w:spacing w:val="-2"/>
                <w:szCs w:val="20"/>
              </w:rPr>
              <w:t xml:space="preserve">lo již </w:t>
            </w:r>
            <w:r w:rsidR="00BC7833">
              <w:rPr>
                <w:spacing w:val="-2"/>
                <w:szCs w:val="20"/>
              </w:rPr>
              <w:t>o </w:t>
            </w:r>
            <w:r w:rsidR="0015045D">
              <w:rPr>
                <w:spacing w:val="-2"/>
                <w:szCs w:val="20"/>
              </w:rPr>
              <w:t>mírně nadpoloviční úroveň</w:t>
            </w:r>
            <w:r>
              <w:rPr>
                <w:spacing w:val="-2"/>
                <w:szCs w:val="20"/>
              </w:rPr>
              <w:t xml:space="preserve">. Zatímco </w:t>
            </w:r>
            <w:r w:rsidR="00BC7833">
              <w:rPr>
                <w:spacing w:val="-2"/>
                <w:szCs w:val="20"/>
              </w:rPr>
              <w:t>u </w:t>
            </w:r>
            <w:r>
              <w:rPr>
                <w:spacing w:val="-2"/>
                <w:szCs w:val="20"/>
              </w:rPr>
              <w:t xml:space="preserve">zaměstnanců docházelo v poslední dekádě k plynulému poklesu, mezi podnikateli váha takto pracujících po roce 2014 stagnovala. Mezi hlavními kvalifikačními třídami je dlouhá pracovní doba typická pro vedoucí </w:t>
            </w:r>
            <w:r w:rsidR="00BC7833">
              <w:rPr>
                <w:spacing w:val="-2"/>
                <w:szCs w:val="20"/>
              </w:rPr>
              <w:t>a </w:t>
            </w:r>
            <w:r>
              <w:rPr>
                <w:spacing w:val="-2"/>
                <w:szCs w:val="20"/>
              </w:rPr>
              <w:t>řídící pracovníky (</w:t>
            </w:r>
            <w:r w:rsidR="00BC7833">
              <w:rPr>
                <w:spacing w:val="-2"/>
                <w:szCs w:val="20"/>
              </w:rPr>
              <w:t>i </w:t>
            </w:r>
            <w:r>
              <w:rPr>
                <w:spacing w:val="-2"/>
                <w:szCs w:val="20"/>
              </w:rPr>
              <w:t xml:space="preserve">vlivem jejího vysokého podílu mezi zaměstnanci) </w:t>
            </w:r>
            <w:r w:rsidR="00BC7833">
              <w:rPr>
                <w:spacing w:val="-2"/>
                <w:szCs w:val="20"/>
              </w:rPr>
              <w:t>a </w:t>
            </w:r>
            <w:r>
              <w:rPr>
                <w:spacing w:val="-2"/>
                <w:szCs w:val="20"/>
              </w:rPr>
              <w:t>též pro kvalifikované pracovníky v zemědělství, lesnictví a rybářství (</w:t>
            </w:r>
            <w:r w:rsidR="00BC7833">
              <w:rPr>
                <w:spacing w:val="-2"/>
                <w:szCs w:val="20"/>
              </w:rPr>
              <w:t>s </w:t>
            </w:r>
            <w:r>
              <w:rPr>
                <w:spacing w:val="-2"/>
                <w:szCs w:val="20"/>
              </w:rPr>
              <w:t xml:space="preserve">citelným rozdílem mezi zaměstnanci </w:t>
            </w:r>
            <w:r w:rsidR="00BC7833">
              <w:rPr>
                <w:spacing w:val="-2"/>
                <w:szCs w:val="20"/>
              </w:rPr>
              <w:t>a </w:t>
            </w:r>
            <w:r>
              <w:rPr>
                <w:spacing w:val="-2"/>
                <w:szCs w:val="20"/>
              </w:rPr>
              <w:t xml:space="preserve">sebezaměstnanými). Jen okrajově je tato forma práce zastoupena mezi úředníky </w:t>
            </w:r>
            <w:r w:rsidR="00BC7833">
              <w:rPr>
                <w:spacing w:val="-2"/>
                <w:szCs w:val="20"/>
              </w:rPr>
              <w:t>a </w:t>
            </w:r>
            <w:r>
              <w:rPr>
                <w:spacing w:val="-2"/>
                <w:szCs w:val="20"/>
              </w:rPr>
              <w:t xml:space="preserve">také </w:t>
            </w:r>
            <w:r w:rsidR="00BC7833">
              <w:rPr>
                <w:spacing w:val="-2"/>
                <w:szCs w:val="20"/>
              </w:rPr>
              <w:t>u </w:t>
            </w:r>
            <w:r>
              <w:rPr>
                <w:spacing w:val="-2"/>
                <w:szCs w:val="20"/>
              </w:rPr>
              <w:t>nekvalifikovaných a pomocných pracovníků, což je způsobeno i tím, že v těchto třídách se vyskytují podnikající osoby jen minimálně. Zčásti překvapivé je podprůměrné zastoupení delší pracovní doby mezi specialisty (u zaměstnanců 8</w:t>
            </w:r>
            <w:r w:rsidR="006454CC">
              <w:rPr>
                <w:spacing w:val="-2"/>
                <w:szCs w:val="20"/>
              </w:rPr>
              <w:t> %</w:t>
            </w:r>
            <w:r>
              <w:rPr>
                <w:spacing w:val="-2"/>
                <w:szCs w:val="20"/>
              </w:rPr>
              <w:t xml:space="preserve"> </w:t>
            </w:r>
            <w:r w:rsidR="00BC7833">
              <w:rPr>
                <w:spacing w:val="-2"/>
                <w:szCs w:val="20"/>
              </w:rPr>
              <w:t>a </w:t>
            </w:r>
            <w:r>
              <w:rPr>
                <w:spacing w:val="-2"/>
                <w:szCs w:val="20"/>
              </w:rPr>
              <w:t xml:space="preserve">třetina </w:t>
            </w:r>
            <w:r w:rsidR="00BC7833">
              <w:rPr>
                <w:spacing w:val="-2"/>
                <w:szCs w:val="20"/>
              </w:rPr>
              <w:t>u </w:t>
            </w:r>
            <w:r>
              <w:rPr>
                <w:spacing w:val="-2"/>
                <w:szCs w:val="20"/>
              </w:rPr>
              <w:t xml:space="preserve">podnikajících bez ohledu na počet zaměstnanců). V poslední dekádě podíl zaměstnaných s dlouhou pracovní dobou klesal </w:t>
            </w:r>
            <w:r w:rsidR="00BC7833">
              <w:rPr>
                <w:spacing w:val="-2"/>
                <w:szCs w:val="20"/>
              </w:rPr>
              <w:t>u </w:t>
            </w:r>
            <w:r>
              <w:rPr>
                <w:spacing w:val="-2"/>
                <w:szCs w:val="20"/>
              </w:rPr>
              <w:t xml:space="preserve">zaměstnanců ve všech třídách kvalifikace vyjma pracovníků v zemědělství, lesnictví </w:t>
            </w:r>
            <w:r w:rsidR="00BC7833">
              <w:rPr>
                <w:spacing w:val="-2"/>
                <w:szCs w:val="20"/>
              </w:rPr>
              <w:t>a </w:t>
            </w:r>
            <w:r>
              <w:rPr>
                <w:spacing w:val="-2"/>
                <w:szCs w:val="20"/>
              </w:rPr>
              <w:t xml:space="preserve">rybářství. Mezi podnikajícími osobami byl trend méně zřejmý, což souvisí </w:t>
            </w:r>
            <w:r w:rsidR="00BC7833">
              <w:rPr>
                <w:spacing w:val="-2"/>
                <w:szCs w:val="20"/>
              </w:rPr>
              <w:t>i </w:t>
            </w:r>
            <w:r>
              <w:rPr>
                <w:spacing w:val="-2"/>
                <w:szCs w:val="20"/>
              </w:rPr>
              <w:t>s obtížnější kvantifikací odpracované doby (mj.</w:t>
            </w:r>
            <w:r w:rsidR="008832E3">
              <w:rPr>
                <w:spacing w:val="-2"/>
                <w:szCs w:val="20"/>
              </w:rPr>
              <w:t> </w:t>
            </w:r>
            <w:r w:rsidR="00BC7833">
              <w:rPr>
                <w:spacing w:val="-2"/>
                <w:szCs w:val="20"/>
              </w:rPr>
              <w:t>i </w:t>
            </w:r>
            <w:r>
              <w:rPr>
                <w:spacing w:val="-2"/>
                <w:szCs w:val="20"/>
              </w:rPr>
              <w:t xml:space="preserve">vlivem častých </w:t>
            </w:r>
            <w:r>
              <w:rPr>
                <w:spacing w:val="-2"/>
                <w:szCs w:val="20"/>
              </w:rPr>
              <w:lastRenderedPageBreak/>
              <w:t xml:space="preserve">změn místa pracoviště či vyššího podílu práce z domova). Navíc delší pracovní doba (podobně jako víkendová práce) </w:t>
            </w:r>
            <w:r w:rsidR="00BC7833">
              <w:rPr>
                <w:spacing w:val="-2"/>
                <w:szCs w:val="20"/>
              </w:rPr>
              <w:t>u </w:t>
            </w:r>
            <w:r>
              <w:rPr>
                <w:spacing w:val="-2"/>
                <w:szCs w:val="20"/>
              </w:rPr>
              <w:t>podnikatelů v době ekonomického růstu nutně nemusí být nevítaným fenoménem, nýbrž stavem vyjadřujícím také vysokou nedostatečně saturovanou poptávku po práci (např.</w:t>
            </w:r>
            <w:r w:rsidR="008832E3">
              <w:rPr>
                <w:spacing w:val="-2"/>
                <w:szCs w:val="20"/>
              </w:rPr>
              <w:t> </w:t>
            </w:r>
            <w:r>
              <w:rPr>
                <w:spacing w:val="-2"/>
                <w:szCs w:val="20"/>
              </w:rPr>
              <w:t xml:space="preserve">ve třídě řemeslníků </w:t>
            </w:r>
            <w:r w:rsidR="00BC7833">
              <w:rPr>
                <w:spacing w:val="-2"/>
                <w:szCs w:val="20"/>
              </w:rPr>
              <w:t>a </w:t>
            </w:r>
            <w:r>
              <w:rPr>
                <w:spacing w:val="-2"/>
                <w:szCs w:val="20"/>
              </w:rPr>
              <w:t>opravářů).</w:t>
            </w:r>
          </w:p>
        </w:tc>
      </w:tr>
    </w:tbl>
    <w:p w14:paraId="5F6D0C2C" w14:textId="77777777" w:rsidR="00CC0F9A" w:rsidRDefault="00CC0F9A" w:rsidP="00CC0F9A">
      <w:pPr>
        <w:pStyle w:val="Nadpis1"/>
        <w:numPr>
          <w:ilvl w:val="0"/>
          <w:numId w:val="26"/>
        </w:numPr>
        <w:spacing w:after="0"/>
      </w:pPr>
      <w:bookmarkStart w:id="2" w:name="_Toc17873164"/>
      <w:r>
        <w:lastRenderedPageBreak/>
        <w:t>Nezaměstnanost</w:t>
      </w:r>
      <w:bookmarkEnd w:id="2"/>
    </w:p>
    <w:tbl>
      <w:tblPr>
        <w:tblW w:w="9644" w:type="dxa"/>
        <w:tblInd w:w="-15" w:type="dxa"/>
        <w:tblLayout w:type="fixed"/>
        <w:tblCellMar>
          <w:left w:w="0" w:type="dxa"/>
          <w:right w:w="0" w:type="dxa"/>
        </w:tblCellMar>
        <w:tblLook w:val="00A0" w:firstRow="1" w:lastRow="0" w:firstColumn="1" w:lastColumn="0" w:noHBand="0" w:noVBand="0"/>
      </w:tblPr>
      <w:tblGrid>
        <w:gridCol w:w="1814"/>
        <w:gridCol w:w="221"/>
        <w:gridCol w:w="7609"/>
      </w:tblGrid>
      <w:tr w:rsidR="00EF0FC4" w14:paraId="316CF26B" w14:textId="77777777" w:rsidTr="00A500A7">
        <w:trPr>
          <w:trHeight w:val="145"/>
        </w:trPr>
        <w:tc>
          <w:tcPr>
            <w:tcW w:w="1814" w:type="dxa"/>
          </w:tcPr>
          <w:p w14:paraId="7578D769" w14:textId="53BE7FF0" w:rsidR="00EF0FC4" w:rsidRDefault="00EF0FC4" w:rsidP="00A500A7">
            <w:pPr>
              <w:pStyle w:val="Marginlie"/>
            </w:pPr>
            <w:r>
              <w:t>Míra nezaměstnanosti loni nadále klesala, avšak výrazně skromnějším tempem než v předešlých letech.</w:t>
            </w:r>
          </w:p>
        </w:tc>
        <w:tc>
          <w:tcPr>
            <w:tcW w:w="221" w:type="dxa"/>
          </w:tcPr>
          <w:p w14:paraId="37ECD8C5" w14:textId="77777777" w:rsidR="00EF0FC4" w:rsidRPr="005E4483" w:rsidRDefault="00EF0FC4" w:rsidP="00A500A7">
            <w:pPr>
              <w:pStyle w:val="Textpoznpodarou"/>
              <w:jc w:val="both"/>
              <w:rPr>
                <w:spacing w:val="-4"/>
              </w:rPr>
            </w:pPr>
          </w:p>
        </w:tc>
        <w:tc>
          <w:tcPr>
            <w:tcW w:w="7609" w:type="dxa"/>
          </w:tcPr>
          <w:p w14:paraId="1444E0B3" w14:textId="4009E05D" w:rsidR="00EF0FC4" w:rsidRDefault="00EF0FC4" w:rsidP="0019361E">
            <w:pPr>
              <w:spacing w:after="160"/>
            </w:pPr>
            <w:r>
              <w:t>Svižný hospodářský růst</w:t>
            </w:r>
            <w:r w:rsidR="00276B4C">
              <w:t>,</w:t>
            </w:r>
            <w:r>
              <w:t xml:space="preserve"> projevující se již pátým rokem v</w:t>
            </w:r>
            <w:r w:rsidR="00276B4C">
              <w:t> </w:t>
            </w:r>
            <w:r>
              <w:t>řadě</w:t>
            </w:r>
            <w:r w:rsidR="00276B4C">
              <w:t>,</w:t>
            </w:r>
            <w:r>
              <w:t xml:space="preserve"> se </w:t>
            </w:r>
            <w:r w:rsidR="00BC7833">
              <w:t>i </w:t>
            </w:r>
            <w:r>
              <w:t>loni otiskl</w:t>
            </w:r>
            <w:r w:rsidR="006454CC">
              <w:t xml:space="preserve"> </w:t>
            </w:r>
            <w:r>
              <w:t xml:space="preserve">v redukci počtu nezaměstnaných. Na rozdíl od předešlých let ale tempo tohoto poklesu výrazně zmírnilo. Zčásti šlo </w:t>
            </w:r>
            <w:r w:rsidR="00BC7833">
              <w:t>o </w:t>
            </w:r>
            <w:r>
              <w:t xml:space="preserve">přirozenou reakci na zvolnění růstu výkonu tuzemské ekonomiky, </w:t>
            </w:r>
            <w:r w:rsidR="00276B4C">
              <w:t>které bylo reflektováno</w:t>
            </w:r>
            <w:r>
              <w:t xml:space="preserve"> </w:t>
            </w:r>
            <w:r w:rsidR="00BC7833">
              <w:t>i </w:t>
            </w:r>
            <w:r>
              <w:t>ve slabších konju</w:t>
            </w:r>
            <w:r w:rsidR="00276B4C">
              <w:t>n</w:t>
            </w:r>
            <w:r>
              <w:t>kturních očekáváních v oblasti zaměstnanosti</w:t>
            </w:r>
            <w:r w:rsidR="0037734D">
              <w:t xml:space="preserve"> – </w:t>
            </w:r>
            <w:r>
              <w:t xml:space="preserve">zejména v průmyslu </w:t>
            </w:r>
            <w:r w:rsidR="00BC7833">
              <w:t>a </w:t>
            </w:r>
            <w:r>
              <w:t>v některých službách</w:t>
            </w:r>
            <w:r>
              <w:rPr>
                <w:rStyle w:val="Znakapoznpodarou"/>
              </w:rPr>
              <w:footnoteReference w:id="48"/>
            </w:r>
            <w:r>
              <w:t>. Dominantní vliv ale patrně mělo faktické vyčerpání „rezerv“ (na pracovním trhu „uplatnitelných osob“ z řad nezaměstnaných)</w:t>
            </w:r>
            <w:r w:rsidR="00DB5913">
              <w:t>,</w:t>
            </w:r>
            <w:r>
              <w:t xml:space="preserve"> po němž nezaměstnanost narážela na své přirozené limity. Mezi nezaměstnanými tak na sklonku loňského roku zbývaly jak osoby s minimálními či dlouhodobě neudržovanými pracovními zkušenostmi, tak početně významná skupina frikčně nezaměstnaných</w:t>
            </w:r>
            <w:r>
              <w:rPr>
                <w:rStyle w:val="Znakapoznpodarou"/>
              </w:rPr>
              <w:footnoteReference w:id="49"/>
            </w:r>
            <w:r>
              <w:t>. Možnosti další redukce obou těchto skupin se jevily již jako značně omezené.</w:t>
            </w:r>
          </w:p>
        </w:tc>
      </w:tr>
    </w:tbl>
    <w:p w14:paraId="3B9CBFF9" w14:textId="77777777" w:rsidR="00EF0FC4" w:rsidRPr="00765565" w:rsidRDefault="00765565" w:rsidP="00765565">
      <w:pPr>
        <w:spacing w:after="0"/>
        <w:rPr>
          <w:rFonts w:eastAsia="MS Gothic"/>
          <w:b/>
          <w:bCs/>
          <w:color w:val="71818C"/>
          <w:sz w:val="28"/>
          <w:szCs w:val="28"/>
        </w:rPr>
      </w:pPr>
      <w:r>
        <w:rPr>
          <w:rFonts w:eastAsia="MS Gothic"/>
          <w:b/>
          <w:bCs/>
          <w:color w:val="71818C"/>
          <w:sz w:val="28"/>
          <w:szCs w:val="28"/>
        </w:rPr>
        <w:t xml:space="preserve">2.1. </w:t>
      </w:r>
      <w:r w:rsidR="00EF0FC4" w:rsidRPr="00765565">
        <w:rPr>
          <w:rFonts w:eastAsia="MS Gothic"/>
          <w:b/>
          <w:bCs/>
          <w:color w:val="71818C"/>
          <w:sz w:val="28"/>
          <w:szCs w:val="28"/>
        </w:rPr>
        <w:t>Míry nezaměstnanosti</w:t>
      </w:r>
    </w:p>
    <w:tbl>
      <w:tblPr>
        <w:tblW w:w="9649" w:type="dxa"/>
        <w:tblInd w:w="-15" w:type="dxa"/>
        <w:tblLayout w:type="fixed"/>
        <w:tblCellMar>
          <w:left w:w="0" w:type="dxa"/>
          <w:right w:w="0" w:type="dxa"/>
        </w:tblCellMar>
        <w:tblLook w:val="00A0" w:firstRow="1" w:lastRow="0" w:firstColumn="1" w:lastColumn="0" w:noHBand="0" w:noVBand="0"/>
      </w:tblPr>
      <w:tblGrid>
        <w:gridCol w:w="1815"/>
        <w:gridCol w:w="221"/>
        <w:gridCol w:w="7613"/>
      </w:tblGrid>
      <w:tr w:rsidR="00CC0F9A" w:rsidRPr="001502B1" w14:paraId="79AC7324" w14:textId="77777777" w:rsidTr="007F4B7E">
        <w:trPr>
          <w:trHeight w:val="145"/>
        </w:trPr>
        <w:tc>
          <w:tcPr>
            <w:tcW w:w="1815" w:type="dxa"/>
          </w:tcPr>
          <w:p w14:paraId="077D89C7" w14:textId="77777777" w:rsidR="00765565" w:rsidRDefault="00765565" w:rsidP="00765565">
            <w:pPr>
              <w:pStyle w:val="Marginlie"/>
            </w:pPr>
            <w:r>
              <w:t xml:space="preserve">Míra nezaměstnanosti mužů </w:t>
            </w:r>
            <w:r w:rsidR="00BC7833">
              <w:t>i </w:t>
            </w:r>
            <w:r>
              <w:t>žen již druhým rokem v řadě posunula své historické minimum.</w:t>
            </w:r>
          </w:p>
          <w:p w14:paraId="761B545B" w14:textId="77777777" w:rsidR="00CC0F9A" w:rsidRDefault="00CC0F9A" w:rsidP="006F668F">
            <w:pPr>
              <w:pStyle w:val="Marginlie"/>
            </w:pPr>
          </w:p>
        </w:tc>
        <w:tc>
          <w:tcPr>
            <w:tcW w:w="221" w:type="dxa"/>
          </w:tcPr>
          <w:p w14:paraId="118028B0" w14:textId="77777777" w:rsidR="00CC0F9A" w:rsidRPr="005E4483" w:rsidRDefault="00CC0F9A" w:rsidP="006F668F">
            <w:pPr>
              <w:pStyle w:val="Textpoznpodarou"/>
              <w:jc w:val="both"/>
              <w:rPr>
                <w:spacing w:val="-4"/>
              </w:rPr>
            </w:pPr>
          </w:p>
        </w:tc>
        <w:tc>
          <w:tcPr>
            <w:tcW w:w="7613" w:type="dxa"/>
          </w:tcPr>
          <w:p w14:paraId="7CA5A4B3" w14:textId="77777777" w:rsidR="00CC0F9A" w:rsidRDefault="00765565" w:rsidP="006F668F">
            <w:pPr>
              <w:spacing w:after="200"/>
            </w:pPr>
            <w:r>
              <w:rPr>
                <w:spacing w:val="-2"/>
              </w:rPr>
              <w:t xml:space="preserve">Obecná míra nezaměstnanosti v úhrnu za celý rok 2018 </w:t>
            </w:r>
            <w:r w:rsidRPr="000D0BB2">
              <w:rPr>
                <w:spacing w:val="-2"/>
              </w:rPr>
              <w:t>činila 2,2</w:t>
            </w:r>
            <w:r w:rsidR="006454CC">
              <w:rPr>
                <w:spacing w:val="-2"/>
              </w:rPr>
              <w:t> %</w:t>
            </w:r>
            <w:r w:rsidRPr="000D0BB2">
              <w:rPr>
                <w:spacing w:val="-2"/>
              </w:rPr>
              <w:t xml:space="preserve"> </w:t>
            </w:r>
            <w:r w:rsidR="00BC7833" w:rsidRPr="000D0BB2">
              <w:rPr>
                <w:spacing w:val="-2"/>
              </w:rPr>
              <w:t>a</w:t>
            </w:r>
            <w:r w:rsidR="00BC7833">
              <w:rPr>
                <w:spacing w:val="-2"/>
              </w:rPr>
              <w:t> </w:t>
            </w:r>
            <w:r w:rsidRPr="000D0BB2">
              <w:rPr>
                <w:spacing w:val="-2"/>
              </w:rPr>
              <w:t>již druhým rokem v řadě stanovila nové historické minimum v éře samostatné</w:t>
            </w:r>
            <w:r w:rsidR="00DB5913">
              <w:rPr>
                <w:spacing w:val="-2"/>
              </w:rPr>
              <w:t> </w:t>
            </w:r>
            <w:r w:rsidRPr="000D0BB2">
              <w:rPr>
                <w:spacing w:val="-2"/>
              </w:rPr>
              <w:t xml:space="preserve">ČR. </w:t>
            </w:r>
            <w:r w:rsidR="00DB5913">
              <w:rPr>
                <w:spacing w:val="-2"/>
              </w:rPr>
              <w:t>Platilo to</w:t>
            </w:r>
            <w:r w:rsidRPr="000D0BB2">
              <w:rPr>
                <w:spacing w:val="-2"/>
              </w:rPr>
              <w:t xml:space="preserve"> pro nezaměstnanost mužů (1,8</w:t>
            </w:r>
            <w:r w:rsidR="006454CC">
              <w:rPr>
                <w:spacing w:val="-2"/>
              </w:rPr>
              <w:t> %</w:t>
            </w:r>
            <w:r w:rsidRPr="000D0BB2">
              <w:rPr>
                <w:spacing w:val="-2"/>
              </w:rPr>
              <w:t xml:space="preserve">) </w:t>
            </w:r>
            <w:r w:rsidR="00BC7833" w:rsidRPr="000D0BB2">
              <w:rPr>
                <w:spacing w:val="-2"/>
              </w:rPr>
              <w:t>i</w:t>
            </w:r>
            <w:r w:rsidR="00BC7833">
              <w:rPr>
                <w:spacing w:val="-2"/>
              </w:rPr>
              <w:t> </w:t>
            </w:r>
            <w:r w:rsidRPr="000D0BB2">
              <w:rPr>
                <w:spacing w:val="-2"/>
              </w:rPr>
              <w:t>žen (2,8</w:t>
            </w:r>
            <w:r w:rsidR="006454CC">
              <w:rPr>
                <w:spacing w:val="-2"/>
              </w:rPr>
              <w:t> %</w:t>
            </w:r>
            <w:r w:rsidRPr="000D0BB2">
              <w:rPr>
                <w:spacing w:val="-2"/>
              </w:rPr>
              <w:t xml:space="preserve">). Již pátým rokem v řadě se míra nezaměstnanosti žen snižovala dynamičtěji než </w:t>
            </w:r>
            <w:r w:rsidR="00BC7833" w:rsidRPr="000D0BB2">
              <w:rPr>
                <w:spacing w:val="-2"/>
              </w:rPr>
              <w:t>u</w:t>
            </w:r>
            <w:r w:rsidR="00BC7833">
              <w:rPr>
                <w:spacing w:val="-2"/>
              </w:rPr>
              <w:t> </w:t>
            </w:r>
            <w:r w:rsidRPr="000D0BB2">
              <w:rPr>
                <w:spacing w:val="-2"/>
              </w:rPr>
              <w:t>mu</w:t>
            </w:r>
            <w:r>
              <w:rPr>
                <w:spacing w:val="-2"/>
              </w:rPr>
              <w:t>žů. Rozdíl v dosažené úrovni těchto ukazatelů</w:t>
            </w:r>
            <w:r w:rsidRPr="000D0BB2">
              <w:rPr>
                <w:spacing w:val="-2"/>
              </w:rPr>
              <w:t xml:space="preserve"> mezi pohlavími </w:t>
            </w:r>
            <w:r w:rsidR="00F927E6" w:rsidRPr="000D0BB2">
              <w:rPr>
                <w:spacing w:val="-2"/>
              </w:rPr>
              <w:t>(1,0</w:t>
            </w:r>
            <w:r w:rsidR="00F927E6">
              <w:rPr>
                <w:spacing w:val="-2"/>
              </w:rPr>
              <w:t> p. b.</w:t>
            </w:r>
            <w:r w:rsidR="00F927E6" w:rsidRPr="000D0BB2">
              <w:rPr>
                <w:spacing w:val="-2"/>
              </w:rPr>
              <w:t>)</w:t>
            </w:r>
            <w:r w:rsidR="00F927E6">
              <w:rPr>
                <w:spacing w:val="-2"/>
              </w:rPr>
              <w:t xml:space="preserve"> </w:t>
            </w:r>
            <w:r w:rsidRPr="000D0BB2">
              <w:rPr>
                <w:spacing w:val="-2"/>
              </w:rPr>
              <w:t>byl vloni zároveň nejnižší v novodobé historii.</w:t>
            </w:r>
          </w:p>
        </w:tc>
      </w:tr>
      <w:tr w:rsidR="007A4167" w:rsidRPr="001502B1" w14:paraId="1433FB50" w14:textId="77777777" w:rsidTr="007F4B7E">
        <w:trPr>
          <w:trHeight w:val="145"/>
        </w:trPr>
        <w:tc>
          <w:tcPr>
            <w:tcW w:w="1815" w:type="dxa"/>
          </w:tcPr>
          <w:p w14:paraId="4D00DC58" w14:textId="0202EE04" w:rsidR="007A4167" w:rsidRDefault="007A4167" w:rsidP="007A4167">
            <w:pPr>
              <w:pStyle w:val="Marginlie"/>
            </w:pPr>
            <w:r>
              <w:t>Pokles nezaměstnanosti měl nadále převážně plošný charakter – jak z pohledu věku, tak i vzdělání.</w:t>
            </w:r>
          </w:p>
        </w:tc>
        <w:tc>
          <w:tcPr>
            <w:tcW w:w="221" w:type="dxa"/>
          </w:tcPr>
          <w:p w14:paraId="3511FB5A" w14:textId="77777777" w:rsidR="007A4167" w:rsidRPr="005E4483" w:rsidRDefault="007A4167" w:rsidP="007A4167">
            <w:pPr>
              <w:pStyle w:val="Textpoznpodarou"/>
              <w:jc w:val="both"/>
              <w:rPr>
                <w:spacing w:val="-4"/>
              </w:rPr>
            </w:pPr>
          </w:p>
        </w:tc>
        <w:tc>
          <w:tcPr>
            <w:tcW w:w="7613" w:type="dxa"/>
          </w:tcPr>
          <w:p w14:paraId="0DE48E4E" w14:textId="682A5629" w:rsidR="007A4167" w:rsidRDefault="007A4167" w:rsidP="007A4167">
            <w:pPr>
              <w:spacing w:after="200"/>
              <w:rPr>
                <w:spacing w:val="-2"/>
              </w:rPr>
            </w:pPr>
            <w:r>
              <w:rPr>
                <w:spacing w:val="-2"/>
              </w:rPr>
              <w:t>Vyšší míra nezaměstnanosti</w:t>
            </w:r>
            <w:r w:rsidRPr="000D0BB2">
              <w:rPr>
                <w:spacing w:val="-2"/>
              </w:rPr>
              <w:t xml:space="preserve"> žen oproti mužům</w:t>
            </w:r>
            <w:r>
              <w:rPr>
                <w:spacing w:val="-2"/>
              </w:rPr>
              <w:t xml:space="preserve"> byla patrná ve všech</w:t>
            </w:r>
            <w:r w:rsidRPr="000D0BB2">
              <w:rPr>
                <w:spacing w:val="-2"/>
              </w:rPr>
              <w:t xml:space="preserve"> věkových skupinách (vyjma váhově okrajových skupin 15–19</w:t>
            </w:r>
            <w:r>
              <w:rPr>
                <w:spacing w:val="-2"/>
              </w:rPr>
              <w:t> </w:t>
            </w:r>
            <w:r w:rsidRPr="000D0BB2">
              <w:rPr>
                <w:spacing w:val="-2"/>
              </w:rPr>
              <w:t>let a</w:t>
            </w:r>
            <w:r>
              <w:rPr>
                <w:spacing w:val="-2"/>
              </w:rPr>
              <w:t> </w:t>
            </w:r>
            <w:r w:rsidRPr="000D0BB2">
              <w:rPr>
                <w:spacing w:val="-2"/>
              </w:rPr>
              <w:t>60–64</w:t>
            </w:r>
            <w:r>
              <w:rPr>
                <w:spacing w:val="-2"/>
              </w:rPr>
              <w:t> </w:t>
            </w:r>
            <w:r w:rsidRPr="000D0BB2">
              <w:rPr>
                <w:spacing w:val="-2"/>
              </w:rPr>
              <w:t>let</w:t>
            </w:r>
            <w:r w:rsidRPr="000D0BB2">
              <w:rPr>
                <w:rStyle w:val="Znakapoznpodarou"/>
                <w:spacing w:val="-2"/>
              </w:rPr>
              <w:footnoteReference w:id="50"/>
            </w:r>
            <w:r>
              <w:rPr>
                <w:spacing w:val="-2"/>
              </w:rPr>
              <w:t>), nejvíce ve skupině 35–39 let. Zde</w:t>
            </w:r>
            <w:r w:rsidRPr="000D0BB2">
              <w:rPr>
                <w:spacing w:val="-2"/>
              </w:rPr>
              <w:t xml:space="preserve"> se dlouhodobě projevuje vliv obtížnějšího návratu některých skupin žen na pracovní trh po ukončení rodičovské dovolené. Přestože tempo redukce míry nezaměstnanosti loni citelně zvolnilo, úbytek počtu lidí bez práce měl stále převážně plošný charakter, tj.</w:t>
            </w:r>
            <w:r>
              <w:rPr>
                <w:spacing w:val="-2"/>
              </w:rPr>
              <w:t> </w:t>
            </w:r>
            <w:r w:rsidRPr="000D0BB2">
              <w:rPr>
                <w:spacing w:val="-2"/>
              </w:rPr>
              <w:t>probíhal napříč různými sociodemografickými skupinami. To se týkalo i</w:t>
            </w:r>
            <w:r>
              <w:rPr>
                <w:spacing w:val="-2"/>
              </w:rPr>
              <w:t> </w:t>
            </w:r>
            <w:r w:rsidRPr="000D0BB2">
              <w:rPr>
                <w:spacing w:val="-2"/>
              </w:rPr>
              <w:t>vzdělání. Byť nejsvižněji loni klesala nezaměstnanost osob se základním vzděláním (v</w:t>
            </w:r>
            <w:r>
              <w:rPr>
                <w:spacing w:val="-2"/>
              </w:rPr>
              <w:t>četně neukončeného) – ze 13,0 % na 10,7 %</w:t>
            </w:r>
            <w:r w:rsidRPr="000D0BB2">
              <w:rPr>
                <w:spacing w:val="-2"/>
              </w:rPr>
              <w:t>, k meziročnímu snížení celkové nezaměstnanosti přispěli nejvíce lidé se středním vzděláním bez maturity (celo</w:t>
            </w:r>
            <w:r>
              <w:rPr>
                <w:spacing w:val="-2"/>
              </w:rPr>
              <w:t>u</w:t>
            </w:r>
            <w:r w:rsidRPr="000D0BB2">
              <w:rPr>
                <w:spacing w:val="-2"/>
              </w:rPr>
              <w:t xml:space="preserve"> polovinou). Rozd</w:t>
            </w:r>
            <w:r>
              <w:rPr>
                <w:spacing w:val="-2"/>
              </w:rPr>
              <w:t>íly měr nezaměstnanosti dle úrovně</w:t>
            </w:r>
            <w:r w:rsidRPr="000D0BB2">
              <w:rPr>
                <w:spacing w:val="-2"/>
              </w:rPr>
              <w:t xml:space="preserve"> vzdělání uchazečů byly loni na úrovni celé</w:t>
            </w:r>
            <w:r>
              <w:rPr>
                <w:spacing w:val="-2"/>
              </w:rPr>
              <w:t> </w:t>
            </w:r>
            <w:r w:rsidRPr="000D0BB2">
              <w:rPr>
                <w:spacing w:val="-2"/>
              </w:rPr>
              <w:t>ČR již malé (vyjma skupiny se základním vzděláním).</w:t>
            </w:r>
          </w:p>
        </w:tc>
      </w:tr>
      <w:tr w:rsidR="007A4167" w:rsidRPr="001502B1" w14:paraId="64804CA4" w14:textId="77777777" w:rsidTr="007F4B7E">
        <w:trPr>
          <w:trHeight w:val="145"/>
        </w:trPr>
        <w:tc>
          <w:tcPr>
            <w:tcW w:w="1815" w:type="dxa"/>
          </w:tcPr>
          <w:p w14:paraId="1350790C" w14:textId="11234582" w:rsidR="007A4167" w:rsidRDefault="007A4167" w:rsidP="007A4167">
            <w:pPr>
              <w:pStyle w:val="Marginlie"/>
            </w:pPr>
            <w:r>
              <w:rPr>
                <w:color w:val="0D0D0D" w:themeColor="text1" w:themeTint="F2"/>
              </w:rPr>
              <w:t>Pokles celkové nezaměstnanosti byl stále z poloviny tažen redukcí počtu lidí, kteří neměli práci déle než rok.</w:t>
            </w:r>
          </w:p>
        </w:tc>
        <w:tc>
          <w:tcPr>
            <w:tcW w:w="221" w:type="dxa"/>
          </w:tcPr>
          <w:p w14:paraId="11408AF1" w14:textId="77777777" w:rsidR="007A4167" w:rsidRPr="005E4483" w:rsidRDefault="007A4167" w:rsidP="007A4167">
            <w:pPr>
              <w:pStyle w:val="Textpoznpodarou"/>
              <w:jc w:val="both"/>
              <w:rPr>
                <w:spacing w:val="-4"/>
              </w:rPr>
            </w:pPr>
          </w:p>
        </w:tc>
        <w:tc>
          <w:tcPr>
            <w:tcW w:w="7613" w:type="dxa"/>
          </w:tcPr>
          <w:p w14:paraId="741F0143" w14:textId="6561F9C5" w:rsidR="007A4167" w:rsidRDefault="007A4167" w:rsidP="007A4167">
            <w:pPr>
              <w:spacing w:after="200"/>
              <w:rPr>
                <w:spacing w:val="-2"/>
              </w:rPr>
            </w:pPr>
            <w:r w:rsidRPr="00D10AF4">
              <w:rPr>
                <w:color w:val="0D0D0D" w:themeColor="text1" w:themeTint="F2"/>
                <w:spacing w:val="-3"/>
              </w:rPr>
              <w:t>Redukce počtu lidí, kteří byli bez práce déle než rok, přispěla loni k meziročnímu poklesu nezaměstnaných celou polovinou (v</w:t>
            </w:r>
            <w:r>
              <w:rPr>
                <w:color w:val="0D0D0D" w:themeColor="text1" w:themeTint="F2"/>
                <w:spacing w:val="-3"/>
              </w:rPr>
              <w:t> </w:t>
            </w:r>
            <w:r w:rsidRPr="00D10AF4">
              <w:rPr>
                <w:color w:val="0D0D0D" w:themeColor="text1" w:themeTint="F2"/>
                <w:spacing w:val="-3"/>
              </w:rPr>
              <w:t>předešlých dvou letech téměř ze dvou třetin). Mezi muži bylo loni dlouhodobě nezaměstnaných 32,5</w:t>
            </w:r>
            <w:r>
              <w:rPr>
                <w:color w:val="0D0D0D" w:themeColor="text1" w:themeTint="F2"/>
                <w:spacing w:val="-3"/>
              </w:rPr>
              <w:t> %</w:t>
            </w:r>
            <w:r w:rsidRPr="00D10AF4">
              <w:rPr>
                <w:color w:val="0D0D0D" w:themeColor="text1" w:themeTint="F2"/>
                <w:spacing w:val="-3"/>
              </w:rPr>
              <w:t>, u</w:t>
            </w:r>
            <w:r>
              <w:rPr>
                <w:color w:val="0D0D0D" w:themeColor="text1" w:themeTint="F2"/>
                <w:spacing w:val="-3"/>
              </w:rPr>
              <w:t> </w:t>
            </w:r>
            <w:r w:rsidRPr="00D10AF4">
              <w:rPr>
                <w:color w:val="0D0D0D" w:themeColor="text1" w:themeTint="F2"/>
                <w:spacing w:val="-3"/>
              </w:rPr>
              <w:t>žen pak 28,9</w:t>
            </w:r>
            <w:r>
              <w:rPr>
                <w:color w:val="0D0D0D" w:themeColor="text1" w:themeTint="F2"/>
                <w:spacing w:val="-3"/>
              </w:rPr>
              <w:t> %</w:t>
            </w:r>
            <w:r w:rsidRPr="00D10AF4">
              <w:rPr>
                <w:color w:val="0D0D0D" w:themeColor="text1" w:themeTint="F2"/>
                <w:spacing w:val="-3"/>
              </w:rPr>
              <w:t>. Podíl takto nezaměstnaných se snižoval čtvrtým rokem v řadě, loni svižněji u</w:t>
            </w:r>
            <w:r>
              <w:rPr>
                <w:color w:val="0D0D0D" w:themeColor="text1" w:themeTint="F2"/>
                <w:spacing w:val="-3"/>
              </w:rPr>
              <w:t> </w:t>
            </w:r>
            <w:r w:rsidRPr="00D10AF4">
              <w:rPr>
                <w:color w:val="0D0D0D" w:themeColor="text1" w:themeTint="F2"/>
                <w:spacing w:val="-3"/>
              </w:rPr>
              <w:t>žen než u</w:t>
            </w:r>
            <w:r>
              <w:rPr>
                <w:color w:val="0D0D0D" w:themeColor="text1" w:themeTint="F2"/>
                <w:spacing w:val="-3"/>
              </w:rPr>
              <w:t> </w:t>
            </w:r>
            <w:r w:rsidRPr="00D10AF4">
              <w:rPr>
                <w:color w:val="0D0D0D" w:themeColor="text1" w:themeTint="F2"/>
                <w:spacing w:val="-3"/>
              </w:rPr>
              <w:t>mužů. Nadpoloviční podíl dlouhodobě nezaměstnaných sužoval uchazeče o</w:t>
            </w:r>
            <w:r w:rsidRPr="00D10AF4">
              <w:rPr>
                <w:spacing w:val="-3"/>
              </w:rPr>
              <w:t> </w:t>
            </w:r>
            <w:r w:rsidRPr="00D10AF4">
              <w:rPr>
                <w:color w:val="0D0D0D" w:themeColor="text1" w:themeTint="F2"/>
                <w:spacing w:val="-3"/>
              </w:rPr>
              <w:t xml:space="preserve">práci ve věku </w:t>
            </w:r>
            <w:r>
              <w:rPr>
                <w:color w:val="0D0D0D" w:themeColor="text1" w:themeTint="F2"/>
                <w:spacing w:val="-3"/>
              </w:rPr>
              <w:br/>
            </w:r>
            <w:r w:rsidRPr="00D10AF4">
              <w:rPr>
                <w:color w:val="0D0D0D" w:themeColor="text1" w:themeTint="F2"/>
                <w:spacing w:val="-3"/>
              </w:rPr>
              <w:t>55</w:t>
            </w:r>
            <w:r w:rsidRPr="00D10AF4">
              <w:rPr>
                <w:spacing w:val="-3"/>
              </w:rPr>
              <w:t>–</w:t>
            </w:r>
            <w:r w:rsidRPr="00D10AF4">
              <w:rPr>
                <w:color w:val="0D0D0D" w:themeColor="text1" w:themeTint="F2"/>
                <w:spacing w:val="-3"/>
              </w:rPr>
              <w:t>59</w:t>
            </w:r>
            <w:r>
              <w:rPr>
                <w:color w:val="0D0D0D" w:themeColor="text1" w:themeTint="F2"/>
                <w:spacing w:val="-3"/>
              </w:rPr>
              <w:t> </w:t>
            </w:r>
            <w:r w:rsidRPr="00D10AF4">
              <w:rPr>
                <w:color w:val="0D0D0D" w:themeColor="text1" w:themeTint="F2"/>
                <w:spacing w:val="-3"/>
              </w:rPr>
              <w:t>let (51</w:t>
            </w:r>
            <w:r>
              <w:rPr>
                <w:color w:val="0D0D0D" w:themeColor="text1" w:themeTint="F2"/>
                <w:spacing w:val="-3"/>
              </w:rPr>
              <w:t> %</w:t>
            </w:r>
            <w:r w:rsidRPr="00D10AF4">
              <w:rPr>
                <w:color w:val="0D0D0D" w:themeColor="text1" w:themeTint="F2"/>
                <w:spacing w:val="-3"/>
              </w:rPr>
              <w:t>), vyšší hodnoty přetrvávaly i</w:t>
            </w:r>
            <w:r>
              <w:rPr>
                <w:color w:val="0D0D0D" w:themeColor="text1" w:themeTint="F2"/>
                <w:spacing w:val="-3"/>
              </w:rPr>
              <w:t> u </w:t>
            </w:r>
            <w:r w:rsidRPr="00D10AF4">
              <w:rPr>
                <w:color w:val="0D0D0D" w:themeColor="text1" w:themeTint="F2"/>
                <w:spacing w:val="-3"/>
              </w:rPr>
              <w:t>skupiny 45</w:t>
            </w:r>
            <w:r>
              <w:rPr>
                <w:color w:val="0D0D0D" w:themeColor="text1" w:themeTint="F2"/>
                <w:spacing w:val="-3"/>
              </w:rPr>
              <w:t>–</w:t>
            </w:r>
            <w:r w:rsidRPr="00D10AF4">
              <w:rPr>
                <w:color w:val="0D0D0D" w:themeColor="text1" w:themeTint="F2"/>
                <w:spacing w:val="-3"/>
              </w:rPr>
              <w:t>54</w:t>
            </w:r>
            <w:r>
              <w:rPr>
                <w:color w:val="0D0D0D" w:themeColor="text1" w:themeTint="F2"/>
                <w:spacing w:val="-3"/>
              </w:rPr>
              <w:t> </w:t>
            </w:r>
            <w:r w:rsidRPr="00D10AF4">
              <w:rPr>
                <w:color w:val="0D0D0D" w:themeColor="text1" w:themeTint="F2"/>
                <w:spacing w:val="-3"/>
              </w:rPr>
              <w:t>let (44</w:t>
            </w:r>
            <w:r w:rsidRPr="00D10AF4">
              <w:rPr>
                <w:spacing w:val="-3"/>
              </w:rPr>
              <w:t> </w:t>
            </w:r>
            <w:r w:rsidRPr="00D10AF4">
              <w:rPr>
                <w:color w:val="0D0D0D" w:themeColor="text1" w:themeTint="F2"/>
                <w:spacing w:val="-3"/>
              </w:rPr>
              <w:t>%).</w:t>
            </w:r>
          </w:p>
        </w:tc>
      </w:tr>
      <w:tr w:rsidR="007A4167" w:rsidRPr="001502B1" w14:paraId="734220D4" w14:textId="77777777" w:rsidTr="007F4B7E">
        <w:trPr>
          <w:trHeight w:val="145"/>
        </w:trPr>
        <w:tc>
          <w:tcPr>
            <w:tcW w:w="1815" w:type="dxa"/>
          </w:tcPr>
          <w:p w14:paraId="67CA1FB1" w14:textId="77777777" w:rsidR="007A4167" w:rsidRPr="00106639" w:rsidRDefault="007A4167" w:rsidP="007A4167">
            <w:pPr>
              <w:pStyle w:val="Marginlie"/>
            </w:pPr>
          </w:p>
        </w:tc>
        <w:tc>
          <w:tcPr>
            <w:tcW w:w="221" w:type="dxa"/>
          </w:tcPr>
          <w:p w14:paraId="502EADA1" w14:textId="77777777" w:rsidR="007A4167" w:rsidRPr="005E4483" w:rsidRDefault="007A4167" w:rsidP="007A4167">
            <w:pPr>
              <w:pStyle w:val="Textpoznpodarou"/>
              <w:jc w:val="both"/>
              <w:rPr>
                <w:spacing w:val="-4"/>
              </w:rPr>
            </w:pPr>
          </w:p>
        </w:tc>
        <w:tc>
          <w:tcPr>
            <w:tcW w:w="7613" w:type="dxa"/>
          </w:tcPr>
          <w:p w14:paraId="29C7DBA5" w14:textId="67C4A7C7" w:rsidR="007A4167" w:rsidRPr="005A2E40" w:rsidRDefault="007A4167" w:rsidP="007A4167">
            <w:pPr>
              <w:spacing w:after="0"/>
              <w:rPr>
                <w:b/>
                <w:szCs w:val="20"/>
              </w:rPr>
            </w:pPr>
            <w:r>
              <w:rPr>
                <w:b/>
              </w:rPr>
              <w:t xml:space="preserve">Graf č. 17  </w:t>
            </w:r>
            <w:r w:rsidRPr="00425211">
              <w:rPr>
                <w:rFonts w:cs="Arial"/>
                <w:b/>
                <w:bCs/>
                <w:spacing w:val="-2"/>
              </w:rPr>
              <w:t>Obecná míra nezaměstnanosti mužů a</w:t>
            </w:r>
            <w:r>
              <w:rPr>
                <w:rFonts w:cs="Arial"/>
                <w:b/>
                <w:bCs/>
                <w:spacing w:val="-2"/>
              </w:rPr>
              <w:t> </w:t>
            </w:r>
            <w:r w:rsidRPr="00425211">
              <w:rPr>
                <w:rFonts w:cs="Arial"/>
                <w:b/>
                <w:bCs/>
                <w:spacing w:val="-2"/>
              </w:rPr>
              <w:t>žen</w:t>
            </w:r>
            <w:r>
              <w:rPr>
                <w:rFonts w:cs="Arial"/>
                <w:b/>
                <w:bCs/>
                <w:spacing w:val="-2"/>
              </w:rPr>
              <w:t xml:space="preserve">, podíl </w:t>
            </w:r>
            <w:r w:rsidRPr="00425211">
              <w:rPr>
                <w:rFonts w:cs="Arial"/>
                <w:b/>
                <w:bCs/>
                <w:spacing w:val="-2"/>
              </w:rPr>
              <w:t xml:space="preserve">nezaměstnaných </w:t>
            </w:r>
            <w:r w:rsidRPr="00425211">
              <w:rPr>
                <w:rFonts w:cs="Arial"/>
                <w:bCs/>
                <w:spacing w:val="-2"/>
              </w:rPr>
              <w:t>(v</w:t>
            </w:r>
            <w:r>
              <w:rPr>
                <w:rFonts w:cs="Arial"/>
                <w:bCs/>
                <w:spacing w:val="-2"/>
              </w:rPr>
              <w:t> %</w:t>
            </w:r>
            <w:r w:rsidRPr="00425211">
              <w:rPr>
                <w:rFonts w:cs="Arial"/>
                <w:bCs/>
                <w:spacing w:val="-2"/>
              </w:rPr>
              <w:t xml:space="preserve">) </w:t>
            </w:r>
            <w:r>
              <w:rPr>
                <w:rFonts w:cs="Arial"/>
                <w:b/>
                <w:bCs/>
                <w:spacing w:val="-2"/>
              </w:rPr>
              <w:t>a </w:t>
            </w:r>
            <w:r w:rsidRPr="00425211">
              <w:rPr>
                <w:rFonts w:cs="Arial"/>
                <w:b/>
                <w:bCs/>
                <w:spacing w:val="-2"/>
              </w:rPr>
              <w:t>ekonomicky neaktivní chtějící</w:t>
            </w:r>
            <w:r>
              <w:rPr>
                <w:rFonts w:cs="Arial"/>
                <w:b/>
                <w:bCs/>
                <w:spacing w:val="-2"/>
              </w:rPr>
              <w:t>ch</w:t>
            </w:r>
            <w:r w:rsidRPr="00425211">
              <w:rPr>
                <w:rFonts w:cs="Arial"/>
                <w:b/>
                <w:bCs/>
                <w:spacing w:val="-2"/>
              </w:rPr>
              <w:t xml:space="preserve"> pracovat </w:t>
            </w:r>
            <w:r>
              <w:rPr>
                <w:rFonts w:cs="Arial"/>
                <w:b/>
                <w:bCs/>
                <w:spacing w:val="-2"/>
              </w:rPr>
              <w:t xml:space="preserve">v ČR </w:t>
            </w:r>
            <w:r w:rsidRPr="00425211">
              <w:rPr>
                <w:rFonts w:cs="Arial"/>
                <w:bCs/>
                <w:spacing w:val="-2"/>
              </w:rPr>
              <w:t>(v</w:t>
            </w:r>
            <w:r>
              <w:rPr>
                <w:rFonts w:cs="Arial"/>
                <w:bCs/>
                <w:spacing w:val="-2"/>
              </w:rPr>
              <w:t> </w:t>
            </w:r>
            <w:r w:rsidRPr="00425211">
              <w:rPr>
                <w:rFonts w:cs="Arial"/>
                <w:bCs/>
                <w:spacing w:val="-2"/>
              </w:rPr>
              <w:t>tis.)</w:t>
            </w:r>
            <w:r>
              <w:rPr>
                <w:rFonts w:cs="Arial"/>
                <w:bCs/>
                <w:spacing w:val="-2"/>
              </w:rPr>
              <w:t>*</w:t>
            </w:r>
          </w:p>
        </w:tc>
      </w:tr>
      <w:tr w:rsidR="007A4167" w:rsidRPr="001502B1" w14:paraId="25FB4C63" w14:textId="77777777" w:rsidTr="007F4B7E">
        <w:tblPrEx>
          <w:tblCellMar>
            <w:left w:w="70" w:type="dxa"/>
            <w:right w:w="70" w:type="dxa"/>
          </w:tblCellMar>
        </w:tblPrEx>
        <w:trPr>
          <w:trHeight w:val="145"/>
        </w:trPr>
        <w:tc>
          <w:tcPr>
            <w:tcW w:w="1815" w:type="dxa"/>
          </w:tcPr>
          <w:p w14:paraId="4AF267B1" w14:textId="77777777" w:rsidR="007A4167" w:rsidRDefault="007A4167" w:rsidP="007A4167">
            <w:pPr>
              <w:pStyle w:val="Marginlie"/>
            </w:pPr>
          </w:p>
        </w:tc>
        <w:tc>
          <w:tcPr>
            <w:tcW w:w="221" w:type="dxa"/>
          </w:tcPr>
          <w:p w14:paraId="5080C2BF" w14:textId="77777777" w:rsidR="007A4167" w:rsidRPr="005E4483" w:rsidRDefault="007A4167" w:rsidP="007A4167">
            <w:pPr>
              <w:pStyle w:val="Textpoznpodarou"/>
              <w:jc w:val="both"/>
              <w:rPr>
                <w:spacing w:val="-4"/>
              </w:rPr>
            </w:pPr>
          </w:p>
        </w:tc>
        <w:tc>
          <w:tcPr>
            <w:tcW w:w="7613" w:type="dxa"/>
          </w:tcPr>
          <w:p w14:paraId="76BC043B" w14:textId="761449A8" w:rsidR="007A4167" w:rsidRDefault="007A4167" w:rsidP="007A4167">
            <w:pPr>
              <w:spacing w:after="0"/>
            </w:pPr>
            <w:r>
              <w:rPr>
                <w:noProof/>
              </w:rPr>
              <w:drawing>
                <wp:inline distT="0" distB="0" distL="0" distR="0" wp14:anchorId="035AA8CC" wp14:editId="71062F28">
                  <wp:extent cx="4745355" cy="3277209"/>
                  <wp:effectExtent l="0" t="0" r="0" b="0"/>
                  <wp:docPr id="60" name="Graf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tc>
      </w:tr>
      <w:tr w:rsidR="007A4167" w:rsidRPr="001502B1" w14:paraId="55BC5F5B" w14:textId="77777777" w:rsidTr="007F4B7E">
        <w:trPr>
          <w:trHeight w:val="145"/>
        </w:trPr>
        <w:tc>
          <w:tcPr>
            <w:tcW w:w="1815" w:type="dxa"/>
          </w:tcPr>
          <w:p w14:paraId="34AE3CAB" w14:textId="77777777" w:rsidR="007A4167" w:rsidRDefault="007A4167" w:rsidP="007A4167">
            <w:pPr>
              <w:pStyle w:val="Marginlie"/>
            </w:pPr>
          </w:p>
        </w:tc>
        <w:tc>
          <w:tcPr>
            <w:tcW w:w="221" w:type="dxa"/>
          </w:tcPr>
          <w:p w14:paraId="1B5A49A2" w14:textId="77777777" w:rsidR="007A4167" w:rsidRPr="005E4483" w:rsidRDefault="007A4167" w:rsidP="007A4167">
            <w:pPr>
              <w:pStyle w:val="Textpoznpodarou"/>
              <w:jc w:val="both"/>
              <w:rPr>
                <w:spacing w:val="-4"/>
              </w:rPr>
            </w:pPr>
          </w:p>
        </w:tc>
        <w:tc>
          <w:tcPr>
            <w:tcW w:w="7613" w:type="dxa"/>
          </w:tcPr>
          <w:p w14:paraId="71C799B3" w14:textId="77777777" w:rsidR="007A4167" w:rsidRDefault="007A4167" w:rsidP="007A4167">
            <w:pPr>
              <w:spacing w:after="0" w:line="240" w:lineRule="auto"/>
              <w:rPr>
                <w:rFonts w:cs="Arial"/>
                <w:sz w:val="14"/>
                <w:szCs w:val="14"/>
              </w:rPr>
            </w:pPr>
            <w:r>
              <w:rPr>
                <w:rFonts w:cs="Arial"/>
                <w:sz w:val="14"/>
                <w:szCs w:val="14"/>
              </w:rPr>
              <w:t>*</w:t>
            </w:r>
            <w:r w:rsidRPr="002C6DCD">
              <w:rPr>
                <w:rFonts w:cs="Arial"/>
                <w:sz w:val="14"/>
                <w:szCs w:val="14"/>
              </w:rPr>
              <w:t>Podíl všech nezaměstnaných uchazečů registrovaných na úřadech práce v</w:t>
            </w:r>
            <w:r>
              <w:rPr>
                <w:rFonts w:cs="Arial"/>
                <w:sz w:val="14"/>
                <w:szCs w:val="14"/>
              </w:rPr>
              <w:t> </w:t>
            </w:r>
            <w:r w:rsidRPr="002C6DCD">
              <w:rPr>
                <w:rFonts w:cs="Arial"/>
                <w:sz w:val="14"/>
                <w:szCs w:val="14"/>
              </w:rPr>
              <w:t>ČR</w:t>
            </w:r>
            <w:r>
              <w:rPr>
                <w:rFonts w:cs="Arial"/>
                <w:sz w:val="14"/>
                <w:szCs w:val="14"/>
              </w:rPr>
              <w:t xml:space="preserve"> (ÚP)</w:t>
            </w:r>
            <w:r w:rsidRPr="002C6DCD">
              <w:rPr>
                <w:rFonts w:cs="Arial"/>
                <w:sz w:val="14"/>
                <w:szCs w:val="14"/>
              </w:rPr>
              <w:t xml:space="preserve"> k počtu obyvatel ve věku 15 až 64</w:t>
            </w:r>
            <w:r>
              <w:rPr>
                <w:rFonts w:cs="Arial"/>
                <w:sz w:val="14"/>
                <w:szCs w:val="14"/>
              </w:rPr>
              <w:t> </w:t>
            </w:r>
            <w:r w:rsidRPr="002C6DCD">
              <w:rPr>
                <w:rFonts w:cs="Arial"/>
                <w:sz w:val="14"/>
                <w:szCs w:val="14"/>
              </w:rPr>
              <w:t>let.</w:t>
            </w:r>
            <w:r>
              <w:rPr>
                <w:rFonts w:cs="Arial"/>
                <w:sz w:val="14"/>
                <w:szCs w:val="14"/>
              </w:rPr>
              <w:t xml:space="preserve"> Časová řada není sezónně očištěna (podobně jako obecná míra nezaměstnanosti celkem).</w:t>
            </w:r>
          </w:p>
          <w:p w14:paraId="11605DAB" w14:textId="77777777" w:rsidR="007A4167" w:rsidRDefault="007A4167" w:rsidP="007A4167">
            <w:pPr>
              <w:spacing w:after="0" w:line="240" w:lineRule="auto"/>
              <w:rPr>
                <w:rFonts w:cs="Arial"/>
                <w:color w:val="0D0D0D" w:themeColor="text1" w:themeTint="F2"/>
                <w:sz w:val="14"/>
                <w:szCs w:val="14"/>
              </w:rPr>
            </w:pPr>
            <w:r>
              <w:rPr>
                <w:rFonts w:cs="Arial"/>
                <w:sz w:val="14"/>
                <w:szCs w:val="14"/>
              </w:rPr>
              <w:t>*</w:t>
            </w:r>
            <w:r w:rsidRPr="00FF12EF">
              <w:rPr>
                <w:rFonts w:cs="Arial"/>
                <w:color w:val="0D0D0D" w:themeColor="text1" w:themeTint="F2"/>
                <w:sz w:val="14"/>
                <w:szCs w:val="14"/>
              </w:rPr>
              <w:t>*</w:t>
            </w:r>
            <w:r>
              <w:rPr>
                <w:rFonts w:cs="Arial"/>
                <w:bCs/>
                <w:color w:val="0D0D0D" w:themeColor="text1" w:themeTint="F2"/>
                <w:sz w:val="14"/>
                <w:szCs w:val="14"/>
              </w:rPr>
              <w:t>O</w:t>
            </w:r>
            <w:r w:rsidRPr="00FF12EF">
              <w:rPr>
                <w:rFonts w:cs="Arial"/>
                <w:bCs/>
                <w:color w:val="0D0D0D" w:themeColor="text1" w:themeTint="F2"/>
                <w:sz w:val="14"/>
                <w:szCs w:val="14"/>
              </w:rPr>
              <w:t>soby, které nepracují, aktivně práci nehledají (a</w:t>
            </w:r>
            <w:r>
              <w:rPr>
                <w:rFonts w:cs="Arial"/>
                <w:bCs/>
                <w:color w:val="0D0D0D" w:themeColor="text1" w:themeTint="F2"/>
                <w:sz w:val="14"/>
                <w:szCs w:val="14"/>
              </w:rPr>
              <w:t> </w:t>
            </w:r>
            <w:r w:rsidRPr="00FF12EF">
              <w:rPr>
                <w:rFonts w:cs="Arial"/>
                <w:bCs/>
                <w:color w:val="0D0D0D" w:themeColor="text1" w:themeTint="F2"/>
                <w:sz w:val="14"/>
                <w:szCs w:val="14"/>
              </w:rPr>
              <w:t>nesplňují tak podmínky ILO pro nezaměstnané),</w:t>
            </w:r>
            <w:r w:rsidRPr="00FF12EF">
              <w:rPr>
                <w:rFonts w:cs="Arial"/>
                <w:color w:val="0D0D0D" w:themeColor="text1" w:themeTint="F2"/>
                <w:sz w:val="14"/>
                <w:szCs w:val="14"/>
              </w:rPr>
              <w:t xml:space="preserve"> ale přitom </w:t>
            </w:r>
            <w:r>
              <w:rPr>
                <w:rFonts w:cs="Arial"/>
                <w:color w:val="0D0D0D" w:themeColor="text1" w:themeTint="F2"/>
                <w:sz w:val="14"/>
                <w:szCs w:val="14"/>
              </w:rPr>
              <w:t>uvádějí, že by chtěly pracovat.</w:t>
            </w:r>
          </w:p>
          <w:p w14:paraId="38F6237E" w14:textId="77777777" w:rsidR="007A4167" w:rsidRPr="00BF1C20" w:rsidRDefault="007A4167" w:rsidP="007A4167">
            <w:pPr>
              <w:spacing w:after="200" w:line="240" w:lineRule="auto"/>
              <w:rPr>
                <w:rFonts w:cs="Arial"/>
                <w:color w:val="0D0D0D" w:themeColor="text1" w:themeTint="F2"/>
                <w:sz w:val="14"/>
                <w:szCs w:val="14"/>
              </w:rPr>
            </w:pPr>
            <w:r w:rsidRPr="00444E6D">
              <w:rPr>
                <w:rFonts w:cs="Arial"/>
                <w:sz w:val="14"/>
                <w:szCs w:val="14"/>
              </w:rPr>
              <w:t xml:space="preserve">Zdroj: </w:t>
            </w:r>
            <w:r>
              <w:rPr>
                <w:rFonts w:cs="Arial"/>
                <w:sz w:val="14"/>
                <w:szCs w:val="14"/>
              </w:rPr>
              <w:t>ČSÚ, MPSV</w:t>
            </w:r>
          </w:p>
        </w:tc>
      </w:tr>
      <w:tr w:rsidR="007A4167" w:rsidRPr="001502B1" w14:paraId="40959F1F" w14:textId="77777777" w:rsidTr="007F4B7E">
        <w:trPr>
          <w:trHeight w:val="145"/>
        </w:trPr>
        <w:tc>
          <w:tcPr>
            <w:tcW w:w="1815" w:type="dxa"/>
          </w:tcPr>
          <w:p w14:paraId="360A3166" w14:textId="2EDF6D14" w:rsidR="007A4167" w:rsidRPr="008529B6" w:rsidRDefault="007A4167" w:rsidP="007A4167">
            <w:pPr>
              <w:pStyle w:val="Marginlie"/>
              <w:rPr>
                <w:color w:val="0D0D0D" w:themeColor="text1" w:themeTint="F2"/>
              </w:rPr>
            </w:pPr>
            <w:r>
              <w:rPr>
                <w:color w:val="0D0D0D" w:themeColor="text1" w:themeTint="F2"/>
              </w:rPr>
              <w:t>Díky silné poptávce po práci se dařilo zapojovat na trh práce také znevýhodněné skupiny uchazečů.</w:t>
            </w:r>
          </w:p>
        </w:tc>
        <w:tc>
          <w:tcPr>
            <w:tcW w:w="221" w:type="dxa"/>
          </w:tcPr>
          <w:p w14:paraId="4015E1E2" w14:textId="77777777" w:rsidR="007A4167" w:rsidRPr="008529B6" w:rsidRDefault="007A4167" w:rsidP="007A4167">
            <w:pPr>
              <w:pStyle w:val="Textpoznpodarou"/>
              <w:jc w:val="both"/>
              <w:rPr>
                <w:color w:val="0D0D0D" w:themeColor="text1" w:themeTint="F2"/>
                <w:spacing w:val="-4"/>
              </w:rPr>
            </w:pPr>
          </w:p>
        </w:tc>
        <w:tc>
          <w:tcPr>
            <w:tcW w:w="7613" w:type="dxa"/>
          </w:tcPr>
          <w:p w14:paraId="22876E0D" w14:textId="70BAD0E0" w:rsidR="007A4167" w:rsidRPr="00D10AF4" w:rsidRDefault="007A4167" w:rsidP="007A4167">
            <w:pPr>
              <w:spacing w:after="200"/>
              <w:rPr>
                <w:color w:val="0D0D0D" w:themeColor="text1" w:themeTint="F2"/>
                <w:spacing w:val="-3"/>
              </w:rPr>
            </w:pPr>
            <w:r w:rsidRPr="00D10AF4">
              <w:rPr>
                <w:color w:val="0D0D0D" w:themeColor="text1" w:themeTint="F2"/>
                <w:spacing w:val="-3"/>
              </w:rPr>
              <w:t>Mezi uchazeči se základním vzděláním bylo dlouhodobě nezaměstnaných 40 %, skoro dvakrát více než mezi nezaměstnanými s maturitním či terciárním vzděláním. Díky silné poptávce po pracovní síle se v posledních letech daří zapojovat na pracovní trh i</w:t>
            </w:r>
            <w:r>
              <w:rPr>
                <w:color w:val="0D0D0D" w:themeColor="text1" w:themeTint="F2"/>
                <w:spacing w:val="-3"/>
              </w:rPr>
              <w:t> </w:t>
            </w:r>
            <w:r w:rsidRPr="00D10AF4">
              <w:rPr>
                <w:color w:val="0D0D0D" w:themeColor="text1" w:themeTint="F2"/>
                <w:spacing w:val="-3"/>
              </w:rPr>
              <w:t xml:space="preserve">další </w:t>
            </w:r>
            <w:r>
              <w:rPr>
                <w:color w:val="0D0D0D" w:themeColor="text1" w:themeTint="F2"/>
                <w:spacing w:val="-3"/>
              </w:rPr>
              <w:t>znevýhodněné</w:t>
            </w:r>
            <w:r w:rsidRPr="00D10AF4">
              <w:rPr>
                <w:color w:val="0D0D0D" w:themeColor="text1" w:themeTint="F2"/>
                <w:spacing w:val="-3"/>
              </w:rPr>
              <w:t xml:space="preserve"> skupiny nezaměstnaných. Jde např.</w:t>
            </w:r>
            <w:r>
              <w:rPr>
                <w:color w:val="0D0D0D" w:themeColor="text1" w:themeTint="F2"/>
                <w:spacing w:val="-3"/>
              </w:rPr>
              <w:t> </w:t>
            </w:r>
            <w:r w:rsidRPr="00D10AF4">
              <w:rPr>
                <w:color w:val="0D0D0D" w:themeColor="text1" w:themeTint="F2"/>
                <w:spacing w:val="-3"/>
              </w:rPr>
              <w:t>o</w:t>
            </w:r>
            <w:r>
              <w:rPr>
                <w:color w:val="0D0D0D" w:themeColor="text1" w:themeTint="F2"/>
                <w:spacing w:val="-3"/>
              </w:rPr>
              <w:t> </w:t>
            </w:r>
            <w:r w:rsidRPr="00D10AF4">
              <w:rPr>
                <w:color w:val="0D0D0D" w:themeColor="text1" w:themeTint="F2"/>
                <w:spacing w:val="-3"/>
              </w:rPr>
              <w:t>lidi pečující o</w:t>
            </w:r>
            <w:r>
              <w:rPr>
                <w:color w:val="0D0D0D" w:themeColor="text1" w:themeTint="F2"/>
                <w:spacing w:val="-3"/>
              </w:rPr>
              <w:t> </w:t>
            </w:r>
            <w:r w:rsidRPr="00D10AF4">
              <w:rPr>
                <w:color w:val="0D0D0D" w:themeColor="text1" w:themeTint="F2"/>
                <w:spacing w:val="-3"/>
              </w:rPr>
              <w:t>dítě do 15</w:t>
            </w:r>
            <w:r>
              <w:rPr>
                <w:color w:val="0D0D0D" w:themeColor="text1" w:themeTint="F2"/>
                <w:spacing w:val="-3"/>
              </w:rPr>
              <w:t> </w:t>
            </w:r>
            <w:r w:rsidRPr="00D10AF4">
              <w:rPr>
                <w:color w:val="0D0D0D" w:themeColor="text1" w:themeTint="F2"/>
                <w:spacing w:val="-3"/>
              </w:rPr>
              <w:t>let věku, kteří na konci roku 2018 tvořili již jen 11</w:t>
            </w:r>
            <w:r>
              <w:rPr>
                <w:color w:val="0D0D0D" w:themeColor="text1" w:themeTint="F2"/>
                <w:spacing w:val="-3"/>
              </w:rPr>
              <w:t> %</w:t>
            </w:r>
            <w:r w:rsidRPr="00D10AF4">
              <w:rPr>
                <w:color w:val="0D0D0D" w:themeColor="text1" w:themeTint="F2"/>
                <w:spacing w:val="-3"/>
              </w:rPr>
              <w:t xml:space="preserve"> všech nez</w:t>
            </w:r>
            <w:r>
              <w:rPr>
                <w:color w:val="0D0D0D" w:themeColor="text1" w:themeTint="F2"/>
                <w:spacing w:val="-3"/>
              </w:rPr>
              <w:t>aměstnaných. Klesal i počet nezaměstnaných</w:t>
            </w:r>
            <w:r w:rsidRPr="00D10AF4">
              <w:rPr>
                <w:color w:val="0D0D0D" w:themeColor="text1" w:themeTint="F2"/>
                <w:spacing w:val="-3"/>
              </w:rPr>
              <w:t xml:space="preserve"> se zdravotním postižením, jeji</w:t>
            </w:r>
            <w:r>
              <w:rPr>
                <w:color w:val="0D0D0D" w:themeColor="text1" w:themeTint="F2"/>
                <w:spacing w:val="-3"/>
              </w:rPr>
              <w:t>ch podíl na všech uchazečích o práci</w:t>
            </w:r>
            <w:r w:rsidRPr="00D10AF4">
              <w:rPr>
                <w:color w:val="0D0D0D" w:themeColor="text1" w:themeTint="F2"/>
                <w:spacing w:val="-3"/>
              </w:rPr>
              <w:t xml:space="preserve"> ale </w:t>
            </w:r>
            <w:r>
              <w:rPr>
                <w:color w:val="0D0D0D" w:themeColor="text1" w:themeTint="F2"/>
                <w:spacing w:val="-3"/>
              </w:rPr>
              <w:t xml:space="preserve">mírně </w:t>
            </w:r>
            <w:r w:rsidRPr="00D10AF4">
              <w:rPr>
                <w:color w:val="0D0D0D" w:themeColor="text1" w:themeTint="F2"/>
                <w:spacing w:val="-3"/>
              </w:rPr>
              <w:t>rostl (na</w:t>
            </w:r>
            <w:r>
              <w:rPr>
                <w:color w:val="0D0D0D" w:themeColor="text1" w:themeTint="F2"/>
                <w:spacing w:val="-3"/>
              </w:rPr>
              <w:t> </w:t>
            </w:r>
            <w:r w:rsidRPr="00D10AF4">
              <w:rPr>
                <w:color w:val="0D0D0D" w:themeColor="text1" w:themeTint="F2"/>
                <w:spacing w:val="-3"/>
              </w:rPr>
              <w:t>17</w:t>
            </w:r>
            <w:r>
              <w:rPr>
                <w:color w:val="0D0D0D" w:themeColor="text1" w:themeTint="F2"/>
                <w:spacing w:val="-3"/>
              </w:rPr>
              <w:t> %</w:t>
            </w:r>
            <w:r w:rsidRPr="00D10AF4">
              <w:rPr>
                <w:color w:val="0D0D0D" w:themeColor="text1" w:themeTint="F2"/>
                <w:spacing w:val="-3"/>
              </w:rPr>
              <w:t>).</w:t>
            </w:r>
          </w:p>
        </w:tc>
      </w:tr>
      <w:tr w:rsidR="007A4167" w14:paraId="76B228B9" w14:textId="77777777" w:rsidTr="007F4B7E">
        <w:trPr>
          <w:trHeight w:val="145"/>
        </w:trPr>
        <w:tc>
          <w:tcPr>
            <w:tcW w:w="1815" w:type="dxa"/>
          </w:tcPr>
          <w:p w14:paraId="47063D28" w14:textId="77777777" w:rsidR="007A4167" w:rsidRDefault="007A4167" w:rsidP="007A4167">
            <w:pPr>
              <w:pStyle w:val="Marginlie"/>
            </w:pPr>
          </w:p>
        </w:tc>
        <w:tc>
          <w:tcPr>
            <w:tcW w:w="221" w:type="dxa"/>
          </w:tcPr>
          <w:p w14:paraId="5564F9A7" w14:textId="77777777" w:rsidR="007A4167" w:rsidRPr="005E4483" w:rsidRDefault="007A4167" w:rsidP="007A4167">
            <w:pPr>
              <w:pStyle w:val="Textpoznpodarou"/>
              <w:jc w:val="both"/>
              <w:rPr>
                <w:spacing w:val="-4"/>
              </w:rPr>
            </w:pPr>
          </w:p>
        </w:tc>
        <w:tc>
          <w:tcPr>
            <w:tcW w:w="7613" w:type="dxa"/>
          </w:tcPr>
          <w:p w14:paraId="1DCA5882" w14:textId="33905104" w:rsidR="007A4167" w:rsidRPr="000D0BB2" w:rsidRDefault="007A4167" w:rsidP="007A4167">
            <w:pPr>
              <w:spacing w:after="0"/>
              <w:rPr>
                <w:spacing w:val="-4"/>
              </w:rPr>
            </w:pPr>
            <w:r>
              <w:rPr>
                <w:b/>
                <w:spacing w:val="-4"/>
              </w:rPr>
              <w:t>Graf č. 18</w:t>
            </w:r>
            <w:r w:rsidRPr="000D0BB2">
              <w:rPr>
                <w:b/>
                <w:spacing w:val="-4"/>
              </w:rPr>
              <w:t xml:space="preserve">  </w:t>
            </w:r>
            <w:r w:rsidRPr="000D0BB2">
              <w:rPr>
                <w:rFonts w:cs="Arial"/>
                <w:b/>
                <w:bCs/>
                <w:spacing w:val="-4"/>
              </w:rPr>
              <w:t>Míra nezaměstnanost</w:t>
            </w:r>
            <w:r>
              <w:rPr>
                <w:rFonts w:cs="Arial"/>
                <w:b/>
                <w:bCs/>
                <w:spacing w:val="-4"/>
              </w:rPr>
              <w:t>i</w:t>
            </w:r>
            <w:r w:rsidRPr="000D0BB2">
              <w:rPr>
                <w:rFonts w:cs="Arial"/>
                <w:b/>
                <w:bCs/>
                <w:spacing w:val="-4"/>
              </w:rPr>
              <w:t xml:space="preserve"> dle stupňů vzdělání a</w:t>
            </w:r>
            <w:r>
              <w:rPr>
                <w:rFonts w:cs="Arial"/>
                <w:b/>
                <w:bCs/>
                <w:spacing w:val="-4"/>
              </w:rPr>
              <w:t> </w:t>
            </w:r>
            <w:r w:rsidRPr="000D0BB2">
              <w:rPr>
                <w:rFonts w:cs="Arial"/>
                <w:b/>
                <w:bCs/>
                <w:spacing w:val="-4"/>
              </w:rPr>
              <w:t xml:space="preserve">věkových skupin v ČR </w:t>
            </w:r>
            <w:r w:rsidRPr="000D0BB2">
              <w:rPr>
                <w:rFonts w:cs="Arial"/>
                <w:bCs/>
                <w:spacing w:val="-4"/>
              </w:rPr>
              <w:t>(v</w:t>
            </w:r>
            <w:r>
              <w:rPr>
                <w:rFonts w:cs="Arial"/>
                <w:bCs/>
                <w:spacing w:val="-4"/>
              </w:rPr>
              <w:t> %</w:t>
            </w:r>
            <w:r w:rsidRPr="000D0BB2">
              <w:rPr>
                <w:rFonts w:cs="Arial"/>
                <w:bCs/>
                <w:spacing w:val="-4"/>
              </w:rPr>
              <w:t>)</w:t>
            </w:r>
          </w:p>
        </w:tc>
      </w:tr>
      <w:tr w:rsidR="007A4167" w14:paraId="67157481" w14:textId="77777777" w:rsidTr="007F4B7E">
        <w:trPr>
          <w:trHeight w:val="145"/>
        </w:trPr>
        <w:tc>
          <w:tcPr>
            <w:tcW w:w="1815" w:type="dxa"/>
          </w:tcPr>
          <w:p w14:paraId="2BD13592" w14:textId="77777777" w:rsidR="007A4167" w:rsidRDefault="007A4167" w:rsidP="007A4167">
            <w:pPr>
              <w:pStyle w:val="Marginlie"/>
            </w:pPr>
          </w:p>
        </w:tc>
        <w:tc>
          <w:tcPr>
            <w:tcW w:w="221" w:type="dxa"/>
          </w:tcPr>
          <w:p w14:paraId="1400FF54" w14:textId="77777777" w:rsidR="007A4167" w:rsidRPr="005E4483" w:rsidRDefault="007A4167" w:rsidP="007A4167">
            <w:pPr>
              <w:pStyle w:val="Textpoznpodarou"/>
              <w:jc w:val="both"/>
              <w:rPr>
                <w:spacing w:val="-4"/>
              </w:rPr>
            </w:pPr>
          </w:p>
        </w:tc>
        <w:tc>
          <w:tcPr>
            <w:tcW w:w="7613" w:type="dxa"/>
          </w:tcPr>
          <w:p w14:paraId="054FF277" w14:textId="77777777" w:rsidR="007A4167" w:rsidRDefault="007A4167" w:rsidP="007A4167">
            <w:pPr>
              <w:spacing w:after="0"/>
            </w:pPr>
            <w:r>
              <w:rPr>
                <w:noProof/>
              </w:rPr>
              <w:drawing>
                <wp:inline distT="0" distB="0" distL="0" distR="0" wp14:anchorId="79ED1D77" wp14:editId="5AD78A29">
                  <wp:extent cx="4604385" cy="2999232"/>
                  <wp:effectExtent l="0" t="0" r="5715" b="0"/>
                  <wp:docPr id="39" name="Graf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tc>
      </w:tr>
      <w:tr w:rsidR="007A4167" w14:paraId="3231F853" w14:textId="77777777" w:rsidTr="007F4B7E">
        <w:trPr>
          <w:trHeight w:val="145"/>
        </w:trPr>
        <w:tc>
          <w:tcPr>
            <w:tcW w:w="1815" w:type="dxa"/>
          </w:tcPr>
          <w:p w14:paraId="3D235853" w14:textId="77777777" w:rsidR="007A4167" w:rsidRDefault="007A4167" w:rsidP="007A4167">
            <w:pPr>
              <w:pStyle w:val="Marginlie"/>
            </w:pPr>
          </w:p>
        </w:tc>
        <w:tc>
          <w:tcPr>
            <w:tcW w:w="221" w:type="dxa"/>
          </w:tcPr>
          <w:p w14:paraId="10002B5E" w14:textId="77777777" w:rsidR="007A4167" w:rsidRPr="005E4483" w:rsidRDefault="007A4167" w:rsidP="007A4167">
            <w:pPr>
              <w:pStyle w:val="Textpoznpodarou"/>
              <w:jc w:val="both"/>
              <w:rPr>
                <w:spacing w:val="-4"/>
              </w:rPr>
            </w:pPr>
          </w:p>
        </w:tc>
        <w:tc>
          <w:tcPr>
            <w:tcW w:w="7613" w:type="dxa"/>
          </w:tcPr>
          <w:p w14:paraId="718C6600" w14:textId="77777777" w:rsidR="007A4167" w:rsidRDefault="007A4167" w:rsidP="007A4167">
            <w:pPr>
              <w:spacing w:after="200"/>
            </w:pPr>
            <w:r w:rsidRPr="00444E6D">
              <w:rPr>
                <w:rFonts w:cs="Arial"/>
                <w:sz w:val="14"/>
                <w:szCs w:val="14"/>
              </w:rPr>
              <w:t xml:space="preserve">Zdroj: </w:t>
            </w:r>
            <w:r>
              <w:rPr>
                <w:rFonts w:cs="Arial"/>
                <w:sz w:val="14"/>
                <w:szCs w:val="14"/>
              </w:rPr>
              <w:t>ČSÚ</w:t>
            </w:r>
          </w:p>
        </w:tc>
      </w:tr>
      <w:tr w:rsidR="007A4167" w:rsidRPr="00AA5EA1" w14:paraId="733F7B9B" w14:textId="77777777" w:rsidTr="007F4B7E">
        <w:trPr>
          <w:trHeight w:val="145"/>
        </w:trPr>
        <w:tc>
          <w:tcPr>
            <w:tcW w:w="1815" w:type="dxa"/>
          </w:tcPr>
          <w:p w14:paraId="42105867" w14:textId="70E4C499" w:rsidR="007A4167" w:rsidRPr="008529B6" w:rsidRDefault="007A4167" w:rsidP="007A4167">
            <w:pPr>
              <w:pStyle w:val="Marginlie"/>
              <w:rPr>
                <w:color w:val="0D0D0D" w:themeColor="text1" w:themeTint="F2"/>
              </w:rPr>
            </w:pPr>
            <w:r>
              <w:rPr>
                <w:color w:val="0D0D0D" w:themeColor="text1" w:themeTint="F2"/>
              </w:rPr>
              <w:lastRenderedPageBreak/>
              <w:t>Počet nezaměstnaných se snižoval vlivem čistého odlivu nezaměstnaných do stavu zaměstnanosti. Toky mezi nezaměstnaností a neaktivitou naopak počty lidí bez práce nepatrně navyšovaly.</w:t>
            </w:r>
          </w:p>
        </w:tc>
        <w:tc>
          <w:tcPr>
            <w:tcW w:w="221" w:type="dxa"/>
          </w:tcPr>
          <w:p w14:paraId="081C2F81" w14:textId="77777777" w:rsidR="007A4167" w:rsidRPr="008529B6" w:rsidRDefault="007A4167" w:rsidP="007A4167">
            <w:pPr>
              <w:pStyle w:val="Textpoznpodarou"/>
              <w:jc w:val="both"/>
              <w:rPr>
                <w:color w:val="0D0D0D" w:themeColor="text1" w:themeTint="F2"/>
                <w:spacing w:val="-4"/>
              </w:rPr>
            </w:pPr>
          </w:p>
        </w:tc>
        <w:tc>
          <w:tcPr>
            <w:tcW w:w="7613" w:type="dxa"/>
          </w:tcPr>
          <w:p w14:paraId="3C57114D" w14:textId="31F20FC9" w:rsidR="007A4167" w:rsidRPr="00B074F5" w:rsidRDefault="007A4167" w:rsidP="007A4167">
            <w:pPr>
              <w:spacing w:after="200"/>
              <w:rPr>
                <w:color w:val="0D0D0D" w:themeColor="text1" w:themeTint="F2"/>
                <w:spacing w:val="-2"/>
              </w:rPr>
            </w:pPr>
            <w:r w:rsidRPr="00B074F5">
              <w:rPr>
                <w:color w:val="0D0D0D" w:themeColor="text1" w:themeTint="F2"/>
                <w:spacing w:val="-2"/>
              </w:rPr>
              <w:t>Z</w:t>
            </w:r>
            <w:r>
              <w:rPr>
                <w:color w:val="0D0D0D" w:themeColor="text1" w:themeTint="F2"/>
                <w:spacing w:val="-2"/>
              </w:rPr>
              <w:t> </w:t>
            </w:r>
            <w:r w:rsidRPr="00B074F5">
              <w:rPr>
                <w:color w:val="0D0D0D" w:themeColor="text1" w:themeTint="F2"/>
                <w:spacing w:val="-2"/>
              </w:rPr>
              <w:t xml:space="preserve">mezičtvrtletních toků nezaměstnanosti plyne, že za jejím poklesem stál loni </w:t>
            </w:r>
            <w:r>
              <w:rPr>
                <w:color w:val="0D0D0D" w:themeColor="text1" w:themeTint="F2"/>
                <w:spacing w:val="-2"/>
              </w:rPr>
              <w:t>čistý</w:t>
            </w:r>
            <w:r w:rsidRPr="00B074F5">
              <w:rPr>
                <w:color w:val="0D0D0D" w:themeColor="text1" w:themeTint="F2"/>
                <w:spacing w:val="-2"/>
              </w:rPr>
              <w:t xml:space="preserve"> odliv nezaměstnaných do stavu zaměstnaných. Opačným směrem (ale s nižší intenzitou) působil čistý odliv z ekonomické neaktivity do stavu nezaměstnaných</w:t>
            </w:r>
            <w:r w:rsidRPr="00B074F5">
              <w:rPr>
                <w:rStyle w:val="Znakapoznpodarou"/>
                <w:spacing w:val="-2"/>
              </w:rPr>
              <w:footnoteReference w:id="51"/>
            </w:r>
            <w:r w:rsidRPr="00B074F5">
              <w:rPr>
                <w:color w:val="0D0D0D" w:themeColor="text1" w:themeTint="F2"/>
                <w:spacing w:val="-2"/>
              </w:rPr>
              <w:t xml:space="preserve">. </w:t>
            </w:r>
            <w:r>
              <w:rPr>
                <w:color w:val="0D0D0D" w:themeColor="text1" w:themeTint="F2"/>
                <w:spacing w:val="-2"/>
              </w:rPr>
              <w:t>Obdobný vzorec platil po všechna</w:t>
            </w:r>
            <w:r w:rsidRPr="00B074F5">
              <w:rPr>
                <w:color w:val="0D0D0D" w:themeColor="text1" w:themeTint="F2"/>
                <w:spacing w:val="-2"/>
              </w:rPr>
              <w:t xml:space="preserve"> loňská čtvrtletí vyjma třetího. Tehdy</w:t>
            </w:r>
            <w:r>
              <w:rPr>
                <w:color w:val="0D0D0D" w:themeColor="text1" w:themeTint="F2"/>
                <w:spacing w:val="-2"/>
              </w:rPr>
              <w:t>,</w:t>
            </w:r>
            <w:r w:rsidRPr="00B074F5">
              <w:rPr>
                <w:color w:val="0D0D0D" w:themeColor="text1" w:themeTint="F2"/>
                <w:spacing w:val="-2"/>
              </w:rPr>
              <w:t xml:space="preserve"> zejména vlivem nižšího počtu nezaměstnaných, kteří v tomto období našli práci, celkový sezónně neočištěný počet nezaměstnaných oproti 2</w:t>
            </w:r>
            <w:r>
              <w:rPr>
                <w:color w:val="0D0D0D" w:themeColor="text1" w:themeTint="F2"/>
                <w:spacing w:val="-2"/>
              </w:rPr>
              <w:t>. </w:t>
            </w:r>
            <w:r w:rsidRPr="00B074F5">
              <w:rPr>
                <w:color w:val="0D0D0D" w:themeColor="text1" w:themeTint="F2"/>
                <w:spacing w:val="-2"/>
              </w:rPr>
              <w:t>čtvrtletí mírně vzrostl. Z dlouhodobějšího hlediska je klíč</w:t>
            </w:r>
            <w:r>
              <w:rPr>
                <w:color w:val="0D0D0D" w:themeColor="text1" w:themeTint="F2"/>
                <w:spacing w:val="-2"/>
              </w:rPr>
              <w:t>ovým faktorem formujícím objem</w:t>
            </w:r>
            <w:r w:rsidRPr="00B074F5">
              <w:rPr>
                <w:color w:val="0D0D0D" w:themeColor="text1" w:themeTint="F2"/>
                <w:spacing w:val="-2"/>
              </w:rPr>
              <w:t xml:space="preserve"> toků nezaměstnaných stabilní hospodářský růst. Ten postupně zastiňoval přirozeně se opakující sezónní vlivy působící na nezaměstnanost (nabídka krátkodobých míst v zemědělství, lesnictví, těžbě, stavebnictví a</w:t>
            </w:r>
            <w:r>
              <w:rPr>
                <w:color w:val="0D0D0D" w:themeColor="text1" w:themeTint="F2"/>
                <w:spacing w:val="-2"/>
              </w:rPr>
              <w:t> </w:t>
            </w:r>
            <w:r w:rsidRPr="00B074F5">
              <w:rPr>
                <w:color w:val="0D0D0D" w:themeColor="text1" w:themeTint="F2"/>
                <w:spacing w:val="-2"/>
              </w:rPr>
              <w:t>v aktivitách vázaných na cestovní ruch)</w:t>
            </w:r>
            <w:r w:rsidRPr="00B074F5">
              <w:rPr>
                <w:rStyle w:val="Znakapoznpodarou"/>
                <w:spacing w:val="-2"/>
              </w:rPr>
              <w:footnoteReference w:id="52"/>
            </w:r>
            <w:r w:rsidRPr="00B074F5">
              <w:rPr>
                <w:color w:val="0D0D0D" w:themeColor="text1" w:themeTint="F2"/>
                <w:spacing w:val="-2"/>
              </w:rPr>
              <w:t>.</w:t>
            </w:r>
          </w:p>
        </w:tc>
      </w:tr>
      <w:tr w:rsidR="007A4167" w:rsidRPr="00AA5EA1" w14:paraId="66F58D1F" w14:textId="77777777" w:rsidTr="007F4B7E">
        <w:trPr>
          <w:trHeight w:val="145"/>
        </w:trPr>
        <w:tc>
          <w:tcPr>
            <w:tcW w:w="1815" w:type="dxa"/>
          </w:tcPr>
          <w:p w14:paraId="6575D1D5" w14:textId="77777777" w:rsidR="007A4167" w:rsidRDefault="007A4167" w:rsidP="007A4167">
            <w:pPr>
              <w:pStyle w:val="Marginlie"/>
            </w:pPr>
          </w:p>
        </w:tc>
        <w:tc>
          <w:tcPr>
            <w:tcW w:w="221" w:type="dxa"/>
          </w:tcPr>
          <w:p w14:paraId="73FFC133" w14:textId="77777777" w:rsidR="007A4167" w:rsidRPr="005E4483" w:rsidRDefault="007A4167" w:rsidP="007A4167">
            <w:pPr>
              <w:pStyle w:val="Textpoznpodarou"/>
              <w:jc w:val="both"/>
              <w:rPr>
                <w:spacing w:val="-4"/>
              </w:rPr>
            </w:pPr>
          </w:p>
        </w:tc>
        <w:tc>
          <w:tcPr>
            <w:tcW w:w="7613" w:type="dxa"/>
          </w:tcPr>
          <w:p w14:paraId="35A3C627" w14:textId="77777777" w:rsidR="007A4167" w:rsidRPr="00AA5EA1" w:rsidRDefault="007A4167" w:rsidP="007A4167">
            <w:pPr>
              <w:spacing w:after="0"/>
              <w:rPr>
                <w:rFonts w:cs="Arial"/>
                <w:color w:val="0D0D0D" w:themeColor="text1" w:themeTint="F2"/>
                <w:spacing w:val="-2"/>
              </w:rPr>
            </w:pPr>
            <w:r>
              <w:rPr>
                <w:b/>
                <w:spacing w:val="-4"/>
              </w:rPr>
              <w:t>Graf č. 19</w:t>
            </w:r>
            <w:r w:rsidRPr="00DD7E93">
              <w:rPr>
                <w:b/>
                <w:spacing w:val="-4"/>
              </w:rPr>
              <w:t xml:space="preserve">  </w:t>
            </w:r>
            <w:r w:rsidRPr="00DD7E93">
              <w:rPr>
                <w:rFonts w:cs="Arial"/>
                <w:b/>
                <w:bCs/>
                <w:spacing w:val="-4"/>
              </w:rPr>
              <w:t>Mezičtvrtletní toky mezi nezaměstnaností, zaměstnaností a</w:t>
            </w:r>
            <w:r>
              <w:rPr>
                <w:rFonts w:cs="Arial"/>
                <w:b/>
                <w:bCs/>
                <w:spacing w:val="-4"/>
              </w:rPr>
              <w:t> </w:t>
            </w:r>
            <w:r w:rsidRPr="00DD7E93">
              <w:rPr>
                <w:rFonts w:cs="Arial"/>
                <w:b/>
                <w:bCs/>
                <w:spacing w:val="-4"/>
              </w:rPr>
              <w:t xml:space="preserve">ekonomickou </w:t>
            </w:r>
            <w:r w:rsidRPr="00D04A25">
              <w:rPr>
                <w:rFonts w:cs="Arial"/>
                <w:b/>
                <w:bCs/>
                <w:spacing w:val="-2"/>
              </w:rPr>
              <w:t xml:space="preserve">neaktivitou </w:t>
            </w:r>
            <w:r>
              <w:rPr>
                <w:rFonts w:cs="Arial"/>
                <w:b/>
                <w:bCs/>
                <w:spacing w:val="-2"/>
              </w:rPr>
              <w:t xml:space="preserve">v ČR </w:t>
            </w:r>
            <w:r w:rsidRPr="00D04A25">
              <w:rPr>
                <w:rFonts w:cs="Arial"/>
                <w:bCs/>
                <w:spacing w:val="-2"/>
              </w:rPr>
              <w:t>(v</w:t>
            </w:r>
            <w:r>
              <w:rPr>
                <w:rFonts w:cs="Arial"/>
                <w:bCs/>
                <w:spacing w:val="-2"/>
              </w:rPr>
              <w:t> </w:t>
            </w:r>
            <w:r w:rsidRPr="00D04A25">
              <w:rPr>
                <w:rFonts w:cs="Arial"/>
                <w:bCs/>
                <w:spacing w:val="-2"/>
              </w:rPr>
              <w:t>tis.</w:t>
            </w:r>
            <w:r>
              <w:rPr>
                <w:rFonts w:cs="Arial"/>
                <w:bCs/>
                <w:spacing w:val="-2"/>
              </w:rPr>
              <w:t xml:space="preserve"> osob</w:t>
            </w:r>
            <w:r w:rsidRPr="00D04A25">
              <w:rPr>
                <w:rFonts w:cs="Arial"/>
                <w:bCs/>
                <w:spacing w:val="-2"/>
              </w:rPr>
              <w:t>, v</w:t>
            </w:r>
            <w:r>
              <w:rPr>
                <w:rFonts w:cs="Arial"/>
                <w:bCs/>
                <w:spacing w:val="-2"/>
              </w:rPr>
              <w:t> %</w:t>
            </w:r>
            <w:r w:rsidRPr="00D04A25">
              <w:rPr>
                <w:rFonts w:cs="Arial"/>
                <w:bCs/>
                <w:spacing w:val="-2"/>
              </w:rPr>
              <w:t xml:space="preserve"> všech nezaměstnaných)</w:t>
            </w:r>
          </w:p>
        </w:tc>
      </w:tr>
      <w:tr w:rsidR="007A4167" w:rsidRPr="00AA5EA1" w14:paraId="5FBA71B8" w14:textId="77777777" w:rsidTr="004E684C">
        <w:tblPrEx>
          <w:tblCellMar>
            <w:left w:w="70" w:type="dxa"/>
            <w:right w:w="70" w:type="dxa"/>
          </w:tblCellMar>
        </w:tblPrEx>
        <w:trPr>
          <w:trHeight w:val="145"/>
        </w:trPr>
        <w:tc>
          <w:tcPr>
            <w:tcW w:w="1815" w:type="dxa"/>
          </w:tcPr>
          <w:p w14:paraId="7533DEFC" w14:textId="77777777" w:rsidR="007A4167" w:rsidRPr="00106639" w:rsidRDefault="007A4167" w:rsidP="007A4167">
            <w:pPr>
              <w:pStyle w:val="Marginlie"/>
            </w:pPr>
          </w:p>
          <w:p w14:paraId="61FE6BFF" w14:textId="77777777" w:rsidR="007A4167" w:rsidRDefault="007A4167" w:rsidP="007A4167">
            <w:pPr>
              <w:pStyle w:val="Marginlie"/>
            </w:pPr>
          </w:p>
        </w:tc>
        <w:tc>
          <w:tcPr>
            <w:tcW w:w="221" w:type="dxa"/>
          </w:tcPr>
          <w:p w14:paraId="7881F89D" w14:textId="77777777" w:rsidR="007A4167" w:rsidRPr="005E4483" w:rsidRDefault="007A4167" w:rsidP="007A4167">
            <w:pPr>
              <w:pStyle w:val="Textpoznpodarou"/>
              <w:jc w:val="both"/>
              <w:rPr>
                <w:spacing w:val="-4"/>
              </w:rPr>
            </w:pPr>
          </w:p>
          <w:p w14:paraId="2D2B9D37" w14:textId="77777777" w:rsidR="007A4167" w:rsidRPr="005E4483" w:rsidRDefault="007A4167" w:rsidP="007A4167">
            <w:pPr>
              <w:pStyle w:val="Textpoznpodarou"/>
              <w:jc w:val="both"/>
              <w:rPr>
                <w:spacing w:val="-4"/>
              </w:rPr>
            </w:pPr>
          </w:p>
        </w:tc>
        <w:tc>
          <w:tcPr>
            <w:tcW w:w="7613" w:type="dxa"/>
          </w:tcPr>
          <w:p w14:paraId="7D3B1C52" w14:textId="649ED9CE" w:rsidR="007A4167" w:rsidRPr="004B2669" w:rsidRDefault="007A4167" w:rsidP="007A4167">
            <w:pPr>
              <w:spacing w:after="0"/>
              <w:rPr>
                <w:spacing w:val="-2"/>
              </w:rPr>
            </w:pPr>
            <w:r>
              <w:rPr>
                <w:noProof/>
              </w:rPr>
              <w:drawing>
                <wp:inline distT="0" distB="0" distL="0" distR="0" wp14:anchorId="3D16A31B" wp14:editId="084A08BE">
                  <wp:extent cx="4834255" cy="3525927"/>
                  <wp:effectExtent l="0" t="0" r="4445" b="0"/>
                  <wp:docPr id="63" name="Graf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tc>
      </w:tr>
      <w:tr w:rsidR="007A4167" w:rsidRPr="005A2E40" w14:paraId="68908170" w14:textId="77777777" w:rsidTr="007F4B7E">
        <w:trPr>
          <w:trHeight w:val="370"/>
        </w:trPr>
        <w:tc>
          <w:tcPr>
            <w:tcW w:w="1815" w:type="dxa"/>
          </w:tcPr>
          <w:p w14:paraId="0EA98A78" w14:textId="77777777" w:rsidR="007A4167" w:rsidRPr="00106639" w:rsidRDefault="007A4167" w:rsidP="007A4167">
            <w:pPr>
              <w:pStyle w:val="Marginlie"/>
            </w:pPr>
          </w:p>
        </w:tc>
        <w:tc>
          <w:tcPr>
            <w:tcW w:w="221" w:type="dxa"/>
          </w:tcPr>
          <w:p w14:paraId="1931E348" w14:textId="77777777" w:rsidR="007A4167" w:rsidRPr="005E4483" w:rsidRDefault="007A4167" w:rsidP="007A4167">
            <w:pPr>
              <w:pStyle w:val="Textpoznpodarou"/>
              <w:jc w:val="both"/>
              <w:rPr>
                <w:spacing w:val="-4"/>
              </w:rPr>
            </w:pPr>
          </w:p>
        </w:tc>
        <w:tc>
          <w:tcPr>
            <w:tcW w:w="7613" w:type="dxa"/>
          </w:tcPr>
          <w:p w14:paraId="29E8F1C9" w14:textId="77777777" w:rsidR="007A4167" w:rsidRPr="009054FE" w:rsidRDefault="007A4167" w:rsidP="007A4167">
            <w:pPr>
              <w:spacing w:after="0" w:line="240" w:lineRule="auto"/>
              <w:rPr>
                <w:rFonts w:cs="Arial"/>
                <w:sz w:val="14"/>
                <w:szCs w:val="14"/>
              </w:rPr>
            </w:pPr>
            <w:r>
              <w:rPr>
                <w:rFonts w:cs="Arial"/>
                <w:sz w:val="14"/>
                <w:szCs w:val="14"/>
              </w:rPr>
              <w:t>Poznámka. Údaje nejsou sezónně očištěny.                                                                                      Z</w:t>
            </w:r>
            <w:r w:rsidRPr="00444E6D">
              <w:rPr>
                <w:rFonts w:cs="Arial"/>
                <w:sz w:val="14"/>
                <w:szCs w:val="14"/>
              </w:rPr>
              <w:t xml:space="preserve">droj: </w:t>
            </w:r>
            <w:r>
              <w:rPr>
                <w:rFonts w:cs="Arial"/>
                <w:sz w:val="14"/>
                <w:szCs w:val="14"/>
              </w:rPr>
              <w:t>ČSÚ, Eurostat</w:t>
            </w:r>
          </w:p>
        </w:tc>
      </w:tr>
      <w:tr w:rsidR="007A4167" w:rsidRPr="008529B6" w14:paraId="669B7889" w14:textId="77777777" w:rsidTr="007F4B7E">
        <w:trPr>
          <w:trHeight w:val="145"/>
        </w:trPr>
        <w:tc>
          <w:tcPr>
            <w:tcW w:w="1815" w:type="dxa"/>
          </w:tcPr>
          <w:p w14:paraId="0AC2823A" w14:textId="77777777" w:rsidR="007A4167" w:rsidRDefault="007A4167" w:rsidP="007A4167">
            <w:pPr>
              <w:pStyle w:val="Marginlie"/>
            </w:pPr>
            <w:r w:rsidRPr="008529B6">
              <w:rPr>
                <w:color w:val="0D0D0D" w:themeColor="text1" w:themeTint="F2"/>
              </w:rPr>
              <w:t>Počet ekonomicky neaktivních deklarujících o</w:t>
            </w:r>
            <w:r>
              <w:rPr>
                <w:color w:val="0D0D0D" w:themeColor="text1" w:themeTint="F2"/>
              </w:rPr>
              <w:t>chotu pracovat se snížil na historické minimum (na 100 </w:t>
            </w:r>
            <w:r w:rsidRPr="008529B6">
              <w:rPr>
                <w:color w:val="0D0D0D" w:themeColor="text1" w:themeTint="F2"/>
              </w:rPr>
              <w:t>tis.</w:t>
            </w:r>
            <w:r>
              <w:rPr>
                <w:color w:val="0D0D0D" w:themeColor="text1" w:themeTint="F2"/>
              </w:rPr>
              <w:t xml:space="preserve"> osob).</w:t>
            </w:r>
          </w:p>
        </w:tc>
        <w:tc>
          <w:tcPr>
            <w:tcW w:w="221" w:type="dxa"/>
          </w:tcPr>
          <w:p w14:paraId="630AAB0F" w14:textId="77777777" w:rsidR="007A4167" w:rsidRPr="005E4483" w:rsidRDefault="007A4167" w:rsidP="007A4167">
            <w:pPr>
              <w:pStyle w:val="Textpoznpodarou"/>
              <w:jc w:val="both"/>
              <w:rPr>
                <w:spacing w:val="-4"/>
              </w:rPr>
            </w:pPr>
          </w:p>
        </w:tc>
        <w:tc>
          <w:tcPr>
            <w:tcW w:w="7613" w:type="dxa"/>
          </w:tcPr>
          <w:p w14:paraId="2B513CEF" w14:textId="65B92873" w:rsidR="007A4167" w:rsidRPr="008529B6" w:rsidRDefault="007A4167" w:rsidP="007A4167">
            <w:pPr>
              <w:spacing w:after="220"/>
              <w:rPr>
                <w:color w:val="0D0D0D" w:themeColor="text1" w:themeTint="F2"/>
                <w:spacing w:val="-2"/>
              </w:rPr>
            </w:pPr>
            <w:r w:rsidRPr="00B074F5">
              <w:rPr>
                <w:color w:val="0D0D0D" w:themeColor="text1" w:themeTint="F2"/>
                <w:spacing w:val="-2"/>
              </w:rPr>
              <w:t>Jedním z projevů nedostatečně saturované poptávky po pracovnících v době konjunktury je i</w:t>
            </w:r>
            <w:r>
              <w:rPr>
                <w:color w:val="0D0D0D" w:themeColor="text1" w:themeTint="F2"/>
                <w:spacing w:val="-2"/>
              </w:rPr>
              <w:t> </w:t>
            </w:r>
            <w:r w:rsidRPr="00B074F5">
              <w:rPr>
                <w:color w:val="0D0D0D" w:themeColor="text1" w:themeTint="F2"/>
                <w:spacing w:val="-2"/>
              </w:rPr>
              <w:t>pokles četnosti „prekérních“ forem pracovních úvazků. To dobře dokládá i</w:t>
            </w:r>
            <w:r>
              <w:rPr>
                <w:color w:val="0D0D0D" w:themeColor="text1" w:themeTint="F2"/>
                <w:spacing w:val="-2"/>
              </w:rPr>
              <w:t> </w:t>
            </w:r>
            <w:r w:rsidRPr="00B074F5">
              <w:rPr>
                <w:color w:val="0D0D0D" w:themeColor="text1" w:themeTint="F2"/>
                <w:spacing w:val="-2"/>
              </w:rPr>
              <w:t>nižší podíl zaměstnanců pracujících na dobu určitou</w:t>
            </w:r>
            <w:r w:rsidRPr="00B074F5">
              <w:rPr>
                <w:rStyle w:val="Znakapoznpodarou"/>
                <w:spacing w:val="-2"/>
              </w:rPr>
              <w:footnoteReference w:id="53"/>
            </w:r>
            <w:r w:rsidRPr="00B074F5">
              <w:rPr>
                <w:color w:val="0D0D0D" w:themeColor="text1" w:themeTint="F2"/>
                <w:spacing w:val="-2"/>
              </w:rPr>
              <w:t xml:space="preserve">. Jiným projevem je ústup dlouhodobé i strukturální složky nezaměstnanosti ve prospěch složky frikční. Již téměř polovině </w:t>
            </w:r>
            <w:r>
              <w:rPr>
                <w:color w:val="0D0D0D" w:themeColor="text1" w:themeTint="F2"/>
                <w:spacing w:val="-2"/>
              </w:rPr>
              <w:t xml:space="preserve">čerstvě </w:t>
            </w:r>
            <w:r w:rsidRPr="00B074F5">
              <w:rPr>
                <w:color w:val="0D0D0D" w:themeColor="text1" w:themeTint="F2"/>
                <w:spacing w:val="-2"/>
              </w:rPr>
              <w:t>nezaměstnaných se v následujícím čtvrtletí podařilo nalézt práci,</w:t>
            </w:r>
            <w:r>
              <w:rPr>
                <w:color w:val="0D0D0D" w:themeColor="text1" w:themeTint="F2"/>
                <w:spacing w:val="-2"/>
              </w:rPr>
              <w:t xml:space="preserve"> v období recese (2012 až 2013)</w:t>
            </w:r>
            <w:r w:rsidRPr="00B074F5">
              <w:rPr>
                <w:color w:val="0D0D0D" w:themeColor="text1" w:themeTint="F2"/>
                <w:spacing w:val="-2"/>
              </w:rPr>
              <w:t xml:space="preserve"> byla takto úspěšná zhruba jen čtvrtina z nich. Vedle nezaměstnaný</w:t>
            </w:r>
            <w:r>
              <w:rPr>
                <w:color w:val="0D0D0D" w:themeColor="text1" w:themeTint="F2"/>
                <w:spacing w:val="-2"/>
              </w:rPr>
              <w:t>ch způsobuje silná poptávka</w:t>
            </w:r>
            <w:r w:rsidRPr="00B074F5">
              <w:rPr>
                <w:color w:val="0D0D0D" w:themeColor="text1" w:themeTint="F2"/>
                <w:spacing w:val="-2"/>
              </w:rPr>
              <w:t xml:space="preserve"> po pracovnících i</w:t>
            </w:r>
            <w:r>
              <w:rPr>
                <w:color w:val="0D0D0D" w:themeColor="text1" w:themeTint="F2"/>
                <w:spacing w:val="-2"/>
              </w:rPr>
              <w:t> snižování počtu</w:t>
            </w:r>
            <w:r w:rsidRPr="00B074F5">
              <w:rPr>
                <w:color w:val="0D0D0D" w:themeColor="text1" w:themeTint="F2"/>
                <w:spacing w:val="-2"/>
              </w:rPr>
              <w:t xml:space="preserve"> ekonomicky neaktivních. Jde o</w:t>
            </w:r>
            <w:r>
              <w:rPr>
                <w:color w:val="0D0D0D" w:themeColor="text1" w:themeTint="F2"/>
                <w:spacing w:val="-2"/>
              </w:rPr>
              <w:t> </w:t>
            </w:r>
            <w:r w:rsidRPr="00B074F5">
              <w:rPr>
                <w:color w:val="0D0D0D" w:themeColor="text1" w:themeTint="F2"/>
                <w:spacing w:val="-2"/>
              </w:rPr>
              <w:t>osoby chtějící pracovat, ale práci nehledající (příp.</w:t>
            </w:r>
            <w:r>
              <w:rPr>
                <w:color w:val="0D0D0D" w:themeColor="text1" w:themeTint="F2"/>
                <w:spacing w:val="-2"/>
              </w:rPr>
              <w:t> </w:t>
            </w:r>
            <w:r w:rsidRPr="00B074F5">
              <w:rPr>
                <w:color w:val="0D0D0D" w:themeColor="text1" w:themeTint="F2"/>
                <w:spacing w:val="-2"/>
              </w:rPr>
              <w:t>hledající, ale neschopné do ní do 14</w:t>
            </w:r>
            <w:r>
              <w:rPr>
                <w:color w:val="0D0D0D" w:themeColor="text1" w:themeTint="F2"/>
                <w:spacing w:val="-2"/>
              </w:rPr>
              <w:t> </w:t>
            </w:r>
            <w:r w:rsidRPr="00B074F5">
              <w:rPr>
                <w:color w:val="0D0D0D" w:themeColor="text1" w:themeTint="F2"/>
                <w:spacing w:val="-2"/>
              </w:rPr>
              <w:t>dnů nastoupit). Jejich četnost klesla na konci roku</w:t>
            </w:r>
            <w:r>
              <w:rPr>
                <w:color w:val="0D0D0D" w:themeColor="text1" w:themeTint="F2"/>
                <w:spacing w:val="-2"/>
              </w:rPr>
              <w:t xml:space="preserve"> 2018 ke 100tisícové hranici. Šlo o</w:t>
            </w:r>
            <w:r w:rsidRPr="00B074F5">
              <w:rPr>
                <w:color w:val="0D0D0D" w:themeColor="text1" w:themeTint="F2"/>
                <w:spacing w:val="-2"/>
              </w:rPr>
              <w:t> historické minimum v</w:t>
            </w:r>
            <w:r>
              <w:rPr>
                <w:color w:val="0D0D0D" w:themeColor="text1" w:themeTint="F2"/>
                <w:spacing w:val="-2"/>
              </w:rPr>
              <w:t> </w:t>
            </w:r>
            <w:r w:rsidRPr="00B074F5">
              <w:rPr>
                <w:color w:val="0D0D0D" w:themeColor="text1" w:themeTint="F2"/>
                <w:spacing w:val="-2"/>
              </w:rPr>
              <w:t>éře</w:t>
            </w:r>
            <w:r>
              <w:rPr>
                <w:color w:val="0D0D0D" w:themeColor="text1" w:themeTint="F2"/>
                <w:spacing w:val="-2"/>
              </w:rPr>
              <w:t> </w:t>
            </w:r>
            <w:r w:rsidRPr="00B074F5">
              <w:rPr>
                <w:color w:val="0D0D0D" w:themeColor="text1" w:themeTint="F2"/>
                <w:spacing w:val="-2"/>
              </w:rPr>
              <w:t>ČR. Tyto osoby prostupují všemi věkovými skupin</w:t>
            </w:r>
            <w:r>
              <w:rPr>
                <w:color w:val="0D0D0D" w:themeColor="text1" w:themeTint="F2"/>
                <w:spacing w:val="-2"/>
              </w:rPr>
              <w:t>ami – </w:t>
            </w:r>
            <w:r w:rsidRPr="00B074F5">
              <w:rPr>
                <w:color w:val="0D0D0D" w:themeColor="text1" w:themeTint="F2"/>
                <w:spacing w:val="-2"/>
              </w:rPr>
              <w:t>zahrnují seniory, studenty, matky s malými dětmi či zdravotně postižené.</w:t>
            </w:r>
          </w:p>
        </w:tc>
      </w:tr>
    </w:tbl>
    <w:p w14:paraId="756C0632" w14:textId="77777777" w:rsidR="006169F2" w:rsidRPr="006169F2" w:rsidRDefault="006169F2" w:rsidP="006169F2">
      <w:pPr>
        <w:spacing w:after="0"/>
        <w:rPr>
          <w:rFonts w:eastAsia="MS Gothic"/>
          <w:b/>
          <w:bCs/>
          <w:color w:val="71818C"/>
          <w:sz w:val="28"/>
          <w:szCs w:val="28"/>
        </w:rPr>
      </w:pPr>
      <w:r>
        <w:rPr>
          <w:rFonts w:eastAsia="MS Gothic"/>
          <w:b/>
          <w:bCs/>
          <w:color w:val="71818C"/>
          <w:sz w:val="28"/>
          <w:szCs w:val="28"/>
        </w:rPr>
        <w:lastRenderedPageBreak/>
        <w:t xml:space="preserve">2.2. Registrovaní uchazeči </w:t>
      </w:r>
      <w:r w:rsidR="00BC7833">
        <w:rPr>
          <w:rFonts w:eastAsia="MS Gothic"/>
          <w:b/>
          <w:bCs/>
          <w:color w:val="71818C"/>
          <w:sz w:val="28"/>
          <w:szCs w:val="28"/>
        </w:rPr>
        <w:t>o </w:t>
      </w:r>
      <w:r>
        <w:rPr>
          <w:rFonts w:eastAsia="MS Gothic"/>
          <w:b/>
          <w:bCs/>
          <w:color w:val="71818C"/>
          <w:sz w:val="28"/>
          <w:szCs w:val="28"/>
        </w:rPr>
        <w:t xml:space="preserve">práci </w:t>
      </w:r>
      <w:r w:rsidR="00BC7833">
        <w:rPr>
          <w:rFonts w:eastAsia="MS Gothic"/>
          <w:b/>
          <w:bCs/>
          <w:color w:val="71818C"/>
          <w:sz w:val="28"/>
          <w:szCs w:val="28"/>
        </w:rPr>
        <w:t>a </w:t>
      </w:r>
      <w:r>
        <w:rPr>
          <w:rFonts w:eastAsia="MS Gothic"/>
          <w:b/>
          <w:bCs/>
          <w:color w:val="71818C"/>
          <w:sz w:val="28"/>
          <w:szCs w:val="28"/>
        </w:rPr>
        <w:t>volná pracovní místa</w:t>
      </w:r>
    </w:p>
    <w:tbl>
      <w:tblPr>
        <w:tblW w:w="9644" w:type="dxa"/>
        <w:tblInd w:w="-10" w:type="dxa"/>
        <w:tblLayout w:type="fixed"/>
        <w:tblCellMar>
          <w:left w:w="0" w:type="dxa"/>
          <w:right w:w="0" w:type="dxa"/>
        </w:tblCellMar>
        <w:tblLook w:val="00A0" w:firstRow="1" w:lastRow="0" w:firstColumn="1" w:lastColumn="0" w:noHBand="0" w:noVBand="0"/>
      </w:tblPr>
      <w:tblGrid>
        <w:gridCol w:w="1814"/>
        <w:gridCol w:w="221"/>
        <w:gridCol w:w="7609"/>
      </w:tblGrid>
      <w:tr w:rsidR="006169F2" w:rsidRPr="0040263F" w14:paraId="468304D4" w14:textId="77777777" w:rsidTr="006169F2">
        <w:trPr>
          <w:trHeight w:val="145"/>
        </w:trPr>
        <w:tc>
          <w:tcPr>
            <w:tcW w:w="1814" w:type="dxa"/>
          </w:tcPr>
          <w:p w14:paraId="4C36919E" w14:textId="77777777" w:rsidR="006169F2" w:rsidRDefault="006169F2" w:rsidP="00A500A7">
            <w:pPr>
              <w:pStyle w:val="Marginlie"/>
            </w:pPr>
            <w:r>
              <w:t>Nabídka volných míst prostřednictvím úřadů práce v první polovině roku akcelerovala, v jeho zbylé části růstové tempo ochabovalo.</w:t>
            </w:r>
          </w:p>
        </w:tc>
        <w:tc>
          <w:tcPr>
            <w:tcW w:w="221" w:type="dxa"/>
          </w:tcPr>
          <w:p w14:paraId="647D3223" w14:textId="77777777" w:rsidR="006169F2" w:rsidRPr="005E4483" w:rsidRDefault="006169F2" w:rsidP="00A500A7">
            <w:pPr>
              <w:pStyle w:val="Textpoznpodarou"/>
              <w:jc w:val="both"/>
              <w:rPr>
                <w:spacing w:val="-4"/>
              </w:rPr>
            </w:pPr>
          </w:p>
        </w:tc>
        <w:tc>
          <w:tcPr>
            <w:tcW w:w="7609" w:type="dxa"/>
          </w:tcPr>
          <w:p w14:paraId="31F95D74" w14:textId="77777777" w:rsidR="006169F2" w:rsidRPr="0040263F" w:rsidRDefault="006169F2" w:rsidP="00A500A7">
            <w:pPr>
              <w:spacing w:after="220"/>
              <w:rPr>
                <w:rFonts w:cs="Arial"/>
                <w:color w:val="0D0D0D" w:themeColor="text1" w:themeTint="F2"/>
                <w:spacing w:val="-2"/>
              </w:rPr>
            </w:pPr>
            <w:r w:rsidRPr="008529B6">
              <w:rPr>
                <w:color w:val="0D0D0D" w:themeColor="text1" w:themeTint="F2"/>
                <w:spacing w:val="-2"/>
              </w:rPr>
              <w:t xml:space="preserve">Pokles nezaměstnanosti byl doprovázen strmým růstem nabídky </w:t>
            </w:r>
            <w:r w:rsidRPr="00B074F5">
              <w:rPr>
                <w:color w:val="0D0D0D" w:themeColor="text1" w:themeTint="F2"/>
                <w:spacing w:val="-2"/>
              </w:rPr>
              <w:t xml:space="preserve">volných pracovních míst. </w:t>
            </w:r>
            <w:r w:rsidRPr="00B074F5">
              <w:rPr>
                <w:rFonts w:cs="Arial"/>
                <w:color w:val="0D0D0D" w:themeColor="text1" w:themeTint="F2"/>
                <w:spacing w:val="-2"/>
              </w:rPr>
              <w:t>Na ko</w:t>
            </w:r>
            <w:r>
              <w:rPr>
                <w:rFonts w:cs="Arial"/>
                <w:color w:val="0D0D0D" w:themeColor="text1" w:themeTint="F2"/>
                <w:spacing w:val="-2"/>
              </w:rPr>
              <w:t>nci loňského roku jejich četnost (dle evidence ÚP</w:t>
            </w:r>
            <w:r w:rsidRPr="008529B6">
              <w:rPr>
                <w:rFonts w:cs="Arial"/>
                <w:color w:val="0D0D0D" w:themeColor="text1" w:themeTint="F2"/>
                <w:spacing w:val="-2"/>
              </w:rPr>
              <w:t xml:space="preserve">) </w:t>
            </w:r>
            <w:r>
              <w:rPr>
                <w:rFonts w:cs="Arial"/>
                <w:color w:val="0D0D0D" w:themeColor="text1" w:themeTint="F2"/>
                <w:spacing w:val="-2"/>
              </w:rPr>
              <w:t>dosáhla rekordních 324,</w:t>
            </w:r>
            <w:r w:rsidR="00D82A1E">
              <w:rPr>
                <w:rFonts w:cs="Arial"/>
                <w:color w:val="0D0D0D" w:themeColor="text1" w:themeTint="F2"/>
                <w:spacing w:val="-2"/>
              </w:rPr>
              <w:t>4 </w:t>
            </w:r>
            <w:r>
              <w:rPr>
                <w:rFonts w:cs="Arial"/>
                <w:color w:val="0D0D0D" w:themeColor="text1" w:themeTint="F2"/>
                <w:spacing w:val="-2"/>
              </w:rPr>
              <w:t xml:space="preserve">tis. Bezprecedentní bylo </w:t>
            </w:r>
            <w:r w:rsidR="00BC7833">
              <w:rPr>
                <w:rFonts w:cs="Arial"/>
                <w:color w:val="0D0D0D" w:themeColor="text1" w:themeTint="F2"/>
                <w:spacing w:val="-2"/>
              </w:rPr>
              <w:t>i </w:t>
            </w:r>
            <w:r>
              <w:rPr>
                <w:rFonts w:cs="Arial"/>
                <w:color w:val="0D0D0D" w:themeColor="text1" w:themeTint="F2"/>
                <w:spacing w:val="-2"/>
              </w:rPr>
              <w:t>jejich meziroční navýšení (+107,</w:t>
            </w:r>
            <w:r w:rsidR="00D82A1E">
              <w:rPr>
                <w:rFonts w:cs="Arial"/>
                <w:color w:val="0D0D0D" w:themeColor="text1" w:themeTint="F2"/>
                <w:spacing w:val="-2"/>
              </w:rPr>
              <w:t>8 </w:t>
            </w:r>
            <w:r>
              <w:rPr>
                <w:rFonts w:cs="Arial"/>
                <w:color w:val="0D0D0D" w:themeColor="text1" w:themeTint="F2"/>
                <w:spacing w:val="-2"/>
              </w:rPr>
              <w:t xml:space="preserve">tis.), které odráželo především vysokou dynamiku v první polovině roku. V jeho zbývající části růstové tempo citelně polevilo (za posledních pět měsíců roku se nabídka pracovních pozic rozšířila „jen“ </w:t>
            </w:r>
            <w:r w:rsidR="00BC7833">
              <w:rPr>
                <w:rFonts w:cs="Arial"/>
                <w:color w:val="0D0D0D" w:themeColor="text1" w:themeTint="F2"/>
                <w:spacing w:val="-2"/>
              </w:rPr>
              <w:t>o </w:t>
            </w:r>
            <w:r>
              <w:rPr>
                <w:rFonts w:cs="Arial"/>
                <w:color w:val="0D0D0D" w:themeColor="text1" w:themeTint="F2"/>
                <w:spacing w:val="-2"/>
              </w:rPr>
              <w:t>14,</w:t>
            </w:r>
            <w:r w:rsidR="00D82A1E">
              <w:rPr>
                <w:rFonts w:cs="Arial"/>
                <w:color w:val="0D0D0D" w:themeColor="text1" w:themeTint="F2"/>
                <w:spacing w:val="-2"/>
              </w:rPr>
              <w:t>4 </w:t>
            </w:r>
            <w:r>
              <w:rPr>
                <w:rFonts w:cs="Arial"/>
                <w:color w:val="0D0D0D" w:themeColor="text1" w:themeTint="F2"/>
                <w:spacing w:val="-2"/>
              </w:rPr>
              <w:t>tis.). Vliv svižného hospodářského růstu již několik čtvrtletí v řadě zastiňuje přirozené sezónní efekty. Poslední meziměsíční pokles počtu nezaměstnaných se tak datuje k prosinci 2016.</w:t>
            </w:r>
          </w:p>
        </w:tc>
      </w:tr>
      <w:tr w:rsidR="006169F2" w:rsidRPr="0040263F" w14:paraId="691D5FA3" w14:textId="77777777" w:rsidTr="006169F2">
        <w:trPr>
          <w:trHeight w:val="145"/>
        </w:trPr>
        <w:tc>
          <w:tcPr>
            <w:tcW w:w="1814" w:type="dxa"/>
          </w:tcPr>
          <w:p w14:paraId="2B5D231E" w14:textId="77777777" w:rsidR="006169F2" w:rsidRPr="008529B6" w:rsidRDefault="006169F2" w:rsidP="00A500A7">
            <w:pPr>
              <w:pStyle w:val="Marginlie"/>
              <w:rPr>
                <w:color w:val="0D0D0D" w:themeColor="text1" w:themeTint="F2"/>
              </w:rPr>
            </w:pPr>
            <w:r>
              <w:rPr>
                <w:color w:val="0D0D0D" w:themeColor="text1" w:themeTint="F2"/>
              </w:rPr>
              <w:t>Růst nabídky volných míst byl stále více nevyvážený. Akcelerovaly počty pozic</w:t>
            </w:r>
            <w:r w:rsidRPr="008529B6">
              <w:rPr>
                <w:color w:val="0D0D0D" w:themeColor="text1" w:themeTint="F2"/>
              </w:rPr>
              <w:t xml:space="preserve"> </w:t>
            </w:r>
            <w:r>
              <w:rPr>
                <w:color w:val="0D0D0D" w:themeColor="text1" w:themeTint="F2"/>
              </w:rPr>
              <w:t xml:space="preserve">s nízkými nároky na kvalifikaci. Z významné části šlo patrně </w:t>
            </w:r>
            <w:r w:rsidR="00BC7833">
              <w:rPr>
                <w:color w:val="0D0D0D" w:themeColor="text1" w:themeTint="F2"/>
              </w:rPr>
              <w:t>o </w:t>
            </w:r>
            <w:r>
              <w:rPr>
                <w:color w:val="0D0D0D" w:themeColor="text1" w:themeTint="F2"/>
              </w:rPr>
              <w:t xml:space="preserve">pozice cílené na pracovníky </w:t>
            </w:r>
            <w:r w:rsidR="00BC7833">
              <w:rPr>
                <w:color w:val="0D0D0D" w:themeColor="text1" w:themeTint="F2"/>
              </w:rPr>
              <w:t>z </w:t>
            </w:r>
            <w:r>
              <w:rPr>
                <w:color w:val="0D0D0D" w:themeColor="text1" w:themeTint="F2"/>
              </w:rPr>
              <w:t>„třetích zemí“.</w:t>
            </w:r>
          </w:p>
          <w:p w14:paraId="2F18F12B" w14:textId="77777777" w:rsidR="006169F2" w:rsidRDefault="006169F2" w:rsidP="00A500A7">
            <w:pPr>
              <w:pStyle w:val="Marginlie"/>
            </w:pPr>
          </w:p>
        </w:tc>
        <w:tc>
          <w:tcPr>
            <w:tcW w:w="221" w:type="dxa"/>
          </w:tcPr>
          <w:p w14:paraId="6AE8CC18" w14:textId="77777777" w:rsidR="006169F2" w:rsidRPr="005E4483" w:rsidRDefault="006169F2" w:rsidP="00A500A7">
            <w:pPr>
              <w:pStyle w:val="Textpoznpodarou"/>
              <w:jc w:val="both"/>
              <w:rPr>
                <w:spacing w:val="-4"/>
              </w:rPr>
            </w:pPr>
          </w:p>
        </w:tc>
        <w:tc>
          <w:tcPr>
            <w:tcW w:w="7609" w:type="dxa"/>
          </w:tcPr>
          <w:p w14:paraId="7FEAADE0" w14:textId="0B51B54C" w:rsidR="006169F2" w:rsidRPr="006169F2" w:rsidRDefault="006169F2" w:rsidP="00A500A7">
            <w:pPr>
              <w:spacing w:after="200"/>
              <w:rPr>
                <w:spacing w:val="-3"/>
              </w:rPr>
            </w:pPr>
            <w:r w:rsidRPr="006169F2">
              <w:rPr>
                <w:rFonts w:cs="Arial"/>
                <w:color w:val="0D0D0D" w:themeColor="text1" w:themeTint="F2"/>
                <w:spacing w:val="-3"/>
              </w:rPr>
              <w:t>Ze strukturálního hlediska byl ale nedávný silný růst nabídky pracovních míst značně nerovnoměrný (</w:t>
            </w:r>
            <w:r w:rsidR="00BC7833" w:rsidRPr="006169F2">
              <w:rPr>
                <w:rFonts w:cs="Arial"/>
                <w:color w:val="0D0D0D" w:themeColor="text1" w:themeTint="F2"/>
                <w:spacing w:val="-3"/>
              </w:rPr>
              <w:t>z</w:t>
            </w:r>
            <w:r w:rsidR="00BC7833">
              <w:rPr>
                <w:rFonts w:cs="Arial"/>
                <w:color w:val="0D0D0D" w:themeColor="text1" w:themeTint="F2"/>
                <w:spacing w:val="-3"/>
              </w:rPr>
              <w:t> </w:t>
            </w:r>
            <w:r w:rsidRPr="006169F2">
              <w:rPr>
                <w:rFonts w:cs="Arial"/>
                <w:color w:val="0D0D0D" w:themeColor="text1" w:themeTint="F2"/>
                <w:spacing w:val="-3"/>
              </w:rPr>
              <w:t xml:space="preserve">pohledu kvalifikačních </w:t>
            </w:r>
            <w:r w:rsidR="00BC7833" w:rsidRPr="006169F2">
              <w:rPr>
                <w:rFonts w:cs="Arial"/>
                <w:color w:val="0D0D0D" w:themeColor="text1" w:themeTint="F2"/>
                <w:spacing w:val="-3"/>
              </w:rPr>
              <w:t>a</w:t>
            </w:r>
            <w:r w:rsidR="00BC7833">
              <w:rPr>
                <w:rFonts w:cs="Arial"/>
                <w:color w:val="0D0D0D" w:themeColor="text1" w:themeTint="F2"/>
                <w:spacing w:val="-3"/>
              </w:rPr>
              <w:t> </w:t>
            </w:r>
            <w:r w:rsidRPr="006169F2">
              <w:rPr>
                <w:rFonts w:cs="Arial"/>
                <w:color w:val="0D0D0D" w:themeColor="text1" w:themeTint="F2"/>
                <w:spacing w:val="-3"/>
              </w:rPr>
              <w:t>vzdělanostních nároků, popř.</w:t>
            </w:r>
            <w:r w:rsidR="00603030">
              <w:rPr>
                <w:rFonts w:cs="Arial"/>
                <w:color w:val="0D0D0D" w:themeColor="text1" w:themeTint="F2"/>
                <w:spacing w:val="-3"/>
              </w:rPr>
              <w:t> </w:t>
            </w:r>
            <w:r w:rsidRPr="006169F2">
              <w:rPr>
                <w:rFonts w:cs="Arial"/>
                <w:color w:val="0D0D0D" w:themeColor="text1" w:themeTint="F2"/>
                <w:spacing w:val="-3"/>
              </w:rPr>
              <w:t>odvětvového či regionálního členění). Tato nevyváženost se navíc v čase značně prohlubovala. Zatímco míst s vyššími kvalifikačními nároky (alespoň maturitní vzdělání či v prvních třech kvalifikačních třídách</w:t>
            </w:r>
            <w:r w:rsidR="0037734D">
              <w:rPr>
                <w:rFonts w:cs="Arial"/>
                <w:color w:val="0D0D0D" w:themeColor="text1" w:themeTint="F2"/>
                <w:spacing w:val="-3"/>
              </w:rPr>
              <w:t xml:space="preserve"> – </w:t>
            </w:r>
            <w:r w:rsidRPr="006169F2">
              <w:rPr>
                <w:rFonts w:cs="Arial"/>
                <w:color w:val="0D0D0D" w:themeColor="text1" w:themeTint="F2"/>
                <w:spacing w:val="-3"/>
              </w:rPr>
              <w:t xml:space="preserve">vedoucí </w:t>
            </w:r>
            <w:r w:rsidR="00BC7833" w:rsidRPr="006169F2">
              <w:rPr>
                <w:rFonts w:cs="Arial"/>
                <w:color w:val="0D0D0D" w:themeColor="text1" w:themeTint="F2"/>
                <w:spacing w:val="-3"/>
              </w:rPr>
              <w:t>a</w:t>
            </w:r>
            <w:r w:rsidR="00BC7833">
              <w:rPr>
                <w:rFonts w:cs="Arial"/>
                <w:color w:val="0D0D0D" w:themeColor="text1" w:themeTint="F2"/>
                <w:spacing w:val="-3"/>
              </w:rPr>
              <w:t> </w:t>
            </w:r>
            <w:r w:rsidRPr="006169F2">
              <w:rPr>
                <w:rFonts w:cs="Arial"/>
                <w:color w:val="0D0D0D" w:themeColor="text1" w:themeTint="F2"/>
                <w:spacing w:val="-3"/>
              </w:rPr>
              <w:t>řídící pracovníci, specialisté, techničtí a odborní pracovníci) přibývalo jen poskro</w:t>
            </w:r>
            <w:r w:rsidR="00603030">
              <w:rPr>
                <w:rFonts w:cs="Arial"/>
                <w:color w:val="0D0D0D" w:themeColor="text1" w:themeTint="F2"/>
                <w:spacing w:val="-3"/>
              </w:rPr>
              <w:t>v</w:t>
            </w:r>
            <w:r w:rsidRPr="006169F2">
              <w:rPr>
                <w:rFonts w:cs="Arial"/>
                <w:color w:val="0D0D0D" w:themeColor="text1" w:themeTint="F2"/>
                <w:spacing w:val="-3"/>
              </w:rPr>
              <w:t xml:space="preserve">nu </w:t>
            </w:r>
            <w:r w:rsidR="00BC7833" w:rsidRPr="006169F2">
              <w:rPr>
                <w:rFonts w:cs="Arial"/>
                <w:color w:val="0D0D0D" w:themeColor="text1" w:themeTint="F2"/>
                <w:spacing w:val="-3"/>
              </w:rPr>
              <w:t>a</w:t>
            </w:r>
            <w:r w:rsidR="00BC7833">
              <w:rPr>
                <w:rFonts w:cs="Arial"/>
                <w:color w:val="0D0D0D" w:themeColor="text1" w:themeTint="F2"/>
                <w:spacing w:val="-3"/>
              </w:rPr>
              <w:t> </w:t>
            </w:r>
            <w:r w:rsidRPr="006169F2">
              <w:rPr>
                <w:rFonts w:cs="Arial"/>
                <w:color w:val="0D0D0D" w:themeColor="text1" w:themeTint="F2"/>
                <w:spacing w:val="-3"/>
              </w:rPr>
              <w:t xml:space="preserve">tempo jejich meziročního růstu v období 2016 až 2018 zůstávalo stabilní, </w:t>
            </w:r>
            <w:r w:rsidR="00BC7833" w:rsidRPr="006169F2">
              <w:rPr>
                <w:rFonts w:cs="Arial"/>
                <w:color w:val="0D0D0D" w:themeColor="text1" w:themeTint="F2"/>
                <w:spacing w:val="-3"/>
              </w:rPr>
              <w:t>u</w:t>
            </w:r>
            <w:r w:rsidR="00BC7833">
              <w:rPr>
                <w:rFonts w:cs="Arial"/>
                <w:color w:val="0D0D0D" w:themeColor="text1" w:themeTint="F2"/>
                <w:spacing w:val="-3"/>
              </w:rPr>
              <w:t> </w:t>
            </w:r>
            <w:r w:rsidRPr="006169F2">
              <w:rPr>
                <w:rFonts w:cs="Arial"/>
                <w:color w:val="0D0D0D" w:themeColor="text1" w:themeTint="F2"/>
                <w:spacing w:val="-3"/>
              </w:rPr>
              <w:t xml:space="preserve">nízkokvalifikovaných pozic tomu bylo naopak. Z celkového loňského přírůstku pracovních míst jich </w:t>
            </w:r>
            <w:r w:rsidR="00603030">
              <w:rPr>
                <w:rFonts w:cs="Arial"/>
                <w:color w:val="0D0D0D" w:themeColor="text1" w:themeTint="F2"/>
                <w:spacing w:val="-3"/>
              </w:rPr>
              <w:t>plných</w:t>
            </w:r>
            <w:r w:rsidR="00603030" w:rsidRPr="006169F2">
              <w:rPr>
                <w:rFonts w:cs="Arial"/>
                <w:color w:val="0D0D0D" w:themeColor="text1" w:themeTint="F2"/>
                <w:spacing w:val="-3"/>
              </w:rPr>
              <w:t xml:space="preserve"> </w:t>
            </w:r>
            <w:r w:rsidRPr="006169F2">
              <w:rPr>
                <w:rFonts w:cs="Arial"/>
                <w:color w:val="0D0D0D" w:themeColor="text1" w:themeTint="F2"/>
                <w:spacing w:val="-3"/>
              </w:rPr>
              <w:t>87</w:t>
            </w:r>
            <w:r w:rsidR="006454CC">
              <w:rPr>
                <w:rFonts w:cs="Arial"/>
                <w:color w:val="0D0D0D" w:themeColor="text1" w:themeTint="F2"/>
                <w:spacing w:val="-3"/>
              </w:rPr>
              <w:t> %</w:t>
            </w:r>
            <w:r w:rsidRPr="006169F2">
              <w:rPr>
                <w:rFonts w:cs="Arial"/>
                <w:color w:val="0D0D0D" w:themeColor="text1" w:themeTint="F2"/>
                <w:spacing w:val="-3"/>
              </w:rPr>
              <w:t xml:space="preserve"> připadalo na místa s minimálními deklarovanými kvalifikačními nároky (na něž postačovalo základní vzdělání</w:t>
            </w:r>
            <w:r w:rsidR="0037734D">
              <w:rPr>
                <w:rFonts w:cs="Arial"/>
                <w:color w:val="0D0D0D" w:themeColor="text1" w:themeTint="F2"/>
                <w:spacing w:val="-3"/>
              </w:rPr>
              <w:t xml:space="preserve"> – </w:t>
            </w:r>
            <w:r w:rsidRPr="006169F2">
              <w:rPr>
                <w:rFonts w:cs="Arial"/>
                <w:color w:val="0D0D0D" w:themeColor="text1" w:themeTint="F2"/>
                <w:spacing w:val="-3"/>
              </w:rPr>
              <w:t xml:space="preserve">šlo hlavně </w:t>
            </w:r>
            <w:r w:rsidR="00BC7833" w:rsidRPr="006169F2">
              <w:rPr>
                <w:rFonts w:cs="Arial"/>
                <w:color w:val="0D0D0D" w:themeColor="text1" w:themeTint="F2"/>
                <w:spacing w:val="-3"/>
              </w:rPr>
              <w:t>o</w:t>
            </w:r>
            <w:r w:rsidR="00BC7833">
              <w:rPr>
                <w:rFonts w:cs="Arial"/>
                <w:color w:val="0D0D0D" w:themeColor="text1" w:themeTint="F2"/>
                <w:spacing w:val="-3"/>
              </w:rPr>
              <w:t> </w:t>
            </w:r>
            <w:r w:rsidRPr="006169F2">
              <w:rPr>
                <w:rFonts w:cs="Arial"/>
                <w:color w:val="0D0D0D" w:themeColor="text1" w:themeTint="F2"/>
                <w:spacing w:val="-3"/>
              </w:rPr>
              <w:t xml:space="preserve">pozice ve zpracovatelském průmyslu </w:t>
            </w:r>
            <w:r w:rsidR="00BC7833" w:rsidRPr="006169F2">
              <w:rPr>
                <w:rFonts w:cs="Arial"/>
                <w:color w:val="0D0D0D" w:themeColor="text1" w:themeTint="F2"/>
                <w:spacing w:val="-3"/>
              </w:rPr>
              <w:t>a</w:t>
            </w:r>
            <w:r w:rsidR="00BC7833">
              <w:rPr>
                <w:rFonts w:cs="Arial"/>
                <w:color w:val="0D0D0D" w:themeColor="text1" w:themeTint="F2"/>
                <w:spacing w:val="-3"/>
              </w:rPr>
              <w:t> </w:t>
            </w:r>
            <w:r w:rsidRPr="006169F2">
              <w:rPr>
                <w:rFonts w:cs="Arial"/>
                <w:color w:val="0D0D0D" w:themeColor="text1" w:themeTint="F2"/>
                <w:spacing w:val="-3"/>
              </w:rPr>
              <w:t>stavebnictví). V roce 2016 to bylo „jen“ 67</w:t>
            </w:r>
            <w:r w:rsidR="006454CC">
              <w:rPr>
                <w:rFonts w:cs="Arial"/>
                <w:color w:val="0D0D0D" w:themeColor="text1" w:themeTint="F2"/>
                <w:spacing w:val="-3"/>
              </w:rPr>
              <w:t> %</w:t>
            </w:r>
            <w:r w:rsidRPr="006169F2">
              <w:rPr>
                <w:rFonts w:cs="Arial"/>
                <w:color w:val="0D0D0D" w:themeColor="text1" w:themeTint="F2"/>
                <w:spacing w:val="-3"/>
              </w:rPr>
              <w:t xml:space="preserve">. Není bez zajímavosti, že přestože zaměstnavatelé </w:t>
            </w:r>
            <w:r w:rsidR="00603030">
              <w:rPr>
                <w:rFonts w:cs="Arial"/>
                <w:color w:val="0D0D0D" w:themeColor="text1" w:themeTint="F2"/>
                <w:spacing w:val="-3"/>
              </w:rPr>
              <w:t>počítají</w:t>
            </w:r>
            <w:r w:rsidRPr="006169F2">
              <w:rPr>
                <w:rFonts w:cs="Arial"/>
                <w:color w:val="0D0D0D" w:themeColor="text1" w:themeTint="F2"/>
                <w:spacing w:val="-3"/>
              </w:rPr>
              <w:t xml:space="preserve"> u těchto míst pouze se základním vzděláním uchazečů, jsou zároveň často řazen</w:t>
            </w:r>
            <w:r w:rsidR="00603030">
              <w:rPr>
                <w:rFonts w:cs="Arial"/>
                <w:color w:val="0D0D0D" w:themeColor="text1" w:themeTint="F2"/>
                <w:spacing w:val="-3"/>
              </w:rPr>
              <w:t>a</w:t>
            </w:r>
            <w:r w:rsidRPr="006169F2">
              <w:rPr>
                <w:rFonts w:cs="Arial"/>
                <w:color w:val="0D0D0D" w:themeColor="text1" w:themeTint="F2"/>
                <w:spacing w:val="-3"/>
              </w:rPr>
              <w:t xml:space="preserve"> do kategorie obsluha strojů </w:t>
            </w:r>
            <w:r w:rsidR="00BC7833" w:rsidRPr="006169F2">
              <w:rPr>
                <w:rFonts w:cs="Arial"/>
                <w:color w:val="0D0D0D" w:themeColor="text1" w:themeTint="F2"/>
                <w:spacing w:val="-3"/>
              </w:rPr>
              <w:t>a</w:t>
            </w:r>
            <w:r w:rsidR="00BC7833">
              <w:rPr>
                <w:rFonts w:cs="Arial"/>
                <w:color w:val="0D0D0D" w:themeColor="text1" w:themeTint="F2"/>
                <w:spacing w:val="-3"/>
              </w:rPr>
              <w:t> </w:t>
            </w:r>
            <w:r w:rsidRPr="006169F2">
              <w:rPr>
                <w:rFonts w:cs="Arial"/>
                <w:color w:val="0D0D0D" w:themeColor="text1" w:themeTint="F2"/>
                <w:spacing w:val="-3"/>
              </w:rPr>
              <w:t>zařízení</w:t>
            </w:r>
            <w:r w:rsidR="0037734D">
              <w:rPr>
                <w:rFonts w:cs="Arial"/>
                <w:color w:val="0D0D0D" w:themeColor="text1" w:themeTint="F2"/>
                <w:spacing w:val="-3"/>
              </w:rPr>
              <w:t xml:space="preserve"> – </w:t>
            </w:r>
            <w:r w:rsidRPr="006169F2">
              <w:rPr>
                <w:rFonts w:cs="Arial"/>
                <w:color w:val="0D0D0D" w:themeColor="text1" w:themeTint="F2"/>
                <w:spacing w:val="-3"/>
              </w:rPr>
              <w:t xml:space="preserve">tedy kvalifikační třídy, </w:t>
            </w:r>
            <w:r w:rsidR="00BC7833" w:rsidRPr="006169F2">
              <w:rPr>
                <w:rFonts w:cs="Arial"/>
                <w:color w:val="0D0D0D" w:themeColor="text1" w:themeTint="F2"/>
                <w:spacing w:val="-3"/>
              </w:rPr>
              <w:t>v</w:t>
            </w:r>
            <w:r w:rsidR="00BC7833">
              <w:rPr>
                <w:rFonts w:cs="Arial"/>
                <w:color w:val="0D0D0D" w:themeColor="text1" w:themeTint="F2"/>
                <w:spacing w:val="-3"/>
              </w:rPr>
              <w:t> </w:t>
            </w:r>
            <w:r w:rsidRPr="006169F2">
              <w:rPr>
                <w:rFonts w:cs="Arial"/>
                <w:color w:val="0D0D0D" w:themeColor="text1" w:themeTint="F2"/>
                <w:spacing w:val="-3"/>
              </w:rPr>
              <w:t>níž většina současných pracovníků dosahuje učňovského vzdělání, někteří pak dokonce i maturitního</w:t>
            </w:r>
            <w:r w:rsidRPr="006169F2">
              <w:rPr>
                <w:rStyle w:val="Znakapoznpodarou"/>
                <w:rFonts w:cs="Arial"/>
                <w:color w:val="0D0D0D" w:themeColor="text1" w:themeTint="F2"/>
                <w:spacing w:val="-3"/>
              </w:rPr>
              <w:footnoteReference w:id="54"/>
            </w:r>
            <w:r w:rsidRPr="006169F2">
              <w:rPr>
                <w:rFonts w:cs="Arial"/>
                <w:color w:val="0D0D0D" w:themeColor="text1" w:themeTint="F2"/>
                <w:spacing w:val="-3"/>
              </w:rPr>
              <w:t>. Velká část těchto volných míst byla v ČR orientov</w:t>
            </w:r>
            <w:r w:rsidR="00603030">
              <w:rPr>
                <w:rFonts w:cs="Arial"/>
                <w:color w:val="0D0D0D" w:themeColor="text1" w:themeTint="F2"/>
                <w:spacing w:val="-3"/>
              </w:rPr>
              <w:t>ána</w:t>
            </w:r>
            <w:r w:rsidRPr="006169F2">
              <w:rPr>
                <w:rFonts w:cs="Arial"/>
                <w:color w:val="0D0D0D" w:themeColor="text1" w:themeTint="F2"/>
                <w:spacing w:val="-3"/>
              </w:rPr>
              <w:t xml:space="preserve"> na relativně levnější zahraniční pracovní sílu, především ze zemí mimo</w:t>
            </w:r>
            <w:r w:rsidR="00603030">
              <w:rPr>
                <w:rFonts w:cs="Arial"/>
                <w:color w:val="0D0D0D" w:themeColor="text1" w:themeTint="F2"/>
                <w:spacing w:val="-3"/>
              </w:rPr>
              <w:t> </w:t>
            </w:r>
            <w:r w:rsidRPr="006169F2">
              <w:rPr>
                <w:rFonts w:cs="Arial"/>
                <w:color w:val="0D0D0D" w:themeColor="text1" w:themeTint="F2"/>
                <w:spacing w:val="-3"/>
              </w:rPr>
              <w:t>EU</w:t>
            </w:r>
            <w:r w:rsidRPr="006169F2">
              <w:rPr>
                <w:rStyle w:val="Znakapoznpodarou"/>
                <w:rFonts w:cs="Arial"/>
                <w:color w:val="0D0D0D" w:themeColor="text1" w:themeTint="F2"/>
                <w:spacing w:val="-3"/>
              </w:rPr>
              <w:footnoteReference w:id="55"/>
            </w:r>
            <w:r w:rsidRPr="006169F2">
              <w:rPr>
                <w:rFonts w:cs="Arial"/>
                <w:color w:val="0D0D0D" w:themeColor="text1" w:themeTint="F2"/>
                <w:spacing w:val="-3"/>
              </w:rPr>
              <w:t>. Navzdory sílícím tokům pracovní migrace do</w:t>
            </w:r>
            <w:r w:rsidR="00603030">
              <w:rPr>
                <w:rFonts w:cs="Arial"/>
                <w:color w:val="0D0D0D" w:themeColor="text1" w:themeTint="F2"/>
                <w:spacing w:val="-3"/>
              </w:rPr>
              <w:t> </w:t>
            </w:r>
            <w:r w:rsidRPr="006169F2">
              <w:rPr>
                <w:rFonts w:cs="Arial"/>
                <w:color w:val="0D0D0D" w:themeColor="text1" w:themeTint="F2"/>
                <w:spacing w:val="-3"/>
              </w:rPr>
              <w:t>ČR nemohla být tat</w:t>
            </w:r>
            <w:r>
              <w:rPr>
                <w:rFonts w:cs="Arial"/>
                <w:color w:val="0D0D0D" w:themeColor="text1" w:themeTint="F2"/>
                <w:spacing w:val="-3"/>
              </w:rPr>
              <w:t xml:space="preserve">o poptávka zdaleka </w:t>
            </w:r>
            <w:r w:rsidRPr="006169F2">
              <w:rPr>
                <w:rFonts w:cs="Arial"/>
                <w:color w:val="0D0D0D" w:themeColor="text1" w:themeTint="F2"/>
                <w:spacing w:val="-3"/>
              </w:rPr>
              <w:t>uspokojena a nezanedbatelná část volných míst zůstala dlouhodobě neobsazena</w:t>
            </w:r>
            <w:r w:rsidRPr="006169F2">
              <w:rPr>
                <w:rStyle w:val="Znakapoznpodarou"/>
                <w:rFonts w:cs="Arial"/>
                <w:color w:val="0D0D0D" w:themeColor="text1" w:themeTint="F2"/>
                <w:spacing w:val="-3"/>
              </w:rPr>
              <w:footnoteReference w:id="56"/>
            </w:r>
            <w:r w:rsidRPr="006169F2">
              <w:rPr>
                <w:rFonts w:cs="Arial"/>
                <w:color w:val="0D0D0D" w:themeColor="text1" w:themeTint="F2"/>
                <w:spacing w:val="-3"/>
              </w:rPr>
              <w:t>. Strmý růst počtu nabízených nízkokvalifikovaných pracovních míst nebyl v roce 2018 příliš v souladu s opatrnějšími konjunkturálními vyhlídkami podniků v oblasti zaměstnanosti.</w:t>
            </w:r>
          </w:p>
        </w:tc>
      </w:tr>
      <w:tr w:rsidR="00723859" w:rsidRPr="0040263F" w14:paraId="1DBA289B" w14:textId="77777777" w:rsidTr="006169F2">
        <w:trPr>
          <w:trHeight w:val="145"/>
        </w:trPr>
        <w:tc>
          <w:tcPr>
            <w:tcW w:w="1814" w:type="dxa"/>
          </w:tcPr>
          <w:p w14:paraId="3F5B5E5E" w14:textId="57D8A99A" w:rsidR="00723859" w:rsidRDefault="00723859" w:rsidP="00723859">
            <w:pPr>
              <w:pStyle w:val="Marginlie"/>
              <w:rPr>
                <w:color w:val="0D0D0D" w:themeColor="text1" w:themeTint="F2"/>
              </w:rPr>
            </w:pPr>
            <w:r>
              <w:t>Počet volných míst poprvé od roku 1991 převýšil četnost uchazečů o práci. Šance na pracovní uplatnění se zvýšily plošně, tj. napříč kvalifikačními i vzdělanostními třídami.</w:t>
            </w:r>
          </w:p>
        </w:tc>
        <w:tc>
          <w:tcPr>
            <w:tcW w:w="221" w:type="dxa"/>
          </w:tcPr>
          <w:p w14:paraId="2F4022F4" w14:textId="77777777" w:rsidR="00723859" w:rsidRPr="005E4483" w:rsidRDefault="00723859" w:rsidP="00723859">
            <w:pPr>
              <w:pStyle w:val="Textpoznpodarou"/>
              <w:jc w:val="both"/>
              <w:rPr>
                <w:spacing w:val="-4"/>
              </w:rPr>
            </w:pPr>
          </w:p>
        </w:tc>
        <w:tc>
          <w:tcPr>
            <w:tcW w:w="7609" w:type="dxa"/>
          </w:tcPr>
          <w:p w14:paraId="4A89A635" w14:textId="2DEF56FB" w:rsidR="00723859" w:rsidRPr="006169F2" w:rsidRDefault="00723859" w:rsidP="00723859">
            <w:pPr>
              <w:spacing w:after="200"/>
              <w:rPr>
                <w:rFonts w:cs="Arial"/>
                <w:color w:val="0D0D0D" w:themeColor="text1" w:themeTint="F2"/>
                <w:spacing w:val="-3"/>
              </w:rPr>
            </w:pPr>
            <w:r>
              <w:rPr>
                <w:spacing w:val="-2"/>
              </w:rPr>
              <w:t>Šance nezaměstnaných na jejich pracovní začlenění se nadále podstatně zvyšovala. Během dubna 2018 převýšil počet volných míst četnost registrovaných uchazečů o</w:t>
            </w:r>
            <w:r w:rsidRPr="008529B6">
              <w:rPr>
                <w:rFonts w:cs="Arial"/>
                <w:color w:val="0D0D0D" w:themeColor="text1" w:themeTint="F2"/>
                <w:spacing w:val="-4"/>
              </w:rPr>
              <w:t> </w:t>
            </w:r>
            <w:r>
              <w:rPr>
                <w:spacing w:val="-2"/>
              </w:rPr>
              <w:t>zaměstnání. Stalo se tak poprvé v historii měsíčního sledování (od počátku roku 1991). Na sklonku loňského roku připadalo na</w:t>
            </w:r>
            <w:r w:rsidRPr="008529B6">
              <w:rPr>
                <w:rFonts w:cs="Arial"/>
                <w:color w:val="0D0D0D" w:themeColor="text1" w:themeTint="F2"/>
                <w:spacing w:val="-4"/>
              </w:rPr>
              <w:t xml:space="preserve"> jedno volné místo</w:t>
            </w:r>
            <w:r>
              <w:rPr>
                <w:rFonts w:cs="Arial"/>
                <w:color w:val="0D0D0D" w:themeColor="text1" w:themeTint="F2"/>
                <w:spacing w:val="-4"/>
              </w:rPr>
              <w:t xml:space="preserve"> již pouze 0,7 uchazeče (o</w:t>
            </w:r>
            <w:r>
              <w:rPr>
                <w:spacing w:val="-2"/>
              </w:rPr>
              <w:t> </w:t>
            </w:r>
            <w:r>
              <w:rPr>
                <w:rFonts w:cs="Arial"/>
                <w:color w:val="0D0D0D" w:themeColor="text1" w:themeTint="F2"/>
                <w:spacing w:val="-4"/>
              </w:rPr>
              <w:t>polovinu méně než v prosinci 2017).</w:t>
            </w:r>
            <w:r w:rsidRPr="00EA592E">
              <w:rPr>
                <w:rFonts w:cs="Arial"/>
                <w:color w:val="0D0D0D" w:themeColor="text1" w:themeTint="F2"/>
                <w:spacing w:val="-4"/>
              </w:rPr>
              <w:t xml:space="preserve"> </w:t>
            </w:r>
            <w:r>
              <w:rPr>
                <w:rFonts w:cs="Arial"/>
                <w:color w:val="0D0D0D" w:themeColor="text1" w:themeTint="F2"/>
                <w:spacing w:val="-4"/>
              </w:rPr>
              <w:t>Vyhlídky</w:t>
            </w:r>
            <w:r w:rsidRPr="00EA592E">
              <w:rPr>
                <w:rFonts w:cs="Arial"/>
                <w:color w:val="0D0D0D" w:themeColor="text1" w:themeTint="F2"/>
                <w:spacing w:val="-4"/>
              </w:rPr>
              <w:t xml:space="preserve"> nezaměstnaných na uplatnění</w:t>
            </w:r>
            <w:r>
              <w:rPr>
                <w:rFonts w:cs="Arial"/>
                <w:color w:val="0D0D0D" w:themeColor="text1" w:themeTint="F2"/>
                <w:spacing w:val="-4"/>
              </w:rPr>
              <w:t xml:space="preserve"> se meziročně zlepšily ve všech vzdělanostních i kvalifikačních skupinách. Mírný převis počtu uchazečů nad volnými místy ale stále přetrvával ve váhově nejpočetnější vzdělanostní skupině – střední odborné vzdělání s výučním listem (1,6). Ještě o něco složitější situaci museli čelit uchazeči s úplným středním odborným vzděláním (2,8). Naopak uchazeči s maximálně základním vzděláním by mohli loni v ČR nalézt práci všichni (při předpokladu jejich dokonalé prostorové mobility). Výraznější disproporce mezi skladbou volných pozic a</w:t>
            </w:r>
            <w:r>
              <w:rPr>
                <w:spacing w:val="-2"/>
              </w:rPr>
              <w:t> </w:t>
            </w:r>
            <w:r>
              <w:rPr>
                <w:rFonts w:cs="Arial"/>
                <w:color w:val="0D0D0D" w:themeColor="text1" w:themeTint="F2"/>
                <w:spacing w:val="-4"/>
              </w:rPr>
              <w:t>uchazeči lze nalézt u kvalifikačních tříd. To je patrné ze srovnání dvou početně nejvýznamnějších kategorií – obsluhy strojů a zařízení (0,2) a pracovníků ve službách a</w:t>
            </w:r>
            <w:r>
              <w:rPr>
                <w:spacing w:val="-2"/>
              </w:rPr>
              <w:t> </w:t>
            </w:r>
            <w:r>
              <w:rPr>
                <w:rFonts w:cs="Arial"/>
                <w:color w:val="0D0D0D" w:themeColor="text1" w:themeTint="F2"/>
                <w:spacing w:val="-4"/>
              </w:rPr>
              <w:t xml:space="preserve">prodeji (1,5). Mezi třídami se střední a vyšší kvalifikací se objevil převis volných míst nad uchazeči jen u specialistů (0,7). Uchazeči s vyšší kvalifikací obvykle ale nespoléhají jen na </w:t>
            </w:r>
            <w:r>
              <w:rPr>
                <w:rFonts w:cs="Arial"/>
                <w:color w:val="0D0D0D" w:themeColor="text1" w:themeTint="F2"/>
                <w:spacing w:val="-4"/>
              </w:rPr>
              <w:lastRenderedPageBreak/>
              <w:t>možnosti úřadu práce a mnohem častěji podnikají aktivní kroky k nalezení nového místa sami</w:t>
            </w:r>
            <w:r w:rsidRPr="008529B6">
              <w:rPr>
                <w:rStyle w:val="Znakapoznpodarou"/>
                <w:color w:val="0D0D0D" w:themeColor="text1" w:themeTint="F2"/>
                <w:spacing w:val="-2"/>
              </w:rPr>
              <w:footnoteReference w:id="57"/>
            </w:r>
            <w:r>
              <w:rPr>
                <w:rFonts w:cs="Arial"/>
                <w:color w:val="0D0D0D" w:themeColor="text1" w:themeTint="F2"/>
                <w:spacing w:val="-4"/>
              </w:rPr>
              <w:t>.</w:t>
            </w:r>
          </w:p>
        </w:tc>
      </w:tr>
      <w:tr w:rsidR="00723859" w:rsidRPr="00DD7E93" w14:paraId="08C2FF0D" w14:textId="77777777" w:rsidTr="006169F2">
        <w:trPr>
          <w:trHeight w:val="170"/>
        </w:trPr>
        <w:tc>
          <w:tcPr>
            <w:tcW w:w="1814" w:type="dxa"/>
            <w:vMerge w:val="restart"/>
          </w:tcPr>
          <w:p w14:paraId="26EAD465" w14:textId="77777777" w:rsidR="00723859" w:rsidRPr="00106639" w:rsidRDefault="00723859" w:rsidP="00723859">
            <w:pPr>
              <w:pStyle w:val="Marginlie"/>
              <w:spacing w:after="200"/>
            </w:pPr>
          </w:p>
        </w:tc>
        <w:tc>
          <w:tcPr>
            <w:tcW w:w="221" w:type="dxa"/>
            <w:vMerge w:val="restart"/>
          </w:tcPr>
          <w:p w14:paraId="19E2FAEA" w14:textId="77777777" w:rsidR="00723859" w:rsidRPr="005E4483" w:rsidRDefault="00723859" w:rsidP="00723859">
            <w:pPr>
              <w:pStyle w:val="Textpoznpodarou"/>
              <w:jc w:val="both"/>
              <w:rPr>
                <w:spacing w:val="-4"/>
              </w:rPr>
            </w:pPr>
          </w:p>
          <w:p w14:paraId="33C09CC7" w14:textId="77777777" w:rsidR="00723859" w:rsidRPr="005E4483" w:rsidRDefault="00723859" w:rsidP="00723859">
            <w:pPr>
              <w:pStyle w:val="Textpoznpodarou"/>
              <w:jc w:val="both"/>
              <w:rPr>
                <w:spacing w:val="-4"/>
              </w:rPr>
            </w:pPr>
          </w:p>
        </w:tc>
        <w:tc>
          <w:tcPr>
            <w:tcW w:w="7609" w:type="dxa"/>
          </w:tcPr>
          <w:p w14:paraId="7F4B59DA" w14:textId="2C0C3FAC" w:rsidR="00723859" w:rsidRPr="00DD7E93" w:rsidRDefault="00723859" w:rsidP="00723859">
            <w:pPr>
              <w:spacing w:after="0"/>
              <w:jc w:val="left"/>
              <w:rPr>
                <w:b/>
                <w:spacing w:val="-4"/>
                <w:szCs w:val="20"/>
              </w:rPr>
            </w:pPr>
            <w:r w:rsidRPr="00065A5A">
              <w:rPr>
                <w:b/>
              </w:rPr>
              <w:t>G</w:t>
            </w:r>
            <w:r>
              <w:rPr>
                <w:b/>
              </w:rPr>
              <w:t>raf č. 20</w:t>
            </w:r>
            <w:r w:rsidRPr="00065A5A">
              <w:rPr>
                <w:b/>
              </w:rPr>
              <w:t xml:space="preserve">  Růst počtu volných pracovních míst </w:t>
            </w:r>
            <w:r>
              <w:rPr>
                <w:b/>
              </w:rPr>
              <w:t xml:space="preserve">(v evidenci ÚP) </w:t>
            </w:r>
            <w:r w:rsidRPr="00065A5A">
              <w:rPr>
                <w:b/>
              </w:rPr>
              <w:t>dle vzdělání, kvalifikačních tříd a</w:t>
            </w:r>
            <w:r>
              <w:rPr>
                <w:b/>
              </w:rPr>
              <w:t> </w:t>
            </w:r>
            <w:r w:rsidRPr="00065A5A">
              <w:rPr>
                <w:b/>
              </w:rPr>
              <w:t>hlavních odvětví</w:t>
            </w:r>
            <w:r w:rsidRPr="00065A5A">
              <w:t xml:space="preserve"> (meziročně v</w:t>
            </w:r>
            <w:r>
              <w:t> %</w:t>
            </w:r>
            <w:r w:rsidRPr="00065A5A">
              <w:t xml:space="preserve"> ze stavů k 31.</w:t>
            </w:r>
            <w:r>
              <w:t> </w:t>
            </w:r>
            <w:r w:rsidRPr="00065A5A">
              <w:t>12.)</w:t>
            </w:r>
          </w:p>
        </w:tc>
      </w:tr>
      <w:tr w:rsidR="00723859" w14:paraId="186DD789" w14:textId="77777777" w:rsidTr="00212D83">
        <w:tblPrEx>
          <w:tblCellMar>
            <w:left w:w="70" w:type="dxa"/>
            <w:right w:w="70" w:type="dxa"/>
          </w:tblCellMar>
        </w:tblPrEx>
        <w:trPr>
          <w:trHeight w:val="170"/>
        </w:trPr>
        <w:tc>
          <w:tcPr>
            <w:tcW w:w="1814" w:type="dxa"/>
            <w:vMerge/>
          </w:tcPr>
          <w:p w14:paraId="3BBF5D21" w14:textId="77777777" w:rsidR="00723859" w:rsidRPr="00106639" w:rsidRDefault="00723859" w:rsidP="00723859">
            <w:pPr>
              <w:pStyle w:val="Marginlie"/>
            </w:pPr>
          </w:p>
        </w:tc>
        <w:tc>
          <w:tcPr>
            <w:tcW w:w="221" w:type="dxa"/>
            <w:vMerge/>
          </w:tcPr>
          <w:p w14:paraId="376498CD" w14:textId="77777777" w:rsidR="00723859" w:rsidRPr="005E4483" w:rsidRDefault="00723859" w:rsidP="00723859">
            <w:pPr>
              <w:pStyle w:val="Textpoznpodarou"/>
              <w:jc w:val="both"/>
              <w:rPr>
                <w:spacing w:val="-4"/>
              </w:rPr>
            </w:pPr>
          </w:p>
        </w:tc>
        <w:tc>
          <w:tcPr>
            <w:tcW w:w="7609" w:type="dxa"/>
          </w:tcPr>
          <w:p w14:paraId="2946B3D6" w14:textId="45D860E5" w:rsidR="00723859" w:rsidRDefault="00723859" w:rsidP="00723859">
            <w:pPr>
              <w:spacing w:after="0"/>
            </w:pPr>
            <w:r>
              <w:rPr>
                <w:noProof/>
              </w:rPr>
              <w:drawing>
                <wp:inline distT="0" distB="0" distL="0" distR="0" wp14:anchorId="190A07F6" wp14:editId="3AFB26C6">
                  <wp:extent cx="4742815" cy="3295015"/>
                  <wp:effectExtent l="0" t="0" r="635" b="635"/>
                  <wp:docPr id="64" name="Graf 64"/>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tc>
      </w:tr>
      <w:tr w:rsidR="00723859" w:rsidRPr="00E05F1F" w14:paraId="16D490C8" w14:textId="77777777" w:rsidTr="006169F2">
        <w:trPr>
          <w:trHeight w:val="170"/>
        </w:trPr>
        <w:tc>
          <w:tcPr>
            <w:tcW w:w="1814" w:type="dxa"/>
            <w:vMerge/>
          </w:tcPr>
          <w:p w14:paraId="48F25E7D" w14:textId="77777777" w:rsidR="00723859" w:rsidRPr="00106639" w:rsidRDefault="00723859" w:rsidP="00723859">
            <w:pPr>
              <w:pStyle w:val="Marginlie"/>
            </w:pPr>
          </w:p>
        </w:tc>
        <w:tc>
          <w:tcPr>
            <w:tcW w:w="221" w:type="dxa"/>
            <w:vMerge/>
          </w:tcPr>
          <w:p w14:paraId="151FB256" w14:textId="77777777" w:rsidR="00723859" w:rsidRPr="005E4483" w:rsidRDefault="00723859" w:rsidP="00723859">
            <w:pPr>
              <w:pStyle w:val="Textpoznpodarou"/>
              <w:jc w:val="both"/>
              <w:rPr>
                <w:spacing w:val="-4"/>
              </w:rPr>
            </w:pPr>
          </w:p>
        </w:tc>
        <w:tc>
          <w:tcPr>
            <w:tcW w:w="7609" w:type="dxa"/>
          </w:tcPr>
          <w:p w14:paraId="7C09474F" w14:textId="4832707A" w:rsidR="00723859" w:rsidRPr="00E05F1F" w:rsidRDefault="00723859" w:rsidP="00723859">
            <w:pPr>
              <w:spacing w:after="0"/>
              <w:rPr>
                <w:spacing w:val="-4"/>
                <w:sz w:val="14"/>
                <w:szCs w:val="14"/>
              </w:rPr>
            </w:pPr>
            <w:r w:rsidRPr="00E05F1F">
              <w:rPr>
                <w:spacing w:val="-4"/>
                <w:sz w:val="14"/>
                <w:szCs w:val="14"/>
              </w:rPr>
              <w:t>*Třídy</w:t>
            </w:r>
            <w:r>
              <w:rPr>
                <w:spacing w:val="-4"/>
                <w:sz w:val="14"/>
                <w:szCs w:val="14"/>
              </w:rPr>
              <w:t> </w:t>
            </w:r>
            <w:r w:rsidRPr="00E05F1F">
              <w:rPr>
                <w:spacing w:val="-4"/>
                <w:sz w:val="14"/>
                <w:szCs w:val="14"/>
              </w:rPr>
              <w:t>1</w:t>
            </w:r>
            <w:r>
              <w:rPr>
                <w:spacing w:val="-4"/>
                <w:sz w:val="14"/>
                <w:szCs w:val="14"/>
              </w:rPr>
              <w:t>–</w:t>
            </w:r>
            <w:r w:rsidRPr="00E05F1F">
              <w:rPr>
                <w:spacing w:val="-4"/>
                <w:sz w:val="14"/>
                <w:szCs w:val="14"/>
              </w:rPr>
              <w:t>3</w:t>
            </w:r>
            <w:r>
              <w:rPr>
                <w:spacing w:val="-4"/>
                <w:sz w:val="14"/>
                <w:szCs w:val="14"/>
              </w:rPr>
              <w:t xml:space="preserve"> </w:t>
            </w:r>
            <w:r w:rsidRPr="00E05F1F">
              <w:rPr>
                <w:spacing w:val="-4"/>
                <w:sz w:val="14"/>
                <w:szCs w:val="14"/>
              </w:rPr>
              <w:t>zahrnují kategorie: Zákonodárci a</w:t>
            </w:r>
            <w:r>
              <w:rPr>
                <w:spacing w:val="-4"/>
                <w:sz w:val="14"/>
                <w:szCs w:val="14"/>
              </w:rPr>
              <w:t> </w:t>
            </w:r>
            <w:r w:rsidRPr="00E05F1F">
              <w:rPr>
                <w:spacing w:val="-4"/>
                <w:sz w:val="14"/>
                <w:szCs w:val="14"/>
              </w:rPr>
              <w:t>řídící pracovníci, Specialisté, Techničtí a</w:t>
            </w:r>
            <w:r>
              <w:rPr>
                <w:spacing w:val="-4"/>
                <w:sz w:val="14"/>
                <w:szCs w:val="14"/>
              </w:rPr>
              <w:t> </w:t>
            </w:r>
            <w:r w:rsidRPr="00E05F1F">
              <w:rPr>
                <w:spacing w:val="-4"/>
                <w:sz w:val="14"/>
                <w:szCs w:val="14"/>
              </w:rPr>
              <w:t>odborní pracovníci.</w:t>
            </w:r>
          </w:p>
          <w:p w14:paraId="0B019923" w14:textId="49127839" w:rsidR="00723859" w:rsidRPr="00E05F1F" w:rsidRDefault="00723859" w:rsidP="00723859">
            <w:pPr>
              <w:spacing w:after="0"/>
              <w:rPr>
                <w:spacing w:val="-4"/>
                <w:sz w:val="14"/>
                <w:szCs w:val="14"/>
              </w:rPr>
            </w:pPr>
            <w:r w:rsidRPr="00E05F1F">
              <w:rPr>
                <w:spacing w:val="-4"/>
                <w:sz w:val="14"/>
                <w:szCs w:val="14"/>
              </w:rPr>
              <w:t>*Třídy</w:t>
            </w:r>
            <w:r>
              <w:rPr>
                <w:spacing w:val="-4"/>
                <w:sz w:val="14"/>
                <w:szCs w:val="14"/>
              </w:rPr>
              <w:t> </w:t>
            </w:r>
            <w:r w:rsidRPr="00E05F1F">
              <w:rPr>
                <w:spacing w:val="-4"/>
                <w:sz w:val="14"/>
                <w:szCs w:val="14"/>
              </w:rPr>
              <w:t>4</w:t>
            </w:r>
            <w:r>
              <w:rPr>
                <w:spacing w:val="-4"/>
                <w:sz w:val="14"/>
                <w:szCs w:val="14"/>
              </w:rPr>
              <w:t>–</w:t>
            </w:r>
            <w:r w:rsidRPr="00E05F1F">
              <w:rPr>
                <w:spacing w:val="-4"/>
                <w:sz w:val="14"/>
                <w:szCs w:val="14"/>
              </w:rPr>
              <w:t>6</w:t>
            </w:r>
            <w:r>
              <w:rPr>
                <w:spacing w:val="-4"/>
                <w:sz w:val="14"/>
                <w:szCs w:val="14"/>
              </w:rPr>
              <w:t xml:space="preserve"> </w:t>
            </w:r>
            <w:r w:rsidRPr="00E05F1F">
              <w:rPr>
                <w:spacing w:val="-4"/>
                <w:sz w:val="14"/>
                <w:szCs w:val="14"/>
              </w:rPr>
              <w:t>zahrnují kategorie: Úředníci, Pracovníci ve s</w:t>
            </w:r>
            <w:r>
              <w:rPr>
                <w:spacing w:val="-4"/>
                <w:sz w:val="14"/>
                <w:szCs w:val="14"/>
              </w:rPr>
              <w:t>lužbách a prodeji, Kvalifik.</w:t>
            </w:r>
            <w:r w:rsidRPr="00E05F1F">
              <w:rPr>
                <w:spacing w:val="-4"/>
                <w:sz w:val="14"/>
                <w:szCs w:val="14"/>
              </w:rPr>
              <w:t xml:space="preserve"> pracovníci v</w:t>
            </w:r>
            <w:r>
              <w:rPr>
                <w:spacing w:val="-4"/>
                <w:sz w:val="14"/>
                <w:szCs w:val="14"/>
              </w:rPr>
              <w:t> </w:t>
            </w:r>
            <w:r w:rsidRPr="00E05F1F">
              <w:rPr>
                <w:spacing w:val="-4"/>
                <w:sz w:val="14"/>
                <w:szCs w:val="14"/>
              </w:rPr>
              <w:t>zemědělství, lesnictví a</w:t>
            </w:r>
            <w:r>
              <w:rPr>
                <w:spacing w:val="-4"/>
                <w:sz w:val="14"/>
                <w:szCs w:val="14"/>
              </w:rPr>
              <w:t> </w:t>
            </w:r>
            <w:r w:rsidRPr="00E05F1F">
              <w:rPr>
                <w:spacing w:val="-4"/>
                <w:sz w:val="14"/>
                <w:szCs w:val="14"/>
              </w:rPr>
              <w:t>rybářství</w:t>
            </w:r>
          </w:p>
          <w:p w14:paraId="575C9BDF" w14:textId="6495E66D" w:rsidR="00723859" w:rsidRPr="00E05F1F" w:rsidRDefault="00723859" w:rsidP="00723859">
            <w:pPr>
              <w:spacing w:after="200" w:line="240" w:lineRule="auto"/>
              <w:rPr>
                <w:rFonts w:cs="Arial"/>
                <w:spacing w:val="-4"/>
                <w:sz w:val="14"/>
                <w:szCs w:val="14"/>
              </w:rPr>
            </w:pPr>
            <w:r w:rsidRPr="00E05F1F">
              <w:rPr>
                <w:spacing w:val="-4"/>
                <w:sz w:val="14"/>
                <w:szCs w:val="14"/>
              </w:rPr>
              <w:t>Zdroj</w:t>
            </w:r>
            <w:r>
              <w:rPr>
                <w:spacing w:val="-4"/>
                <w:sz w:val="14"/>
                <w:szCs w:val="14"/>
              </w:rPr>
              <w:t>:</w:t>
            </w:r>
            <w:r w:rsidRPr="00E05F1F">
              <w:rPr>
                <w:spacing w:val="-4"/>
                <w:sz w:val="14"/>
                <w:szCs w:val="14"/>
              </w:rPr>
              <w:t xml:space="preserve"> MPSV</w:t>
            </w:r>
          </w:p>
        </w:tc>
      </w:tr>
      <w:tr w:rsidR="00723859" w:rsidRPr="004B2669" w14:paraId="15611681" w14:textId="77777777" w:rsidTr="006169F2">
        <w:trPr>
          <w:trHeight w:val="145"/>
        </w:trPr>
        <w:tc>
          <w:tcPr>
            <w:tcW w:w="1814" w:type="dxa"/>
          </w:tcPr>
          <w:p w14:paraId="5C8836A9" w14:textId="58A4DF34" w:rsidR="00723859" w:rsidRPr="008529B6" w:rsidRDefault="00723859" w:rsidP="00723859">
            <w:pPr>
              <w:pStyle w:val="Marginlie"/>
              <w:rPr>
                <w:color w:val="0D0D0D" w:themeColor="text1" w:themeTint="F2"/>
              </w:rPr>
            </w:pPr>
            <w:r w:rsidRPr="008529B6">
              <w:rPr>
                <w:color w:val="0D0D0D" w:themeColor="text1" w:themeTint="F2"/>
              </w:rPr>
              <w:t>Vyšší nezaměstnanost přetrvává v některých mikroregionech znevýhodněný</w:t>
            </w:r>
            <w:r>
              <w:rPr>
                <w:color w:val="0D0D0D" w:themeColor="text1" w:themeTint="F2"/>
              </w:rPr>
              <w:t>ch</w:t>
            </w:r>
            <w:r w:rsidRPr="008529B6">
              <w:rPr>
                <w:color w:val="0D0D0D" w:themeColor="text1" w:themeTint="F2"/>
              </w:rPr>
              <w:t xml:space="preserve"> polohou, dopravní obslužností či vzdělanostní skladbou populace v produktivním věku.</w:t>
            </w:r>
          </w:p>
          <w:p w14:paraId="70A5D233" w14:textId="77777777" w:rsidR="00723859" w:rsidRDefault="00723859" w:rsidP="00723859">
            <w:pPr>
              <w:pStyle w:val="Marginlie"/>
            </w:pPr>
          </w:p>
        </w:tc>
        <w:tc>
          <w:tcPr>
            <w:tcW w:w="221" w:type="dxa"/>
          </w:tcPr>
          <w:p w14:paraId="247DE272" w14:textId="77777777" w:rsidR="00723859" w:rsidRPr="005E4483" w:rsidRDefault="00723859" w:rsidP="00723859">
            <w:pPr>
              <w:pStyle w:val="Textpoznpodarou"/>
              <w:jc w:val="both"/>
              <w:rPr>
                <w:spacing w:val="-4"/>
              </w:rPr>
            </w:pPr>
          </w:p>
        </w:tc>
        <w:tc>
          <w:tcPr>
            <w:tcW w:w="7609" w:type="dxa"/>
          </w:tcPr>
          <w:p w14:paraId="0C64E2E5" w14:textId="3555BFC3" w:rsidR="00723859" w:rsidRPr="004B2669" w:rsidRDefault="00723859" w:rsidP="00723859">
            <w:pPr>
              <w:spacing w:after="200"/>
              <w:rPr>
                <w:spacing w:val="-2"/>
              </w:rPr>
            </w:pPr>
            <w:r w:rsidRPr="008529B6">
              <w:rPr>
                <w:color w:val="0D0D0D" w:themeColor="text1" w:themeTint="F2"/>
                <w:spacing w:val="-2"/>
              </w:rPr>
              <w:t>Údaje z evidence úřadů práce dokumentují na příkladu malých území (téměř 400</w:t>
            </w:r>
            <w:r>
              <w:rPr>
                <w:color w:val="0D0D0D" w:themeColor="text1" w:themeTint="F2"/>
                <w:spacing w:val="-2"/>
              </w:rPr>
              <w:t> </w:t>
            </w:r>
            <w:r w:rsidRPr="008529B6">
              <w:rPr>
                <w:color w:val="0D0D0D" w:themeColor="text1" w:themeTint="F2"/>
                <w:spacing w:val="-2"/>
              </w:rPr>
              <w:t xml:space="preserve">obvodů pověřených obecních úřadů), že pokles nezaměstnanosti měl </w:t>
            </w:r>
            <w:r>
              <w:rPr>
                <w:color w:val="0D0D0D" w:themeColor="text1" w:themeTint="F2"/>
                <w:spacing w:val="-2"/>
              </w:rPr>
              <w:t>i během roku 2018</w:t>
            </w:r>
            <w:r w:rsidRPr="008529B6">
              <w:rPr>
                <w:color w:val="0D0D0D" w:themeColor="text1" w:themeTint="F2"/>
                <w:spacing w:val="-2"/>
              </w:rPr>
              <w:t xml:space="preserve"> plošný charakter</w:t>
            </w:r>
            <w:r w:rsidRPr="008529B6">
              <w:rPr>
                <w:rStyle w:val="Znakapoznpodarou"/>
                <w:color w:val="0D0D0D" w:themeColor="text1" w:themeTint="F2"/>
                <w:spacing w:val="-2"/>
              </w:rPr>
              <w:footnoteReference w:id="58"/>
            </w:r>
            <w:r w:rsidRPr="008529B6">
              <w:rPr>
                <w:color w:val="0D0D0D" w:themeColor="text1" w:themeTint="F2"/>
                <w:spacing w:val="-2"/>
              </w:rPr>
              <w:t xml:space="preserve">. </w:t>
            </w:r>
            <w:r>
              <w:rPr>
                <w:color w:val="0D0D0D" w:themeColor="text1" w:themeTint="F2"/>
                <w:spacing w:val="-2"/>
              </w:rPr>
              <w:t>Relativně vyšší</w:t>
            </w:r>
            <w:r w:rsidRPr="008529B6">
              <w:rPr>
                <w:color w:val="0D0D0D" w:themeColor="text1" w:themeTint="F2"/>
                <w:spacing w:val="-2"/>
              </w:rPr>
              <w:t xml:space="preserve"> nezaměstnanost přetrvávala na konci roku hlavně ve strukturálně </w:t>
            </w:r>
            <w:r w:rsidRPr="00A039C6">
              <w:rPr>
                <w:color w:val="0D0D0D" w:themeColor="text1" w:themeTint="F2"/>
                <w:spacing w:val="-2"/>
              </w:rPr>
              <w:t>postižených mikroregionech</w:t>
            </w:r>
            <w:r>
              <w:rPr>
                <w:color w:val="0D0D0D" w:themeColor="text1" w:themeTint="F2"/>
                <w:spacing w:val="-2"/>
              </w:rPr>
              <w:t xml:space="preserve"> Ústeckého, </w:t>
            </w:r>
            <w:r w:rsidRPr="008529B6">
              <w:rPr>
                <w:color w:val="0D0D0D" w:themeColor="text1" w:themeTint="F2"/>
                <w:spacing w:val="-2"/>
              </w:rPr>
              <w:t>Moravskoslezského</w:t>
            </w:r>
            <w:r>
              <w:rPr>
                <w:color w:val="0D0D0D" w:themeColor="text1" w:themeTint="F2"/>
                <w:spacing w:val="-2"/>
              </w:rPr>
              <w:t xml:space="preserve"> či Jihomoravského</w:t>
            </w:r>
            <w:r w:rsidRPr="008529B6">
              <w:rPr>
                <w:color w:val="0D0D0D" w:themeColor="text1" w:themeTint="F2"/>
                <w:spacing w:val="-2"/>
              </w:rPr>
              <w:t xml:space="preserve"> kraje a</w:t>
            </w:r>
            <w:r>
              <w:rPr>
                <w:color w:val="0D0D0D" w:themeColor="text1" w:themeTint="F2"/>
                <w:spacing w:val="-2"/>
              </w:rPr>
              <w:t> </w:t>
            </w:r>
            <w:r w:rsidRPr="008529B6">
              <w:rPr>
                <w:color w:val="0D0D0D" w:themeColor="text1" w:themeTint="F2"/>
                <w:spacing w:val="-2"/>
              </w:rPr>
              <w:t xml:space="preserve">dále </w:t>
            </w:r>
            <w:r>
              <w:rPr>
                <w:color w:val="0D0D0D" w:themeColor="text1" w:themeTint="F2"/>
                <w:spacing w:val="-2"/>
              </w:rPr>
              <w:t xml:space="preserve">také </w:t>
            </w:r>
            <w:r w:rsidRPr="008529B6">
              <w:rPr>
                <w:color w:val="0D0D0D" w:themeColor="text1" w:themeTint="F2"/>
                <w:spacing w:val="-2"/>
              </w:rPr>
              <w:t>v periferních územích se zhoršenou dopravní obslužností (často při hranicích krajů), kde je mnohdy navíc nezaměstnanost na sklonku roku výrazněji ovlivněna omezením sezónních prací.</w:t>
            </w:r>
            <w:r>
              <w:rPr>
                <w:color w:val="0D0D0D" w:themeColor="text1" w:themeTint="F2"/>
                <w:spacing w:val="-2"/>
              </w:rPr>
              <w:t xml:space="preserve"> Rozdíly dle pohlaví nenabývaly větší významnosti, přesto lze konstatovat, že ve většině moravských krajů mírně převažovala nezaměstnanost žen (s ohledem na odvětvovou skladbu pracovních míst není překvapivé, že v Ústeckém kraji tomu bylo naopak). Možnost návratu na pracovní trh významně ovlivňuje i kvalifikační profil uchazečů, jak je patrno na příkladu jinak relativně výhodně položených oblastí (Kladensko, Slánsko, příhraniční část jižní Moravy). Podstatné mikroregionální rozdíly přetrvávají také u</w:t>
            </w:r>
            <w:r w:rsidRPr="008529B6">
              <w:rPr>
                <w:color w:val="0D0D0D" w:themeColor="text1" w:themeTint="F2"/>
                <w:spacing w:val="-2"/>
              </w:rPr>
              <w:t> </w:t>
            </w:r>
            <w:r>
              <w:rPr>
                <w:color w:val="0D0D0D" w:themeColor="text1" w:themeTint="F2"/>
                <w:spacing w:val="-2"/>
              </w:rPr>
              <w:t>podílu dlouhodobě nezaměstnaných (s velmi příznivým profilem v jihozápadní a východní části Čech a problémovým ve většině moravských krajů, na Ústecku a v části středních Čech a</w:t>
            </w:r>
            <w:r w:rsidRPr="008529B6">
              <w:rPr>
                <w:color w:val="0D0D0D" w:themeColor="text1" w:themeTint="F2"/>
                <w:spacing w:val="-2"/>
              </w:rPr>
              <w:t> </w:t>
            </w:r>
            <w:r>
              <w:rPr>
                <w:color w:val="0D0D0D" w:themeColor="text1" w:themeTint="F2"/>
                <w:spacing w:val="-2"/>
              </w:rPr>
              <w:t>Vysočiny). Nežádoucí regionální rozdíly mohou být v blízké budoucnosti zčásti utlumeny i</w:t>
            </w:r>
            <w:r w:rsidRPr="008529B6">
              <w:rPr>
                <w:color w:val="0D0D0D" w:themeColor="text1" w:themeTint="F2"/>
                <w:spacing w:val="-2"/>
              </w:rPr>
              <w:t> </w:t>
            </w:r>
            <w:r>
              <w:rPr>
                <w:color w:val="0D0D0D" w:themeColor="text1" w:themeTint="F2"/>
                <w:spacing w:val="-2"/>
              </w:rPr>
              <w:t>některými většími investiční projekty (např. na Žatecku).</w:t>
            </w:r>
          </w:p>
        </w:tc>
      </w:tr>
      <w:tr w:rsidR="00723859" w:rsidRPr="004B2669" w14:paraId="08597216" w14:textId="77777777" w:rsidTr="006169F2">
        <w:trPr>
          <w:trHeight w:val="145"/>
        </w:trPr>
        <w:tc>
          <w:tcPr>
            <w:tcW w:w="1814" w:type="dxa"/>
          </w:tcPr>
          <w:p w14:paraId="48A905E4" w14:textId="77777777" w:rsidR="00723859" w:rsidRDefault="00723859" w:rsidP="00723859">
            <w:pPr>
              <w:pStyle w:val="Marginlie"/>
            </w:pPr>
            <w:r>
              <w:t xml:space="preserve">Převis nabídky volných míst nad poptávkou ze strany uchazečů o práci </w:t>
            </w:r>
            <w:r>
              <w:lastRenderedPageBreak/>
              <w:t>registrovala mírně nadpoloviční část okresů.</w:t>
            </w:r>
          </w:p>
        </w:tc>
        <w:tc>
          <w:tcPr>
            <w:tcW w:w="221" w:type="dxa"/>
          </w:tcPr>
          <w:p w14:paraId="1753CA0E" w14:textId="77777777" w:rsidR="00723859" w:rsidRPr="005E4483" w:rsidRDefault="00723859" w:rsidP="00723859">
            <w:pPr>
              <w:pStyle w:val="Textpoznpodarou"/>
              <w:jc w:val="both"/>
              <w:rPr>
                <w:spacing w:val="-4"/>
              </w:rPr>
            </w:pPr>
          </w:p>
        </w:tc>
        <w:tc>
          <w:tcPr>
            <w:tcW w:w="7609" w:type="dxa"/>
          </w:tcPr>
          <w:p w14:paraId="047B46D8" w14:textId="442B3D83" w:rsidR="00723859" w:rsidRPr="004B2669" w:rsidRDefault="00723859" w:rsidP="00723859">
            <w:pPr>
              <w:spacing w:after="0"/>
              <w:rPr>
                <w:spacing w:val="-2"/>
              </w:rPr>
            </w:pPr>
            <w:r>
              <w:rPr>
                <w:spacing w:val="-2"/>
              </w:rPr>
              <w:t xml:space="preserve">Převis počtu volných míst nad uchazeči o práci hlásila na konci loňského roku mírně nadpoloviční většina okresů, silnější tlak na pracovní místa naopak jen pětice z nich </w:t>
            </w:r>
            <w:r>
              <w:rPr>
                <w:spacing w:val="-2"/>
              </w:rPr>
              <w:lastRenderedPageBreak/>
              <w:t>(Karviná, Jeseník, Bruntál, Znojmo a Ústí nad Labem). Šance na pracovní uplatnění se meziročně zvýšila uchazečům ve všech okresech, nejvíce v těch s nejméně příznivým postavením. Převahou míst nad uchazeči ve všech devíti kvalifikačních třídách se na sklonku roku 2018 mohl pyšnit pouze okres Tachov. Celkově příznivé postavení měly vedle Prahy a středních Čech také Jihočeský, Plzeňský a Pardubický kraj, kde se mohli dobře uplatnit uchazeči jak s nízkou, tak s vysokou kvalifikací.</w:t>
            </w:r>
          </w:p>
        </w:tc>
      </w:tr>
    </w:tbl>
    <w:p w14:paraId="6A7A7082" w14:textId="77777777" w:rsidR="00CB272C" w:rsidRDefault="00CB272C" w:rsidP="00CC0F9A">
      <w:pPr>
        <w:spacing w:after="0" w:line="240" w:lineRule="auto"/>
        <w:rPr>
          <w:sz w:val="14"/>
          <w:szCs w:val="14"/>
        </w:rPr>
      </w:pPr>
    </w:p>
    <w:p w14:paraId="763B261B" w14:textId="77777777" w:rsidR="006169F2" w:rsidRDefault="006169F2" w:rsidP="00CC0F9A">
      <w:pPr>
        <w:spacing w:after="0" w:line="240" w:lineRule="auto"/>
        <w:rPr>
          <w:sz w:val="14"/>
          <w:szCs w:val="14"/>
        </w:rPr>
      </w:pPr>
    </w:p>
    <w:p w14:paraId="5631D5D0" w14:textId="77777777" w:rsidR="006169F2" w:rsidRDefault="006169F2" w:rsidP="00CC0F9A">
      <w:pPr>
        <w:spacing w:after="0" w:line="240" w:lineRule="auto"/>
        <w:rPr>
          <w:sz w:val="14"/>
          <w:szCs w:val="14"/>
        </w:rPr>
      </w:pPr>
    </w:p>
    <w:p w14:paraId="50E47E14" w14:textId="77777777" w:rsidR="006169F2" w:rsidRDefault="006169F2" w:rsidP="00CC0F9A">
      <w:pPr>
        <w:spacing w:after="0" w:line="240" w:lineRule="auto"/>
        <w:rPr>
          <w:sz w:val="14"/>
          <w:szCs w:val="14"/>
        </w:rPr>
      </w:pPr>
    </w:p>
    <w:p w14:paraId="68C5A638" w14:textId="7EAF8EF0" w:rsidR="006169F2" w:rsidRDefault="006169F2" w:rsidP="00CC0F9A">
      <w:pPr>
        <w:spacing w:after="0" w:line="240" w:lineRule="auto"/>
        <w:rPr>
          <w:sz w:val="14"/>
          <w:szCs w:val="14"/>
        </w:rPr>
      </w:pPr>
    </w:p>
    <w:p w14:paraId="300B76C3" w14:textId="287E6737" w:rsidR="00723859" w:rsidRDefault="00723859" w:rsidP="00CC0F9A">
      <w:pPr>
        <w:spacing w:after="0" w:line="240" w:lineRule="auto"/>
        <w:rPr>
          <w:sz w:val="14"/>
          <w:szCs w:val="14"/>
        </w:rPr>
      </w:pPr>
    </w:p>
    <w:p w14:paraId="144A7FC0" w14:textId="07E904CB" w:rsidR="00723859" w:rsidRDefault="00723859" w:rsidP="00CC0F9A">
      <w:pPr>
        <w:spacing w:after="0" w:line="240" w:lineRule="auto"/>
        <w:rPr>
          <w:sz w:val="14"/>
          <w:szCs w:val="14"/>
        </w:rPr>
      </w:pPr>
    </w:p>
    <w:p w14:paraId="116983CA" w14:textId="32EAB1EC" w:rsidR="00723859" w:rsidRDefault="00723859" w:rsidP="00CC0F9A">
      <w:pPr>
        <w:spacing w:after="0" w:line="240" w:lineRule="auto"/>
        <w:rPr>
          <w:sz w:val="14"/>
          <w:szCs w:val="14"/>
        </w:rPr>
      </w:pPr>
    </w:p>
    <w:p w14:paraId="70B888EB" w14:textId="66AA6F5F" w:rsidR="00723859" w:rsidRDefault="00723859" w:rsidP="00CC0F9A">
      <w:pPr>
        <w:spacing w:after="0" w:line="240" w:lineRule="auto"/>
        <w:rPr>
          <w:sz w:val="14"/>
          <w:szCs w:val="14"/>
        </w:rPr>
      </w:pPr>
    </w:p>
    <w:p w14:paraId="337F800E" w14:textId="5374437D" w:rsidR="00723859" w:rsidRDefault="00723859" w:rsidP="00CC0F9A">
      <w:pPr>
        <w:spacing w:after="0" w:line="240" w:lineRule="auto"/>
        <w:rPr>
          <w:sz w:val="14"/>
          <w:szCs w:val="14"/>
        </w:rPr>
      </w:pPr>
    </w:p>
    <w:p w14:paraId="2E4DF2C5" w14:textId="711CE6BF" w:rsidR="00723859" w:rsidRDefault="00723859" w:rsidP="00CC0F9A">
      <w:pPr>
        <w:spacing w:after="0" w:line="240" w:lineRule="auto"/>
        <w:rPr>
          <w:sz w:val="14"/>
          <w:szCs w:val="14"/>
        </w:rPr>
      </w:pPr>
    </w:p>
    <w:p w14:paraId="7CCD117D" w14:textId="36C67889" w:rsidR="00723859" w:rsidRDefault="00723859" w:rsidP="00CC0F9A">
      <w:pPr>
        <w:spacing w:after="0" w:line="240" w:lineRule="auto"/>
        <w:rPr>
          <w:sz w:val="14"/>
          <w:szCs w:val="14"/>
        </w:rPr>
      </w:pPr>
    </w:p>
    <w:p w14:paraId="770AFA5B" w14:textId="4367B401" w:rsidR="00723859" w:rsidRDefault="00723859" w:rsidP="00CC0F9A">
      <w:pPr>
        <w:spacing w:after="0" w:line="240" w:lineRule="auto"/>
        <w:rPr>
          <w:sz w:val="14"/>
          <w:szCs w:val="14"/>
        </w:rPr>
      </w:pPr>
    </w:p>
    <w:p w14:paraId="7C7173C9" w14:textId="08B2777F" w:rsidR="00723859" w:rsidRDefault="00723859" w:rsidP="00CC0F9A">
      <w:pPr>
        <w:spacing w:after="0" w:line="240" w:lineRule="auto"/>
        <w:rPr>
          <w:sz w:val="14"/>
          <w:szCs w:val="14"/>
        </w:rPr>
      </w:pPr>
    </w:p>
    <w:p w14:paraId="419EEAE2" w14:textId="15396EF3" w:rsidR="00723859" w:rsidRDefault="00723859" w:rsidP="00CC0F9A">
      <w:pPr>
        <w:spacing w:after="0" w:line="240" w:lineRule="auto"/>
        <w:rPr>
          <w:sz w:val="14"/>
          <w:szCs w:val="14"/>
        </w:rPr>
      </w:pPr>
    </w:p>
    <w:p w14:paraId="57622835" w14:textId="324F1A5B" w:rsidR="00723859" w:rsidRDefault="00723859" w:rsidP="00CC0F9A">
      <w:pPr>
        <w:spacing w:after="0" w:line="240" w:lineRule="auto"/>
        <w:rPr>
          <w:sz w:val="14"/>
          <w:szCs w:val="14"/>
        </w:rPr>
      </w:pPr>
    </w:p>
    <w:p w14:paraId="1FB2DB1E" w14:textId="0C2C6C94" w:rsidR="00723859" w:rsidRDefault="00723859" w:rsidP="00CC0F9A">
      <w:pPr>
        <w:spacing w:after="0" w:line="240" w:lineRule="auto"/>
        <w:rPr>
          <w:sz w:val="14"/>
          <w:szCs w:val="14"/>
        </w:rPr>
      </w:pPr>
    </w:p>
    <w:p w14:paraId="1F4E1873" w14:textId="4F737A6A" w:rsidR="00723859" w:rsidRDefault="00723859" w:rsidP="00CC0F9A">
      <w:pPr>
        <w:spacing w:after="0" w:line="240" w:lineRule="auto"/>
        <w:rPr>
          <w:sz w:val="14"/>
          <w:szCs w:val="14"/>
        </w:rPr>
      </w:pPr>
    </w:p>
    <w:p w14:paraId="1C2C055C" w14:textId="0021C2F0" w:rsidR="00723859" w:rsidRDefault="00723859" w:rsidP="00CC0F9A">
      <w:pPr>
        <w:spacing w:after="0" w:line="240" w:lineRule="auto"/>
        <w:rPr>
          <w:sz w:val="14"/>
          <w:szCs w:val="14"/>
        </w:rPr>
      </w:pPr>
    </w:p>
    <w:p w14:paraId="2A402AA9" w14:textId="16749803" w:rsidR="00723859" w:rsidRDefault="00723859" w:rsidP="00CC0F9A">
      <w:pPr>
        <w:spacing w:after="0" w:line="240" w:lineRule="auto"/>
        <w:rPr>
          <w:sz w:val="14"/>
          <w:szCs w:val="14"/>
        </w:rPr>
      </w:pPr>
    </w:p>
    <w:p w14:paraId="11F85A4C" w14:textId="43840D8E" w:rsidR="00723859" w:rsidRDefault="00723859" w:rsidP="00CC0F9A">
      <w:pPr>
        <w:spacing w:after="0" w:line="240" w:lineRule="auto"/>
        <w:rPr>
          <w:sz w:val="14"/>
          <w:szCs w:val="14"/>
        </w:rPr>
      </w:pPr>
    </w:p>
    <w:p w14:paraId="3C08D508" w14:textId="112918E3" w:rsidR="00723859" w:rsidRDefault="00723859" w:rsidP="00CC0F9A">
      <w:pPr>
        <w:spacing w:after="0" w:line="240" w:lineRule="auto"/>
        <w:rPr>
          <w:sz w:val="14"/>
          <w:szCs w:val="14"/>
        </w:rPr>
      </w:pPr>
    </w:p>
    <w:p w14:paraId="70AC7987" w14:textId="6DA2C170" w:rsidR="00723859" w:rsidRDefault="00723859" w:rsidP="00CC0F9A">
      <w:pPr>
        <w:spacing w:after="0" w:line="240" w:lineRule="auto"/>
        <w:rPr>
          <w:sz w:val="14"/>
          <w:szCs w:val="14"/>
        </w:rPr>
      </w:pPr>
    </w:p>
    <w:p w14:paraId="17E3E871" w14:textId="10096CDB" w:rsidR="00723859" w:rsidRDefault="00723859" w:rsidP="00CC0F9A">
      <w:pPr>
        <w:spacing w:after="0" w:line="240" w:lineRule="auto"/>
        <w:rPr>
          <w:sz w:val="14"/>
          <w:szCs w:val="14"/>
        </w:rPr>
      </w:pPr>
    </w:p>
    <w:p w14:paraId="54A1C23B" w14:textId="5C4198EA" w:rsidR="00723859" w:rsidRDefault="00723859" w:rsidP="00CC0F9A">
      <w:pPr>
        <w:spacing w:after="0" w:line="240" w:lineRule="auto"/>
        <w:rPr>
          <w:sz w:val="14"/>
          <w:szCs w:val="14"/>
        </w:rPr>
      </w:pPr>
    </w:p>
    <w:p w14:paraId="5B941FD9" w14:textId="06E4FB49" w:rsidR="00723859" w:rsidRDefault="00723859" w:rsidP="00CC0F9A">
      <w:pPr>
        <w:spacing w:after="0" w:line="240" w:lineRule="auto"/>
        <w:rPr>
          <w:sz w:val="14"/>
          <w:szCs w:val="14"/>
        </w:rPr>
      </w:pPr>
    </w:p>
    <w:p w14:paraId="1988DEFD" w14:textId="6B9800C2" w:rsidR="00723859" w:rsidRDefault="00723859" w:rsidP="00CC0F9A">
      <w:pPr>
        <w:spacing w:after="0" w:line="240" w:lineRule="auto"/>
        <w:rPr>
          <w:sz w:val="14"/>
          <w:szCs w:val="14"/>
        </w:rPr>
      </w:pPr>
    </w:p>
    <w:p w14:paraId="4162123B" w14:textId="68761A4B" w:rsidR="00723859" w:rsidRDefault="00723859" w:rsidP="00CC0F9A">
      <w:pPr>
        <w:spacing w:after="0" w:line="240" w:lineRule="auto"/>
        <w:rPr>
          <w:sz w:val="14"/>
          <w:szCs w:val="14"/>
        </w:rPr>
      </w:pPr>
    </w:p>
    <w:p w14:paraId="15DB9E11" w14:textId="0E6558AF" w:rsidR="00723859" w:rsidRDefault="00723859" w:rsidP="00CC0F9A">
      <w:pPr>
        <w:spacing w:after="0" w:line="240" w:lineRule="auto"/>
        <w:rPr>
          <w:sz w:val="14"/>
          <w:szCs w:val="14"/>
        </w:rPr>
      </w:pPr>
    </w:p>
    <w:p w14:paraId="6107E2A7" w14:textId="78CF5D01" w:rsidR="00723859" w:rsidRDefault="00723859" w:rsidP="00CC0F9A">
      <w:pPr>
        <w:spacing w:after="0" w:line="240" w:lineRule="auto"/>
        <w:rPr>
          <w:sz w:val="14"/>
          <w:szCs w:val="14"/>
        </w:rPr>
      </w:pPr>
    </w:p>
    <w:p w14:paraId="462FEFF1" w14:textId="61D55221" w:rsidR="00723859" w:rsidRDefault="00723859" w:rsidP="00CC0F9A">
      <w:pPr>
        <w:spacing w:after="0" w:line="240" w:lineRule="auto"/>
        <w:rPr>
          <w:sz w:val="14"/>
          <w:szCs w:val="14"/>
        </w:rPr>
      </w:pPr>
    </w:p>
    <w:p w14:paraId="4FBCB3B9" w14:textId="4BD7F244" w:rsidR="00723859" w:rsidRDefault="00723859" w:rsidP="00CC0F9A">
      <w:pPr>
        <w:spacing w:after="0" w:line="240" w:lineRule="auto"/>
        <w:rPr>
          <w:sz w:val="14"/>
          <w:szCs w:val="14"/>
        </w:rPr>
      </w:pPr>
    </w:p>
    <w:p w14:paraId="36760301" w14:textId="6B841919" w:rsidR="00723859" w:rsidRDefault="00723859" w:rsidP="00CC0F9A">
      <w:pPr>
        <w:spacing w:after="0" w:line="240" w:lineRule="auto"/>
        <w:rPr>
          <w:sz w:val="14"/>
          <w:szCs w:val="14"/>
        </w:rPr>
      </w:pPr>
    </w:p>
    <w:p w14:paraId="45C3B377" w14:textId="552414F1" w:rsidR="00723859" w:rsidRDefault="00723859" w:rsidP="00CC0F9A">
      <w:pPr>
        <w:spacing w:after="0" w:line="240" w:lineRule="auto"/>
        <w:rPr>
          <w:sz w:val="14"/>
          <w:szCs w:val="14"/>
        </w:rPr>
      </w:pPr>
    </w:p>
    <w:p w14:paraId="64445563" w14:textId="35C53AEA" w:rsidR="00723859" w:rsidRDefault="00723859" w:rsidP="00CC0F9A">
      <w:pPr>
        <w:spacing w:after="0" w:line="240" w:lineRule="auto"/>
        <w:rPr>
          <w:sz w:val="14"/>
          <w:szCs w:val="14"/>
        </w:rPr>
      </w:pPr>
    </w:p>
    <w:p w14:paraId="6A71F461" w14:textId="161C4CEE" w:rsidR="00723859" w:rsidRDefault="00723859" w:rsidP="00CC0F9A">
      <w:pPr>
        <w:spacing w:after="0" w:line="240" w:lineRule="auto"/>
        <w:rPr>
          <w:sz w:val="14"/>
          <w:szCs w:val="14"/>
        </w:rPr>
      </w:pPr>
    </w:p>
    <w:p w14:paraId="56BFFA29" w14:textId="4DE58DE5" w:rsidR="00723859" w:rsidRDefault="00723859" w:rsidP="00CC0F9A">
      <w:pPr>
        <w:spacing w:after="0" w:line="240" w:lineRule="auto"/>
        <w:rPr>
          <w:sz w:val="14"/>
          <w:szCs w:val="14"/>
        </w:rPr>
      </w:pPr>
    </w:p>
    <w:p w14:paraId="7A8171BD" w14:textId="7F02A4BB" w:rsidR="00723859" w:rsidRDefault="00723859" w:rsidP="00CC0F9A">
      <w:pPr>
        <w:spacing w:after="0" w:line="240" w:lineRule="auto"/>
        <w:rPr>
          <w:sz w:val="14"/>
          <w:szCs w:val="14"/>
        </w:rPr>
      </w:pPr>
    </w:p>
    <w:p w14:paraId="23768FA6" w14:textId="7F4D23C9" w:rsidR="00723859" w:rsidRDefault="00723859" w:rsidP="00CC0F9A">
      <w:pPr>
        <w:spacing w:after="0" w:line="240" w:lineRule="auto"/>
        <w:rPr>
          <w:sz w:val="14"/>
          <w:szCs w:val="14"/>
        </w:rPr>
      </w:pPr>
    </w:p>
    <w:p w14:paraId="4D62C2D1" w14:textId="773DCE32" w:rsidR="00723859" w:rsidRDefault="00723859" w:rsidP="00CC0F9A">
      <w:pPr>
        <w:spacing w:after="0" w:line="240" w:lineRule="auto"/>
        <w:rPr>
          <w:sz w:val="14"/>
          <w:szCs w:val="14"/>
        </w:rPr>
      </w:pPr>
    </w:p>
    <w:p w14:paraId="191C3DBE" w14:textId="715E1E17" w:rsidR="00723859" w:rsidRDefault="00723859" w:rsidP="00CC0F9A">
      <w:pPr>
        <w:spacing w:after="0" w:line="240" w:lineRule="auto"/>
        <w:rPr>
          <w:sz w:val="14"/>
          <w:szCs w:val="14"/>
        </w:rPr>
      </w:pPr>
    </w:p>
    <w:p w14:paraId="42B54035" w14:textId="2F6FB047" w:rsidR="00723859" w:rsidRDefault="00723859" w:rsidP="00CC0F9A">
      <w:pPr>
        <w:spacing w:after="0" w:line="240" w:lineRule="auto"/>
        <w:rPr>
          <w:sz w:val="14"/>
          <w:szCs w:val="14"/>
        </w:rPr>
      </w:pPr>
    </w:p>
    <w:p w14:paraId="6ACA5A00" w14:textId="2633DAB7" w:rsidR="00723859" w:rsidRDefault="00723859" w:rsidP="00CC0F9A">
      <w:pPr>
        <w:spacing w:after="0" w:line="240" w:lineRule="auto"/>
        <w:rPr>
          <w:sz w:val="14"/>
          <w:szCs w:val="14"/>
        </w:rPr>
      </w:pPr>
    </w:p>
    <w:p w14:paraId="2E5A7327" w14:textId="0BF60737" w:rsidR="00723859" w:rsidRDefault="00723859" w:rsidP="00CC0F9A">
      <w:pPr>
        <w:spacing w:after="0" w:line="240" w:lineRule="auto"/>
        <w:rPr>
          <w:sz w:val="14"/>
          <w:szCs w:val="14"/>
        </w:rPr>
      </w:pPr>
    </w:p>
    <w:p w14:paraId="787F7B2E" w14:textId="22469E50" w:rsidR="00723859" w:rsidRDefault="00723859" w:rsidP="00CC0F9A">
      <w:pPr>
        <w:spacing w:after="0" w:line="240" w:lineRule="auto"/>
        <w:rPr>
          <w:sz w:val="14"/>
          <w:szCs w:val="14"/>
        </w:rPr>
      </w:pPr>
    </w:p>
    <w:p w14:paraId="0A3419D7" w14:textId="57A94537" w:rsidR="00723859" w:rsidRDefault="00723859" w:rsidP="00CC0F9A">
      <w:pPr>
        <w:spacing w:after="0" w:line="240" w:lineRule="auto"/>
        <w:rPr>
          <w:sz w:val="14"/>
          <w:szCs w:val="14"/>
        </w:rPr>
      </w:pPr>
    </w:p>
    <w:p w14:paraId="13D13F9A" w14:textId="08DC5559" w:rsidR="00723859" w:rsidRDefault="00723859" w:rsidP="00CC0F9A">
      <w:pPr>
        <w:spacing w:after="0" w:line="240" w:lineRule="auto"/>
        <w:rPr>
          <w:sz w:val="14"/>
          <w:szCs w:val="14"/>
        </w:rPr>
      </w:pPr>
    </w:p>
    <w:p w14:paraId="07C2E052" w14:textId="334EAD42" w:rsidR="00723859" w:rsidRDefault="00723859" w:rsidP="00CC0F9A">
      <w:pPr>
        <w:spacing w:after="0" w:line="240" w:lineRule="auto"/>
        <w:rPr>
          <w:sz w:val="14"/>
          <w:szCs w:val="14"/>
        </w:rPr>
      </w:pPr>
    </w:p>
    <w:p w14:paraId="6C598308" w14:textId="25567FE5" w:rsidR="00723859" w:rsidRDefault="00723859" w:rsidP="00CC0F9A">
      <w:pPr>
        <w:spacing w:after="0" w:line="240" w:lineRule="auto"/>
        <w:rPr>
          <w:sz w:val="14"/>
          <w:szCs w:val="14"/>
        </w:rPr>
      </w:pPr>
    </w:p>
    <w:p w14:paraId="027540D9" w14:textId="738EF512" w:rsidR="00723859" w:rsidRDefault="00723859" w:rsidP="00CC0F9A">
      <w:pPr>
        <w:spacing w:after="0" w:line="240" w:lineRule="auto"/>
        <w:rPr>
          <w:sz w:val="14"/>
          <w:szCs w:val="14"/>
        </w:rPr>
      </w:pPr>
    </w:p>
    <w:p w14:paraId="4E5CA2A8" w14:textId="565229F8" w:rsidR="00723859" w:rsidRDefault="00723859" w:rsidP="00CC0F9A">
      <w:pPr>
        <w:spacing w:after="0" w:line="240" w:lineRule="auto"/>
        <w:rPr>
          <w:sz w:val="14"/>
          <w:szCs w:val="14"/>
        </w:rPr>
      </w:pPr>
    </w:p>
    <w:p w14:paraId="2920FEE3" w14:textId="51214BD4" w:rsidR="00723859" w:rsidRDefault="00723859" w:rsidP="00CC0F9A">
      <w:pPr>
        <w:spacing w:after="0" w:line="240" w:lineRule="auto"/>
        <w:rPr>
          <w:sz w:val="14"/>
          <w:szCs w:val="14"/>
        </w:rPr>
      </w:pPr>
    </w:p>
    <w:p w14:paraId="0566E1AE" w14:textId="1637A339" w:rsidR="00723859" w:rsidRDefault="00723859" w:rsidP="00CC0F9A">
      <w:pPr>
        <w:spacing w:after="0" w:line="240" w:lineRule="auto"/>
        <w:rPr>
          <w:sz w:val="14"/>
          <w:szCs w:val="14"/>
        </w:rPr>
      </w:pPr>
    </w:p>
    <w:p w14:paraId="6F7D734F" w14:textId="7E794851" w:rsidR="00723859" w:rsidRDefault="00723859" w:rsidP="00CC0F9A">
      <w:pPr>
        <w:spacing w:after="0" w:line="240" w:lineRule="auto"/>
        <w:rPr>
          <w:sz w:val="14"/>
          <w:szCs w:val="14"/>
        </w:rPr>
      </w:pPr>
    </w:p>
    <w:p w14:paraId="0DD844BD" w14:textId="370914FB" w:rsidR="00723859" w:rsidRDefault="00723859" w:rsidP="00CC0F9A">
      <w:pPr>
        <w:spacing w:after="0" w:line="240" w:lineRule="auto"/>
        <w:rPr>
          <w:sz w:val="14"/>
          <w:szCs w:val="14"/>
        </w:rPr>
      </w:pPr>
    </w:p>
    <w:p w14:paraId="7276BE64" w14:textId="56FA8BB6" w:rsidR="00723859" w:rsidRDefault="00723859" w:rsidP="00CC0F9A">
      <w:pPr>
        <w:spacing w:after="0" w:line="240" w:lineRule="auto"/>
        <w:rPr>
          <w:sz w:val="14"/>
          <w:szCs w:val="14"/>
        </w:rPr>
      </w:pPr>
    </w:p>
    <w:p w14:paraId="64CEAE17" w14:textId="548C0758" w:rsidR="00723859" w:rsidRDefault="00723859" w:rsidP="00CC0F9A">
      <w:pPr>
        <w:spacing w:after="0" w:line="240" w:lineRule="auto"/>
        <w:rPr>
          <w:sz w:val="14"/>
          <w:szCs w:val="14"/>
        </w:rPr>
      </w:pPr>
    </w:p>
    <w:p w14:paraId="1B029868" w14:textId="5A67E560" w:rsidR="00723859" w:rsidRDefault="00723859" w:rsidP="00CC0F9A">
      <w:pPr>
        <w:spacing w:after="0" w:line="240" w:lineRule="auto"/>
        <w:rPr>
          <w:sz w:val="14"/>
          <w:szCs w:val="14"/>
        </w:rPr>
      </w:pPr>
    </w:p>
    <w:p w14:paraId="5ED77667" w14:textId="7E82AFB1" w:rsidR="00723859" w:rsidRDefault="00723859" w:rsidP="00CC0F9A">
      <w:pPr>
        <w:spacing w:after="0" w:line="240" w:lineRule="auto"/>
        <w:rPr>
          <w:sz w:val="14"/>
          <w:szCs w:val="14"/>
        </w:rPr>
      </w:pPr>
    </w:p>
    <w:p w14:paraId="769B18E7" w14:textId="385B4B42" w:rsidR="00723859" w:rsidRDefault="00723859" w:rsidP="00CC0F9A">
      <w:pPr>
        <w:spacing w:after="0" w:line="240" w:lineRule="auto"/>
        <w:rPr>
          <w:sz w:val="14"/>
          <w:szCs w:val="14"/>
        </w:rPr>
      </w:pPr>
    </w:p>
    <w:p w14:paraId="21630728" w14:textId="4605AFBD" w:rsidR="00723859" w:rsidRDefault="00723859" w:rsidP="00CC0F9A">
      <w:pPr>
        <w:spacing w:after="0" w:line="240" w:lineRule="auto"/>
        <w:rPr>
          <w:sz w:val="14"/>
          <w:szCs w:val="14"/>
        </w:rPr>
      </w:pPr>
    </w:p>
    <w:p w14:paraId="6333C51E" w14:textId="01A77850" w:rsidR="00723859" w:rsidRDefault="00723859" w:rsidP="00CC0F9A">
      <w:pPr>
        <w:spacing w:after="0" w:line="240" w:lineRule="auto"/>
        <w:rPr>
          <w:sz w:val="14"/>
          <w:szCs w:val="14"/>
        </w:rPr>
      </w:pPr>
    </w:p>
    <w:p w14:paraId="10BF3EE0" w14:textId="3498484A" w:rsidR="00723859" w:rsidRDefault="00723859" w:rsidP="00CC0F9A">
      <w:pPr>
        <w:spacing w:after="0" w:line="240" w:lineRule="auto"/>
        <w:rPr>
          <w:sz w:val="14"/>
          <w:szCs w:val="14"/>
        </w:rPr>
      </w:pPr>
    </w:p>
    <w:p w14:paraId="511A0517" w14:textId="7B612A29" w:rsidR="00723859" w:rsidRDefault="00723859" w:rsidP="00CC0F9A">
      <w:pPr>
        <w:spacing w:after="0" w:line="240" w:lineRule="auto"/>
        <w:rPr>
          <w:sz w:val="14"/>
          <w:szCs w:val="14"/>
        </w:rPr>
      </w:pPr>
    </w:p>
    <w:p w14:paraId="599B6200" w14:textId="325DE331" w:rsidR="00723859" w:rsidRDefault="00723859" w:rsidP="00CC0F9A">
      <w:pPr>
        <w:spacing w:after="0" w:line="240" w:lineRule="auto"/>
        <w:rPr>
          <w:sz w:val="14"/>
          <w:szCs w:val="14"/>
        </w:rPr>
      </w:pPr>
    </w:p>
    <w:p w14:paraId="56E1A438" w14:textId="40EB2AD7" w:rsidR="00723859" w:rsidRDefault="00723859" w:rsidP="00CC0F9A">
      <w:pPr>
        <w:spacing w:after="0" w:line="240" w:lineRule="auto"/>
        <w:rPr>
          <w:sz w:val="14"/>
          <w:szCs w:val="14"/>
        </w:rPr>
      </w:pPr>
    </w:p>
    <w:p w14:paraId="18D755D2" w14:textId="66E0C465" w:rsidR="00723859" w:rsidRDefault="00723859" w:rsidP="00CC0F9A">
      <w:pPr>
        <w:spacing w:after="0" w:line="240" w:lineRule="auto"/>
        <w:rPr>
          <w:sz w:val="14"/>
          <w:szCs w:val="14"/>
        </w:rPr>
      </w:pPr>
    </w:p>
    <w:p w14:paraId="57DB3D91" w14:textId="6955F189" w:rsidR="00723859" w:rsidRDefault="00723859" w:rsidP="00CC0F9A">
      <w:pPr>
        <w:spacing w:after="0" w:line="240" w:lineRule="auto"/>
        <w:rPr>
          <w:sz w:val="14"/>
          <w:szCs w:val="14"/>
        </w:rPr>
      </w:pPr>
    </w:p>
    <w:p w14:paraId="21200816" w14:textId="4A254996" w:rsidR="00723859" w:rsidRDefault="00723859" w:rsidP="00CC0F9A">
      <w:pPr>
        <w:spacing w:after="0" w:line="240" w:lineRule="auto"/>
        <w:rPr>
          <w:sz w:val="14"/>
          <w:szCs w:val="14"/>
        </w:rPr>
      </w:pPr>
    </w:p>
    <w:p w14:paraId="1384E985" w14:textId="4505DB32" w:rsidR="00723859" w:rsidRDefault="00723859" w:rsidP="00CC0F9A">
      <w:pPr>
        <w:spacing w:after="0" w:line="240" w:lineRule="auto"/>
        <w:rPr>
          <w:sz w:val="14"/>
          <w:szCs w:val="14"/>
        </w:rPr>
      </w:pPr>
    </w:p>
    <w:p w14:paraId="0CB6D7DF" w14:textId="1751C1D5" w:rsidR="00723859" w:rsidRDefault="00723859" w:rsidP="00CC0F9A">
      <w:pPr>
        <w:spacing w:after="0" w:line="240" w:lineRule="auto"/>
        <w:rPr>
          <w:sz w:val="14"/>
          <w:szCs w:val="14"/>
        </w:rPr>
      </w:pPr>
    </w:p>
    <w:p w14:paraId="3685C825" w14:textId="17F16022" w:rsidR="00723859" w:rsidRDefault="00723859" w:rsidP="00CC0F9A">
      <w:pPr>
        <w:spacing w:after="0" w:line="240" w:lineRule="auto"/>
        <w:rPr>
          <w:sz w:val="14"/>
          <w:szCs w:val="14"/>
        </w:rPr>
      </w:pPr>
    </w:p>
    <w:p w14:paraId="2201C202" w14:textId="2E6BF2C3" w:rsidR="00723859" w:rsidRDefault="00723859" w:rsidP="00CC0F9A">
      <w:pPr>
        <w:spacing w:after="0" w:line="240" w:lineRule="auto"/>
        <w:rPr>
          <w:sz w:val="14"/>
          <w:szCs w:val="14"/>
        </w:rPr>
      </w:pPr>
    </w:p>
    <w:p w14:paraId="7E4CE7FF" w14:textId="503F62C7" w:rsidR="00723859" w:rsidRDefault="00723859" w:rsidP="00CC0F9A">
      <w:pPr>
        <w:spacing w:after="0" w:line="240" w:lineRule="auto"/>
        <w:rPr>
          <w:sz w:val="14"/>
          <w:szCs w:val="14"/>
        </w:rPr>
      </w:pPr>
    </w:p>
    <w:p w14:paraId="2ABD3CB1" w14:textId="5120B0B7" w:rsidR="00723859" w:rsidRDefault="00723859" w:rsidP="00CC0F9A">
      <w:pPr>
        <w:spacing w:after="0" w:line="240" w:lineRule="auto"/>
        <w:rPr>
          <w:sz w:val="14"/>
          <w:szCs w:val="14"/>
        </w:rPr>
      </w:pPr>
    </w:p>
    <w:p w14:paraId="6E283DF6" w14:textId="7F3ED65C" w:rsidR="00723859" w:rsidRDefault="00723859" w:rsidP="00CC0F9A">
      <w:pPr>
        <w:spacing w:after="0" w:line="240" w:lineRule="auto"/>
        <w:rPr>
          <w:sz w:val="14"/>
          <w:szCs w:val="14"/>
        </w:rPr>
      </w:pPr>
    </w:p>
    <w:p w14:paraId="2F5C77E0" w14:textId="46B25ABA" w:rsidR="00723859" w:rsidRDefault="00723859" w:rsidP="00CC0F9A">
      <w:pPr>
        <w:spacing w:after="0" w:line="240" w:lineRule="auto"/>
        <w:rPr>
          <w:sz w:val="14"/>
          <w:szCs w:val="14"/>
        </w:rPr>
      </w:pPr>
    </w:p>
    <w:p w14:paraId="0186B433" w14:textId="77777777" w:rsidR="00253487" w:rsidRDefault="00253487" w:rsidP="00CC0F9A">
      <w:pPr>
        <w:spacing w:after="0" w:line="240" w:lineRule="auto"/>
        <w:rPr>
          <w:sz w:val="14"/>
          <w:szCs w:val="14"/>
        </w:rPr>
      </w:pPr>
    </w:p>
    <w:p w14:paraId="27BBB3B0" w14:textId="77777777" w:rsidR="009A4F91" w:rsidRDefault="009A4F91" w:rsidP="0037785F">
      <w:pPr>
        <w:spacing w:after="100" w:line="240" w:lineRule="auto"/>
        <w:rPr>
          <w:sz w:val="14"/>
          <w:szCs w:val="14"/>
        </w:rPr>
      </w:pPr>
      <w:r>
        <w:rPr>
          <w:noProof/>
          <w:szCs w:val="20"/>
        </w:rPr>
        <w:lastRenderedPageBreak/>
        <w:t xml:space="preserve">Kartogramy </w:t>
      </w:r>
      <w:r w:rsidR="00BA35F3">
        <w:rPr>
          <w:noProof/>
          <w:szCs w:val="20"/>
        </w:rPr>
        <w:t>č. </w:t>
      </w:r>
      <w:r w:rsidR="00BC7833">
        <w:rPr>
          <w:noProof/>
          <w:szCs w:val="20"/>
        </w:rPr>
        <w:t>5 </w:t>
      </w:r>
      <w:r>
        <w:rPr>
          <w:noProof/>
          <w:szCs w:val="20"/>
        </w:rPr>
        <w:t>až 9</w:t>
      </w:r>
    </w:p>
    <w:p w14:paraId="66E93264" w14:textId="77777777" w:rsidR="009A4F91" w:rsidRDefault="009A4F91" w:rsidP="00CC0F9A">
      <w:pPr>
        <w:spacing w:after="0" w:line="240" w:lineRule="auto"/>
        <w:rPr>
          <w:sz w:val="14"/>
          <w:szCs w:val="14"/>
        </w:rPr>
      </w:pPr>
      <w:r>
        <w:rPr>
          <w:noProof/>
        </w:rPr>
        <w:drawing>
          <wp:inline distT="0" distB="0" distL="0" distR="0" wp14:anchorId="70A0886E" wp14:editId="599EC956">
            <wp:extent cx="6087600" cy="4302000"/>
            <wp:effectExtent l="0" t="0" r="8890" b="3810"/>
            <wp:docPr id="62" name="Obráze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Nezaměstnanost-pou-MvsŽ.jpg"/>
                    <pic:cNvPicPr/>
                  </pic:nvPicPr>
                  <pic:blipFill>
                    <a:blip r:embed="rId34">
                      <a:extLst>
                        <a:ext uri="{28A0092B-C50C-407E-A947-70E740481C1C}">
                          <a14:useLocalDpi xmlns:a14="http://schemas.microsoft.com/office/drawing/2010/main" val="0"/>
                        </a:ext>
                      </a:extLst>
                    </a:blip>
                    <a:stretch>
                      <a:fillRect/>
                    </a:stretch>
                  </pic:blipFill>
                  <pic:spPr>
                    <a:xfrm>
                      <a:off x="0" y="0"/>
                      <a:ext cx="6087600" cy="4302000"/>
                    </a:xfrm>
                    <a:prstGeom prst="rect">
                      <a:avLst/>
                    </a:prstGeom>
                  </pic:spPr>
                </pic:pic>
              </a:graphicData>
            </a:graphic>
          </wp:inline>
        </w:drawing>
      </w:r>
    </w:p>
    <w:p w14:paraId="1B3F084D" w14:textId="77777777" w:rsidR="009A4F91" w:rsidRPr="00833E86" w:rsidRDefault="009A4F91" w:rsidP="00CC0F9A">
      <w:pPr>
        <w:spacing w:after="0" w:line="240" w:lineRule="auto"/>
        <w:rPr>
          <w:sz w:val="14"/>
          <w:szCs w:val="14"/>
        </w:rPr>
      </w:pPr>
    </w:p>
    <w:p w14:paraId="5C2E2539" w14:textId="77777777" w:rsidR="00CC0F9A" w:rsidRDefault="00CC0F9A" w:rsidP="00CC0F9A">
      <w:pPr>
        <w:spacing w:after="0"/>
      </w:pPr>
      <w:r>
        <w:rPr>
          <w:noProof/>
        </w:rPr>
        <w:drawing>
          <wp:inline distT="0" distB="0" distL="0" distR="0" wp14:anchorId="3B9EDF4E" wp14:editId="58E97EDD">
            <wp:extent cx="6087600" cy="4302000"/>
            <wp:effectExtent l="0" t="0" r="8890" b="3810"/>
            <wp:docPr id="46" name="Obráze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ez-POÚ-skladba uchazečů.jpg"/>
                    <pic:cNvPicPr/>
                  </pic:nvPicPr>
                  <pic:blipFill>
                    <a:blip r:embed="rId35">
                      <a:extLst>
                        <a:ext uri="{28A0092B-C50C-407E-A947-70E740481C1C}">
                          <a14:useLocalDpi xmlns:a14="http://schemas.microsoft.com/office/drawing/2010/main" val="0"/>
                        </a:ext>
                      </a:extLst>
                    </a:blip>
                    <a:stretch>
                      <a:fillRect/>
                    </a:stretch>
                  </pic:blipFill>
                  <pic:spPr>
                    <a:xfrm>
                      <a:off x="0" y="0"/>
                      <a:ext cx="6087600" cy="4302000"/>
                    </a:xfrm>
                    <a:prstGeom prst="rect">
                      <a:avLst/>
                    </a:prstGeom>
                  </pic:spPr>
                </pic:pic>
              </a:graphicData>
            </a:graphic>
          </wp:inline>
        </w:drawing>
      </w:r>
    </w:p>
    <w:p w14:paraId="7156DED6" w14:textId="77777777" w:rsidR="00CC0F9A" w:rsidRDefault="00CC0F9A" w:rsidP="00CC0F9A">
      <w:pPr>
        <w:spacing w:after="0" w:line="240" w:lineRule="auto"/>
        <w:rPr>
          <w:sz w:val="16"/>
          <w:szCs w:val="16"/>
        </w:rPr>
      </w:pPr>
      <w:r>
        <w:rPr>
          <w:noProof/>
          <w:sz w:val="16"/>
          <w:szCs w:val="16"/>
        </w:rPr>
        <w:lastRenderedPageBreak/>
        <w:drawing>
          <wp:inline distT="0" distB="0" distL="0" distR="0" wp14:anchorId="10B4C1B9" wp14:editId="01789D18">
            <wp:extent cx="6138000" cy="4338000"/>
            <wp:effectExtent l="0" t="0" r="0" b="5715"/>
            <wp:docPr id="47" name="Obráze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ezaměstnanost-okres-skladba uchazečů.jpg"/>
                    <pic:cNvPicPr/>
                  </pic:nvPicPr>
                  <pic:blipFill>
                    <a:blip r:embed="rId36">
                      <a:extLst>
                        <a:ext uri="{28A0092B-C50C-407E-A947-70E740481C1C}">
                          <a14:useLocalDpi xmlns:a14="http://schemas.microsoft.com/office/drawing/2010/main" val="0"/>
                        </a:ext>
                      </a:extLst>
                    </a:blip>
                    <a:stretch>
                      <a:fillRect/>
                    </a:stretch>
                  </pic:blipFill>
                  <pic:spPr>
                    <a:xfrm>
                      <a:off x="0" y="0"/>
                      <a:ext cx="6138000" cy="4338000"/>
                    </a:xfrm>
                    <a:prstGeom prst="rect">
                      <a:avLst/>
                    </a:prstGeom>
                  </pic:spPr>
                </pic:pic>
              </a:graphicData>
            </a:graphic>
          </wp:inline>
        </w:drawing>
      </w:r>
    </w:p>
    <w:p w14:paraId="2CAF9D7F" w14:textId="77777777" w:rsidR="00CC0F9A" w:rsidRDefault="00CC0F9A" w:rsidP="00CC0F9A">
      <w:pPr>
        <w:spacing w:after="0" w:line="240" w:lineRule="auto"/>
        <w:rPr>
          <w:sz w:val="16"/>
          <w:szCs w:val="16"/>
        </w:rPr>
      </w:pPr>
    </w:p>
    <w:p w14:paraId="6839DE63" w14:textId="77777777" w:rsidR="00CC0F9A" w:rsidRPr="007A62D5" w:rsidRDefault="00CC0F9A" w:rsidP="00CC0F9A">
      <w:pPr>
        <w:spacing w:after="0" w:line="240" w:lineRule="auto"/>
        <w:rPr>
          <w:sz w:val="16"/>
          <w:szCs w:val="16"/>
        </w:rPr>
      </w:pPr>
      <w:r>
        <w:rPr>
          <w:noProof/>
          <w:sz w:val="16"/>
          <w:szCs w:val="16"/>
        </w:rPr>
        <w:drawing>
          <wp:inline distT="0" distB="0" distL="0" distR="0" wp14:anchorId="0B2F4EC1" wp14:editId="30ECFBF6">
            <wp:extent cx="6138000" cy="4338000"/>
            <wp:effectExtent l="0" t="0" r="0" b="5715"/>
            <wp:docPr id="48" name="Obráze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Nezaměstnanost-okres-typologie-2018.jpg"/>
                    <pic:cNvPicPr/>
                  </pic:nvPicPr>
                  <pic:blipFill>
                    <a:blip r:embed="rId37">
                      <a:extLst>
                        <a:ext uri="{28A0092B-C50C-407E-A947-70E740481C1C}">
                          <a14:useLocalDpi xmlns:a14="http://schemas.microsoft.com/office/drawing/2010/main" val="0"/>
                        </a:ext>
                      </a:extLst>
                    </a:blip>
                    <a:stretch>
                      <a:fillRect/>
                    </a:stretch>
                  </pic:blipFill>
                  <pic:spPr>
                    <a:xfrm>
                      <a:off x="0" y="0"/>
                      <a:ext cx="6138000" cy="4338000"/>
                    </a:xfrm>
                    <a:prstGeom prst="rect">
                      <a:avLst/>
                    </a:prstGeom>
                  </pic:spPr>
                </pic:pic>
              </a:graphicData>
            </a:graphic>
          </wp:inline>
        </w:drawing>
      </w:r>
    </w:p>
    <w:p w14:paraId="0F156039" w14:textId="588560D9" w:rsidR="00CC0F9A" w:rsidRPr="00380698" w:rsidRDefault="00CC0F9A" w:rsidP="00CC0F9A">
      <w:pPr>
        <w:spacing w:after="0" w:line="240" w:lineRule="auto"/>
        <w:rPr>
          <w:spacing w:val="-2"/>
          <w:szCs w:val="20"/>
        </w:rPr>
      </w:pPr>
      <w:r w:rsidRPr="00380698">
        <w:rPr>
          <w:spacing w:val="-2"/>
          <w:sz w:val="16"/>
          <w:szCs w:val="16"/>
        </w:rPr>
        <w:t>Pozn</w:t>
      </w:r>
      <w:r w:rsidR="00017762">
        <w:rPr>
          <w:spacing w:val="-2"/>
          <w:sz w:val="16"/>
          <w:szCs w:val="16"/>
        </w:rPr>
        <w:t>.</w:t>
      </w:r>
      <w:r w:rsidRPr="00380698">
        <w:rPr>
          <w:spacing w:val="-2"/>
          <w:sz w:val="16"/>
          <w:szCs w:val="16"/>
        </w:rPr>
        <w:t xml:space="preserve">: </w:t>
      </w:r>
      <w:r w:rsidR="00017762">
        <w:rPr>
          <w:spacing w:val="-2"/>
          <w:sz w:val="16"/>
          <w:szCs w:val="16"/>
        </w:rPr>
        <w:t>H</w:t>
      </w:r>
      <w:r w:rsidRPr="00380698">
        <w:rPr>
          <w:spacing w:val="-2"/>
          <w:sz w:val="16"/>
          <w:szCs w:val="16"/>
        </w:rPr>
        <w:t>odnocení volných pracovních míst nelze z důvodu snížení kvality vstupních údajů provést v podrobnější úrovni než okresní. Skoro čtvrtinu všech registrovaných míst k 31.</w:t>
      </w:r>
      <w:r w:rsidR="00017762">
        <w:rPr>
          <w:spacing w:val="-2"/>
          <w:sz w:val="16"/>
          <w:szCs w:val="16"/>
        </w:rPr>
        <w:t> </w:t>
      </w:r>
      <w:r w:rsidRPr="00380698">
        <w:rPr>
          <w:spacing w:val="-2"/>
          <w:sz w:val="16"/>
          <w:szCs w:val="16"/>
        </w:rPr>
        <w:t>12.</w:t>
      </w:r>
      <w:r w:rsidR="00017762">
        <w:rPr>
          <w:spacing w:val="-2"/>
          <w:sz w:val="16"/>
          <w:szCs w:val="16"/>
        </w:rPr>
        <w:t> </w:t>
      </w:r>
      <w:r w:rsidRPr="00380698">
        <w:rPr>
          <w:spacing w:val="-2"/>
          <w:sz w:val="16"/>
          <w:szCs w:val="16"/>
        </w:rPr>
        <w:t>2018</w:t>
      </w:r>
      <w:r w:rsidR="006454CC">
        <w:rPr>
          <w:spacing w:val="-2"/>
          <w:sz w:val="16"/>
          <w:szCs w:val="16"/>
        </w:rPr>
        <w:t xml:space="preserve"> </w:t>
      </w:r>
      <w:r w:rsidRPr="00380698">
        <w:rPr>
          <w:spacing w:val="-2"/>
          <w:sz w:val="16"/>
          <w:szCs w:val="16"/>
        </w:rPr>
        <w:t xml:space="preserve">bylo možno přiřadit jen do konkrétního okresu, nikoliv </w:t>
      </w:r>
      <w:r w:rsidR="00017762">
        <w:rPr>
          <w:spacing w:val="-2"/>
          <w:sz w:val="16"/>
          <w:szCs w:val="16"/>
        </w:rPr>
        <w:t>do</w:t>
      </w:r>
      <w:r w:rsidRPr="00380698">
        <w:rPr>
          <w:spacing w:val="-2"/>
          <w:sz w:val="16"/>
          <w:szCs w:val="16"/>
        </w:rPr>
        <w:t xml:space="preserve"> obce či POÚ.</w:t>
      </w:r>
    </w:p>
    <w:p w14:paraId="42191F88" w14:textId="77777777" w:rsidR="000F6340" w:rsidRDefault="000F6340" w:rsidP="000F6340">
      <w:pPr>
        <w:pStyle w:val="Nadpis1"/>
        <w:numPr>
          <w:ilvl w:val="0"/>
          <w:numId w:val="26"/>
        </w:numPr>
        <w:spacing w:after="0"/>
      </w:pPr>
      <w:bookmarkStart w:id="3" w:name="_Toc17873165"/>
      <w:r>
        <w:lastRenderedPageBreak/>
        <w:t xml:space="preserve">Mzdy </w:t>
      </w:r>
      <w:r w:rsidR="00BC7833">
        <w:t>a </w:t>
      </w:r>
      <w:r>
        <w:t>jejich diferenciace</w:t>
      </w:r>
      <w:bookmarkEnd w:id="3"/>
    </w:p>
    <w:tbl>
      <w:tblPr>
        <w:tblW w:w="9644"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firstRow="1" w:lastRow="0" w:firstColumn="1" w:lastColumn="0" w:noHBand="0" w:noVBand="0"/>
      </w:tblPr>
      <w:tblGrid>
        <w:gridCol w:w="1976"/>
        <w:gridCol w:w="277"/>
        <w:gridCol w:w="7391"/>
      </w:tblGrid>
      <w:tr w:rsidR="008B4CC2" w14:paraId="6EAA00DC" w14:textId="77777777" w:rsidTr="00A500A7">
        <w:trPr>
          <w:trHeight w:val="145"/>
        </w:trPr>
        <w:tc>
          <w:tcPr>
            <w:tcW w:w="1976" w:type="dxa"/>
            <w:tcBorders>
              <w:top w:val="nil"/>
              <w:left w:val="nil"/>
              <w:bottom w:val="nil"/>
              <w:right w:val="nil"/>
            </w:tcBorders>
          </w:tcPr>
          <w:p w14:paraId="58DB806B" w14:textId="77777777" w:rsidR="008B4CC2" w:rsidRDefault="008B4CC2" w:rsidP="00A500A7">
            <w:pPr>
              <w:pStyle w:val="Marginlie"/>
            </w:pPr>
            <w:r>
              <w:t xml:space="preserve">Mzdový růst loni stimulovaly jak tržní vlivy, tak </w:t>
            </w:r>
            <w:r w:rsidR="00BC7833">
              <w:t>i </w:t>
            </w:r>
            <w:r>
              <w:t>opatření státu.</w:t>
            </w:r>
          </w:p>
        </w:tc>
        <w:tc>
          <w:tcPr>
            <w:tcW w:w="277" w:type="dxa"/>
            <w:tcBorders>
              <w:top w:val="nil"/>
              <w:left w:val="nil"/>
              <w:bottom w:val="nil"/>
              <w:right w:val="nil"/>
            </w:tcBorders>
          </w:tcPr>
          <w:p w14:paraId="77DA64CE" w14:textId="77777777" w:rsidR="008B4CC2" w:rsidRPr="005E4483" w:rsidRDefault="008B4CC2" w:rsidP="00A500A7">
            <w:pPr>
              <w:pStyle w:val="Textpoznpodarou"/>
              <w:jc w:val="both"/>
              <w:rPr>
                <w:spacing w:val="-4"/>
              </w:rPr>
            </w:pPr>
          </w:p>
        </w:tc>
        <w:tc>
          <w:tcPr>
            <w:tcW w:w="7391" w:type="dxa"/>
            <w:tcBorders>
              <w:top w:val="nil"/>
              <w:left w:val="nil"/>
              <w:bottom w:val="nil"/>
              <w:right w:val="nil"/>
            </w:tcBorders>
          </w:tcPr>
          <w:p w14:paraId="105A2E2C" w14:textId="65497EB6" w:rsidR="008B4CC2" w:rsidRPr="008B4CC2" w:rsidRDefault="008B4CC2" w:rsidP="00A500A7">
            <w:pPr>
              <w:spacing w:after="220"/>
              <w:rPr>
                <w:spacing w:val="-2"/>
              </w:rPr>
            </w:pPr>
            <w:r w:rsidRPr="008B4CC2">
              <w:rPr>
                <w:rFonts w:cs="Arial"/>
                <w:color w:val="0D0D0D" w:themeColor="text1" w:themeTint="F2"/>
                <w:spacing w:val="-2"/>
              </w:rPr>
              <w:t xml:space="preserve">Dobré hospodářské výsledky podniků, pokračující pozitivní očekávání v klíčových odvětvích </w:t>
            </w:r>
            <w:r w:rsidR="00BC7833" w:rsidRPr="008B4CC2">
              <w:rPr>
                <w:rFonts w:cs="Arial"/>
                <w:color w:val="0D0D0D" w:themeColor="text1" w:themeTint="F2"/>
                <w:spacing w:val="-2"/>
              </w:rPr>
              <w:t>i</w:t>
            </w:r>
            <w:r w:rsidR="00BC7833">
              <w:rPr>
                <w:rFonts w:cs="Arial"/>
                <w:color w:val="0D0D0D" w:themeColor="text1" w:themeTint="F2"/>
                <w:spacing w:val="-2"/>
              </w:rPr>
              <w:t> </w:t>
            </w:r>
            <w:r w:rsidRPr="008B4CC2">
              <w:rPr>
                <w:rFonts w:cs="Arial"/>
                <w:color w:val="0D0D0D" w:themeColor="text1" w:themeTint="F2"/>
                <w:spacing w:val="-2"/>
              </w:rPr>
              <w:t xml:space="preserve">stupňující se obtíže při náboru nových </w:t>
            </w:r>
            <w:r w:rsidR="00BC7833" w:rsidRPr="008B4CC2">
              <w:rPr>
                <w:rFonts w:cs="Arial"/>
                <w:color w:val="0D0D0D" w:themeColor="text1" w:themeTint="F2"/>
                <w:spacing w:val="-2"/>
              </w:rPr>
              <w:t>a</w:t>
            </w:r>
            <w:r w:rsidR="00BC7833">
              <w:rPr>
                <w:rFonts w:cs="Arial"/>
                <w:color w:val="0D0D0D" w:themeColor="text1" w:themeTint="F2"/>
                <w:spacing w:val="-2"/>
              </w:rPr>
              <w:t> </w:t>
            </w:r>
            <w:r w:rsidRPr="008B4CC2">
              <w:rPr>
                <w:rFonts w:cs="Arial"/>
                <w:color w:val="0D0D0D" w:themeColor="text1" w:themeTint="F2"/>
                <w:spacing w:val="-2"/>
              </w:rPr>
              <w:t xml:space="preserve">udržení stávajících pracovníků vyústily loni </w:t>
            </w:r>
            <w:r w:rsidR="00BC7833" w:rsidRPr="008B4CC2">
              <w:rPr>
                <w:rFonts w:cs="Arial"/>
                <w:color w:val="0D0D0D" w:themeColor="text1" w:themeTint="F2"/>
                <w:spacing w:val="-2"/>
              </w:rPr>
              <w:t>v</w:t>
            </w:r>
            <w:r w:rsidR="00BC7833">
              <w:rPr>
                <w:rFonts w:cs="Arial"/>
                <w:color w:val="0D0D0D" w:themeColor="text1" w:themeTint="F2"/>
                <w:spacing w:val="-2"/>
              </w:rPr>
              <w:t> </w:t>
            </w:r>
            <w:r w:rsidR="000D17A1" w:rsidRPr="008B4CC2">
              <w:rPr>
                <w:rFonts w:cs="Arial"/>
                <w:color w:val="0D0D0D" w:themeColor="text1" w:themeTint="F2"/>
                <w:spacing w:val="-2"/>
              </w:rPr>
              <w:t>dynamick</w:t>
            </w:r>
            <w:r w:rsidR="000D17A1">
              <w:rPr>
                <w:rFonts w:cs="Arial"/>
                <w:color w:val="0D0D0D" w:themeColor="text1" w:themeTint="F2"/>
                <w:spacing w:val="-2"/>
              </w:rPr>
              <w:t>ý</w:t>
            </w:r>
            <w:r w:rsidR="000D17A1" w:rsidRPr="008B4CC2">
              <w:rPr>
                <w:rFonts w:cs="Arial"/>
                <w:color w:val="0D0D0D" w:themeColor="text1" w:themeTint="F2"/>
                <w:spacing w:val="-2"/>
              </w:rPr>
              <w:t xml:space="preserve"> </w:t>
            </w:r>
            <w:r w:rsidRPr="008B4CC2">
              <w:rPr>
                <w:rFonts w:cs="Arial"/>
                <w:color w:val="0D0D0D" w:themeColor="text1" w:themeTint="F2"/>
                <w:spacing w:val="-2"/>
              </w:rPr>
              <w:t xml:space="preserve">růst mezd. Tyto vlivy byly ještě </w:t>
            </w:r>
            <w:r w:rsidR="008E0EB6">
              <w:rPr>
                <w:rFonts w:cs="Arial"/>
                <w:color w:val="0D0D0D" w:themeColor="text1" w:themeTint="F2"/>
                <w:spacing w:val="-2"/>
              </w:rPr>
              <w:t xml:space="preserve">umocněny vyšší aktivitou státu, </w:t>
            </w:r>
            <w:r w:rsidR="00BC7833">
              <w:rPr>
                <w:rFonts w:cs="Arial"/>
                <w:color w:val="0D0D0D" w:themeColor="text1" w:themeTint="F2"/>
                <w:spacing w:val="-2"/>
              </w:rPr>
              <w:t>a </w:t>
            </w:r>
            <w:r w:rsidR="008E0EB6">
              <w:rPr>
                <w:rFonts w:cs="Arial"/>
                <w:color w:val="0D0D0D" w:themeColor="text1" w:themeTint="F2"/>
                <w:spacing w:val="-2"/>
              </w:rPr>
              <w:t>to</w:t>
            </w:r>
            <w:r w:rsidRPr="008B4CC2">
              <w:rPr>
                <w:rFonts w:cs="Arial"/>
                <w:color w:val="0D0D0D" w:themeColor="text1" w:themeTint="F2"/>
                <w:spacing w:val="-2"/>
              </w:rPr>
              <w:t xml:space="preserve"> jak v podobě navýšení mzdových prostředků (skrze státní rozpočet i nepřímo prostřednictvím územních rozpočtů), tak </w:t>
            </w:r>
            <w:r w:rsidR="00BC7833" w:rsidRPr="008B4CC2">
              <w:rPr>
                <w:rFonts w:cs="Arial"/>
                <w:color w:val="0D0D0D" w:themeColor="text1" w:themeTint="F2"/>
                <w:spacing w:val="-2"/>
              </w:rPr>
              <w:t>i</w:t>
            </w:r>
            <w:r w:rsidR="00BC7833">
              <w:rPr>
                <w:rFonts w:cs="Arial"/>
                <w:color w:val="0D0D0D" w:themeColor="text1" w:themeTint="F2"/>
                <w:spacing w:val="-2"/>
              </w:rPr>
              <w:t> </w:t>
            </w:r>
            <w:r w:rsidRPr="008B4CC2">
              <w:rPr>
                <w:rFonts w:cs="Arial"/>
                <w:color w:val="0D0D0D" w:themeColor="text1" w:themeTint="F2"/>
                <w:spacing w:val="-2"/>
              </w:rPr>
              <w:t>v pokračování navyšování minimální mzdy.</w:t>
            </w:r>
          </w:p>
        </w:tc>
      </w:tr>
    </w:tbl>
    <w:p w14:paraId="0AEFDE94" w14:textId="77777777" w:rsidR="00953F28" w:rsidRDefault="008B4CC2" w:rsidP="008E0EB6">
      <w:pPr>
        <w:pStyle w:val="Normalodrka"/>
        <w:numPr>
          <w:ilvl w:val="0"/>
          <w:numId w:val="0"/>
        </w:numPr>
        <w:spacing w:after="0"/>
        <w:rPr>
          <w:rFonts w:eastAsia="MS Gothic"/>
          <w:bCs/>
          <w:color w:val="71818C"/>
          <w:szCs w:val="20"/>
        </w:rPr>
      </w:pPr>
      <w:r>
        <w:rPr>
          <w:rFonts w:eastAsia="MS Gothic"/>
          <w:b/>
          <w:bCs/>
          <w:color w:val="71818C"/>
          <w:sz w:val="28"/>
          <w:szCs w:val="28"/>
        </w:rPr>
        <w:t xml:space="preserve">3.1. Průměrné mzdy podle odvětví </w:t>
      </w:r>
      <w:r w:rsidR="00BC7833">
        <w:rPr>
          <w:rFonts w:eastAsia="MS Gothic"/>
          <w:b/>
          <w:bCs/>
          <w:color w:val="71818C"/>
          <w:sz w:val="28"/>
          <w:szCs w:val="28"/>
        </w:rPr>
        <w:t>a </w:t>
      </w:r>
      <w:r>
        <w:rPr>
          <w:rFonts w:eastAsia="MS Gothic"/>
          <w:b/>
          <w:bCs/>
          <w:color w:val="71818C"/>
          <w:sz w:val="28"/>
          <w:szCs w:val="28"/>
        </w:rPr>
        <w:t>regionů</w:t>
      </w:r>
    </w:p>
    <w:tbl>
      <w:tblPr>
        <w:tblW w:w="9644"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firstRow="1" w:lastRow="0" w:firstColumn="1" w:lastColumn="0" w:noHBand="0" w:noVBand="0"/>
      </w:tblPr>
      <w:tblGrid>
        <w:gridCol w:w="1976"/>
        <w:gridCol w:w="277"/>
        <w:gridCol w:w="7391"/>
      </w:tblGrid>
      <w:tr w:rsidR="008B4CC2" w14:paraId="616C8079" w14:textId="77777777" w:rsidTr="00A500A7">
        <w:trPr>
          <w:trHeight w:val="145"/>
        </w:trPr>
        <w:tc>
          <w:tcPr>
            <w:tcW w:w="1976" w:type="dxa"/>
            <w:tcBorders>
              <w:top w:val="nil"/>
              <w:left w:val="nil"/>
              <w:bottom w:val="nil"/>
              <w:right w:val="nil"/>
            </w:tcBorders>
          </w:tcPr>
          <w:p w14:paraId="2F3A818C" w14:textId="77777777" w:rsidR="008B4CC2" w:rsidRDefault="008B4CC2" w:rsidP="00A500A7">
            <w:pPr>
              <w:pStyle w:val="Marginlie"/>
            </w:pPr>
            <w:r>
              <w:t xml:space="preserve">Tempo růstu průměrných mezd sílilo již pátým rokem v řadě. Loni ale také nabývaly na významu faktory, které další strmý mzdový růst nepodporovaly. </w:t>
            </w:r>
          </w:p>
        </w:tc>
        <w:tc>
          <w:tcPr>
            <w:tcW w:w="277" w:type="dxa"/>
            <w:tcBorders>
              <w:top w:val="nil"/>
              <w:left w:val="nil"/>
              <w:bottom w:val="nil"/>
              <w:right w:val="nil"/>
            </w:tcBorders>
          </w:tcPr>
          <w:p w14:paraId="7288B105" w14:textId="77777777" w:rsidR="008B4CC2" w:rsidRPr="005E4483" w:rsidRDefault="008B4CC2" w:rsidP="00A500A7">
            <w:pPr>
              <w:pStyle w:val="Textpoznpodarou"/>
              <w:jc w:val="both"/>
              <w:rPr>
                <w:spacing w:val="-4"/>
              </w:rPr>
            </w:pPr>
          </w:p>
        </w:tc>
        <w:tc>
          <w:tcPr>
            <w:tcW w:w="7391" w:type="dxa"/>
            <w:tcBorders>
              <w:top w:val="nil"/>
              <w:left w:val="nil"/>
              <w:bottom w:val="nil"/>
              <w:right w:val="nil"/>
            </w:tcBorders>
          </w:tcPr>
          <w:p w14:paraId="00FC12DE" w14:textId="4F8EFD7C" w:rsidR="008B4CC2" w:rsidRPr="008B4CC2" w:rsidRDefault="00BC7833" w:rsidP="008B4CC2">
            <w:pPr>
              <w:spacing w:after="220"/>
              <w:rPr>
                <w:rFonts w:cs="Arial"/>
                <w:color w:val="0D0D0D" w:themeColor="text1" w:themeTint="F2"/>
                <w:spacing w:val="-2"/>
              </w:rPr>
            </w:pPr>
            <w:r w:rsidRPr="008B4CC2">
              <w:rPr>
                <w:spacing w:val="-2"/>
              </w:rPr>
              <w:t>V</w:t>
            </w:r>
            <w:r>
              <w:rPr>
                <w:spacing w:val="-2"/>
              </w:rPr>
              <w:t> </w:t>
            </w:r>
            <w:r w:rsidR="008B4CC2" w:rsidRPr="008B4CC2">
              <w:rPr>
                <w:spacing w:val="-2"/>
              </w:rPr>
              <w:t xml:space="preserve">roce 2018 </w:t>
            </w:r>
            <w:r w:rsidR="008B4CC2" w:rsidRPr="008B4CC2">
              <w:rPr>
                <w:rFonts w:cs="Arial"/>
                <w:spacing w:val="-2"/>
                <w:szCs w:val="20"/>
              </w:rPr>
              <w:t>vzrostla (</w:t>
            </w:r>
            <w:r w:rsidR="008B4CC2" w:rsidRPr="008B4CC2">
              <w:rPr>
                <w:rFonts w:cs="Arial"/>
                <w:color w:val="0D0D0D" w:themeColor="text1" w:themeTint="F2"/>
                <w:spacing w:val="-2"/>
              </w:rPr>
              <w:t xml:space="preserve">dle podnikových statistik) průměrná hrubá nominální mzda zaměstnance v ekonomice </w:t>
            </w:r>
            <w:r w:rsidRPr="008B4CC2">
              <w:rPr>
                <w:rFonts w:cs="Arial"/>
                <w:color w:val="0D0D0D" w:themeColor="text1" w:themeTint="F2"/>
                <w:spacing w:val="-2"/>
              </w:rPr>
              <w:t>o</w:t>
            </w:r>
            <w:r>
              <w:rPr>
                <w:rFonts w:cs="Arial"/>
                <w:color w:val="0D0D0D" w:themeColor="text1" w:themeTint="F2"/>
                <w:spacing w:val="-2"/>
              </w:rPr>
              <w:t> </w:t>
            </w:r>
            <w:r w:rsidR="008B4CC2" w:rsidRPr="008B4CC2">
              <w:rPr>
                <w:rFonts w:cs="Arial"/>
                <w:color w:val="0D0D0D" w:themeColor="text1" w:themeTint="F2"/>
                <w:spacing w:val="-2"/>
              </w:rPr>
              <w:t>7,5</w:t>
            </w:r>
            <w:r w:rsidR="006454CC">
              <w:rPr>
                <w:rFonts w:cs="Arial"/>
                <w:color w:val="0D0D0D" w:themeColor="text1" w:themeTint="F2"/>
                <w:spacing w:val="-2"/>
              </w:rPr>
              <w:t> %</w:t>
            </w:r>
            <w:r w:rsidR="008B4CC2" w:rsidRPr="008B4CC2">
              <w:rPr>
                <w:rStyle w:val="Znakapoznpodarou"/>
                <w:rFonts w:cs="Arial"/>
                <w:color w:val="0D0D0D" w:themeColor="text1" w:themeTint="F2"/>
                <w:spacing w:val="-2"/>
              </w:rPr>
              <w:footnoteReference w:id="59"/>
            </w:r>
            <w:r w:rsidR="008B4CC2" w:rsidRPr="008B4CC2">
              <w:rPr>
                <w:rFonts w:cs="Arial"/>
                <w:color w:val="0D0D0D" w:themeColor="text1" w:themeTint="F2"/>
                <w:spacing w:val="-2"/>
              </w:rPr>
              <w:t xml:space="preserve"> (</w:t>
            </w:r>
            <w:r w:rsidRPr="008B4CC2">
              <w:rPr>
                <w:rFonts w:cs="Arial"/>
                <w:color w:val="0D0D0D" w:themeColor="text1" w:themeTint="F2"/>
                <w:spacing w:val="-2"/>
              </w:rPr>
              <w:t>o</w:t>
            </w:r>
            <w:r>
              <w:rPr>
                <w:rFonts w:cs="Arial"/>
                <w:color w:val="0D0D0D" w:themeColor="text1" w:themeTint="F2"/>
                <w:spacing w:val="-2"/>
              </w:rPr>
              <w:t> </w:t>
            </w:r>
            <w:r w:rsidR="008B4CC2" w:rsidRPr="008B4CC2">
              <w:rPr>
                <w:rFonts w:cs="Arial"/>
                <w:color w:val="0D0D0D" w:themeColor="text1" w:themeTint="F2"/>
                <w:spacing w:val="-2"/>
              </w:rPr>
              <w:t>0,8</w:t>
            </w:r>
            <w:r w:rsidR="006454CC">
              <w:rPr>
                <w:rFonts w:cs="Arial"/>
                <w:color w:val="0D0D0D" w:themeColor="text1" w:themeTint="F2"/>
                <w:spacing w:val="-2"/>
              </w:rPr>
              <w:t> p. b.</w:t>
            </w:r>
            <w:r w:rsidR="008B4CC2" w:rsidRPr="008B4CC2">
              <w:rPr>
                <w:rFonts w:cs="Arial"/>
                <w:color w:val="0D0D0D" w:themeColor="text1" w:themeTint="F2"/>
                <w:spacing w:val="-2"/>
              </w:rPr>
              <w:t xml:space="preserve"> více než v předešlém roce). Ačkoliv celoroční tempo se navyšovalo již pátým rokem v řadě a blížilo se úrovni z vrcholu konjunktury minulé dekády, bylo možno vystopovat signály, že mzdová dynamika patrně již dosáhla v rámci současného hospodářského cyklu svého vrcholu</w:t>
            </w:r>
            <w:r w:rsidR="008B4CC2" w:rsidRPr="008B4CC2">
              <w:rPr>
                <w:rStyle w:val="Znakapoznpodarou"/>
                <w:rFonts w:cs="Arial"/>
                <w:color w:val="0D0D0D" w:themeColor="text1" w:themeTint="F2"/>
                <w:spacing w:val="-2"/>
              </w:rPr>
              <w:footnoteReference w:id="60"/>
            </w:r>
            <w:r w:rsidR="008B4CC2" w:rsidRPr="008B4CC2">
              <w:rPr>
                <w:rFonts w:cs="Arial"/>
                <w:color w:val="0D0D0D" w:themeColor="text1" w:themeTint="F2"/>
                <w:spacing w:val="-2"/>
              </w:rPr>
              <w:t xml:space="preserve">. To mohlo souviset </w:t>
            </w:r>
            <w:r w:rsidRPr="008B4CC2">
              <w:rPr>
                <w:rFonts w:cs="Arial"/>
                <w:color w:val="0D0D0D" w:themeColor="text1" w:themeTint="F2"/>
                <w:spacing w:val="-2"/>
              </w:rPr>
              <w:t>i</w:t>
            </w:r>
            <w:r>
              <w:rPr>
                <w:rFonts w:cs="Arial"/>
                <w:color w:val="0D0D0D" w:themeColor="text1" w:themeTint="F2"/>
                <w:spacing w:val="-2"/>
              </w:rPr>
              <w:t> </w:t>
            </w:r>
            <w:r w:rsidR="008B4CC2" w:rsidRPr="008B4CC2">
              <w:rPr>
                <w:rFonts w:cs="Arial"/>
                <w:color w:val="0D0D0D" w:themeColor="text1" w:themeTint="F2"/>
                <w:spacing w:val="-2"/>
              </w:rPr>
              <w:t>s výsledky konju</w:t>
            </w:r>
            <w:r w:rsidR="00AA1FBF">
              <w:rPr>
                <w:rFonts w:cs="Arial"/>
                <w:color w:val="0D0D0D" w:themeColor="text1" w:themeTint="F2"/>
                <w:spacing w:val="-2"/>
              </w:rPr>
              <w:t>n</w:t>
            </w:r>
            <w:r w:rsidR="008B4CC2" w:rsidRPr="008B4CC2">
              <w:rPr>
                <w:rFonts w:cs="Arial"/>
                <w:color w:val="0D0D0D" w:themeColor="text1" w:themeTint="F2"/>
                <w:spacing w:val="-2"/>
              </w:rPr>
              <w:t>kturálních průzkumů naznačujícími opatrnější výhled podniků</w:t>
            </w:r>
            <w:r w:rsidR="00AA1FBF">
              <w:rPr>
                <w:rFonts w:cs="Arial"/>
                <w:color w:val="0D0D0D" w:themeColor="text1" w:themeTint="F2"/>
                <w:spacing w:val="-2"/>
              </w:rPr>
              <w:t xml:space="preserve"> </w:t>
            </w:r>
            <w:r w:rsidR="00AA1FBF" w:rsidRPr="008B4CC2">
              <w:rPr>
                <w:rFonts w:cs="Arial"/>
                <w:color w:val="0D0D0D" w:themeColor="text1" w:themeTint="F2"/>
                <w:spacing w:val="-2"/>
              </w:rPr>
              <w:t xml:space="preserve">(hlavně </w:t>
            </w:r>
            <w:r w:rsidR="00AA1FBF">
              <w:rPr>
                <w:rFonts w:cs="Arial"/>
                <w:color w:val="0D0D0D" w:themeColor="text1" w:themeTint="F2"/>
                <w:spacing w:val="-2"/>
              </w:rPr>
              <w:t xml:space="preserve">těch </w:t>
            </w:r>
            <w:r w:rsidR="00AA1FBF" w:rsidRPr="008B4CC2">
              <w:rPr>
                <w:rFonts w:cs="Arial"/>
                <w:color w:val="0D0D0D" w:themeColor="text1" w:themeTint="F2"/>
                <w:spacing w:val="-2"/>
              </w:rPr>
              <w:t>exportně orientovaných)</w:t>
            </w:r>
            <w:r w:rsidR="008B4CC2" w:rsidRPr="008B4CC2">
              <w:rPr>
                <w:rFonts w:cs="Arial"/>
                <w:color w:val="0D0D0D" w:themeColor="text1" w:themeTint="F2"/>
                <w:spacing w:val="-2"/>
              </w:rPr>
              <w:t xml:space="preserve"> do roku 2019, poklesem míry</w:t>
            </w:r>
            <w:r w:rsidR="00AA1FBF">
              <w:rPr>
                <w:rFonts w:cs="Arial"/>
                <w:color w:val="0D0D0D" w:themeColor="text1" w:themeTint="F2"/>
                <w:spacing w:val="-2"/>
              </w:rPr>
              <w:t xml:space="preserve"> jejich</w:t>
            </w:r>
            <w:r w:rsidR="008B4CC2" w:rsidRPr="008B4CC2">
              <w:rPr>
                <w:rFonts w:cs="Arial"/>
                <w:color w:val="0D0D0D" w:themeColor="text1" w:themeTint="F2"/>
                <w:spacing w:val="-2"/>
              </w:rPr>
              <w:t xml:space="preserve"> ziskovosti i rozevíráním nůžek mezi dynamikou mzdových n</w:t>
            </w:r>
            <w:r w:rsidR="008B4CC2">
              <w:rPr>
                <w:rFonts w:cs="Arial"/>
                <w:color w:val="0D0D0D" w:themeColor="text1" w:themeTint="F2"/>
                <w:spacing w:val="-2"/>
              </w:rPr>
              <w:t xml:space="preserve">ákladů </w:t>
            </w:r>
            <w:r>
              <w:rPr>
                <w:rFonts w:cs="Arial"/>
                <w:color w:val="0D0D0D" w:themeColor="text1" w:themeTint="F2"/>
                <w:spacing w:val="-2"/>
              </w:rPr>
              <w:t>a </w:t>
            </w:r>
            <w:r w:rsidR="008B4CC2">
              <w:rPr>
                <w:rFonts w:cs="Arial"/>
                <w:color w:val="0D0D0D" w:themeColor="text1" w:themeTint="F2"/>
                <w:spacing w:val="-2"/>
              </w:rPr>
              <w:t>produktivitou práce (k</w:t>
            </w:r>
            <w:r w:rsidR="008B4CC2" w:rsidRPr="008B4CC2">
              <w:rPr>
                <w:rFonts w:cs="Arial"/>
                <w:color w:val="0D0D0D" w:themeColor="text1" w:themeTint="F2"/>
                <w:spacing w:val="-2"/>
              </w:rPr>
              <w:t xml:space="preserve"> němuž docházelo v posledních třech letech). Na </w:t>
            </w:r>
            <w:r w:rsidR="00AA1FBF">
              <w:rPr>
                <w:rFonts w:cs="Arial"/>
                <w:color w:val="0D0D0D" w:themeColor="text1" w:themeTint="F2"/>
                <w:spacing w:val="-2"/>
              </w:rPr>
              <w:t>druhé straně</w:t>
            </w:r>
            <w:r w:rsidR="008B4CC2" w:rsidRPr="008B4CC2">
              <w:rPr>
                <w:rFonts w:cs="Arial"/>
                <w:color w:val="0D0D0D" w:themeColor="text1" w:themeTint="F2"/>
                <w:spacing w:val="-2"/>
              </w:rPr>
              <w:t xml:space="preserve"> významnějšímu zvolnění mzdového růstu v podnikové sféře bránila stále silná poptávka po pracovnících, která při praktickém vyčerpání volných pracovních sil v tuzemsku nemohla být adekvátně uspokojena.</w:t>
            </w:r>
          </w:p>
        </w:tc>
      </w:tr>
      <w:tr w:rsidR="008B4CC2" w14:paraId="7C8831F9" w14:textId="77777777" w:rsidTr="00A500A7">
        <w:trPr>
          <w:trHeight w:val="145"/>
        </w:trPr>
        <w:tc>
          <w:tcPr>
            <w:tcW w:w="1976" w:type="dxa"/>
            <w:tcBorders>
              <w:top w:val="nil"/>
              <w:left w:val="nil"/>
              <w:bottom w:val="nil"/>
              <w:right w:val="nil"/>
            </w:tcBorders>
          </w:tcPr>
          <w:p w14:paraId="1A899A25" w14:textId="77777777" w:rsidR="008B4CC2" w:rsidRDefault="008B4CC2" w:rsidP="00A500A7">
            <w:pPr>
              <w:pStyle w:val="Marginlie"/>
            </w:pPr>
            <w:r>
              <w:t>Kupní síla mezd vzrostla nejvíce za posledních patnáct let.</w:t>
            </w:r>
          </w:p>
        </w:tc>
        <w:tc>
          <w:tcPr>
            <w:tcW w:w="277" w:type="dxa"/>
            <w:tcBorders>
              <w:top w:val="nil"/>
              <w:left w:val="nil"/>
              <w:bottom w:val="nil"/>
              <w:right w:val="nil"/>
            </w:tcBorders>
          </w:tcPr>
          <w:p w14:paraId="2BEB49DF" w14:textId="77777777" w:rsidR="008B4CC2" w:rsidRPr="005E4483" w:rsidRDefault="008B4CC2" w:rsidP="00A500A7">
            <w:pPr>
              <w:pStyle w:val="Textpoznpodarou"/>
              <w:jc w:val="both"/>
              <w:rPr>
                <w:spacing w:val="-4"/>
              </w:rPr>
            </w:pPr>
          </w:p>
        </w:tc>
        <w:tc>
          <w:tcPr>
            <w:tcW w:w="7391" w:type="dxa"/>
            <w:tcBorders>
              <w:top w:val="nil"/>
              <w:left w:val="nil"/>
              <w:bottom w:val="nil"/>
              <w:right w:val="nil"/>
            </w:tcBorders>
          </w:tcPr>
          <w:p w14:paraId="7C7DADF9" w14:textId="02AED569" w:rsidR="008B4CC2" w:rsidRPr="008B4CC2" w:rsidRDefault="008B4CC2" w:rsidP="00A500A7">
            <w:pPr>
              <w:spacing w:after="220"/>
              <w:rPr>
                <w:spacing w:val="-2"/>
              </w:rPr>
            </w:pPr>
            <w:r w:rsidRPr="008B4CC2">
              <w:rPr>
                <w:rFonts w:cs="Arial"/>
                <w:color w:val="0D0D0D" w:themeColor="text1" w:themeTint="F2"/>
                <w:spacing w:val="-2"/>
              </w:rPr>
              <w:t xml:space="preserve">Z přetrvávajícího napětí na pracovním trhu tak profitovali především zaměstnanci. Navzdory svižnému růstu spotřebitelských cen vzrostla loni kupní síla jejich průměrných výdělků </w:t>
            </w:r>
            <w:r w:rsidR="00BC7833" w:rsidRPr="008B4CC2">
              <w:rPr>
                <w:rFonts w:cs="Arial"/>
                <w:color w:val="0D0D0D" w:themeColor="text1" w:themeTint="F2"/>
                <w:spacing w:val="-2"/>
              </w:rPr>
              <w:t>o</w:t>
            </w:r>
            <w:r w:rsidR="00BC7833">
              <w:rPr>
                <w:rFonts w:cs="Arial"/>
                <w:color w:val="0D0D0D" w:themeColor="text1" w:themeTint="F2"/>
                <w:spacing w:val="-2"/>
              </w:rPr>
              <w:t> </w:t>
            </w:r>
            <w:r w:rsidRPr="008B4CC2">
              <w:rPr>
                <w:rFonts w:cs="Arial"/>
                <w:color w:val="0D0D0D" w:themeColor="text1" w:themeTint="F2"/>
                <w:spacing w:val="-2"/>
              </w:rPr>
              <w:t>5,3</w:t>
            </w:r>
            <w:r w:rsidR="006454CC">
              <w:rPr>
                <w:rFonts w:cs="Arial"/>
                <w:color w:val="0D0D0D" w:themeColor="text1" w:themeTint="F2"/>
                <w:spacing w:val="-2"/>
              </w:rPr>
              <w:t> %</w:t>
            </w:r>
            <w:r w:rsidR="0037734D">
              <w:rPr>
                <w:rFonts w:cs="Arial"/>
                <w:color w:val="0D0D0D" w:themeColor="text1" w:themeTint="F2"/>
                <w:spacing w:val="-2"/>
              </w:rPr>
              <w:t xml:space="preserve"> – </w:t>
            </w:r>
            <w:r w:rsidRPr="008B4CC2">
              <w:rPr>
                <w:rFonts w:cs="Arial"/>
                <w:color w:val="0D0D0D" w:themeColor="text1" w:themeTint="F2"/>
                <w:spacing w:val="-2"/>
              </w:rPr>
              <w:t>nejsilněji za posledních patnáct let. Významné posílení kupní síly pocítili zaměstnanci napříč všemi hlavními od</w:t>
            </w:r>
            <w:r>
              <w:rPr>
                <w:rFonts w:cs="Arial"/>
                <w:color w:val="0D0D0D" w:themeColor="text1" w:themeTint="F2"/>
                <w:spacing w:val="-2"/>
              </w:rPr>
              <w:t>větví</w:t>
            </w:r>
            <w:r w:rsidR="00AA1FBF">
              <w:rPr>
                <w:rFonts w:cs="Arial"/>
                <w:color w:val="0D0D0D" w:themeColor="text1" w:themeTint="F2"/>
                <w:spacing w:val="-2"/>
              </w:rPr>
              <w:t>mi</w:t>
            </w:r>
            <w:r>
              <w:rPr>
                <w:rFonts w:cs="Arial"/>
                <w:color w:val="0D0D0D" w:themeColor="text1" w:themeTint="F2"/>
                <w:spacing w:val="-2"/>
              </w:rPr>
              <w:t xml:space="preserve"> </w:t>
            </w:r>
            <w:r w:rsidR="00BC7833">
              <w:rPr>
                <w:rFonts w:cs="Arial"/>
                <w:color w:val="0D0D0D" w:themeColor="text1" w:themeTint="F2"/>
                <w:spacing w:val="-2"/>
              </w:rPr>
              <w:t>a </w:t>
            </w:r>
            <w:r>
              <w:rPr>
                <w:rFonts w:cs="Arial"/>
                <w:color w:val="0D0D0D" w:themeColor="text1" w:themeTint="F2"/>
                <w:spacing w:val="-2"/>
              </w:rPr>
              <w:t>také ve všech krajích Česka</w:t>
            </w:r>
            <w:r w:rsidRPr="008B4CC2">
              <w:rPr>
                <w:rFonts w:cs="Arial"/>
                <w:color w:val="0D0D0D" w:themeColor="text1" w:themeTint="F2"/>
                <w:spacing w:val="-2"/>
              </w:rPr>
              <w:t>.</w:t>
            </w:r>
          </w:p>
        </w:tc>
      </w:tr>
      <w:tr w:rsidR="008B4CC2" w14:paraId="4A7DBCED" w14:textId="77777777" w:rsidTr="00A500A7">
        <w:trPr>
          <w:trHeight w:val="145"/>
        </w:trPr>
        <w:tc>
          <w:tcPr>
            <w:tcW w:w="1976" w:type="dxa"/>
            <w:tcBorders>
              <w:top w:val="nil"/>
              <w:left w:val="nil"/>
              <w:bottom w:val="nil"/>
              <w:right w:val="nil"/>
            </w:tcBorders>
          </w:tcPr>
          <w:p w14:paraId="0FF21BDD" w14:textId="77777777" w:rsidR="008B4CC2" w:rsidRDefault="008B4CC2" w:rsidP="008B4CC2">
            <w:pPr>
              <w:pStyle w:val="Marginlie"/>
            </w:pPr>
            <w:r>
              <w:t>Rozdíly ve mzdové dynamice mezi odvětvími se loni mírně snížily. Nejvíce rostly výdělky v odvětvích s dominancí veřejného sektoru.</w:t>
            </w:r>
          </w:p>
        </w:tc>
        <w:tc>
          <w:tcPr>
            <w:tcW w:w="277" w:type="dxa"/>
            <w:tcBorders>
              <w:top w:val="nil"/>
              <w:left w:val="nil"/>
              <w:bottom w:val="nil"/>
              <w:right w:val="nil"/>
            </w:tcBorders>
          </w:tcPr>
          <w:p w14:paraId="5623B13E" w14:textId="77777777" w:rsidR="008B4CC2" w:rsidRPr="005E4483" w:rsidRDefault="008B4CC2" w:rsidP="008B4CC2">
            <w:pPr>
              <w:pStyle w:val="Textpoznpodarou"/>
              <w:jc w:val="both"/>
              <w:rPr>
                <w:spacing w:val="-4"/>
              </w:rPr>
            </w:pPr>
          </w:p>
        </w:tc>
        <w:tc>
          <w:tcPr>
            <w:tcW w:w="7391" w:type="dxa"/>
            <w:tcBorders>
              <w:top w:val="nil"/>
              <w:left w:val="nil"/>
              <w:bottom w:val="nil"/>
              <w:right w:val="nil"/>
            </w:tcBorders>
          </w:tcPr>
          <w:p w14:paraId="32538E10" w14:textId="4430C268" w:rsidR="008B4CC2" w:rsidRDefault="00BC7833" w:rsidP="008B4CC2">
            <w:pPr>
              <w:spacing w:after="220"/>
              <w:rPr>
                <w:rFonts w:cs="Arial"/>
                <w:color w:val="0D0D0D" w:themeColor="text1" w:themeTint="F2"/>
                <w:spacing w:val="-4"/>
              </w:rPr>
            </w:pPr>
            <w:r>
              <w:rPr>
                <w:rFonts w:cs="Arial"/>
                <w:color w:val="0D0D0D" w:themeColor="text1" w:themeTint="F2"/>
                <w:spacing w:val="-4"/>
              </w:rPr>
              <w:t>V </w:t>
            </w:r>
            <w:r w:rsidR="008B4CC2">
              <w:rPr>
                <w:rFonts w:cs="Arial"/>
                <w:color w:val="0D0D0D" w:themeColor="text1" w:themeTint="F2"/>
                <w:spacing w:val="-4"/>
              </w:rPr>
              <w:t>úhrnu za celý rok 2018 činila průměrná hrubá měsíční mzda po přepočtu na plný úvazek zaměstnance 31 868 korun. Rozdíly relativních mzdových temp mezi hlavními odvětvími (1</w:t>
            </w:r>
            <w:r w:rsidR="00D82A1E">
              <w:rPr>
                <w:rFonts w:cs="Arial"/>
                <w:color w:val="0D0D0D" w:themeColor="text1" w:themeTint="F2"/>
                <w:spacing w:val="-4"/>
              </w:rPr>
              <w:t>9 </w:t>
            </w:r>
            <w:r w:rsidR="008B4CC2">
              <w:rPr>
                <w:rFonts w:cs="Arial"/>
                <w:color w:val="0D0D0D" w:themeColor="text1" w:themeTint="F2"/>
                <w:spacing w:val="-4"/>
              </w:rPr>
              <w:t>odvětvových sekcí ekonomiky) se loni oproti letům 2015 až 2017 snížily. Tehdy se výrazně projevil vliv opakovaného navyšovaní hranice minimální mzdy (</w:t>
            </w:r>
            <w:r>
              <w:rPr>
                <w:rFonts w:cs="Arial"/>
                <w:color w:val="0D0D0D" w:themeColor="text1" w:themeTint="F2"/>
                <w:spacing w:val="-4"/>
              </w:rPr>
              <w:t>a </w:t>
            </w:r>
            <w:r w:rsidR="008B4CC2">
              <w:rPr>
                <w:rFonts w:cs="Arial"/>
                <w:color w:val="0D0D0D" w:themeColor="text1" w:themeTint="F2"/>
                <w:spacing w:val="-4"/>
              </w:rPr>
              <w:t>od ní odvozených pásem zaručené mzdy)</w:t>
            </w:r>
            <w:r w:rsidR="00AA1FBF">
              <w:rPr>
                <w:rFonts w:cs="Arial"/>
                <w:color w:val="0D0D0D" w:themeColor="text1" w:themeTint="F2"/>
                <w:spacing w:val="-4"/>
              </w:rPr>
              <w:t>,</w:t>
            </w:r>
            <w:r w:rsidR="008B4CC2">
              <w:rPr>
                <w:rFonts w:cs="Arial"/>
                <w:color w:val="0D0D0D" w:themeColor="text1" w:themeTint="F2"/>
                <w:spacing w:val="-4"/>
              </w:rPr>
              <w:t xml:space="preserve"> </w:t>
            </w:r>
            <w:r>
              <w:rPr>
                <w:rFonts w:cs="Arial"/>
                <w:color w:val="0D0D0D" w:themeColor="text1" w:themeTint="F2"/>
                <w:spacing w:val="-4"/>
              </w:rPr>
              <w:t>a </w:t>
            </w:r>
            <w:r w:rsidR="008B4CC2">
              <w:rPr>
                <w:rFonts w:cs="Arial"/>
                <w:color w:val="0D0D0D" w:themeColor="text1" w:themeTint="F2"/>
                <w:spacing w:val="-4"/>
              </w:rPr>
              <w:t xml:space="preserve">nejvíce tak rostly výdělky </w:t>
            </w:r>
            <w:r>
              <w:rPr>
                <w:rFonts w:cs="Arial"/>
                <w:color w:val="0D0D0D" w:themeColor="text1" w:themeTint="F2"/>
                <w:spacing w:val="-4"/>
              </w:rPr>
              <w:t>v </w:t>
            </w:r>
            <w:r w:rsidR="008B4CC2">
              <w:rPr>
                <w:rFonts w:cs="Arial"/>
                <w:color w:val="0D0D0D" w:themeColor="text1" w:themeTint="F2"/>
                <w:spacing w:val="-4"/>
              </w:rPr>
              <w:t>odvětvích s výrazně podprůměrnou mzdovou úrovní. Postupně byl ale tento faktor zastíněn rozpočtovou politikou státu, v níž se projevila preference mzdových výdajů v oblasti veřejných služeb. V roce 2018 se tak mezi čtyřmi odvětvími s nejsilnějšími mzdovými tempy nacházel</w:t>
            </w:r>
            <w:r w:rsidR="00AA1FBF">
              <w:rPr>
                <w:rFonts w:cs="Arial"/>
                <w:color w:val="0D0D0D" w:themeColor="text1" w:themeTint="F2"/>
                <w:spacing w:val="-4"/>
              </w:rPr>
              <w:t>a</w:t>
            </w:r>
            <w:r w:rsidR="008B4CC2">
              <w:rPr>
                <w:rFonts w:cs="Arial"/>
                <w:color w:val="0D0D0D" w:themeColor="text1" w:themeTint="F2"/>
                <w:spacing w:val="-4"/>
              </w:rPr>
              <w:t xml:space="preserve"> jen t</w:t>
            </w:r>
            <w:r w:rsidR="00AA1FBF">
              <w:rPr>
                <w:rFonts w:cs="Arial"/>
                <w:color w:val="0D0D0D" w:themeColor="text1" w:themeTint="F2"/>
                <w:spacing w:val="-4"/>
              </w:rPr>
              <w:t>a</w:t>
            </w:r>
            <w:r w:rsidR="008B4CC2">
              <w:rPr>
                <w:rFonts w:cs="Arial"/>
                <w:color w:val="0D0D0D" w:themeColor="text1" w:themeTint="F2"/>
                <w:spacing w:val="-4"/>
              </w:rPr>
              <w:t xml:space="preserve">, kde dominoval veřejný sektor. To platilo hlavně </w:t>
            </w:r>
            <w:r>
              <w:rPr>
                <w:rFonts w:cs="Arial"/>
                <w:color w:val="0D0D0D" w:themeColor="text1" w:themeTint="F2"/>
                <w:spacing w:val="-4"/>
              </w:rPr>
              <w:t>o </w:t>
            </w:r>
            <w:r w:rsidR="008B4CC2">
              <w:rPr>
                <w:rFonts w:cs="Arial"/>
                <w:color w:val="0D0D0D" w:themeColor="text1" w:themeTint="F2"/>
                <w:spacing w:val="-4"/>
              </w:rPr>
              <w:t>vzdělávání (+10,7</w:t>
            </w:r>
            <w:r w:rsidR="006454CC">
              <w:rPr>
                <w:rFonts w:cs="Arial"/>
                <w:color w:val="0D0D0D" w:themeColor="text1" w:themeTint="F2"/>
                <w:spacing w:val="-4"/>
              </w:rPr>
              <w:t> %</w:t>
            </w:r>
            <w:r w:rsidR="008B4CC2">
              <w:rPr>
                <w:rFonts w:cs="Arial"/>
                <w:color w:val="0D0D0D" w:themeColor="text1" w:themeTint="F2"/>
                <w:spacing w:val="-4"/>
              </w:rPr>
              <w:t xml:space="preserve">), v menší míře </w:t>
            </w:r>
            <w:r>
              <w:rPr>
                <w:rFonts w:cs="Arial"/>
                <w:color w:val="0D0D0D" w:themeColor="text1" w:themeTint="F2"/>
                <w:spacing w:val="-4"/>
              </w:rPr>
              <w:t>o </w:t>
            </w:r>
            <w:r w:rsidR="008B4CC2">
              <w:rPr>
                <w:rFonts w:cs="Arial"/>
                <w:color w:val="0D0D0D" w:themeColor="text1" w:themeTint="F2"/>
                <w:spacing w:val="-4"/>
              </w:rPr>
              <w:t>z</w:t>
            </w:r>
            <w:r w:rsidR="008B4CC2" w:rsidRPr="00FB162A">
              <w:rPr>
                <w:rFonts w:cs="Arial"/>
                <w:color w:val="0D0D0D" w:themeColor="text1" w:themeTint="F2"/>
                <w:spacing w:val="-4"/>
              </w:rPr>
              <w:t xml:space="preserve">dravotní </w:t>
            </w:r>
            <w:r w:rsidRPr="00FB162A">
              <w:rPr>
                <w:rFonts w:cs="Arial"/>
                <w:color w:val="0D0D0D" w:themeColor="text1" w:themeTint="F2"/>
                <w:spacing w:val="-4"/>
              </w:rPr>
              <w:t>a</w:t>
            </w:r>
            <w:r w:rsidR="008B4CC2">
              <w:rPr>
                <w:rFonts w:cs="Arial"/>
                <w:color w:val="0D0D0D" w:themeColor="text1" w:themeTint="F2"/>
                <w:spacing w:val="-4"/>
              </w:rPr>
              <w:t> sociální péči (+8,4</w:t>
            </w:r>
            <w:r w:rsidR="006454CC">
              <w:rPr>
                <w:rFonts w:cs="Arial"/>
                <w:color w:val="0D0D0D" w:themeColor="text1" w:themeTint="F2"/>
                <w:spacing w:val="-4"/>
              </w:rPr>
              <w:t> %</w:t>
            </w:r>
            <w:r w:rsidR="008B4CC2">
              <w:rPr>
                <w:rFonts w:cs="Arial"/>
                <w:color w:val="0D0D0D" w:themeColor="text1" w:themeTint="F2"/>
                <w:spacing w:val="-4"/>
              </w:rPr>
              <w:t xml:space="preserve">). Přestože mzdy pracovníků ve vzdělávání rostly nejvíce po roce 2003, úroveň výdělků zde ve srovnání </w:t>
            </w:r>
            <w:r>
              <w:rPr>
                <w:rFonts w:cs="Arial"/>
                <w:color w:val="0D0D0D" w:themeColor="text1" w:themeTint="F2"/>
                <w:spacing w:val="-4"/>
              </w:rPr>
              <w:t>s </w:t>
            </w:r>
            <w:r w:rsidR="008B4CC2">
              <w:rPr>
                <w:rFonts w:cs="Arial"/>
                <w:color w:val="0D0D0D" w:themeColor="text1" w:themeTint="F2"/>
                <w:spacing w:val="-4"/>
              </w:rPr>
              <w:t xml:space="preserve">celou ekonomikou nadále mírně zaostávala. Souvisí to </w:t>
            </w:r>
            <w:r>
              <w:rPr>
                <w:rFonts w:cs="Arial"/>
                <w:color w:val="0D0D0D" w:themeColor="text1" w:themeTint="F2"/>
                <w:spacing w:val="-4"/>
              </w:rPr>
              <w:t>i </w:t>
            </w:r>
            <w:r w:rsidR="008B4CC2">
              <w:rPr>
                <w:rFonts w:cs="Arial"/>
                <w:color w:val="0D0D0D" w:themeColor="text1" w:themeTint="F2"/>
                <w:spacing w:val="-4"/>
              </w:rPr>
              <w:t>se skutečností, že v letech 2014 až 2017 byl mzdový růst ve vzdělávání v rámci ostatních odvětví s dominancí veřejného sektoru vždy nejslabší.</w:t>
            </w:r>
          </w:p>
        </w:tc>
      </w:tr>
      <w:tr w:rsidR="008E0EB6" w14:paraId="37104D45" w14:textId="77777777" w:rsidTr="00A500A7">
        <w:trPr>
          <w:trHeight w:val="145"/>
        </w:trPr>
        <w:tc>
          <w:tcPr>
            <w:tcW w:w="1976" w:type="dxa"/>
            <w:tcBorders>
              <w:top w:val="nil"/>
              <w:left w:val="nil"/>
              <w:bottom w:val="nil"/>
              <w:right w:val="nil"/>
            </w:tcBorders>
          </w:tcPr>
          <w:p w14:paraId="54C5A404" w14:textId="77777777" w:rsidR="008E0EB6" w:rsidRDefault="008E0EB6" w:rsidP="008E0EB6">
            <w:pPr>
              <w:pStyle w:val="Marginlie"/>
            </w:pPr>
            <w:r>
              <w:t xml:space="preserve">Ve stavebnictví se tempo mzdového růstu zdvojnásobilo </w:t>
            </w:r>
            <w:r w:rsidR="00BC7833">
              <w:t>a </w:t>
            </w:r>
            <w:r>
              <w:t>mezi tržními odvětvími dosáhlo maxima.</w:t>
            </w:r>
          </w:p>
        </w:tc>
        <w:tc>
          <w:tcPr>
            <w:tcW w:w="277" w:type="dxa"/>
            <w:tcBorders>
              <w:top w:val="nil"/>
              <w:left w:val="nil"/>
              <w:bottom w:val="nil"/>
              <w:right w:val="nil"/>
            </w:tcBorders>
          </w:tcPr>
          <w:p w14:paraId="3D321814" w14:textId="77777777" w:rsidR="008E0EB6" w:rsidRPr="005E4483" w:rsidRDefault="008E0EB6" w:rsidP="008E0EB6">
            <w:pPr>
              <w:pStyle w:val="Textpoznpodarou"/>
              <w:jc w:val="both"/>
              <w:rPr>
                <w:spacing w:val="-4"/>
              </w:rPr>
            </w:pPr>
          </w:p>
        </w:tc>
        <w:tc>
          <w:tcPr>
            <w:tcW w:w="7391" w:type="dxa"/>
            <w:tcBorders>
              <w:top w:val="nil"/>
              <w:left w:val="nil"/>
              <w:bottom w:val="nil"/>
              <w:right w:val="nil"/>
            </w:tcBorders>
          </w:tcPr>
          <w:p w14:paraId="45D27CF3" w14:textId="3B9F5111" w:rsidR="008E0EB6" w:rsidRDefault="008E0EB6" w:rsidP="008E0EB6">
            <w:pPr>
              <w:spacing w:after="220"/>
              <w:rPr>
                <w:rFonts w:cs="Arial"/>
                <w:color w:val="0D0D0D" w:themeColor="text1" w:themeTint="F2"/>
                <w:spacing w:val="-4"/>
              </w:rPr>
            </w:pPr>
            <w:r>
              <w:rPr>
                <w:rFonts w:cs="Arial"/>
                <w:color w:val="0D0D0D" w:themeColor="text1" w:themeTint="F2"/>
                <w:spacing w:val="-4"/>
              </w:rPr>
              <w:t>Z tržních odvětví se loni nejvíce dařilo stavebnictví, kde se nedostatek pracovníků</w:t>
            </w:r>
            <w:r w:rsidR="0064464B">
              <w:rPr>
                <w:rFonts w:cs="Arial"/>
                <w:color w:val="0D0D0D" w:themeColor="text1" w:themeTint="F2"/>
                <w:spacing w:val="-4"/>
              </w:rPr>
              <w:t>,</w:t>
            </w:r>
            <w:r>
              <w:rPr>
                <w:rFonts w:cs="Arial"/>
                <w:color w:val="0D0D0D" w:themeColor="text1" w:themeTint="F2"/>
                <w:spacing w:val="-4"/>
              </w:rPr>
              <w:t xml:space="preserve"> umocněný souběžným svižným růstem zásoby práce</w:t>
            </w:r>
            <w:r w:rsidR="0064464B">
              <w:rPr>
                <w:rFonts w:cs="Arial"/>
                <w:color w:val="0D0D0D" w:themeColor="text1" w:themeTint="F2"/>
                <w:spacing w:val="-4"/>
              </w:rPr>
              <w:t>,</w:t>
            </w:r>
            <w:r>
              <w:rPr>
                <w:rFonts w:cs="Arial"/>
                <w:color w:val="0D0D0D" w:themeColor="text1" w:themeTint="F2"/>
                <w:spacing w:val="-4"/>
              </w:rPr>
              <w:t xml:space="preserve"> projevoval nejpalčivěji. Mzdové tempo se zde oproti roku 2017 téměř zdvojnásobilo (na +7,9</w:t>
            </w:r>
            <w:r w:rsidR="006454CC">
              <w:rPr>
                <w:rFonts w:cs="Arial"/>
                <w:color w:val="0D0D0D" w:themeColor="text1" w:themeTint="F2"/>
                <w:spacing w:val="-4"/>
              </w:rPr>
              <w:t> %</w:t>
            </w:r>
            <w:r>
              <w:rPr>
                <w:rFonts w:cs="Arial"/>
                <w:color w:val="0D0D0D" w:themeColor="text1" w:themeTint="F2"/>
                <w:spacing w:val="-4"/>
              </w:rPr>
              <w:t xml:space="preserve">). Ve zpracovatelském průmyslu výdělky vzrostly o 7,0 % </w:t>
            </w:r>
            <w:r w:rsidR="00BC7833">
              <w:rPr>
                <w:rFonts w:cs="Arial"/>
                <w:color w:val="0D0D0D" w:themeColor="text1" w:themeTint="F2"/>
                <w:spacing w:val="-4"/>
              </w:rPr>
              <w:t>a </w:t>
            </w:r>
            <w:r>
              <w:rPr>
                <w:rFonts w:cs="Arial"/>
                <w:color w:val="0D0D0D" w:themeColor="text1" w:themeTint="F2"/>
                <w:spacing w:val="-4"/>
              </w:rPr>
              <w:t xml:space="preserve">při skromném posílení zaměstnanosti zde poprvé </w:t>
            </w:r>
            <w:r>
              <w:rPr>
                <w:rFonts w:cs="Arial"/>
                <w:color w:val="0D0D0D" w:themeColor="text1" w:themeTint="F2"/>
                <w:spacing w:val="-4"/>
              </w:rPr>
              <w:lastRenderedPageBreak/>
              <w:t>od roku 2009</w:t>
            </w:r>
            <w:r w:rsidRPr="003607F1">
              <w:rPr>
                <w:rFonts w:cs="Arial"/>
                <w:color w:val="0D0D0D" w:themeColor="text1" w:themeTint="F2"/>
                <w:spacing w:val="-4"/>
              </w:rPr>
              <w:t xml:space="preserve"> objem vyplacených mezd za tempem v celé ekonomice</w:t>
            </w:r>
            <w:r>
              <w:rPr>
                <w:rFonts w:cs="Arial"/>
                <w:color w:val="0D0D0D" w:themeColor="text1" w:themeTint="F2"/>
                <w:spacing w:val="-4"/>
              </w:rPr>
              <w:t xml:space="preserve"> </w:t>
            </w:r>
            <w:r w:rsidRPr="003607F1">
              <w:rPr>
                <w:rFonts w:cs="Arial"/>
                <w:color w:val="0D0D0D" w:themeColor="text1" w:themeTint="F2"/>
                <w:spacing w:val="-4"/>
              </w:rPr>
              <w:t>zaostal.</w:t>
            </w:r>
            <w:r>
              <w:rPr>
                <w:rFonts w:cs="Arial"/>
                <w:color w:val="0D0D0D" w:themeColor="text1" w:themeTint="F2"/>
                <w:spacing w:val="-4"/>
              </w:rPr>
              <w:t xml:space="preserve"> Slabší tempo průměrných mezd měla loni </w:t>
            </w:r>
            <w:r w:rsidR="00BC7833">
              <w:rPr>
                <w:rFonts w:cs="Arial"/>
                <w:color w:val="0D0D0D" w:themeColor="text1" w:themeTint="F2"/>
                <w:spacing w:val="-4"/>
              </w:rPr>
              <w:t>i </w:t>
            </w:r>
            <w:r>
              <w:rPr>
                <w:rFonts w:cs="Arial"/>
                <w:color w:val="0D0D0D" w:themeColor="text1" w:themeTint="F2"/>
                <w:spacing w:val="-4"/>
              </w:rPr>
              <w:t>dvě odvětví s nejnižší úrovní výdělků</w:t>
            </w:r>
            <w:r w:rsidR="0037734D">
              <w:rPr>
                <w:rFonts w:cs="Arial"/>
                <w:color w:val="0D0D0D" w:themeColor="text1" w:themeTint="F2"/>
                <w:spacing w:val="-4"/>
              </w:rPr>
              <w:t xml:space="preserve"> – </w:t>
            </w:r>
            <w:r>
              <w:rPr>
                <w:rFonts w:cs="Arial"/>
                <w:color w:val="0D0D0D" w:themeColor="text1" w:themeTint="F2"/>
                <w:spacing w:val="-4"/>
              </w:rPr>
              <w:t xml:space="preserve">pohostinství, ubytování </w:t>
            </w:r>
            <w:r w:rsidR="00BC7833">
              <w:rPr>
                <w:rFonts w:cs="Arial"/>
                <w:color w:val="0D0D0D" w:themeColor="text1" w:themeTint="F2"/>
                <w:spacing w:val="-4"/>
              </w:rPr>
              <w:t>a </w:t>
            </w:r>
            <w:r>
              <w:rPr>
                <w:rFonts w:cs="Arial"/>
                <w:color w:val="0D0D0D" w:themeColor="text1" w:themeTint="F2"/>
                <w:spacing w:val="-4"/>
              </w:rPr>
              <w:t xml:space="preserve">stravování </w:t>
            </w:r>
            <w:r w:rsidR="00BC7833">
              <w:rPr>
                <w:rFonts w:cs="Arial"/>
                <w:color w:val="0D0D0D" w:themeColor="text1" w:themeTint="F2"/>
                <w:spacing w:val="-4"/>
              </w:rPr>
              <w:t>a </w:t>
            </w:r>
            <w:r>
              <w:rPr>
                <w:rFonts w:cs="Arial"/>
                <w:color w:val="0D0D0D" w:themeColor="text1" w:themeTint="F2"/>
                <w:spacing w:val="-4"/>
              </w:rPr>
              <w:t xml:space="preserve">také administrativní </w:t>
            </w:r>
            <w:r w:rsidR="00BC7833">
              <w:rPr>
                <w:rFonts w:cs="Arial"/>
                <w:color w:val="0D0D0D" w:themeColor="text1" w:themeTint="F2"/>
                <w:spacing w:val="-4"/>
              </w:rPr>
              <w:t>a </w:t>
            </w:r>
            <w:r>
              <w:rPr>
                <w:rFonts w:cs="Arial"/>
                <w:color w:val="0D0D0D" w:themeColor="text1" w:themeTint="F2"/>
                <w:spacing w:val="-4"/>
              </w:rPr>
              <w:t>podpůrné činnosti</w:t>
            </w:r>
            <w:r>
              <w:rPr>
                <w:rStyle w:val="Znakapoznpodarou"/>
                <w:rFonts w:cs="Arial"/>
                <w:color w:val="0D0D0D" w:themeColor="text1" w:themeTint="F2"/>
                <w:spacing w:val="-4"/>
              </w:rPr>
              <w:footnoteReference w:id="61"/>
            </w:r>
            <w:r>
              <w:rPr>
                <w:rFonts w:cs="Arial"/>
                <w:color w:val="0D0D0D" w:themeColor="text1" w:themeTint="F2"/>
                <w:spacing w:val="-4"/>
              </w:rPr>
              <w:t xml:space="preserve">. Relativně nejméně pak </w:t>
            </w:r>
            <w:r>
              <w:rPr>
                <w:rFonts w:cs="Arial"/>
                <w:color w:val="0D0D0D" w:themeColor="text1" w:themeTint="F2"/>
                <w:spacing w:val="-5"/>
              </w:rPr>
              <w:t xml:space="preserve">posílily mzdy </w:t>
            </w:r>
            <w:r w:rsidRPr="00FC5F1F">
              <w:rPr>
                <w:rFonts w:cs="Arial"/>
                <w:color w:val="0D0D0D" w:themeColor="text1" w:themeTint="F2"/>
                <w:spacing w:val="-5"/>
              </w:rPr>
              <w:t>v nejlépe placených odvětvích</w:t>
            </w:r>
            <w:r w:rsidR="0037734D">
              <w:rPr>
                <w:rFonts w:cs="Arial"/>
                <w:color w:val="0D0D0D" w:themeColor="text1" w:themeTint="F2"/>
                <w:spacing w:val="-5"/>
              </w:rPr>
              <w:t xml:space="preserve"> – </w:t>
            </w:r>
            <w:r w:rsidRPr="00FC5F1F">
              <w:rPr>
                <w:rFonts w:cs="Arial"/>
                <w:color w:val="0D0D0D" w:themeColor="text1" w:themeTint="F2"/>
                <w:spacing w:val="-5"/>
              </w:rPr>
              <w:t>v informačních a komunikačních</w:t>
            </w:r>
            <w:r>
              <w:rPr>
                <w:rFonts w:cs="Arial"/>
                <w:color w:val="0D0D0D" w:themeColor="text1" w:themeTint="F2"/>
                <w:spacing w:val="-4"/>
              </w:rPr>
              <w:t xml:space="preserve"> činnostech </w:t>
            </w:r>
            <w:r w:rsidR="00BC7833">
              <w:rPr>
                <w:rFonts w:cs="Arial"/>
                <w:color w:val="0D0D0D" w:themeColor="text1" w:themeTint="F2"/>
                <w:spacing w:val="-4"/>
              </w:rPr>
              <w:t>a </w:t>
            </w:r>
            <w:r>
              <w:rPr>
                <w:rFonts w:cs="Arial"/>
                <w:color w:val="0D0D0D" w:themeColor="text1" w:themeTint="F2"/>
                <w:spacing w:val="-4"/>
              </w:rPr>
              <w:t>ve finančnictví. Jejich růst za tempy v celé ekonomice zaostával již čtvrtým rokem v řadě</w:t>
            </w:r>
            <w:r>
              <w:rPr>
                <w:rStyle w:val="Znakapoznpodarou"/>
                <w:rFonts w:cs="Arial"/>
                <w:color w:val="0D0D0D" w:themeColor="text1" w:themeTint="F2"/>
                <w:spacing w:val="-4"/>
              </w:rPr>
              <w:footnoteReference w:id="62"/>
            </w:r>
            <w:r>
              <w:rPr>
                <w:rFonts w:cs="Arial"/>
                <w:color w:val="0D0D0D" w:themeColor="text1" w:themeTint="F2"/>
                <w:spacing w:val="-4"/>
              </w:rPr>
              <w:t xml:space="preserve">, </w:t>
            </w:r>
            <w:r w:rsidR="0064464B">
              <w:rPr>
                <w:rFonts w:cs="Arial"/>
                <w:color w:val="0D0D0D" w:themeColor="text1" w:themeTint="F2"/>
                <w:spacing w:val="-4"/>
              </w:rPr>
              <w:t>v absolutním vyjádření</w:t>
            </w:r>
            <w:r>
              <w:rPr>
                <w:rFonts w:cs="Arial"/>
                <w:color w:val="0D0D0D" w:themeColor="text1" w:themeTint="F2"/>
                <w:spacing w:val="-4"/>
              </w:rPr>
              <w:t xml:space="preserve"> si však tito zaměstnanci na hrubé mzdě loni polepšili nejvíce ze všech tržních odvětví (</w:t>
            </w:r>
            <w:r w:rsidR="00BC7833">
              <w:rPr>
                <w:rFonts w:cs="Arial"/>
                <w:color w:val="0D0D0D" w:themeColor="text1" w:themeTint="F2"/>
                <w:spacing w:val="-4"/>
              </w:rPr>
              <w:t>v </w:t>
            </w:r>
            <w:r>
              <w:rPr>
                <w:rFonts w:cs="Arial"/>
                <w:color w:val="0D0D0D" w:themeColor="text1" w:themeTint="F2"/>
                <w:spacing w:val="-4"/>
              </w:rPr>
              <w:t xml:space="preserve">průměru </w:t>
            </w:r>
            <w:r w:rsidR="00BC7833">
              <w:rPr>
                <w:rFonts w:cs="Arial"/>
                <w:color w:val="0D0D0D" w:themeColor="text1" w:themeTint="F2"/>
                <w:spacing w:val="-4"/>
              </w:rPr>
              <w:t>o </w:t>
            </w:r>
            <w:r>
              <w:rPr>
                <w:rFonts w:cs="Arial"/>
                <w:color w:val="0D0D0D" w:themeColor="text1" w:themeTint="F2"/>
                <w:spacing w:val="-4"/>
              </w:rPr>
              <w:t>2,7, resp.</w:t>
            </w:r>
            <w:r w:rsidR="0064464B">
              <w:rPr>
                <w:rFonts w:cs="Arial"/>
                <w:color w:val="0D0D0D" w:themeColor="text1" w:themeTint="F2"/>
                <w:spacing w:val="-4"/>
              </w:rPr>
              <w:t> </w:t>
            </w:r>
            <w:r>
              <w:rPr>
                <w:rFonts w:cs="Arial"/>
                <w:color w:val="0D0D0D" w:themeColor="text1" w:themeTint="F2"/>
                <w:spacing w:val="-4"/>
              </w:rPr>
              <w:t>2,</w:t>
            </w:r>
            <w:r w:rsidR="00D82A1E">
              <w:rPr>
                <w:rFonts w:cs="Arial"/>
                <w:color w:val="0D0D0D" w:themeColor="text1" w:themeTint="F2"/>
                <w:spacing w:val="-4"/>
              </w:rPr>
              <w:t>8 </w:t>
            </w:r>
            <w:r>
              <w:rPr>
                <w:rFonts w:cs="Arial"/>
                <w:color w:val="0D0D0D" w:themeColor="text1" w:themeTint="F2"/>
                <w:spacing w:val="-4"/>
              </w:rPr>
              <w:t>tis. korun).</w:t>
            </w:r>
          </w:p>
        </w:tc>
      </w:tr>
      <w:tr w:rsidR="008E0EB6" w14:paraId="0BC1D12C" w14:textId="77777777" w:rsidTr="00A500A7">
        <w:trPr>
          <w:trHeight w:val="145"/>
        </w:trPr>
        <w:tc>
          <w:tcPr>
            <w:tcW w:w="1976" w:type="dxa"/>
            <w:tcBorders>
              <w:top w:val="nil"/>
              <w:left w:val="nil"/>
              <w:bottom w:val="nil"/>
              <w:right w:val="nil"/>
            </w:tcBorders>
          </w:tcPr>
          <w:p w14:paraId="0771257D" w14:textId="77777777" w:rsidR="008E0EB6" w:rsidRDefault="008E0EB6" w:rsidP="008E0EB6">
            <w:pPr>
              <w:pStyle w:val="Marginlie"/>
            </w:pPr>
          </w:p>
        </w:tc>
        <w:tc>
          <w:tcPr>
            <w:tcW w:w="277" w:type="dxa"/>
            <w:tcBorders>
              <w:top w:val="nil"/>
              <w:left w:val="nil"/>
              <w:bottom w:val="nil"/>
              <w:right w:val="nil"/>
            </w:tcBorders>
          </w:tcPr>
          <w:p w14:paraId="1AB7E296" w14:textId="77777777" w:rsidR="008E0EB6" w:rsidRPr="005E4483" w:rsidRDefault="008E0EB6" w:rsidP="008E0EB6">
            <w:pPr>
              <w:pStyle w:val="Textpoznpodarou"/>
              <w:jc w:val="both"/>
              <w:rPr>
                <w:spacing w:val="-4"/>
              </w:rPr>
            </w:pPr>
          </w:p>
        </w:tc>
        <w:tc>
          <w:tcPr>
            <w:tcW w:w="7391" w:type="dxa"/>
            <w:tcBorders>
              <w:top w:val="nil"/>
              <w:left w:val="nil"/>
              <w:bottom w:val="nil"/>
              <w:right w:val="nil"/>
            </w:tcBorders>
          </w:tcPr>
          <w:p w14:paraId="1B7C547C" w14:textId="282534B8" w:rsidR="008E0EB6" w:rsidRDefault="008E0EB6" w:rsidP="008E0EB6">
            <w:pPr>
              <w:spacing w:after="0"/>
              <w:jc w:val="left"/>
              <w:rPr>
                <w:rFonts w:cs="Arial"/>
                <w:color w:val="0D0D0D" w:themeColor="text1" w:themeTint="F2"/>
                <w:spacing w:val="-4"/>
              </w:rPr>
            </w:pPr>
            <w:r>
              <w:rPr>
                <w:b/>
              </w:rPr>
              <w:t xml:space="preserve">Graf </w:t>
            </w:r>
            <w:r w:rsidR="00BA35F3">
              <w:rPr>
                <w:b/>
              </w:rPr>
              <w:t>č. </w:t>
            </w:r>
            <w:r w:rsidR="00306AD7">
              <w:rPr>
                <w:b/>
              </w:rPr>
              <w:t>2</w:t>
            </w:r>
            <w:r>
              <w:rPr>
                <w:b/>
              </w:rPr>
              <w:t>1</w:t>
            </w:r>
            <w:r w:rsidR="00A67D62">
              <w:rPr>
                <w:b/>
              </w:rPr>
              <w:t xml:space="preserve"> </w:t>
            </w:r>
            <w:r>
              <w:rPr>
                <w:b/>
              </w:rPr>
              <w:t xml:space="preserve"> Změna </w:t>
            </w:r>
            <w:r>
              <w:rPr>
                <w:b/>
                <w:spacing w:val="-3"/>
              </w:rPr>
              <w:t>průměrných</w:t>
            </w:r>
            <w:r w:rsidRPr="003D7E4E">
              <w:rPr>
                <w:b/>
                <w:spacing w:val="-3"/>
              </w:rPr>
              <w:t xml:space="preserve"> </w:t>
            </w:r>
            <w:r>
              <w:rPr>
                <w:b/>
                <w:spacing w:val="-3"/>
              </w:rPr>
              <w:t>reálných mezd</w:t>
            </w:r>
            <w:r w:rsidRPr="003D7E4E">
              <w:rPr>
                <w:b/>
                <w:spacing w:val="-3"/>
              </w:rPr>
              <w:t xml:space="preserve"> </w:t>
            </w:r>
            <w:r>
              <w:rPr>
                <w:b/>
                <w:spacing w:val="-3"/>
              </w:rPr>
              <w:t xml:space="preserve">v celé ekonomice </w:t>
            </w:r>
            <w:r w:rsidR="00BC7833">
              <w:rPr>
                <w:b/>
                <w:spacing w:val="-3"/>
              </w:rPr>
              <w:t>a </w:t>
            </w:r>
            <w:r>
              <w:rPr>
                <w:b/>
                <w:spacing w:val="-3"/>
              </w:rPr>
              <w:t xml:space="preserve">změna nominálních mezd ve vybraných odvětvích </w:t>
            </w:r>
            <w:r w:rsidRPr="000D13CF">
              <w:rPr>
                <w:spacing w:val="-3"/>
              </w:rPr>
              <w:t>(</w:t>
            </w:r>
            <w:r>
              <w:rPr>
                <w:spacing w:val="-3"/>
              </w:rPr>
              <w:t xml:space="preserve">meziročně </w:t>
            </w:r>
            <w:r w:rsidRPr="000D13CF">
              <w:rPr>
                <w:spacing w:val="-3"/>
              </w:rPr>
              <w:t>v</w:t>
            </w:r>
            <w:r w:rsidR="006454CC">
              <w:rPr>
                <w:spacing w:val="-3"/>
              </w:rPr>
              <w:t> %</w:t>
            </w:r>
            <w:r w:rsidRPr="000D13CF">
              <w:rPr>
                <w:spacing w:val="-3"/>
              </w:rPr>
              <w:t>)</w:t>
            </w:r>
          </w:p>
        </w:tc>
      </w:tr>
      <w:tr w:rsidR="008E0EB6" w14:paraId="318A5AFA" w14:textId="77777777" w:rsidTr="00A500A7">
        <w:tblPrEx>
          <w:tblCellMar>
            <w:left w:w="70" w:type="dxa"/>
            <w:right w:w="70" w:type="dxa"/>
          </w:tblCellMar>
        </w:tblPrEx>
        <w:trPr>
          <w:trHeight w:val="145"/>
        </w:trPr>
        <w:tc>
          <w:tcPr>
            <w:tcW w:w="1976" w:type="dxa"/>
            <w:tcBorders>
              <w:top w:val="nil"/>
              <w:left w:val="nil"/>
              <w:bottom w:val="nil"/>
              <w:right w:val="nil"/>
            </w:tcBorders>
          </w:tcPr>
          <w:p w14:paraId="25823A56" w14:textId="77777777" w:rsidR="008E0EB6" w:rsidRDefault="008E0EB6" w:rsidP="008E0EB6">
            <w:pPr>
              <w:pStyle w:val="Marginlie"/>
            </w:pPr>
          </w:p>
        </w:tc>
        <w:tc>
          <w:tcPr>
            <w:tcW w:w="277" w:type="dxa"/>
            <w:tcBorders>
              <w:top w:val="nil"/>
              <w:left w:val="nil"/>
              <w:bottom w:val="nil"/>
              <w:right w:val="nil"/>
            </w:tcBorders>
          </w:tcPr>
          <w:p w14:paraId="1004B54F" w14:textId="77777777" w:rsidR="008E0EB6" w:rsidRPr="005E4483" w:rsidRDefault="008E0EB6" w:rsidP="008E0EB6">
            <w:pPr>
              <w:pStyle w:val="Textpoznpodarou"/>
              <w:jc w:val="both"/>
              <w:rPr>
                <w:spacing w:val="-4"/>
              </w:rPr>
            </w:pPr>
          </w:p>
        </w:tc>
        <w:tc>
          <w:tcPr>
            <w:tcW w:w="7391" w:type="dxa"/>
            <w:tcBorders>
              <w:top w:val="nil"/>
              <w:left w:val="nil"/>
              <w:bottom w:val="nil"/>
              <w:right w:val="nil"/>
            </w:tcBorders>
          </w:tcPr>
          <w:p w14:paraId="1FAC56CB" w14:textId="77777777" w:rsidR="008E0EB6" w:rsidRDefault="008E0EB6" w:rsidP="008E0EB6">
            <w:pPr>
              <w:spacing w:after="0"/>
              <w:rPr>
                <w:rFonts w:cs="Arial"/>
                <w:color w:val="0D0D0D" w:themeColor="text1" w:themeTint="F2"/>
                <w:spacing w:val="-4"/>
              </w:rPr>
            </w:pPr>
            <w:r>
              <w:rPr>
                <w:noProof/>
              </w:rPr>
              <w:drawing>
                <wp:inline distT="0" distB="0" distL="0" distR="0" wp14:anchorId="0E8AD40A" wp14:editId="7EF54049">
                  <wp:extent cx="4604385" cy="3372485"/>
                  <wp:effectExtent l="0" t="0" r="5715" b="0"/>
                  <wp:docPr id="87" name="Graf 87"/>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tc>
      </w:tr>
      <w:tr w:rsidR="008E0EB6" w:rsidRPr="004E0BFC" w14:paraId="30AC4795" w14:textId="77777777" w:rsidTr="00A500A7">
        <w:trPr>
          <w:trHeight w:val="145"/>
        </w:trPr>
        <w:tc>
          <w:tcPr>
            <w:tcW w:w="1976" w:type="dxa"/>
            <w:tcBorders>
              <w:top w:val="nil"/>
              <w:left w:val="nil"/>
              <w:bottom w:val="nil"/>
              <w:right w:val="nil"/>
            </w:tcBorders>
          </w:tcPr>
          <w:p w14:paraId="23D0E943" w14:textId="77777777" w:rsidR="008E0EB6" w:rsidRDefault="008E0EB6" w:rsidP="008E0EB6">
            <w:pPr>
              <w:pStyle w:val="Marginlie"/>
            </w:pPr>
          </w:p>
        </w:tc>
        <w:tc>
          <w:tcPr>
            <w:tcW w:w="277" w:type="dxa"/>
            <w:tcBorders>
              <w:top w:val="nil"/>
              <w:left w:val="nil"/>
              <w:bottom w:val="nil"/>
              <w:right w:val="nil"/>
            </w:tcBorders>
          </w:tcPr>
          <w:p w14:paraId="20916AE9" w14:textId="77777777" w:rsidR="008E0EB6" w:rsidRPr="005E4483" w:rsidRDefault="008E0EB6" w:rsidP="008E0EB6">
            <w:pPr>
              <w:pStyle w:val="Textpoznpodarou"/>
              <w:jc w:val="both"/>
              <w:rPr>
                <w:spacing w:val="-4"/>
              </w:rPr>
            </w:pPr>
          </w:p>
        </w:tc>
        <w:tc>
          <w:tcPr>
            <w:tcW w:w="7391" w:type="dxa"/>
            <w:tcBorders>
              <w:top w:val="nil"/>
              <w:left w:val="nil"/>
              <w:bottom w:val="nil"/>
              <w:right w:val="nil"/>
            </w:tcBorders>
          </w:tcPr>
          <w:p w14:paraId="05BF2FA2" w14:textId="5DC506AB" w:rsidR="008E0EB6" w:rsidRDefault="008E0EB6" w:rsidP="008E0EB6">
            <w:pPr>
              <w:spacing w:after="0"/>
              <w:rPr>
                <w:rFonts w:cs="Arial"/>
                <w:sz w:val="14"/>
                <w:szCs w:val="14"/>
              </w:rPr>
            </w:pPr>
            <w:r>
              <w:rPr>
                <w:rFonts w:cs="Arial"/>
                <w:sz w:val="14"/>
                <w:szCs w:val="14"/>
              </w:rPr>
              <w:t>Pozn</w:t>
            </w:r>
            <w:r w:rsidR="0064464B">
              <w:rPr>
                <w:rFonts w:cs="Arial"/>
                <w:sz w:val="14"/>
                <w:szCs w:val="14"/>
              </w:rPr>
              <w:t>.</w:t>
            </w:r>
            <w:r>
              <w:rPr>
                <w:rFonts w:cs="Arial"/>
                <w:sz w:val="14"/>
                <w:szCs w:val="14"/>
              </w:rPr>
              <w:t xml:space="preserve">: </w:t>
            </w:r>
            <w:r w:rsidR="008E1F66">
              <w:rPr>
                <w:rFonts w:cs="Arial"/>
                <w:sz w:val="14"/>
                <w:szCs w:val="14"/>
              </w:rPr>
              <w:t>O</w:t>
            </w:r>
            <w:r>
              <w:rPr>
                <w:rFonts w:cs="Arial"/>
                <w:sz w:val="14"/>
                <w:szCs w:val="14"/>
              </w:rPr>
              <w:t xml:space="preserve">dvětví s dominancí veřejného sektoru zahrnuje: Veřejnou správu </w:t>
            </w:r>
            <w:r w:rsidR="00BC7833">
              <w:rPr>
                <w:rFonts w:cs="Arial"/>
                <w:sz w:val="14"/>
                <w:szCs w:val="14"/>
              </w:rPr>
              <w:t>a </w:t>
            </w:r>
            <w:r>
              <w:rPr>
                <w:rFonts w:cs="Arial"/>
                <w:sz w:val="14"/>
                <w:szCs w:val="14"/>
              </w:rPr>
              <w:t>obranu</w:t>
            </w:r>
            <w:r w:rsidRPr="004E0BFC">
              <w:rPr>
                <w:rFonts w:cs="Arial"/>
                <w:sz w:val="14"/>
                <w:szCs w:val="14"/>
              </w:rPr>
              <w:t>; povinné sociální zabezpečení</w:t>
            </w:r>
            <w:r>
              <w:rPr>
                <w:rFonts w:cs="Arial"/>
                <w:sz w:val="14"/>
                <w:szCs w:val="14"/>
              </w:rPr>
              <w:t xml:space="preserve"> (odvětvová sekce O)</w:t>
            </w:r>
            <w:r w:rsidR="008E1F66">
              <w:rPr>
                <w:rFonts w:cs="Arial"/>
                <w:sz w:val="14"/>
                <w:szCs w:val="14"/>
              </w:rPr>
              <w:t>;</w:t>
            </w:r>
            <w:r>
              <w:rPr>
                <w:rFonts w:cs="Arial"/>
                <w:sz w:val="14"/>
                <w:szCs w:val="14"/>
              </w:rPr>
              <w:t xml:space="preserve"> </w:t>
            </w:r>
            <w:r w:rsidRPr="004E0BFC">
              <w:rPr>
                <w:rFonts w:cs="Arial"/>
                <w:sz w:val="14"/>
                <w:szCs w:val="14"/>
              </w:rPr>
              <w:t>Vzdělávání</w:t>
            </w:r>
            <w:r>
              <w:rPr>
                <w:rFonts w:cs="Arial"/>
                <w:sz w:val="14"/>
                <w:szCs w:val="14"/>
              </w:rPr>
              <w:t xml:space="preserve"> (P)</w:t>
            </w:r>
            <w:r w:rsidR="008E1F66">
              <w:rPr>
                <w:rFonts w:cs="Arial"/>
                <w:sz w:val="14"/>
                <w:szCs w:val="14"/>
              </w:rPr>
              <w:t>;</w:t>
            </w:r>
            <w:r>
              <w:rPr>
                <w:rFonts w:cs="Arial"/>
                <w:sz w:val="14"/>
                <w:szCs w:val="14"/>
              </w:rPr>
              <w:t xml:space="preserve"> Zdravotní </w:t>
            </w:r>
            <w:r w:rsidR="00BC7833">
              <w:rPr>
                <w:rFonts w:cs="Arial"/>
                <w:sz w:val="14"/>
                <w:szCs w:val="14"/>
              </w:rPr>
              <w:t>a </w:t>
            </w:r>
            <w:r>
              <w:rPr>
                <w:rFonts w:cs="Arial"/>
                <w:sz w:val="14"/>
                <w:szCs w:val="14"/>
              </w:rPr>
              <w:t>sociální péči (Q)</w:t>
            </w:r>
            <w:r w:rsidR="008E1F66">
              <w:rPr>
                <w:rFonts w:cs="Arial"/>
                <w:sz w:val="14"/>
                <w:szCs w:val="14"/>
              </w:rPr>
              <w:t xml:space="preserve">; </w:t>
            </w:r>
            <w:r w:rsidRPr="004E0BFC">
              <w:rPr>
                <w:rFonts w:cs="Arial"/>
                <w:sz w:val="14"/>
                <w:szCs w:val="14"/>
              </w:rPr>
              <w:t xml:space="preserve">Kulturní, zábavní </w:t>
            </w:r>
            <w:r w:rsidR="00BC7833" w:rsidRPr="004E0BFC">
              <w:rPr>
                <w:rFonts w:cs="Arial"/>
                <w:sz w:val="14"/>
                <w:szCs w:val="14"/>
              </w:rPr>
              <w:t>a</w:t>
            </w:r>
            <w:r w:rsidR="00BC7833">
              <w:rPr>
                <w:rFonts w:cs="Arial"/>
                <w:sz w:val="14"/>
                <w:szCs w:val="14"/>
              </w:rPr>
              <w:t> </w:t>
            </w:r>
            <w:r w:rsidRPr="004E0BFC">
              <w:rPr>
                <w:rFonts w:cs="Arial"/>
                <w:sz w:val="14"/>
                <w:szCs w:val="14"/>
              </w:rPr>
              <w:t>rekreační činnosti</w:t>
            </w:r>
            <w:r>
              <w:rPr>
                <w:rFonts w:cs="Arial"/>
                <w:sz w:val="14"/>
                <w:szCs w:val="14"/>
              </w:rPr>
              <w:t xml:space="preserve"> (R).</w:t>
            </w:r>
          </w:p>
          <w:p w14:paraId="12931C2B" w14:textId="77777777" w:rsidR="008E0EB6" w:rsidRPr="004E0BFC" w:rsidRDefault="008E0EB6" w:rsidP="008E0EB6">
            <w:pPr>
              <w:spacing w:after="220"/>
              <w:rPr>
                <w:rFonts w:cs="Arial"/>
                <w:sz w:val="14"/>
                <w:szCs w:val="14"/>
              </w:rPr>
            </w:pPr>
            <w:r>
              <w:rPr>
                <w:rFonts w:cs="Arial"/>
                <w:sz w:val="14"/>
                <w:szCs w:val="14"/>
              </w:rPr>
              <w:t>Zdroj: ČSÚ (podniková statistika, údaje ze čtvrtletních šetření)</w:t>
            </w:r>
          </w:p>
        </w:tc>
      </w:tr>
      <w:tr w:rsidR="008E0EB6" w14:paraId="6F78BB3E" w14:textId="77777777" w:rsidTr="00A500A7">
        <w:trPr>
          <w:trHeight w:val="145"/>
        </w:trPr>
        <w:tc>
          <w:tcPr>
            <w:tcW w:w="1976" w:type="dxa"/>
            <w:tcBorders>
              <w:top w:val="nil"/>
              <w:left w:val="nil"/>
              <w:bottom w:val="nil"/>
              <w:right w:val="nil"/>
            </w:tcBorders>
          </w:tcPr>
          <w:p w14:paraId="5C42EE2D" w14:textId="77777777" w:rsidR="008E0EB6" w:rsidRDefault="008E0EB6" w:rsidP="008E0EB6">
            <w:pPr>
              <w:pStyle w:val="Marginlie"/>
            </w:pPr>
            <w:r>
              <w:t>Relativně nejvíce rostly loni mzdy v krajích s výrazněji podprůměrnou úrovní výdělků.</w:t>
            </w:r>
          </w:p>
        </w:tc>
        <w:tc>
          <w:tcPr>
            <w:tcW w:w="277" w:type="dxa"/>
            <w:tcBorders>
              <w:top w:val="nil"/>
              <w:left w:val="nil"/>
              <w:bottom w:val="nil"/>
              <w:right w:val="nil"/>
            </w:tcBorders>
          </w:tcPr>
          <w:p w14:paraId="0EB82664" w14:textId="77777777" w:rsidR="008E0EB6" w:rsidRPr="005E4483" w:rsidRDefault="008E0EB6" w:rsidP="008E0EB6">
            <w:pPr>
              <w:pStyle w:val="Textpoznpodarou"/>
              <w:jc w:val="both"/>
              <w:rPr>
                <w:spacing w:val="-4"/>
              </w:rPr>
            </w:pPr>
          </w:p>
        </w:tc>
        <w:tc>
          <w:tcPr>
            <w:tcW w:w="7391" w:type="dxa"/>
            <w:tcBorders>
              <w:top w:val="nil"/>
              <w:left w:val="nil"/>
              <w:bottom w:val="nil"/>
              <w:right w:val="nil"/>
            </w:tcBorders>
          </w:tcPr>
          <w:p w14:paraId="49A58F56" w14:textId="5C72A9B3" w:rsidR="008E0EB6" w:rsidRPr="00EF1C11" w:rsidRDefault="008E0EB6" w:rsidP="008E0EB6">
            <w:pPr>
              <w:spacing w:after="220"/>
              <w:rPr>
                <w:rFonts w:cs="Arial"/>
                <w:color w:val="0D0D0D" w:themeColor="text1" w:themeTint="F2"/>
                <w:spacing w:val="-3"/>
              </w:rPr>
            </w:pPr>
            <w:r w:rsidRPr="00EF1C11">
              <w:rPr>
                <w:rFonts w:cs="Arial"/>
                <w:color w:val="0D0D0D" w:themeColor="text1" w:themeTint="F2"/>
                <w:spacing w:val="-3"/>
              </w:rPr>
              <w:t>Mezi kraji rostly loni průměrné mzdy nejvíce na Olomoucku (+8,7</w:t>
            </w:r>
            <w:r w:rsidR="006454CC">
              <w:rPr>
                <w:rFonts w:cs="Arial"/>
                <w:color w:val="0D0D0D" w:themeColor="text1" w:themeTint="F2"/>
                <w:spacing w:val="-3"/>
              </w:rPr>
              <w:t> %</w:t>
            </w:r>
            <w:r w:rsidRPr="00EF1C11">
              <w:rPr>
                <w:rFonts w:cs="Arial"/>
                <w:color w:val="0D0D0D" w:themeColor="text1" w:themeTint="F2"/>
                <w:spacing w:val="-3"/>
              </w:rPr>
              <w:t xml:space="preserve">) </w:t>
            </w:r>
            <w:r w:rsidR="00BC7833" w:rsidRPr="00EF1C11">
              <w:rPr>
                <w:rFonts w:cs="Arial"/>
                <w:color w:val="0D0D0D" w:themeColor="text1" w:themeTint="F2"/>
                <w:spacing w:val="-3"/>
              </w:rPr>
              <w:t>a</w:t>
            </w:r>
            <w:r w:rsidR="00BC7833">
              <w:rPr>
                <w:rFonts w:cs="Arial"/>
                <w:color w:val="0D0D0D" w:themeColor="text1" w:themeTint="F2"/>
                <w:spacing w:val="-3"/>
              </w:rPr>
              <w:t> </w:t>
            </w:r>
            <w:r w:rsidRPr="00EF1C11">
              <w:rPr>
                <w:rFonts w:cs="Arial"/>
                <w:color w:val="0D0D0D" w:themeColor="text1" w:themeTint="F2"/>
                <w:spacing w:val="-3"/>
              </w:rPr>
              <w:t xml:space="preserve">Ústecku (+8,6 %). Šlo ale </w:t>
            </w:r>
            <w:r w:rsidR="00BC7833" w:rsidRPr="00EF1C11">
              <w:rPr>
                <w:rFonts w:cs="Arial"/>
                <w:color w:val="0D0D0D" w:themeColor="text1" w:themeTint="F2"/>
                <w:spacing w:val="-3"/>
              </w:rPr>
              <w:t>o</w:t>
            </w:r>
            <w:r w:rsidR="00BC7833">
              <w:rPr>
                <w:rFonts w:cs="Arial"/>
                <w:color w:val="0D0D0D" w:themeColor="text1" w:themeTint="F2"/>
                <w:spacing w:val="-3"/>
              </w:rPr>
              <w:t> </w:t>
            </w:r>
            <w:r w:rsidRPr="00EF1C11">
              <w:rPr>
                <w:rFonts w:cs="Arial"/>
                <w:color w:val="0D0D0D" w:themeColor="text1" w:themeTint="F2"/>
                <w:spacing w:val="-3"/>
              </w:rPr>
              <w:t>regiony, které z pohledu své mzdové úrovně patří v ČR dlouhodobě k nejslabším. Relativně nejméně si polepšili zaměstnanci pracující na</w:t>
            </w:r>
            <w:r w:rsidR="0064464B">
              <w:rPr>
                <w:rFonts w:cs="Arial"/>
                <w:color w:val="0D0D0D" w:themeColor="text1" w:themeTint="F2"/>
                <w:spacing w:val="-3"/>
              </w:rPr>
              <w:t xml:space="preserve"> </w:t>
            </w:r>
            <w:r w:rsidRPr="00EF1C11">
              <w:rPr>
                <w:rFonts w:cs="Arial"/>
                <w:color w:val="0D0D0D" w:themeColor="text1" w:themeTint="F2"/>
                <w:spacing w:val="-3"/>
              </w:rPr>
              <w:t>Plzeňsku</w:t>
            </w:r>
            <w:r>
              <w:rPr>
                <w:rFonts w:cs="Arial"/>
                <w:color w:val="0D0D0D" w:themeColor="text1" w:themeTint="F2"/>
                <w:spacing w:val="-3"/>
              </w:rPr>
              <w:t xml:space="preserve"> (+6,0</w:t>
            </w:r>
            <w:r w:rsidRPr="00EF1C11">
              <w:rPr>
                <w:rFonts w:cs="Arial"/>
                <w:color w:val="0D0D0D" w:themeColor="text1" w:themeTint="F2"/>
                <w:spacing w:val="-3"/>
              </w:rPr>
              <w:t> %), v roce 2017 ale patřil mzdový růst v tomto kraji k nejvyšším.</w:t>
            </w:r>
          </w:p>
        </w:tc>
      </w:tr>
      <w:tr w:rsidR="008E0EB6" w14:paraId="23D162BA" w14:textId="77777777" w:rsidTr="00A500A7">
        <w:trPr>
          <w:trHeight w:val="145"/>
        </w:trPr>
        <w:tc>
          <w:tcPr>
            <w:tcW w:w="1976" w:type="dxa"/>
            <w:tcBorders>
              <w:top w:val="nil"/>
              <w:left w:val="nil"/>
              <w:bottom w:val="nil"/>
              <w:right w:val="nil"/>
            </w:tcBorders>
          </w:tcPr>
          <w:p w14:paraId="05B43409" w14:textId="331E7E77" w:rsidR="008E0EB6" w:rsidRDefault="008E0EB6" w:rsidP="008E0EB6">
            <w:pPr>
              <w:pStyle w:val="Marginlie"/>
            </w:pPr>
            <w:r>
              <w:t>Karlovarský kraj zůstává dlouhod</w:t>
            </w:r>
            <w:r w:rsidR="0064464B">
              <w:t>o</w:t>
            </w:r>
            <w:r>
              <w:t>bě regionem s nejnižší</w:t>
            </w:r>
            <w:r w:rsidR="006454CC">
              <w:t xml:space="preserve"> </w:t>
            </w:r>
            <w:r>
              <w:t>průměrnou mzdou.</w:t>
            </w:r>
          </w:p>
          <w:p w14:paraId="6D3CF025" w14:textId="77777777" w:rsidR="008E0EB6" w:rsidRDefault="008E0EB6" w:rsidP="008E0EB6">
            <w:pPr>
              <w:pStyle w:val="Marginlie"/>
            </w:pPr>
          </w:p>
          <w:p w14:paraId="55D5A218" w14:textId="77777777" w:rsidR="008E0EB6" w:rsidRDefault="008E0EB6" w:rsidP="008E0EB6">
            <w:pPr>
              <w:pStyle w:val="Marginlie"/>
            </w:pPr>
          </w:p>
          <w:p w14:paraId="7FB846DC" w14:textId="77777777" w:rsidR="008E0EB6" w:rsidRDefault="008E0EB6" w:rsidP="008E0EB6">
            <w:pPr>
              <w:pStyle w:val="Marginlie"/>
            </w:pPr>
            <w:r>
              <w:t xml:space="preserve">Dlouhodobější oslabování pozice Prahy </w:t>
            </w:r>
            <w:r>
              <w:lastRenderedPageBreak/>
              <w:t>i Moravskoslezského kraje pokračovalo.</w:t>
            </w:r>
          </w:p>
        </w:tc>
        <w:tc>
          <w:tcPr>
            <w:tcW w:w="277" w:type="dxa"/>
            <w:tcBorders>
              <w:top w:val="nil"/>
              <w:left w:val="nil"/>
              <w:bottom w:val="nil"/>
              <w:right w:val="nil"/>
            </w:tcBorders>
          </w:tcPr>
          <w:p w14:paraId="5B836573" w14:textId="77777777" w:rsidR="008E0EB6" w:rsidRPr="005E4483" w:rsidRDefault="008E0EB6" w:rsidP="008E0EB6">
            <w:pPr>
              <w:pStyle w:val="Textpoznpodarou"/>
              <w:jc w:val="both"/>
              <w:rPr>
                <w:spacing w:val="-4"/>
              </w:rPr>
            </w:pPr>
          </w:p>
        </w:tc>
        <w:tc>
          <w:tcPr>
            <w:tcW w:w="7391" w:type="dxa"/>
            <w:tcBorders>
              <w:top w:val="nil"/>
              <w:left w:val="nil"/>
              <w:bottom w:val="nil"/>
              <w:right w:val="nil"/>
            </w:tcBorders>
          </w:tcPr>
          <w:p w14:paraId="5AD7CC9C" w14:textId="51C8256C" w:rsidR="008E0EB6" w:rsidRDefault="008E0EB6" w:rsidP="008E0EB6">
            <w:pPr>
              <w:spacing w:after="220"/>
              <w:rPr>
                <w:rFonts w:cs="Arial"/>
                <w:color w:val="0D0D0D" w:themeColor="text1" w:themeTint="F2"/>
                <w:spacing w:val="-4"/>
              </w:rPr>
            </w:pPr>
            <w:r>
              <w:rPr>
                <w:rFonts w:cs="Arial"/>
                <w:color w:val="0D0D0D" w:themeColor="text1" w:themeTint="F2"/>
                <w:spacing w:val="-4"/>
              </w:rPr>
              <w:t>Mezikrajské rozdíly ve výši mezd se loni dále snižovaly, po vyloučení Prahy pak setrvaly bez výraznějších změn. Regionem s nejnižší průměrnou mzdou zůstával Karlovarský kraj, za posledních patnáct let se téměř nezměnil ani jeho odstup (výše mzdy zůstává osminu pod úrovní celé</w:t>
            </w:r>
            <w:r w:rsidR="0064464B">
              <w:rPr>
                <w:rFonts w:cs="Arial"/>
                <w:color w:val="0D0D0D" w:themeColor="text1" w:themeTint="F2"/>
                <w:spacing w:val="-4"/>
              </w:rPr>
              <w:t> </w:t>
            </w:r>
            <w:r>
              <w:rPr>
                <w:rFonts w:cs="Arial"/>
                <w:color w:val="0D0D0D" w:themeColor="text1" w:themeTint="F2"/>
                <w:spacing w:val="-4"/>
              </w:rPr>
              <w:t>ČR</w:t>
            </w:r>
            <w:r w:rsidRPr="003E77E5">
              <w:rPr>
                <w:rStyle w:val="Znakapoznpodarou"/>
                <w:color w:val="0D0D0D" w:themeColor="text1" w:themeTint="F2"/>
                <w:spacing w:val="-4"/>
              </w:rPr>
              <w:footnoteReference w:id="63"/>
            </w:r>
            <w:r>
              <w:rPr>
                <w:rFonts w:cs="Arial"/>
                <w:color w:val="0D0D0D" w:themeColor="text1" w:themeTint="F2"/>
                <w:spacing w:val="-4"/>
              </w:rPr>
              <w:t>).</w:t>
            </w:r>
            <w:r w:rsidR="006454CC">
              <w:rPr>
                <w:rFonts w:cs="Arial"/>
                <w:color w:val="0D0D0D" w:themeColor="text1" w:themeTint="F2"/>
                <w:spacing w:val="-4"/>
              </w:rPr>
              <w:t xml:space="preserve"> </w:t>
            </w:r>
            <w:r>
              <w:rPr>
                <w:rFonts w:cs="Arial"/>
                <w:color w:val="0D0D0D" w:themeColor="text1" w:themeTint="F2"/>
                <w:spacing w:val="-4"/>
              </w:rPr>
              <w:t xml:space="preserve">Z dlouhodobějšího pohledu mírně oslabuje pozice Prahy </w:t>
            </w:r>
            <w:r w:rsidR="00BC7833">
              <w:rPr>
                <w:rFonts w:cs="Arial"/>
                <w:color w:val="0D0D0D" w:themeColor="text1" w:themeTint="F2"/>
                <w:spacing w:val="-4"/>
              </w:rPr>
              <w:t>a </w:t>
            </w:r>
            <w:r>
              <w:rPr>
                <w:rFonts w:cs="Arial"/>
                <w:color w:val="0D0D0D" w:themeColor="text1" w:themeTint="F2"/>
                <w:spacing w:val="-4"/>
              </w:rPr>
              <w:t>Moravskoslezského kraje. Slabší relativní růst pražských mezd byl zčásti „vykompenzován“ výraznějším posílením počtu zaměstnanců</w:t>
            </w:r>
            <w:r w:rsidRPr="003E77E5">
              <w:rPr>
                <w:rStyle w:val="Znakapoznpodarou"/>
                <w:color w:val="0D0D0D" w:themeColor="text1" w:themeTint="F2"/>
                <w:spacing w:val="-4"/>
              </w:rPr>
              <w:footnoteReference w:id="64"/>
            </w:r>
            <w:r>
              <w:rPr>
                <w:rFonts w:cs="Arial"/>
                <w:color w:val="0D0D0D" w:themeColor="text1" w:themeTint="F2"/>
                <w:spacing w:val="-4"/>
              </w:rPr>
              <w:t xml:space="preserve">, kterých zde za </w:t>
            </w:r>
            <w:r>
              <w:rPr>
                <w:rFonts w:cs="Arial"/>
                <w:color w:val="0D0D0D" w:themeColor="text1" w:themeTint="F2"/>
                <w:spacing w:val="-4"/>
              </w:rPr>
              <w:lastRenderedPageBreak/>
              <w:t xml:space="preserve">posledních pět let citelně přibylo </w:t>
            </w:r>
            <w:r w:rsidR="00BC7833">
              <w:rPr>
                <w:rFonts w:cs="Arial"/>
                <w:color w:val="0D0D0D" w:themeColor="text1" w:themeTint="F2"/>
                <w:spacing w:val="-4"/>
              </w:rPr>
              <w:t>i </w:t>
            </w:r>
            <w:r>
              <w:rPr>
                <w:rFonts w:cs="Arial"/>
                <w:color w:val="0D0D0D" w:themeColor="text1" w:themeTint="F2"/>
                <w:spacing w:val="-4"/>
              </w:rPr>
              <w:t>v odvětvích s nízkou mzdovou úrovní</w:t>
            </w:r>
            <w:r w:rsidRPr="003E77E5">
              <w:rPr>
                <w:rStyle w:val="Znakapoznpodarou"/>
                <w:color w:val="0D0D0D" w:themeColor="text1" w:themeTint="F2"/>
                <w:spacing w:val="-4"/>
              </w:rPr>
              <w:footnoteReference w:id="65"/>
            </w:r>
            <w:r>
              <w:rPr>
                <w:rFonts w:cs="Arial"/>
                <w:color w:val="0D0D0D" w:themeColor="text1" w:themeTint="F2"/>
                <w:spacing w:val="-4"/>
              </w:rPr>
              <w:t>. Zatímco zhoršení postavení metropole bylo výsledkem vývoje v poslední dekádě (</w:t>
            </w:r>
            <w:r w:rsidR="00BC7833">
              <w:rPr>
                <w:rFonts w:cs="Arial"/>
                <w:color w:val="0D0D0D" w:themeColor="text1" w:themeTint="F2"/>
                <w:spacing w:val="-4"/>
              </w:rPr>
              <w:t>v </w:t>
            </w:r>
            <w:r>
              <w:rPr>
                <w:rFonts w:cs="Arial"/>
                <w:color w:val="0D0D0D" w:themeColor="text1" w:themeTint="F2"/>
                <w:spacing w:val="-4"/>
              </w:rPr>
              <w:t xml:space="preserve">roce 2018 zde průměrné mzdy </w:t>
            </w:r>
            <w:r w:rsidR="0064464B">
              <w:rPr>
                <w:rFonts w:cs="Arial"/>
                <w:color w:val="0D0D0D" w:themeColor="text1" w:themeTint="F2"/>
                <w:spacing w:val="-4"/>
              </w:rPr>
              <w:t xml:space="preserve">převyšovaly </w:t>
            </w:r>
            <w:r>
              <w:rPr>
                <w:rFonts w:cs="Arial"/>
                <w:color w:val="0D0D0D" w:themeColor="text1" w:themeTint="F2"/>
                <w:spacing w:val="-4"/>
              </w:rPr>
              <w:t>úroveň</w:t>
            </w:r>
            <w:r w:rsidR="0064464B">
              <w:rPr>
                <w:rFonts w:cs="Arial"/>
                <w:color w:val="0D0D0D" w:themeColor="text1" w:themeTint="F2"/>
                <w:spacing w:val="-4"/>
              </w:rPr>
              <w:t> </w:t>
            </w:r>
            <w:r>
              <w:rPr>
                <w:rFonts w:cs="Arial"/>
                <w:color w:val="0D0D0D" w:themeColor="text1" w:themeTint="F2"/>
                <w:spacing w:val="-4"/>
              </w:rPr>
              <w:t xml:space="preserve">ČR </w:t>
            </w:r>
            <w:r w:rsidR="00BC7833">
              <w:rPr>
                <w:rFonts w:cs="Arial"/>
                <w:color w:val="0D0D0D" w:themeColor="text1" w:themeTint="F2"/>
                <w:spacing w:val="-4"/>
              </w:rPr>
              <w:t>o </w:t>
            </w:r>
            <w:r>
              <w:rPr>
                <w:rFonts w:cs="Arial"/>
                <w:color w:val="0D0D0D" w:themeColor="text1" w:themeTint="F2"/>
                <w:spacing w:val="-4"/>
              </w:rPr>
              <w:t xml:space="preserve">čtvrtinu, před deseti lety </w:t>
            </w:r>
            <w:r w:rsidR="00BC7833">
              <w:rPr>
                <w:rFonts w:cs="Arial"/>
                <w:color w:val="0D0D0D" w:themeColor="text1" w:themeTint="F2"/>
                <w:spacing w:val="-4"/>
              </w:rPr>
              <w:t>o </w:t>
            </w:r>
            <w:r>
              <w:rPr>
                <w:rFonts w:cs="Arial"/>
                <w:color w:val="0D0D0D" w:themeColor="text1" w:themeTint="F2"/>
                <w:spacing w:val="-4"/>
              </w:rPr>
              <w:t xml:space="preserve">třetinu), u Moravskoslezského kraje šlo </w:t>
            </w:r>
            <w:r w:rsidR="00BC7833">
              <w:rPr>
                <w:rFonts w:cs="Arial"/>
                <w:color w:val="0D0D0D" w:themeColor="text1" w:themeTint="F2"/>
                <w:spacing w:val="-4"/>
              </w:rPr>
              <w:t>o </w:t>
            </w:r>
            <w:r>
              <w:rPr>
                <w:rFonts w:cs="Arial"/>
                <w:color w:val="0D0D0D" w:themeColor="text1" w:themeTint="F2"/>
                <w:spacing w:val="-4"/>
              </w:rPr>
              <w:t>dlouhodobější pozvolný proces související s náročnou transformací odvětvové skladby místní ekonomiky.</w:t>
            </w:r>
          </w:p>
        </w:tc>
      </w:tr>
      <w:tr w:rsidR="008E0EB6" w14:paraId="6AD7DA08" w14:textId="77777777" w:rsidTr="00A500A7">
        <w:trPr>
          <w:trHeight w:val="145"/>
        </w:trPr>
        <w:tc>
          <w:tcPr>
            <w:tcW w:w="1976" w:type="dxa"/>
            <w:tcBorders>
              <w:top w:val="nil"/>
              <w:left w:val="nil"/>
              <w:bottom w:val="nil"/>
              <w:right w:val="nil"/>
            </w:tcBorders>
          </w:tcPr>
          <w:p w14:paraId="32C53C2F" w14:textId="77777777" w:rsidR="008E0EB6" w:rsidRDefault="008E0EB6" w:rsidP="008E0EB6">
            <w:pPr>
              <w:pStyle w:val="Marginlie"/>
            </w:pPr>
          </w:p>
        </w:tc>
        <w:tc>
          <w:tcPr>
            <w:tcW w:w="277" w:type="dxa"/>
            <w:tcBorders>
              <w:top w:val="nil"/>
              <w:left w:val="nil"/>
              <w:bottom w:val="nil"/>
              <w:right w:val="nil"/>
            </w:tcBorders>
          </w:tcPr>
          <w:p w14:paraId="53A29CE8" w14:textId="77777777" w:rsidR="008E0EB6" w:rsidRPr="005E4483" w:rsidRDefault="008E0EB6" w:rsidP="008E0EB6">
            <w:pPr>
              <w:pStyle w:val="Textpoznpodarou"/>
              <w:jc w:val="both"/>
              <w:rPr>
                <w:spacing w:val="-4"/>
              </w:rPr>
            </w:pPr>
          </w:p>
        </w:tc>
        <w:tc>
          <w:tcPr>
            <w:tcW w:w="7391" w:type="dxa"/>
            <w:tcBorders>
              <w:top w:val="nil"/>
              <w:left w:val="nil"/>
              <w:bottom w:val="nil"/>
              <w:right w:val="nil"/>
            </w:tcBorders>
          </w:tcPr>
          <w:p w14:paraId="2A53C5CC" w14:textId="79ACFB71" w:rsidR="008E0EB6" w:rsidRDefault="008E0EB6" w:rsidP="008E1F66">
            <w:pPr>
              <w:spacing w:after="0"/>
              <w:jc w:val="left"/>
              <w:rPr>
                <w:rFonts w:cs="Arial"/>
                <w:color w:val="0D0D0D" w:themeColor="text1" w:themeTint="F2"/>
                <w:spacing w:val="-4"/>
              </w:rPr>
            </w:pPr>
            <w:r w:rsidRPr="00EE6974">
              <w:rPr>
                <w:b/>
                <w:spacing w:val="-2"/>
              </w:rPr>
              <w:t xml:space="preserve">Graf </w:t>
            </w:r>
            <w:r w:rsidR="00BA35F3">
              <w:rPr>
                <w:b/>
                <w:spacing w:val="-2"/>
              </w:rPr>
              <w:t>č. </w:t>
            </w:r>
            <w:r w:rsidR="00306AD7">
              <w:rPr>
                <w:b/>
                <w:spacing w:val="-2"/>
              </w:rPr>
              <w:t>2</w:t>
            </w:r>
            <w:r w:rsidRPr="00EE6974">
              <w:rPr>
                <w:b/>
                <w:spacing w:val="-2"/>
              </w:rPr>
              <w:t>2</w:t>
            </w:r>
            <w:r w:rsidR="00A67D62">
              <w:rPr>
                <w:b/>
                <w:spacing w:val="-2"/>
              </w:rPr>
              <w:t xml:space="preserve"> </w:t>
            </w:r>
            <w:r w:rsidRPr="00EE6974">
              <w:rPr>
                <w:b/>
                <w:spacing w:val="-2"/>
              </w:rPr>
              <w:t xml:space="preserve"> Změna průměrných mezd ve vybraných krajích ČR </w:t>
            </w:r>
            <w:r w:rsidRPr="00EE6974">
              <w:rPr>
                <w:spacing w:val="-2"/>
              </w:rPr>
              <w:t>(meziročně v</w:t>
            </w:r>
            <w:r w:rsidR="006454CC">
              <w:rPr>
                <w:spacing w:val="-2"/>
              </w:rPr>
              <w:t> %</w:t>
            </w:r>
            <w:r w:rsidRPr="00EE6974">
              <w:rPr>
                <w:spacing w:val="-2"/>
              </w:rPr>
              <w:t>)</w:t>
            </w:r>
            <w:r w:rsidR="008E1F66">
              <w:rPr>
                <w:spacing w:val="-2"/>
              </w:rPr>
              <w:br/>
            </w:r>
            <w:r w:rsidR="00BC7833" w:rsidRPr="00EE6974">
              <w:rPr>
                <w:b/>
                <w:spacing w:val="-2"/>
              </w:rPr>
              <w:t>a</w:t>
            </w:r>
            <w:r w:rsidR="00BC7833">
              <w:rPr>
                <w:b/>
                <w:spacing w:val="-2"/>
              </w:rPr>
              <w:t> </w:t>
            </w:r>
            <w:r w:rsidRPr="00EE6974">
              <w:rPr>
                <w:b/>
                <w:spacing w:val="-2"/>
              </w:rPr>
              <w:t xml:space="preserve">úroveň mezd v Praze </w:t>
            </w:r>
            <w:r w:rsidR="00BC7833" w:rsidRPr="00EE6974">
              <w:rPr>
                <w:b/>
                <w:spacing w:val="-2"/>
              </w:rPr>
              <w:t>a</w:t>
            </w:r>
            <w:r w:rsidR="00BC7833">
              <w:rPr>
                <w:b/>
                <w:spacing w:val="-2"/>
              </w:rPr>
              <w:t> </w:t>
            </w:r>
            <w:r w:rsidRPr="00EE6974">
              <w:rPr>
                <w:b/>
                <w:spacing w:val="-2"/>
              </w:rPr>
              <w:t xml:space="preserve">Karlovarském kraji </w:t>
            </w:r>
            <w:r w:rsidRPr="00EE6974">
              <w:rPr>
                <w:spacing w:val="-2"/>
              </w:rPr>
              <w:t>(ČR</w:t>
            </w:r>
            <w:r w:rsidR="008E1F66">
              <w:rPr>
                <w:spacing w:val="-2"/>
              </w:rPr>
              <w:t xml:space="preserve"> </w:t>
            </w:r>
            <w:r w:rsidRPr="00EE6974">
              <w:rPr>
                <w:spacing w:val="-2"/>
              </w:rPr>
              <w:t>=</w:t>
            </w:r>
            <w:r w:rsidR="008E1F66">
              <w:rPr>
                <w:spacing w:val="-2"/>
              </w:rPr>
              <w:t xml:space="preserve"> </w:t>
            </w:r>
            <w:r w:rsidRPr="00EE6974">
              <w:rPr>
                <w:spacing w:val="-2"/>
              </w:rPr>
              <w:t>100, pravá osa)</w:t>
            </w:r>
          </w:p>
        </w:tc>
      </w:tr>
      <w:tr w:rsidR="008E0EB6" w14:paraId="108A6C15" w14:textId="77777777" w:rsidTr="00212D83">
        <w:tblPrEx>
          <w:tblCellMar>
            <w:left w:w="70" w:type="dxa"/>
            <w:right w:w="70" w:type="dxa"/>
          </w:tblCellMar>
        </w:tblPrEx>
        <w:trPr>
          <w:trHeight w:val="145"/>
        </w:trPr>
        <w:tc>
          <w:tcPr>
            <w:tcW w:w="1976" w:type="dxa"/>
            <w:tcBorders>
              <w:top w:val="nil"/>
              <w:left w:val="nil"/>
              <w:bottom w:val="nil"/>
              <w:right w:val="nil"/>
            </w:tcBorders>
          </w:tcPr>
          <w:p w14:paraId="75D44436" w14:textId="77777777" w:rsidR="008E0EB6" w:rsidRDefault="008E0EB6" w:rsidP="008E0EB6">
            <w:pPr>
              <w:pStyle w:val="Marginlie"/>
            </w:pPr>
          </w:p>
        </w:tc>
        <w:tc>
          <w:tcPr>
            <w:tcW w:w="277" w:type="dxa"/>
            <w:tcBorders>
              <w:top w:val="nil"/>
              <w:left w:val="nil"/>
              <w:bottom w:val="nil"/>
              <w:right w:val="nil"/>
            </w:tcBorders>
          </w:tcPr>
          <w:p w14:paraId="6B49CD9E" w14:textId="77777777" w:rsidR="008E0EB6" w:rsidRPr="005E4483" w:rsidRDefault="008E0EB6" w:rsidP="008E0EB6">
            <w:pPr>
              <w:pStyle w:val="Textpoznpodarou"/>
              <w:jc w:val="both"/>
              <w:rPr>
                <w:spacing w:val="-4"/>
              </w:rPr>
            </w:pPr>
          </w:p>
        </w:tc>
        <w:tc>
          <w:tcPr>
            <w:tcW w:w="7391" w:type="dxa"/>
            <w:tcBorders>
              <w:top w:val="nil"/>
              <w:left w:val="nil"/>
              <w:bottom w:val="nil"/>
              <w:right w:val="nil"/>
            </w:tcBorders>
          </w:tcPr>
          <w:p w14:paraId="096205F0" w14:textId="051A0632" w:rsidR="008E0EB6" w:rsidRDefault="00212D83" w:rsidP="008E0EB6">
            <w:pPr>
              <w:spacing w:after="0"/>
              <w:rPr>
                <w:rFonts w:cs="Arial"/>
                <w:color w:val="0D0D0D" w:themeColor="text1" w:themeTint="F2"/>
                <w:spacing w:val="-4"/>
              </w:rPr>
            </w:pPr>
            <w:r>
              <w:rPr>
                <w:noProof/>
              </w:rPr>
              <w:drawing>
                <wp:inline distT="0" distB="0" distL="0" distR="0" wp14:anchorId="526C6FE6" wp14:editId="76003495">
                  <wp:extent cx="4604385" cy="3347085"/>
                  <wp:effectExtent l="0" t="0" r="5715" b="5715"/>
                  <wp:docPr id="67" name="Graf 67"/>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tc>
      </w:tr>
      <w:tr w:rsidR="008E0EB6" w:rsidRPr="00711FC2" w14:paraId="30B5ADBD" w14:textId="77777777" w:rsidTr="00A500A7">
        <w:trPr>
          <w:trHeight w:val="145"/>
        </w:trPr>
        <w:tc>
          <w:tcPr>
            <w:tcW w:w="1976" w:type="dxa"/>
            <w:tcBorders>
              <w:top w:val="nil"/>
              <w:left w:val="nil"/>
              <w:bottom w:val="nil"/>
              <w:right w:val="nil"/>
            </w:tcBorders>
          </w:tcPr>
          <w:p w14:paraId="29611555" w14:textId="77777777" w:rsidR="008E0EB6" w:rsidRDefault="008E0EB6" w:rsidP="008E0EB6">
            <w:pPr>
              <w:pStyle w:val="Marginlie"/>
            </w:pPr>
          </w:p>
        </w:tc>
        <w:tc>
          <w:tcPr>
            <w:tcW w:w="277" w:type="dxa"/>
            <w:tcBorders>
              <w:top w:val="nil"/>
              <w:left w:val="nil"/>
              <w:bottom w:val="nil"/>
              <w:right w:val="nil"/>
            </w:tcBorders>
          </w:tcPr>
          <w:p w14:paraId="0C7C1E19" w14:textId="77777777" w:rsidR="008E0EB6" w:rsidRPr="005E4483" w:rsidRDefault="008E0EB6" w:rsidP="008E0EB6">
            <w:pPr>
              <w:pStyle w:val="Textpoznpodarou"/>
              <w:jc w:val="both"/>
              <w:rPr>
                <w:spacing w:val="-4"/>
              </w:rPr>
            </w:pPr>
          </w:p>
        </w:tc>
        <w:tc>
          <w:tcPr>
            <w:tcW w:w="7391" w:type="dxa"/>
            <w:tcBorders>
              <w:top w:val="nil"/>
              <w:left w:val="nil"/>
              <w:bottom w:val="nil"/>
              <w:right w:val="nil"/>
            </w:tcBorders>
          </w:tcPr>
          <w:p w14:paraId="109B4BC0" w14:textId="7C370E97" w:rsidR="008E0EB6" w:rsidRPr="00711FC2" w:rsidRDefault="008E0EB6" w:rsidP="008E0EB6">
            <w:r>
              <w:rPr>
                <w:rFonts w:cs="Arial"/>
                <w:sz w:val="14"/>
                <w:szCs w:val="14"/>
              </w:rPr>
              <w:t>Zdroj: ČSÚ (podniková statistika, údaje ze čtvrtletních šetření)</w:t>
            </w:r>
          </w:p>
        </w:tc>
      </w:tr>
      <w:tr w:rsidR="008E0EB6" w14:paraId="76194463" w14:textId="77777777" w:rsidTr="00A500A7">
        <w:trPr>
          <w:trHeight w:val="145"/>
        </w:trPr>
        <w:tc>
          <w:tcPr>
            <w:tcW w:w="1976" w:type="dxa"/>
            <w:tcBorders>
              <w:top w:val="nil"/>
              <w:left w:val="nil"/>
              <w:bottom w:val="nil"/>
              <w:right w:val="nil"/>
            </w:tcBorders>
          </w:tcPr>
          <w:p w14:paraId="44D6ECD9" w14:textId="77777777" w:rsidR="008E0EB6" w:rsidRDefault="008E0EB6" w:rsidP="008E0EB6">
            <w:pPr>
              <w:pStyle w:val="Marginlie"/>
            </w:pPr>
            <w:r>
              <w:t>Výše průměrných mezd ve Středočeském kraji se dále pohybovala těsně nad republikovým průměrem.</w:t>
            </w:r>
          </w:p>
        </w:tc>
        <w:tc>
          <w:tcPr>
            <w:tcW w:w="277" w:type="dxa"/>
            <w:tcBorders>
              <w:top w:val="nil"/>
              <w:left w:val="nil"/>
              <w:bottom w:val="nil"/>
              <w:right w:val="nil"/>
            </w:tcBorders>
          </w:tcPr>
          <w:p w14:paraId="04491BB9" w14:textId="77777777" w:rsidR="008E0EB6" w:rsidRPr="005E4483" w:rsidRDefault="008E0EB6" w:rsidP="008E0EB6">
            <w:pPr>
              <w:pStyle w:val="Textpoznpodarou"/>
              <w:jc w:val="both"/>
              <w:rPr>
                <w:spacing w:val="-4"/>
              </w:rPr>
            </w:pPr>
          </w:p>
        </w:tc>
        <w:tc>
          <w:tcPr>
            <w:tcW w:w="7391" w:type="dxa"/>
            <w:tcBorders>
              <w:top w:val="nil"/>
              <w:left w:val="nil"/>
              <w:bottom w:val="nil"/>
              <w:right w:val="nil"/>
            </w:tcBorders>
          </w:tcPr>
          <w:p w14:paraId="03B9485A" w14:textId="59876FA4" w:rsidR="008E0EB6" w:rsidRDefault="008E0EB6" w:rsidP="008E0EB6">
            <w:pPr>
              <w:spacing w:after="220"/>
              <w:rPr>
                <w:rFonts w:cs="Arial"/>
                <w:color w:val="0D0D0D" w:themeColor="text1" w:themeTint="F2"/>
                <w:spacing w:val="-4"/>
              </w:rPr>
            </w:pPr>
            <w:r>
              <w:rPr>
                <w:rFonts w:cs="Arial"/>
                <w:color w:val="0D0D0D" w:themeColor="text1" w:themeTint="F2"/>
                <w:spacing w:val="-4"/>
              </w:rPr>
              <w:t xml:space="preserve">Pokračovalo také posilování pozice Středočeského kraje, jenž se dorovnal republikové úrovni mezd v roce 2013 </w:t>
            </w:r>
            <w:r w:rsidR="00BC7833">
              <w:rPr>
                <w:rFonts w:cs="Arial"/>
                <w:color w:val="0D0D0D" w:themeColor="text1" w:themeTint="F2"/>
                <w:spacing w:val="-4"/>
              </w:rPr>
              <w:t>a </w:t>
            </w:r>
            <w:r>
              <w:rPr>
                <w:rFonts w:cs="Arial"/>
                <w:color w:val="0D0D0D" w:themeColor="text1" w:themeTint="F2"/>
                <w:spacing w:val="-4"/>
              </w:rPr>
              <w:t xml:space="preserve">v roce 2018 ji překonal </w:t>
            </w:r>
            <w:r w:rsidR="00BC7833">
              <w:rPr>
                <w:rFonts w:cs="Arial"/>
                <w:color w:val="0D0D0D" w:themeColor="text1" w:themeTint="F2"/>
                <w:spacing w:val="-4"/>
              </w:rPr>
              <w:t>o </w:t>
            </w:r>
            <w:r>
              <w:rPr>
                <w:rFonts w:cs="Arial"/>
                <w:color w:val="0D0D0D" w:themeColor="text1" w:themeTint="F2"/>
                <w:spacing w:val="-4"/>
              </w:rPr>
              <w:t>2</w:t>
            </w:r>
            <w:r w:rsidR="006454CC">
              <w:rPr>
                <w:rFonts w:cs="Arial"/>
                <w:color w:val="0D0D0D" w:themeColor="text1" w:themeTint="F2"/>
                <w:spacing w:val="-4"/>
              </w:rPr>
              <w:t> %</w:t>
            </w:r>
            <w:r>
              <w:rPr>
                <w:rFonts w:cs="Arial"/>
                <w:color w:val="0D0D0D" w:themeColor="text1" w:themeTint="F2"/>
                <w:spacing w:val="-4"/>
              </w:rPr>
              <w:t>. Projevil se zde nejen vliv sílících výdělků pracovníků automobilového průmyslu (</w:t>
            </w:r>
            <w:r w:rsidR="00BC7833">
              <w:rPr>
                <w:rFonts w:cs="Arial"/>
                <w:color w:val="0D0D0D" w:themeColor="text1" w:themeTint="F2"/>
                <w:spacing w:val="-4"/>
              </w:rPr>
              <w:t>a </w:t>
            </w:r>
            <w:r>
              <w:rPr>
                <w:rFonts w:cs="Arial"/>
                <w:color w:val="0D0D0D" w:themeColor="text1" w:themeTint="F2"/>
                <w:spacing w:val="-4"/>
              </w:rPr>
              <w:t xml:space="preserve">sním souvisejících oborů), ale </w:t>
            </w:r>
            <w:r w:rsidR="00BC7833">
              <w:rPr>
                <w:rFonts w:cs="Arial"/>
                <w:color w:val="0D0D0D" w:themeColor="text1" w:themeTint="F2"/>
                <w:spacing w:val="-4"/>
              </w:rPr>
              <w:t>i </w:t>
            </w:r>
            <w:r>
              <w:rPr>
                <w:rFonts w:cs="Arial"/>
                <w:color w:val="0D0D0D" w:themeColor="text1" w:themeTint="F2"/>
                <w:spacing w:val="-4"/>
              </w:rPr>
              <w:t xml:space="preserve">růst kvalifikovaných pracovních míst v těsném zázemí metropole (výzkumná či logistická centra). Od poslední recese si mírně polepšily </w:t>
            </w:r>
            <w:r w:rsidR="00BC7833">
              <w:rPr>
                <w:rFonts w:cs="Arial"/>
                <w:color w:val="0D0D0D" w:themeColor="text1" w:themeTint="F2"/>
                <w:spacing w:val="-4"/>
              </w:rPr>
              <w:t>i </w:t>
            </w:r>
            <w:r>
              <w:rPr>
                <w:rFonts w:cs="Arial"/>
                <w:color w:val="0D0D0D" w:themeColor="text1" w:themeTint="F2"/>
                <w:spacing w:val="-4"/>
              </w:rPr>
              <w:t xml:space="preserve">Plzeňský kraj, Vysočina či regiony východních Čech. Svižnější mzdový růst zde souvisel </w:t>
            </w:r>
            <w:r w:rsidR="00BC7833">
              <w:rPr>
                <w:rFonts w:cs="Arial"/>
                <w:color w:val="0D0D0D" w:themeColor="text1" w:themeTint="F2"/>
                <w:spacing w:val="-4"/>
              </w:rPr>
              <w:t>s </w:t>
            </w:r>
            <w:r>
              <w:rPr>
                <w:rFonts w:cs="Arial"/>
                <w:color w:val="0D0D0D" w:themeColor="text1" w:themeTint="F2"/>
                <w:spacing w:val="-4"/>
              </w:rPr>
              <w:t xml:space="preserve">nízkou nezaměstnaností, vysokým počtem neobsazených pracovních míst </w:t>
            </w:r>
            <w:r w:rsidR="00BC7833">
              <w:rPr>
                <w:rFonts w:cs="Arial"/>
                <w:color w:val="0D0D0D" w:themeColor="text1" w:themeTint="F2"/>
                <w:spacing w:val="-4"/>
              </w:rPr>
              <w:t>i </w:t>
            </w:r>
            <w:r w:rsidR="0064464B">
              <w:rPr>
                <w:rFonts w:cs="Arial"/>
                <w:color w:val="0D0D0D" w:themeColor="text1" w:themeTint="F2"/>
                <w:spacing w:val="-4"/>
              </w:rPr>
              <w:t>s </w:t>
            </w:r>
            <w:r>
              <w:rPr>
                <w:rFonts w:cs="Arial"/>
                <w:color w:val="0D0D0D" w:themeColor="text1" w:themeTint="F2"/>
                <w:spacing w:val="-4"/>
              </w:rPr>
              <w:t>rozvojem výrazně proexportních průmyslových oborů.</w:t>
            </w:r>
          </w:p>
        </w:tc>
      </w:tr>
    </w:tbl>
    <w:p w14:paraId="426183CC" w14:textId="77777777" w:rsidR="00AA4F0A" w:rsidRDefault="00306AD7" w:rsidP="00AA4F0A">
      <w:pPr>
        <w:pStyle w:val="Normalodrka"/>
        <w:numPr>
          <w:ilvl w:val="0"/>
          <w:numId w:val="0"/>
        </w:numPr>
        <w:spacing w:after="0"/>
        <w:rPr>
          <w:rFonts w:eastAsia="MS Gothic"/>
          <w:bCs/>
          <w:color w:val="71818C"/>
          <w:szCs w:val="20"/>
        </w:rPr>
      </w:pPr>
      <w:r>
        <w:rPr>
          <w:rFonts w:eastAsia="MS Gothic"/>
          <w:b/>
          <w:bCs/>
          <w:color w:val="71818C"/>
          <w:sz w:val="28"/>
          <w:szCs w:val="28"/>
        </w:rPr>
        <w:t xml:space="preserve">3.2. </w:t>
      </w:r>
      <w:r w:rsidR="00AA4F0A">
        <w:rPr>
          <w:rFonts w:eastAsia="MS Gothic"/>
          <w:b/>
          <w:bCs/>
          <w:color w:val="71818C"/>
          <w:sz w:val="28"/>
          <w:szCs w:val="28"/>
        </w:rPr>
        <w:t>Mzdová diferenciace</w:t>
      </w:r>
    </w:p>
    <w:tbl>
      <w:tblPr>
        <w:tblW w:w="9644"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firstRow="1" w:lastRow="0" w:firstColumn="1" w:lastColumn="0" w:noHBand="0" w:noVBand="0"/>
      </w:tblPr>
      <w:tblGrid>
        <w:gridCol w:w="1976"/>
        <w:gridCol w:w="277"/>
        <w:gridCol w:w="7391"/>
      </w:tblGrid>
      <w:tr w:rsidR="00AA4F0A" w:rsidRPr="005A2E40" w14:paraId="469E86D8" w14:textId="77777777" w:rsidTr="00A500A7">
        <w:trPr>
          <w:trHeight w:val="429"/>
        </w:trPr>
        <w:tc>
          <w:tcPr>
            <w:tcW w:w="1976" w:type="dxa"/>
            <w:tcBorders>
              <w:top w:val="nil"/>
              <w:left w:val="nil"/>
              <w:bottom w:val="nil"/>
              <w:right w:val="nil"/>
            </w:tcBorders>
          </w:tcPr>
          <w:p w14:paraId="320A1070" w14:textId="7FA0E079" w:rsidR="00AA4F0A" w:rsidRPr="00106639" w:rsidRDefault="00AA4F0A" w:rsidP="00A500A7">
            <w:pPr>
              <w:pStyle w:val="Marginlie"/>
            </w:pPr>
            <w:r>
              <w:t>Trend snižování celkových mzdových rozdílů pokračoval.</w:t>
            </w:r>
          </w:p>
        </w:tc>
        <w:tc>
          <w:tcPr>
            <w:tcW w:w="277" w:type="dxa"/>
            <w:tcBorders>
              <w:top w:val="nil"/>
              <w:left w:val="nil"/>
              <w:bottom w:val="nil"/>
              <w:right w:val="nil"/>
            </w:tcBorders>
          </w:tcPr>
          <w:p w14:paraId="47255EAC" w14:textId="77777777" w:rsidR="00AA4F0A" w:rsidRPr="005E4483" w:rsidRDefault="00AA4F0A" w:rsidP="00A500A7">
            <w:pPr>
              <w:pStyle w:val="Textpoznpodarou"/>
              <w:jc w:val="both"/>
              <w:rPr>
                <w:spacing w:val="-4"/>
              </w:rPr>
            </w:pPr>
          </w:p>
        </w:tc>
        <w:tc>
          <w:tcPr>
            <w:tcW w:w="7391" w:type="dxa"/>
            <w:tcBorders>
              <w:top w:val="nil"/>
              <w:left w:val="nil"/>
              <w:bottom w:val="nil"/>
              <w:right w:val="nil"/>
            </w:tcBorders>
          </w:tcPr>
          <w:p w14:paraId="7FADB8FC" w14:textId="12A29AA5" w:rsidR="00AA4F0A" w:rsidRPr="0086454A" w:rsidRDefault="00AA4F0A" w:rsidP="00A500A7">
            <w:pPr>
              <w:spacing w:after="220"/>
              <w:rPr>
                <w:rFonts w:cs="Arial"/>
                <w:color w:val="0D0D0D" w:themeColor="text1" w:themeTint="F2"/>
                <w:spacing w:val="-4"/>
              </w:rPr>
            </w:pPr>
            <w:r>
              <w:rPr>
                <w:rFonts w:cs="Arial"/>
                <w:color w:val="0D0D0D" w:themeColor="text1" w:themeTint="F2"/>
                <w:spacing w:val="-4"/>
              </w:rPr>
              <w:t xml:space="preserve">Detailnější </w:t>
            </w:r>
            <w:r w:rsidRPr="00D13306">
              <w:rPr>
                <w:rFonts w:cs="Arial"/>
                <w:color w:val="0D0D0D" w:themeColor="text1" w:themeTint="F2"/>
                <w:spacing w:val="-4"/>
              </w:rPr>
              <w:t xml:space="preserve">pohled na diferenciaci mezd umožňuje </w:t>
            </w:r>
            <w:r w:rsidRPr="003E77E5">
              <w:rPr>
                <w:rFonts w:cs="Arial"/>
                <w:color w:val="0D0D0D" w:themeColor="text1" w:themeTint="F2"/>
                <w:spacing w:val="-4"/>
              </w:rPr>
              <w:t>strukturální mzdová statistika</w:t>
            </w:r>
            <w:r w:rsidRPr="00D13306">
              <w:rPr>
                <w:rFonts w:cs="Arial"/>
                <w:vertAlign w:val="superscript"/>
              </w:rPr>
              <w:footnoteReference w:id="66"/>
            </w:r>
            <w:r>
              <w:rPr>
                <w:rFonts w:cs="Arial"/>
                <w:color w:val="0D0D0D" w:themeColor="text1" w:themeTint="F2"/>
                <w:spacing w:val="-4"/>
              </w:rPr>
              <w:t>. Údaje z posledních let naznačují, že prohlubování mzdové diferenciace, jež bylo typické pro dvě předchozí dekády, se zastavilo</w:t>
            </w:r>
            <w:r w:rsidRPr="00D13306">
              <w:rPr>
                <w:rFonts w:cs="Arial"/>
                <w:vertAlign w:val="superscript"/>
              </w:rPr>
              <w:footnoteReference w:id="67"/>
            </w:r>
            <w:r>
              <w:rPr>
                <w:rFonts w:cs="Arial"/>
                <w:color w:val="0D0D0D" w:themeColor="text1" w:themeTint="F2"/>
                <w:spacing w:val="-4"/>
              </w:rPr>
              <w:t xml:space="preserve">. To dokládá </w:t>
            </w:r>
            <w:r w:rsidR="00BC7833">
              <w:rPr>
                <w:rFonts w:cs="Arial"/>
                <w:color w:val="0D0D0D" w:themeColor="text1" w:themeTint="F2"/>
                <w:spacing w:val="-4"/>
              </w:rPr>
              <w:t>i </w:t>
            </w:r>
            <w:r>
              <w:rPr>
                <w:rFonts w:cs="Arial"/>
                <w:color w:val="0D0D0D" w:themeColor="text1" w:themeTint="F2"/>
                <w:spacing w:val="-4"/>
              </w:rPr>
              <w:t xml:space="preserve">hodnota variačního koeficientu mezd, která v současné dekádě klesala (vyjma let 2012 </w:t>
            </w:r>
            <w:r w:rsidR="00BC7833">
              <w:rPr>
                <w:rFonts w:cs="Arial"/>
                <w:color w:val="0D0D0D" w:themeColor="text1" w:themeTint="F2"/>
                <w:spacing w:val="-4"/>
              </w:rPr>
              <w:t>a </w:t>
            </w:r>
            <w:r>
              <w:rPr>
                <w:rFonts w:cs="Arial"/>
                <w:color w:val="0D0D0D" w:themeColor="text1" w:themeTint="F2"/>
                <w:spacing w:val="-4"/>
              </w:rPr>
              <w:t xml:space="preserve">2014). Zatímco v roce 2011 činila </w:t>
            </w:r>
            <w:r>
              <w:rPr>
                <w:rFonts w:cs="Arial"/>
                <w:color w:val="0D0D0D" w:themeColor="text1" w:themeTint="F2"/>
                <w:spacing w:val="-4"/>
              </w:rPr>
              <w:lastRenderedPageBreak/>
              <w:t>83,3</w:t>
            </w:r>
            <w:r w:rsidR="006454CC">
              <w:rPr>
                <w:rFonts w:cs="Arial"/>
                <w:color w:val="0D0D0D" w:themeColor="text1" w:themeTint="F2"/>
                <w:spacing w:val="-4"/>
              </w:rPr>
              <w:t> %</w:t>
            </w:r>
            <w:r>
              <w:rPr>
                <w:rFonts w:cs="Arial"/>
                <w:color w:val="0D0D0D" w:themeColor="text1" w:themeTint="F2"/>
                <w:spacing w:val="-4"/>
              </w:rPr>
              <w:t>, loni jen 72,9</w:t>
            </w:r>
            <w:r w:rsidR="006454CC">
              <w:rPr>
                <w:rFonts w:cs="Arial"/>
                <w:color w:val="0D0D0D" w:themeColor="text1" w:themeTint="F2"/>
                <w:spacing w:val="-4"/>
              </w:rPr>
              <w:t> %</w:t>
            </w:r>
            <w:r>
              <w:rPr>
                <w:rFonts w:cs="Arial"/>
                <w:color w:val="0D0D0D" w:themeColor="text1" w:themeTint="F2"/>
                <w:spacing w:val="-4"/>
              </w:rPr>
              <w:t xml:space="preserve">. </w:t>
            </w:r>
            <w:r w:rsidR="00993D73">
              <w:rPr>
                <w:rFonts w:cs="Arial"/>
                <w:color w:val="0D0D0D" w:themeColor="text1" w:themeTint="F2"/>
                <w:spacing w:val="-4"/>
              </w:rPr>
              <w:t>Z v</w:t>
            </w:r>
            <w:r>
              <w:rPr>
                <w:rFonts w:cs="Arial"/>
                <w:color w:val="0D0D0D" w:themeColor="text1" w:themeTint="F2"/>
                <w:spacing w:val="-4"/>
              </w:rPr>
              <w:t>íce než tří čtvrtin k tomu přispěli muži, přesto zůstaly mužské výdělky stále znatelně rozrůzněnější (78</w:t>
            </w:r>
            <w:r w:rsidR="006454CC">
              <w:rPr>
                <w:rFonts w:cs="Arial"/>
                <w:color w:val="0D0D0D" w:themeColor="text1" w:themeTint="F2"/>
                <w:spacing w:val="-4"/>
              </w:rPr>
              <w:t> %</w:t>
            </w:r>
            <w:r>
              <w:rPr>
                <w:rFonts w:cs="Arial"/>
                <w:color w:val="0D0D0D" w:themeColor="text1" w:themeTint="F2"/>
                <w:spacing w:val="-4"/>
              </w:rPr>
              <w:t>) než ženské (57</w:t>
            </w:r>
            <w:r w:rsidR="006454CC">
              <w:rPr>
                <w:rFonts w:cs="Arial"/>
                <w:color w:val="0D0D0D" w:themeColor="text1" w:themeTint="F2"/>
                <w:spacing w:val="-4"/>
              </w:rPr>
              <w:t> %</w:t>
            </w:r>
            <w:r>
              <w:rPr>
                <w:rFonts w:cs="Arial"/>
                <w:color w:val="0D0D0D" w:themeColor="text1" w:themeTint="F2"/>
                <w:spacing w:val="-4"/>
              </w:rPr>
              <w:t>). Tyto rozdíly jsou výsledkem zejména výraznějšího předstihu mužských výdělků v profesích s vysokými kvalifikačními nároky (manažeři, specialisté).</w:t>
            </w:r>
          </w:p>
        </w:tc>
      </w:tr>
      <w:tr w:rsidR="00AA4F0A" w:rsidRPr="005A2E40" w14:paraId="3730FE80" w14:textId="77777777" w:rsidTr="00A500A7">
        <w:trPr>
          <w:trHeight w:val="429"/>
        </w:trPr>
        <w:tc>
          <w:tcPr>
            <w:tcW w:w="1976" w:type="dxa"/>
            <w:tcBorders>
              <w:top w:val="nil"/>
              <w:left w:val="nil"/>
              <w:bottom w:val="nil"/>
              <w:right w:val="nil"/>
            </w:tcBorders>
          </w:tcPr>
          <w:p w14:paraId="4AA7EA81" w14:textId="79A6D82E" w:rsidR="00AA4F0A" w:rsidRPr="00106639" w:rsidRDefault="00993D73" w:rsidP="00A500A7">
            <w:pPr>
              <w:pStyle w:val="Marginlie"/>
            </w:pPr>
            <w:r>
              <w:lastRenderedPageBreak/>
              <w:t>Ke z</w:t>
            </w:r>
            <w:r w:rsidR="00AA4F0A">
              <w:t xml:space="preserve">lepšení pozice nízkopříjmových pracovníků pomohlo vedle posunu minimální mzdy </w:t>
            </w:r>
            <w:r w:rsidR="00BC7833">
              <w:t>i </w:t>
            </w:r>
            <w:r w:rsidR="00AA4F0A">
              <w:t>pevnější ukotvení hospodářského růstu.</w:t>
            </w:r>
          </w:p>
        </w:tc>
        <w:tc>
          <w:tcPr>
            <w:tcW w:w="277" w:type="dxa"/>
            <w:tcBorders>
              <w:top w:val="nil"/>
              <w:left w:val="nil"/>
              <w:bottom w:val="nil"/>
              <w:right w:val="nil"/>
            </w:tcBorders>
          </w:tcPr>
          <w:p w14:paraId="26DC2F21" w14:textId="77777777" w:rsidR="00AA4F0A" w:rsidRPr="005E4483" w:rsidRDefault="00AA4F0A" w:rsidP="00A500A7">
            <w:pPr>
              <w:pStyle w:val="Textpoznpodarou"/>
              <w:jc w:val="both"/>
              <w:rPr>
                <w:spacing w:val="-4"/>
              </w:rPr>
            </w:pPr>
          </w:p>
        </w:tc>
        <w:tc>
          <w:tcPr>
            <w:tcW w:w="7391" w:type="dxa"/>
            <w:tcBorders>
              <w:top w:val="nil"/>
              <w:left w:val="nil"/>
              <w:bottom w:val="nil"/>
              <w:right w:val="nil"/>
            </w:tcBorders>
          </w:tcPr>
          <w:p w14:paraId="6808DDC7" w14:textId="4F10E073" w:rsidR="00AA4F0A" w:rsidRPr="00C80D51" w:rsidRDefault="00AA4F0A" w:rsidP="00A500A7">
            <w:pPr>
              <w:spacing w:after="220"/>
              <w:rPr>
                <w:rFonts w:cs="Arial"/>
                <w:color w:val="0D0D0D" w:themeColor="text1" w:themeTint="F2"/>
                <w:spacing w:val="-2"/>
              </w:rPr>
            </w:pPr>
            <w:r>
              <w:rPr>
                <w:rFonts w:cs="Arial"/>
                <w:color w:val="0D0D0D" w:themeColor="text1" w:themeTint="F2"/>
                <w:spacing w:val="-2"/>
              </w:rPr>
              <w:t>Za trendem oslabování mzdové diferenciace stálo primárně opakované navyšování hranice minimální mzdy</w:t>
            </w:r>
            <w:r w:rsidRPr="00D13306">
              <w:rPr>
                <w:rFonts w:cs="Arial"/>
                <w:vertAlign w:val="superscript"/>
              </w:rPr>
              <w:footnoteReference w:id="68"/>
            </w:r>
            <w:r>
              <w:rPr>
                <w:rFonts w:cs="Arial"/>
                <w:color w:val="0D0D0D" w:themeColor="text1" w:themeTint="F2"/>
                <w:spacing w:val="-2"/>
              </w:rPr>
              <w:t xml:space="preserve"> (</w:t>
            </w:r>
            <w:r w:rsidR="00BC7833">
              <w:rPr>
                <w:rFonts w:cs="Arial"/>
                <w:color w:val="0D0D0D" w:themeColor="text1" w:themeTint="F2"/>
                <w:spacing w:val="-2"/>
              </w:rPr>
              <w:t>s </w:t>
            </w:r>
            <w:r>
              <w:rPr>
                <w:rFonts w:cs="Arial"/>
                <w:color w:val="0D0D0D" w:themeColor="text1" w:themeTint="F2"/>
                <w:spacing w:val="-2"/>
              </w:rPr>
              <w:t xml:space="preserve">výraznějším sekundárním dopadem na pásma zaručené mzdy). </w:t>
            </w:r>
            <w:r w:rsidR="00BC7833">
              <w:rPr>
                <w:rFonts w:cs="Arial"/>
                <w:color w:val="0D0D0D" w:themeColor="text1" w:themeTint="F2"/>
                <w:spacing w:val="-2"/>
              </w:rPr>
              <w:t>V </w:t>
            </w:r>
            <w:r>
              <w:rPr>
                <w:rFonts w:cs="Arial"/>
                <w:color w:val="0D0D0D" w:themeColor="text1" w:themeTint="F2"/>
                <w:spacing w:val="-2"/>
              </w:rPr>
              <w:t xml:space="preserve">roce 2012, kdy tuzemskou ekonomiku svírala recese </w:t>
            </w:r>
            <w:r w:rsidR="00BC7833">
              <w:rPr>
                <w:rFonts w:cs="Arial"/>
                <w:color w:val="0D0D0D" w:themeColor="text1" w:themeTint="F2"/>
                <w:spacing w:val="-2"/>
              </w:rPr>
              <w:t>a </w:t>
            </w:r>
            <w:r>
              <w:rPr>
                <w:rFonts w:cs="Arial"/>
                <w:color w:val="0D0D0D" w:themeColor="text1" w:themeTint="F2"/>
                <w:spacing w:val="-2"/>
              </w:rPr>
              <w:t>výše minimální mzdy stále odpovídala úrovni z roku 2007, se mzdové rozdíly zvýšily (</w:t>
            </w:r>
            <w:r w:rsidR="00BC7833">
              <w:rPr>
                <w:rFonts w:cs="Arial"/>
                <w:color w:val="0D0D0D" w:themeColor="text1" w:themeTint="F2"/>
                <w:spacing w:val="-2"/>
              </w:rPr>
              <w:t>a </w:t>
            </w:r>
            <w:r>
              <w:rPr>
                <w:rFonts w:cs="Arial"/>
                <w:color w:val="0D0D0D" w:themeColor="text1" w:themeTint="F2"/>
                <w:spacing w:val="-2"/>
              </w:rPr>
              <w:t xml:space="preserve">průměrná mzda vzrostla meziročně více než mzdový medián). V následujících letech se situace obrátila. K výraznějšímu růstu výdělků nízkopříjmových pracovníků došlo ale až v roce 2016, kdy vedle efektu minimální mzdy přispívalo k lepšímu postavení těchto osob na pracovním trhu </w:t>
            </w:r>
            <w:r w:rsidR="00BC7833">
              <w:rPr>
                <w:rFonts w:cs="Arial"/>
                <w:color w:val="0D0D0D" w:themeColor="text1" w:themeTint="F2"/>
                <w:spacing w:val="-2"/>
              </w:rPr>
              <w:t>i </w:t>
            </w:r>
            <w:r>
              <w:rPr>
                <w:rFonts w:cs="Arial"/>
                <w:color w:val="0D0D0D" w:themeColor="text1" w:themeTint="F2"/>
                <w:spacing w:val="-2"/>
              </w:rPr>
              <w:t>citelnější snížení dlouhodobé nezaměstnanosti. V roce 2018 vzrostla hodnota 5% kvantilu (vymezujícího soubor 5</w:t>
            </w:r>
            <w:r w:rsidR="006454CC">
              <w:rPr>
                <w:rFonts w:cs="Arial"/>
                <w:color w:val="0D0D0D" w:themeColor="text1" w:themeTint="F2"/>
                <w:spacing w:val="-2"/>
              </w:rPr>
              <w:t> %</w:t>
            </w:r>
            <w:r>
              <w:rPr>
                <w:rFonts w:cs="Arial"/>
                <w:color w:val="0D0D0D" w:themeColor="text1" w:themeTint="F2"/>
                <w:spacing w:val="-2"/>
              </w:rPr>
              <w:t xml:space="preserve"> nejhůře placených zaměstnanců) o 12 % (dokonce ještě mírně vyšším tempem</w:t>
            </w:r>
            <w:r w:rsidR="00993D73">
              <w:rPr>
                <w:rFonts w:cs="Arial"/>
                <w:color w:val="0D0D0D" w:themeColor="text1" w:themeTint="F2"/>
                <w:spacing w:val="-2"/>
              </w:rPr>
              <w:t>,</w:t>
            </w:r>
            <w:r>
              <w:rPr>
                <w:rFonts w:cs="Arial"/>
                <w:color w:val="0D0D0D" w:themeColor="text1" w:themeTint="F2"/>
                <w:spacing w:val="-2"/>
              </w:rPr>
              <w:t xml:space="preserve"> nežli činil meziroční růst minimální mzdy). Naopak růst 95% kvantilu byl bezmála </w:t>
            </w:r>
            <w:r w:rsidR="00BC7833">
              <w:rPr>
                <w:rFonts w:cs="Arial"/>
                <w:color w:val="0D0D0D" w:themeColor="text1" w:themeTint="F2"/>
                <w:spacing w:val="-2"/>
              </w:rPr>
              <w:t>o </w:t>
            </w:r>
            <w:r>
              <w:rPr>
                <w:rFonts w:cs="Arial"/>
                <w:color w:val="0D0D0D" w:themeColor="text1" w:themeTint="F2"/>
                <w:spacing w:val="-2"/>
              </w:rPr>
              <w:t xml:space="preserve">polovinu nižší. Trend oslabování mzdové diferenciace se mezi lety 2011 </w:t>
            </w:r>
            <w:r w:rsidR="00BC7833">
              <w:rPr>
                <w:rFonts w:cs="Arial"/>
                <w:color w:val="0D0D0D" w:themeColor="text1" w:themeTint="F2"/>
                <w:spacing w:val="-2"/>
              </w:rPr>
              <w:t>a </w:t>
            </w:r>
            <w:r>
              <w:rPr>
                <w:rFonts w:cs="Arial"/>
                <w:color w:val="0D0D0D" w:themeColor="text1" w:themeTint="F2"/>
                <w:spacing w:val="-2"/>
              </w:rPr>
              <w:t xml:space="preserve">2018 projevil ve všech krajích, nejvíce v Karlovarském, Jihomoravském </w:t>
            </w:r>
            <w:r w:rsidR="00BC7833">
              <w:rPr>
                <w:rFonts w:cs="Arial"/>
                <w:color w:val="0D0D0D" w:themeColor="text1" w:themeTint="F2"/>
                <w:spacing w:val="-2"/>
              </w:rPr>
              <w:t>a </w:t>
            </w:r>
            <w:r>
              <w:rPr>
                <w:rFonts w:cs="Arial"/>
                <w:color w:val="0D0D0D" w:themeColor="text1" w:themeTint="F2"/>
                <w:spacing w:val="-2"/>
              </w:rPr>
              <w:t>v Praze, nejméně na Vysočině (kde se variační koeficient snížil z 59</w:t>
            </w:r>
            <w:r w:rsidR="006454CC">
              <w:rPr>
                <w:rFonts w:cs="Arial"/>
                <w:color w:val="0D0D0D" w:themeColor="text1" w:themeTint="F2"/>
                <w:spacing w:val="-2"/>
              </w:rPr>
              <w:t> %</w:t>
            </w:r>
            <w:r>
              <w:rPr>
                <w:rFonts w:cs="Arial"/>
                <w:color w:val="0D0D0D" w:themeColor="text1" w:themeTint="F2"/>
                <w:spacing w:val="-2"/>
              </w:rPr>
              <w:t xml:space="preserve"> na 57</w:t>
            </w:r>
            <w:r w:rsidR="006454CC">
              <w:rPr>
                <w:rFonts w:cs="Arial"/>
                <w:color w:val="0D0D0D" w:themeColor="text1" w:themeTint="F2"/>
                <w:spacing w:val="-2"/>
              </w:rPr>
              <w:t> %</w:t>
            </w:r>
            <w:r>
              <w:rPr>
                <w:rFonts w:cs="Arial"/>
                <w:color w:val="0D0D0D" w:themeColor="text1" w:themeTint="F2"/>
                <w:spacing w:val="-2"/>
              </w:rPr>
              <w:t>).</w:t>
            </w:r>
          </w:p>
        </w:tc>
      </w:tr>
      <w:tr w:rsidR="00AA4F0A" w:rsidRPr="005A2E40" w14:paraId="5F4B5C91" w14:textId="77777777" w:rsidTr="00A500A7">
        <w:trPr>
          <w:trHeight w:val="429"/>
        </w:trPr>
        <w:tc>
          <w:tcPr>
            <w:tcW w:w="1976" w:type="dxa"/>
            <w:tcBorders>
              <w:top w:val="nil"/>
              <w:left w:val="nil"/>
              <w:bottom w:val="nil"/>
              <w:right w:val="nil"/>
            </w:tcBorders>
          </w:tcPr>
          <w:p w14:paraId="6DA03ADB" w14:textId="77777777" w:rsidR="00AA4F0A" w:rsidRPr="00106639" w:rsidRDefault="00AA4F0A" w:rsidP="00A500A7">
            <w:pPr>
              <w:pStyle w:val="Marginlie"/>
            </w:pPr>
          </w:p>
        </w:tc>
        <w:tc>
          <w:tcPr>
            <w:tcW w:w="277" w:type="dxa"/>
            <w:tcBorders>
              <w:top w:val="nil"/>
              <w:left w:val="nil"/>
              <w:bottom w:val="nil"/>
              <w:right w:val="nil"/>
            </w:tcBorders>
          </w:tcPr>
          <w:p w14:paraId="36FED2E7" w14:textId="77777777" w:rsidR="00AA4F0A" w:rsidRPr="005E4483" w:rsidRDefault="00AA4F0A" w:rsidP="00A500A7">
            <w:pPr>
              <w:pStyle w:val="Textpoznpodarou"/>
              <w:jc w:val="both"/>
              <w:rPr>
                <w:spacing w:val="-4"/>
              </w:rPr>
            </w:pPr>
          </w:p>
        </w:tc>
        <w:tc>
          <w:tcPr>
            <w:tcW w:w="7391" w:type="dxa"/>
            <w:tcBorders>
              <w:top w:val="nil"/>
              <w:left w:val="nil"/>
              <w:bottom w:val="nil"/>
              <w:right w:val="nil"/>
            </w:tcBorders>
          </w:tcPr>
          <w:p w14:paraId="68EDBEC2" w14:textId="557F6A87" w:rsidR="00AA4F0A" w:rsidRDefault="00AA4F0A" w:rsidP="00A500A7">
            <w:pPr>
              <w:spacing w:after="0"/>
              <w:rPr>
                <w:b/>
              </w:rPr>
            </w:pPr>
            <w:r>
              <w:rPr>
                <w:b/>
              </w:rPr>
              <w:t xml:space="preserve">Graf </w:t>
            </w:r>
            <w:r w:rsidR="00BA35F3">
              <w:rPr>
                <w:b/>
              </w:rPr>
              <w:t>č. </w:t>
            </w:r>
            <w:r w:rsidR="00306AD7">
              <w:rPr>
                <w:b/>
              </w:rPr>
              <w:t>2</w:t>
            </w:r>
            <w:r>
              <w:rPr>
                <w:b/>
              </w:rPr>
              <w:t>3</w:t>
            </w:r>
            <w:r w:rsidR="00A67D62">
              <w:rPr>
                <w:b/>
              </w:rPr>
              <w:t xml:space="preserve"> </w:t>
            </w:r>
            <w:r>
              <w:rPr>
                <w:b/>
              </w:rPr>
              <w:t xml:space="preserve"> Změny ve mzdové distribuci zaměstnanců </w:t>
            </w:r>
            <w:r w:rsidR="00BC7833">
              <w:rPr>
                <w:b/>
              </w:rPr>
              <w:t>v </w:t>
            </w:r>
            <w:r>
              <w:rPr>
                <w:b/>
              </w:rPr>
              <w:t>období 2012 až 2018</w:t>
            </w:r>
          </w:p>
          <w:p w14:paraId="03BC0653" w14:textId="77777777" w:rsidR="00AA4F0A" w:rsidRPr="00711FC2" w:rsidRDefault="00AA4F0A" w:rsidP="00A500A7">
            <w:pPr>
              <w:spacing w:after="0"/>
            </w:pPr>
            <w:r w:rsidRPr="007B5C7B">
              <w:t>(meziroční růst mezd v hlavních kvantilech, v</w:t>
            </w:r>
            <w:r w:rsidR="006454CC">
              <w:t> %</w:t>
            </w:r>
            <w:r>
              <w:t>, variační koeficient v</w:t>
            </w:r>
            <w:r w:rsidR="006454CC">
              <w:t> %</w:t>
            </w:r>
            <w:r>
              <w:t>)</w:t>
            </w:r>
          </w:p>
        </w:tc>
      </w:tr>
      <w:tr w:rsidR="00AA4F0A" w14:paraId="1F048E04" w14:textId="77777777" w:rsidTr="0086457A">
        <w:tblPrEx>
          <w:tblCellMar>
            <w:left w:w="70" w:type="dxa"/>
            <w:right w:w="70" w:type="dxa"/>
          </w:tblCellMar>
        </w:tblPrEx>
        <w:trPr>
          <w:trHeight w:val="429"/>
        </w:trPr>
        <w:tc>
          <w:tcPr>
            <w:tcW w:w="1976" w:type="dxa"/>
            <w:tcBorders>
              <w:top w:val="nil"/>
              <w:left w:val="nil"/>
              <w:bottom w:val="nil"/>
              <w:right w:val="nil"/>
            </w:tcBorders>
          </w:tcPr>
          <w:p w14:paraId="692B0C47" w14:textId="77777777" w:rsidR="00AA4F0A" w:rsidRPr="00106639" w:rsidRDefault="00AA4F0A" w:rsidP="00A500A7">
            <w:pPr>
              <w:pStyle w:val="Marginlie"/>
            </w:pPr>
          </w:p>
        </w:tc>
        <w:tc>
          <w:tcPr>
            <w:tcW w:w="277" w:type="dxa"/>
            <w:tcBorders>
              <w:top w:val="nil"/>
              <w:left w:val="nil"/>
              <w:bottom w:val="nil"/>
              <w:right w:val="nil"/>
            </w:tcBorders>
          </w:tcPr>
          <w:p w14:paraId="3382E552" w14:textId="77777777" w:rsidR="00AA4F0A" w:rsidRPr="005E4483" w:rsidRDefault="00AA4F0A" w:rsidP="00A500A7">
            <w:pPr>
              <w:pStyle w:val="Textpoznpodarou"/>
              <w:jc w:val="both"/>
              <w:rPr>
                <w:spacing w:val="-4"/>
              </w:rPr>
            </w:pPr>
          </w:p>
        </w:tc>
        <w:tc>
          <w:tcPr>
            <w:tcW w:w="7391" w:type="dxa"/>
            <w:tcBorders>
              <w:top w:val="nil"/>
              <w:left w:val="nil"/>
              <w:bottom w:val="nil"/>
              <w:right w:val="nil"/>
            </w:tcBorders>
          </w:tcPr>
          <w:p w14:paraId="3FA45959" w14:textId="03798E10" w:rsidR="00AA4F0A" w:rsidRDefault="0086457A" w:rsidP="00A500A7">
            <w:pPr>
              <w:spacing w:after="0"/>
            </w:pPr>
            <w:r>
              <w:rPr>
                <w:noProof/>
              </w:rPr>
              <w:drawing>
                <wp:inline distT="0" distB="0" distL="0" distR="0" wp14:anchorId="694BA1F3" wp14:editId="6F625EED">
                  <wp:extent cx="4604385" cy="3372485"/>
                  <wp:effectExtent l="0" t="0" r="5715" b="0"/>
                  <wp:docPr id="69" name="Graf 69"/>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tc>
      </w:tr>
      <w:tr w:rsidR="00AA4F0A" w:rsidRPr="005A2E40" w14:paraId="2E3D012A" w14:textId="77777777" w:rsidTr="00A500A7">
        <w:trPr>
          <w:trHeight w:val="429"/>
        </w:trPr>
        <w:tc>
          <w:tcPr>
            <w:tcW w:w="1976" w:type="dxa"/>
            <w:tcBorders>
              <w:top w:val="nil"/>
              <w:left w:val="nil"/>
              <w:bottom w:val="nil"/>
              <w:right w:val="nil"/>
            </w:tcBorders>
          </w:tcPr>
          <w:p w14:paraId="0CC8EB66" w14:textId="77777777" w:rsidR="00AA4F0A" w:rsidRPr="00106639" w:rsidRDefault="00AA4F0A" w:rsidP="00A500A7">
            <w:pPr>
              <w:pStyle w:val="Marginlie"/>
            </w:pPr>
          </w:p>
        </w:tc>
        <w:tc>
          <w:tcPr>
            <w:tcW w:w="277" w:type="dxa"/>
            <w:tcBorders>
              <w:top w:val="nil"/>
              <w:left w:val="nil"/>
              <w:bottom w:val="nil"/>
              <w:right w:val="nil"/>
            </w:tcBorders>
          </w:tcPr>
          <w:p w14:paraId="12FB6786" w14:textId="77777777" w:rsidR="00AA4F0A" w:rsidRPr="005E4483" w:rsidRDefault="00AA4F0A" w:rsidP="00A500A7">
            <w:pPr>
              <w:pStyle w:val="Textpoznpodarou"/>
              <w:jc w:val="both"/>
              <w:rPr>
                <w:spacing w:val="-4"/>
              </w:rPr>
            </w:pPr>
          </w:p>
        </w:tc>
        <w:tc>
          <w:tcPr>
            <w:tcW w:w="7391" w:type="dxa"/>
            <w:tcBorders>
              <w:top w:val="nil"/>
              <w:left w:val="nil"/>
              <w:bottom w:val="nil"/>
              <w:right w:val="nil"/>
            </w:tcBorders>
          </w:tcPr>
          <w:p w14:paraId="51BF2D63" w14:textId="14269337" w:rsidR="00AA4F0A" w:rsidRPr="00162F12" w:rsidRDefault="00AA4F0A" w:rsidP="00A500A7">
            <w:pPr>
              <w:spacing w:after="0"/>
              <w:rPr>
                <w:rFonts w:cs="Arial"/>
                <w:sz w:val="14"/>
                <w:szCs w:val="14"/>
              </w:rPr>
            </w:pPr>
            <w:r w:rsidRPr="00444E6D">
              <w:rPr>
                <w:rFonts w:cs="Arial"/>
                <w:sz w:val="14"/>
                <w:szCs w:val="14"/>
              </w:rPr>
              <w:t xml:space="preserve">Zdroj: </w:t>
            </w:r>
            <w:r>
              <w:rPr>
                <w:rFonts w:cs="Arial"/>
                <w:sz w:val="14"/>
                <w:szCs w:val="14"/>
              </w:rPr>
              <w:t xml:space="preserve">MPSV </w:t>
            </w:r>
            <w:r w:rsidR="00BC7833">
              <w:rPr>
                <w:rFonts w:cs="Arial"/>
                <w:sz w:val="14"/>
                <w:szCs w:val="14"/>
              </w:rPr>
              <w:t>a </w:t>
            </w:r>
            <w:r>
              <w:rPr>
                <w:rFonts w:cs="Arial"/>
                <w:sz w:val="14"/>
                <w:szCs w:val="14"/>
              </w:rPr>
              <w:t>ČSÚ (Strukturální mzdová statistika)</w:t>
            </w:r>
          </w:p>
        </w:tc>
      </w:tr>
      <w:tr w:rsidR="00AA4F0A" w14:paraId="1B60711D" w14:textId="77777777" w:rsidTr="00A500A7">
        <w:trPr>
          <w:trHeight w:val="145"/>
        </w:trPr>
        <w:tc>
          <w:tcPr>
            <w:tcW w:w="1976" w:type="dxa"/>
            <w:tcBorders>
              <w:top w:val="nil"/>
              <w:left w:val="nil"/>
              <w:bottom w:val="nil"/>
              <w:right w:val="nil"/>
            </w:tcBorders>
          </w:tcPr>
          <w:p w14:paraId="756265B2" w14:textId="5B022C61" w:rsidR="00AA4F0A" w:rsidRPr="00106639" w:rsidRDefault="00AA4F0A" w:rsidP="00A500A7">
            <w:pPr>
              <w:pStyle w:val="Marginlie"/>
            </w:pPr>
            <w:r>
              <w:t xml:space="preserve">Nedostatek volné pracovní síly na trhu vedl podniky stále častěji </w:t>
            </w:r>
            <w:r w:rsidR="00BC7833">
              <w:t>k </w:t>
            </w:r>
            <w:r>
              <w:t>„přetahování“ zaměstnanců od ostatních firem</w:t>
            </w:r>
            <w:r w:rsidR="00DD3A2C">
              <w:t>,</w:t>
            </w:r>
            <w:r>
              <w:t>…</w:t>
            </w:r>
          </w:p>
        </w:tc>
        <w:tc>
          <w:tcPr>
            <w:tcW w:w="277" w:type="dxa"/>
            <w:tcBorders>
              <w:top w:val="nil"/>
              <w:left w:val="nil"/>
              <w:bottom w:val="nil"/>
              <w:right w:val="nil"/>
            </w:tcBorders>
          </w:tcPr>
          <w:p w14:paraId="5AE45BC4" w14:textId="77777777" w:rsidR="00AA4F0A" w:rsidRPr="005E4483" w:rsidRDefault="00AA4F0A" w:rsidP="00A500A7">
            <w:pPr>
              <w:pStyle w:val="Textpoznpodarou"/>
              <w:jc w:val="both"/>
              <w:rPr>
                <w:spacing w:val="-4"/>
              </w:rPr>
            </w:pPr>
          </w:p>
        </w:tc>
        <w:tc>
          <w:tcPr>
            <w:tcW w:w="7391" w:type="dxa"/>
            <w:tcBorders>
              <w:top w:val="nil"/>
              <w:left w:val="nil"/>
              <w:bottom w:val="nil"/>
              <w:right w:val="nil"/>
            </w:tcBorders>
          </w:tcPr>
          <w:p w14:paraId="05A16305" w14:textId="35DAFA30" w:rsidR="00AA4F0A" w:rsidRPr="00FC612C" w:rsidRDefault="00AA4F0A" w:rsidP="00A500A7">
            <w:pPr>
              <w:spacing w:after="220"/>
              <w:rPr>
                <w:rFonts w:cs="Arial"/>
                <w:color w:val="0D0D0D" w:themeColor="text1" w:themeTint="F2"/>
                <w:spacing w:val="-2"/>
              </w:rPr>
            </w:pPr>
            <w:r w:rsidRPr="00FC612C">
              <w:rPr>
                <w:rFonts w:cs="Arial"/>
                <w:color w:val="0D0D0D" w:themeColor="text1" w:themeTint="F2"/>
                <w:spacing w:val="-2"/>
              </w:rPr>
              <w:t>Rostoucí napětí na pracovním trhu plynoucí z nerovnováhy mezi</w:t>
            </w:r>
            <w:r>
              <w:rPr>
                <w:rFonts w:cs="Arial"/>
                <w:color w:val="0D0D0D" w:themeColor="text1" w:themeTint="F2"/>
                <w:spacing w:val="-2"/>
              </w:rPr>
              <w:t xml:space="preserve"> nabídkou a</w:t>
            </w:r>
            <w:r w:rsidRPr="00FC612C">
              <w:rPr>
                <w:rFonts w:cs="Arial"/>
                <w:color w:val="0D0D0D" w:themeColor="text1" w:themeTint="F2"/>
                <w:spacing w:val="-2"/>
              </w:rPr>
              <w:t> poptávkou vedl</w:t>
            </w:r>
            <w:r w:rsidR="00DD3A2C">
              <w:rPr>
                <w:rFonts w:cs="Arial"/>
                <w:color w:val="0D0D0D" w:themeColor="text1" w:themeTint="F2"/>
                <w:spacing w:val="-2"/>
              </w:rPr>
              <w:t>o</w:t>
            </w:r>
            <w:r w:rsidRPr="00FC612C">
              <w:rPr>
                <w:rFonts w:cs="Arial"/>
                <w:color w:val="0D0D0D" w:themeColor="text1" w:themeTint="F2"/>
                <w:spacing w:val="-2"/>
              </w:rPr>
              <w:t xml:space="preserve"> k tomu, že zaměstnavatelé pociťovali stále větší obtíže při hledání nových pracovníků </w:t>
            </w:r>
            <w:r w:rsidR="00BC7833" w:rsidRPr="00FC612C">
              <w:rPr>
                <w:rFonts w:cs="Arial"/>
                <w:color w:val="0D0D0D" w:themeColor="text1" w:themeTint="F2"/>
                <w:spacing w:val="-2"/>
              </w:rPr>
              <w:t>i</w:t>
            </w:r>
            <w:r w:rsidR="00BC7833">
              <w:rPr>
                <w:rFonts w:cs="Arial"/>
                <w:color w:val="0D0D0D" w:themeColor="text1" w:themeTint="F2"/>
                <w:spacing w:val="-2"/>
              </w:rPr>
              <w:t> </w:t>
            </w:r>
            <w:r w:rsidRPr="00FC612C">
              <w:rPr>
                <w:rFonts w:cs="Arial"/>
                <w:color w:val="0D0D0D" w:themeColor="text1" w:themeTint="F2"/>
                <w:spacing w:val="-2"/>
              </w:rPr>
              <w:t xml:space="preserve">udržení těch stávajících. Vzhledem k výraznému omezení četnosti volné pracovní síly na tuzemském trhu </w:t>
            </w:r>
            <w:r w:rsidR="00BC7833" w:rsidRPr="00FC612C">
              <w:rPr>
                <w:rFonts w:cs="Arial"/>
                <w:color w:val="0D0D0D" w:themeColor="text1" w:themeTint="F2"/>
                <w:spacing w:val="-2"/>
              </w:rPr>
              <w:t>i</w:t>
            </w:r>
            <w:r w:rsidR="00BC7833">
              <w:rPr>
                <w:rFonts w:cs="Arial"/>
                <w:color w:val="0D0D0D" w:themeColor="text1" w:themeTint="F2"/>
                <w:spacing w:val="-2"/>
              </w:rPr>
              <w:t> </w:t>
            </w:r>
            <w:r w:rsidRPr="00FC612C">
              <w:rPr>
                <w:rFonts w:cs="Arial"/>
                <w:color w:val="0D0D0D" w:themeColor="text1" w:themeTint="F2"/>
                <w:spacing w:val="-2"/>
              </w:rPr>
              <w:t xml:space="preserve">časové </w:t>
            </w:r>
            <w:r w:rsidR="00BC7833" w:rsidRPr="00FC612C">
              <w:rPr>
                <w:rFonts w:cs="Arial"/>
                <w:color w:val="0D0D0D" w:themeColor="text1" w:themeTint="F2"/>
                <w:spacing w:val="-2"/>
              </w:rPr>
              <w:t>a</w:t>
            </w:r>
            <w:r w:rsidR="00BC7833">
              <w:rPr>
                <w:rFonts w:cs="Arial"/>
                <w:color w:val="0D0D0D" w:themeColor="text1" w:themeTint="F2"/>
                <w:spacing w:val="-2"/>
              </w:rPr>
              <w:t> </w:t>
            </w:r>
            <w:r w:rsidRPr="00FC612C">
              <w:rPr>
                <w:rFonts w:cs="Arial"/>
                <w:color w:val="0D0D0D" w:themeColor="text1" w:themeTint="F2"/>
                <w:spacing w:val="-2"/>
              </w:rPr>
              <w:t>administrativní náročnosti při najím</w:t>
            </w:r>
            <w:r w:rsidR="00DD3A2C">
              <w:rPr>
                <w:rFonts w:cs="Arial"/>
                <w:color w:val="0D0D0D" w:themeColor="text1" w:themeTint="F2"/>
                <w:spacing w:val="-2"/>
              </w:rPr>
              <w:t>á</w:t>
            </w:r>
            <w:r w:rsidRPr="00FC612C">
              <w:rPr>
                <w:rFonts w:cs="Arial"/>
                <w:color w:val="0D0D0D" w:themeColor="text1" w:themeTint="F2"/>
                <w:spacing w:val="-2"/>
              </w:rPr>
              <w:t>ní zahraničních pracovníků (zejména ze států mimo</w:t>
            </w:r>
            <w:r w:rsidR="00DD3A2C">
              <w:rPr>
                <w:rFonts w:cs="Arial"/>
                <w:color w:val="0D0D0D" w:themeColor="text1" w:themeTint="F2"/>
                <w:spacing w:val="-2"/>
              </w:rPr>
              <w:t> </w:t>
            </w:r>
            <w:r w:rsidRPr="00FC612C">
              <w:rPr>
                <w:rFonts w:cs="Arial"/>
                <w:color w:val="0D0D0D" w:themeColor="text1" w:themeTint="F2"/>
                <w:spacing w:val="-2"/>
              </w:rPr>
              <w:t xml:space="preserve">EU) se </w:t>
            </w:r>
            <w:r w:rsidR="00DD3A2C">
              <w:rPr>
                <w:rFonts w:cs="Arial"/>
                <w:color w:val="0D0D0D" w:themeColor="text1" w:themeTint="F2"/>
                <w:spacing w:val="-2"/>
              </w:rPr>
              <w:t xml:space="preserve">podniky </w:t>
            </w:r>
            <w:r w:rsidRPr="00FC612C">
              <w:rPr>
                <w:rFonts w:cs="Arial"/>
                <w:color w:val="0D0D0D" w:themeColor="text1" w:themeTint="F2"/>
                <w:spacing w:val="-2"/>
              </w:rPr>
              <w:t xml:space="preserve">musely více zaměřit také na stávající pracovníky. Nové zaměstnance lákaly jednorázovými náborovými příspěvky, vyššími nástupními výdělky, ale </w:t>
            </w:r>
            <w:r w:rsidR="00BC7833" w:rsidRPr="00FC612C">
              <w:rPr>
                <w:rFonts w:cs="Arial"/>
                <w:color w:val="0D0D0D" w:themeColor="text1" w:themeTint="F2"/>
                <w:spacing w:val="-2"/>
              </w:rPr>
              <w:t>i</w:t>
            </w:r>
            <w:r w:rsidR="00BC7833">
              <w:rPr>
                <w:rFonts w:cs="Arial"/>
                <w:color w:val="0D0D0D" w:themeColor="text1" w:themeTint="F2"/>
                <w:spacing w:val="-2"/>
              </w:rPr>
              <w:t> </w:t>
            </w:r>
            <w:r w:rsidRPr="00FC612C">
              <w:rPr>
                <w:rFonts w:cs="Arial"/>
                <w:color w:val="0D0D0D" w:themeColor="text1" w:themeTint="F2"/>
                <w:spacing w:val="-2"/>
              </w:rPr>
              <w:t xml:space="preserve">patrně širší škálou nabízených nemzdových benefitů. </w:t>
            </w:r>
            <w:r w:rsidR="00BC7833" w:rsidRPr="00FC612C">
              <w:rPr>
                <w:rFonts w:cs="Arial"/>
                <w:color w:val="0D0D0D" w:themeColor="text1" w:themeTint="F2"/>
                <w:spacing w:val="-2"/>
              </w:rPr>
              <w:t>K</w:t>
            </w:r>
            <w:r w:rsidR="00BC7833">
              <w:rPr>
                <w:rFonts w:cs="Arial"/>
                <w:color w:val="0D0D0D" w:themeColor="text1" w:themeTint="F2"/>
                <w:spacing w:val="-2"/>
              </w:rPr>
              <w:t> </w:t>
            </w:r>
            <w:r>
              <w:rPr>
                <w:rFonts w:cs="Arial"/>
                <w:color w:val="0D0D0D" w:themeColor="text1" w:themeTint="F2"/>
                <w:spacing w:val="-2"/>
              </w:rPr>
              <w:t>„</w:t>
            </w:r>
            <w:r w:rsidRPr="00FC612C">
              <w:rPr>
                <w:rFonts w:cs="Arial"/>
                <w:color w:val="0D0D0D" w:themeColor="text1" w:themeTint="F2"/>
                <w:spacing w:val="-2"/>
              </w:rPr>
              <w:t>přetahování</w:t>
            </w:r>
            <w:r>
              <w:rPr>
                <w:rFonts w:cs="Arial"/>
                <w:color w:val="0D0D0D" w:themeColor="text1" w:themeTint="F2"/>
                <w:spacing w:val="-2"/>
              </w:rPr>
              <w:t>“</w:t>
            </w:r>
            <w:r w:rsidRPr="00FC612C">
              <w:rPr>
                <w:rFonts w:cs="Arial"/>
                <w:color w:val="0D0D0D" w:themeColor="text1" w:themeTint="F2"/>
                <w:spacing w:val="-2"/>
              </w:rPr>
              <w:t xml:space="preserve"> zaměstnanců</w:t>
            </w:r>
            <w:r>
              <w:rPr>
                <w:rFonts w:cs="Arial"/>
                <w:color w:val="0D0D0D" w:themeColor="text1" w:themeTint="F2"/>
                <w:spacing w:val="-2"/>
              </w:rPr>
              <w:t xml:space="preserve"> docházelo jak </w:t>
            </w:r>
            <w:r>
              <w:rPr>
                <w:rFonts w:cs="Arial"/>
                <w:color w:val="0D0D0D" w:themeColor="text1" w:themeTint="F2"/>
                <w:spacing w:val="-2"/>
              </w:rPr>
              <w:lastRenderedPageBreak/>
              <w:t>u</w:t>
            </w:r>
            <w:r w:rsidRPr="00FC612C">
              <w:rPr>
                <w:rFonts w:cs="Arial"/>
                <w:color w:val="0D0D0D" w:themeColor="text1" w:themeTint="F2"/>
                <w:spacing w:val="-2"/>
              </w:rPr>
              <w:t> kvalifikovaných činností (např.</w:t>
            </w:r>
            <w:r w:rsidR="00DD3A2C">
              <w:rPr>
                <w:rFonts w:cs="Arial"/>
                <w:color w:val="0D0D0D" w:themeColor="text1" w:themeTint="F2"/>
                <w:spacing w:val="-2"/>
              </w:rPr>
              <w:t> </w:t>
            </w:r>
            <w:r w:rsidRPr="00FC612C">
              <w:rPr>
                <w:rFonts w:cs="Arial"/>
                <w:color w:val="0D0D0D" w:themeColor="text1" w:themeTint="F2"/>
                <w:spacing w:val="-2"/>
              </w:rPr>
              <w:t xml:space="preserve">specialistů v oblasti IT), tak </w:t>
            </w:r>
            <w:r w:rsidR="00BC7833" w:rsidRPr="00FC612C">
              <w:rPr>
                <w:rFonts w:cs="Arial"/>
                <w:color w:val="0D0D0D" w:themeColor="text1" w:themeTint="F2"/>
                <w:spacing w:val="-2"/>
              </w:rPr>
              <w:t>u</w:t>
            </w:r>
            <w:r w:rsidR="00BC7833">
              <w:rPr>
                <w:rFonts w:cs="Arial"/>
                <w:color w:val="0D0D0D" w:themeColor="text1" w:themeTint="F2"/>
                <w:spacing w:val="-2"/>
              </w:rPr>
              <w:t> </w:t>
            </w:r>
            <w:r w:rsidR="00DD3A2C">
              <w:rPr>
                <w:rFonts w:cs="Arial"/>
                <w:color w:val="0D0D0D" w:themeColor="text1" w:themeTint="F2"/>
                <w:spacing w:val="-2"/>
              </w:rPr>
              <w:t xml:space="preserve">prací </w:t>
            </w:r>
            <w:r w:rsidRPr="00FC612C">
              <w:rPr>
                <w:rFonts w:cs="Arial"/>
                <w:color w:val="0D0D0D" w:themeColor="text1" w:themeTint="F2"/>
                <w:spacing w:val="-2"/>
              </w:rPr>
              <w:t>převážně rutinních (v obchodu).</w:t>
            </w:r>
          </w:p>
        </w:tc>
      </w:tr>
      <w:tr w:rsidR="00AA4F0A" w14:paraId="16DBD196" w14:textId="77777777" w:rsidTr="00A500A7">
        <w:trPr>
          <w:trHeight w:val="145"/>
        </w:trPr>
        <w:tc>
          <w:tcPr>
            <w:tcW w:w="1976" w:type="dxa"/>
            <w:tcBorders>
              <w:top w:val="nil"/>
              <w:left w:val="nil"/>
              <w:bottom w:val="nil"/>
              <w:right w:val="nil"/>
            </w:tcBorders>
          </w:tcPr>
          <w:p w14:paraId="5DE02526" w14:textId="69526383" w:rsidR="00AA4F0A" w:rsidRDefault="00AA4F0A" w:rsidP="00A500A7">
            <w:pPr>
              <w:pStyle w:val="Marginlie"/>
            </w:pPr>
            <w:r>
              <w:lastRenderedPageBreak/>
              <w:t>…</w:t>
            </w:r>
            <w:r w:rsidR="00DD3A2C">
              <w:t> </w:t>
            </w:r>
            <w:r>
              <w:t>což se postupně promítlo ve zlepšeném finančním postavení služebně nejmladších zaměstnanců.</w:t>
            </w:r>
          </w:p>
        </w:tc>
        <w:tc>
          <w:tcPr>
            <w:tcW w:w="277" w:type="dxa"/>
            <w:tcBorders>
              <w:top w:val="nil"/>
              <w:left w:val="nil"/>
              <w:bottom w:val="nil"/>
              <w:right w:val="nil"/>
            </w:tcBorders>
          </w:tcPr>
          <w:p w14:paraId="7AFE04CF" w14:textId="77777777" w:rsidR="00AA4F0A" w:rsidRPr="005E4483" w:rsidRDefault="00AA4F0A" w:rsidP="00A500A7">
            <w:pPr>
              <w:pStyle w:val="Textpoznpodarou"/>
              <w:jc w:val="both"/>
              <w:rPr>
                <w:spacing w:val="-4"/>
              </w:rPr>
            </w:pPr>
          </w:p>
        </w:tc>
        <w:tc>
          <w:tcPr>
            <w:tcW w:w="7391" w:type="dxa"/>
            <w:tcBorders>
              <w:top w:val="nil"/>
              <w:left w:val="nil"/>
              <w:bottom w:val="nil"/>
              <w:right w:val="nil"/>
            </w:tcBorders>
          </w:tcPr>
          <w:p w14:paraId="7E0B6983" w14:textId="1828810F" w:rsidR="00AA4F0A" w:rsidRPr="00FC612C" w:rsidRDefault="00AA4F0A" w:rsidP="00A500A7">
            <w:pPr>
              <w:spacing w:after="220"/>
              <w:rPr>
                <w:rFonts w:cs="Arial"/>
                <w:color w:val="0D0D0D" w:themeColor="text1" w:themeTint="F2"/>
                <w:spacing w:val="-2"/>
              </w:rPr>
            </w:pPr>
            <w:r>
              <w:rPr>
                <w:rFonts w:cs="Arial"/>
                <w:color w:val="0D0D0D" w:themeColor="text1" w:themeTint="F2"/>
                <w:spacing w:val="-2"/>
              </w:rPr>
              <w:t>Tato tendence se postupně promítla</w:t>
            </w:r>
            <w:r w:rsidRPr="00FC612C">
              <w:rPr>
                <w:rFonts w:cs="Arial"/>
                <w:color w:val="0D0D0D" w:themeColor="text1" w:themeTint="F2"/>
                <w:spacing w:val="-2"/>
              </w:rPr>
              <w:t xml:space="preserve"> ve zlepšeném finančním postavení čerstvých zaměstnanců. Zatímco ještě v roce 2014 činila mediánová</w:t>
            </w:r>
            <w:r>
              <w:rPr>
                <w:rFonts w:cs="Arial"/>
                <w:color w:val="0D0D0D" w:themeColor="text1" w:themeTint="F2"/>
                <w:spacing w:val="-2"/>
              </w:rPr>
              <w:t xml:space="preserve"> mzda zaměstnanců pracujících u</w:t>
            </w:r>
            <w:r w:rsidRPr="00FC612C">
              <w:rPr>
                <w:rFonts w:cs="Arial"/>
                <w:color w:val="0D0D0D" w:themeColor="text1" w:themeTint="F2"/>
                <w:spacing w:val="-2"/>
              </w:rPr>
              <w:t> stávajícího zaměstnavatele méně než rok 78</w:t>
            </w:r>
            <w:r w:rsidR="006454CC">
              <w:rPr>
                <w:rFonts w:cs="Arial"/>
                <w:color w:val="0D0D0D" w:themeColor="text1" w:themeTint="F2"/>
                <w:spacing w:val="-2"/>
              </w:rPr>
              <w:t> %</w:t>
            </w:r>
            <w:r w:rsidRPr="00FC612C">
              <w:rPr>
                <w:rFonts w:cs="Arial"/>
                <w:color w:val="0D0D0D" w:themeColor="text1" w:themeTint="F2"/>
                <w:spacing w:val="-2"/>
              </w:rPr>
              <w:t xml:space="preserve"> úrovně mz</w:t>
            </w:r>
            <w:r>
              <w:rPr>
                <w:rFonts w:cs="Arial"/>
                <w:color w:val="0D0D0D" w:themeColor="text1" w:themeTint="F2"/>
                <w:spacing w:val="-2"/>
              </w:rPr>
              <w:t>dy v celé ekonomice, v roce 2018</w:t>
            </w:r>
            <w:r w:rsidRPr="00FC612C">
              <w:rPr>
                <w:rFonts w:cs="Arial"/>
                <w:color w:val="0D0D0D" w:themeColor="text1" w:themeTint="F2"/>
                <w:spacing w:val="-2"/>
              </w:rPr>
              <w:t xml:space="preserve"> již 83 %. Podobn</w:t>
            </w:r>
            <w:r w:rsidR="00DD3A2C">
              <w:rPr>
                <w:rFonts w:cs="Arial"/>
                <w:color w:val="0D0D0D" w:themeColor="text1" w:themeTint="F2"/>
                <w:spacing w:val="-2"/>
              </w:rPr>
              <w:t>é</w:t>
            </w:r>
            <w:r w:rsidRPr="00FC612C">
              <w:rPr>
                <w:rFonts w:cs="Arial"/>
                <w:color w:val="0D0D0D" w:themeColor="text1" w:themeTint="F2"/>
                <w:spacing w:val="-2"/>
              </w:rPr>
              <w:t xml:space="preserve"> tendence vykazovali </w:t>
            </w:r>
            <w:r w:rsidR="00BC7833" w:rsidRPr="00FC612C">
              <w:rPr>
                <w:rFonts w:cs="Arial"/>
                <w:color w:val="0D0D0D" w:themeColor="text1" w:themeTint="F2"/>
                <w:spacing w:val="-2"/>
              </w:rPr>
              <w:t>i</w:t>
            </w:r>
            <w:r w:rsidR="00BC7833">
              <w:rPr>
                <w:rFonts w:cs="Arial"/>
                <w:color w:val="0D0D0D" w:themeColor="text1" w:themeTint="F2"/>
                <w:spacing w:val="-2"/>
              </w:rPr>
              <w:t> </w:t>
            </w:r>
            <w:r w:rsidRPr="00FC612C">
              <w:rPr>
                <w:rFonts w:cs="Arial"/>
                <w:color w:val="0D0D0D" w:themeColor="text1" w:themeTint="F2"/>
                <w:spacing w:val="-2"/>
              </w:rPr>
              <w:t xml:space="preserve">pracovníci s délkou zaměstnání </w:t>
            </w:r>
            <w:r w:rsidR="00BC7833" w:rsidRPr="00FC612C">
              <w:rPr>
                <w:rFonts w:cs="Arial"/>
                <w:color w:val="0D0D0D" w:themeColor="text1" w:themeTint="F2"/>
                <w:spacing w:val="-2"/>
              </w:rPr>
              <w:t>1</w:t>
            </w:r>
            <w:r w:rsidR="00BC7833">
              <w:rPr>
                <w:rFonts w:cs="Arial"/>
                <w:color w:val="0D0D0D" w:themeColor="text1" w:themeTint="F2"/>
                <w:spacing w:val="-2"/>
              </w:rPr>
              <w:t> </w:t>
            </w:r>
            <w:r w:rsidRPr="00FC612C">
              <w:rPr>
                <w:rFonts w:cs="Arial"/>
                <w:color w:val="0D0D0D" w:themeColor="text1" w:themeTint="F2"/>
                <w:spacing w:val="-2"/>
              </w:rPr>
              <w:t xml:space="preserve">až </w:t>
            </w:r>
            <w:r w:rsidR="00D82A1E" w:rsidRPr="00FC612C">
              <w:rPr>
                <w:rFonts w:cs="Arial"/>
                <w:color w:val="0D0D0D" w:themeColor="text1" w:themeTint="F2"/>
                <w:spacing w:val="-2"/>
              </w:rPr>
              <w:t>3</w:t>
            </w:r>
            <w:r w:rsidR="00D82A1E">
              <w:rPr>
                <w:rFonts w:cs="Arial"/>
                <w:color w:val="0D0D0D" w:themeColor="text1" w:themeTint="F2"/>
                <w:spacing w:val="-2"/>
              </w:rPr>
              <w:t> </w:t>
            </w:r>
            <w:r w:rsidRPr="00FC612C">
              <w:rPr>
                <w:rFonts w:cs="Arial"/>
                <w:color w:val="0D0D0D" w:themeColor="text1" w:themeTint="F2"/>
                <w:spacing w:val="-2"/>
              </w:rPr>
              <w:t>roky, v jejichž skladbě mzdy lze v čase pozorovat rostou</w:t>
            </w:r>
            <w:r>
              <w:rPr>
                <w:rFonts w:cs="Arial"/>
                <w:color w:val="0D0D0D" w:themeColor="text1" w:themeTint="F2"/>
                <w:spacing w:val="-2"/>
              </w:rPr>
              <w:t>cí podíl motivačních složek.</w:t>
            </w:r>
            <w:r w:rsidRPr="00FC612C">
              <w:rPr>
                <w:rFonts w:cs="Arial"/>
                <w:color w:val="0D0D0D" w:themeColor="text1" w:themeTint="F2"/>
                <w:spacing w:val="-2"/>
              </w:rPr>
              <w:t xml:space="preserve"> Nepatrně se naopak zhoršilo relativní postavení osob, jejichž pracovní poměr trval pět až osm let (zatímco v letech 2012 až 2017 se </w:t>
            </w:r>
            <w:r w:rsidR="0004062C" w:rsidRPr="00FC612C">
              <w:rPr>
                <w:rFonts w:cs="Arial"/>
                <w:color w:val="0D0D0D" w:themeColor="text1" w:themeTint="F2"/>
                <w:spacing w:val="-2"/>
              </w:rPr>
              <w:t>dostal</w:t>
            </w:r>
            <w:r w:rsidR="0004062C">
              <w:rPr>
                <w:rFonts w:cs="Arial"/>
                <w:color w:val="0D0D0D" w:themeColor="text1" w:themeTint="F2"/>
                <w:spacing w:val="-2"/>
              </w:rPr>
              <w:t>y</w:t>
            </w:r>
            <w:r w:rsidR="0004062C" w:rsidRPr="00FC612C">
              <w:rPr>
                <w:rFonts w:cs="Arial"/>
                <w:color w:val="0D0D0D" w:themeColor="text1" w:themeTint="F2"/>
                <w:spacing w:val="-2"/>
              </w:rPr>
              <w:t xml:space="preserve"> </w:t>
            </w:r>
            <w:r w:rsidRPr="00FC612C">
              <w:rPr>
                <w:rFonts w:cs="Arial"/>
                <w:color w:val="0D0D0D" w:themeColor="text1" w:themeTint="F2"/>
                <w:spacing w:val="-2"/>
              </w:rPr>
              <w:t xml:space="preserve">nad úroveň mzdového mediánu celé ekonomiky osoby po sedmém až osmém roku trvání pracovního poměru, v roce 2018 to bylo až po devátém roce). </w:t>
            </w:r>
            <w:r w:rsidR="00BC7833" w:rsidRPr="00FC612C">
              <w:rPr>
                <w:rFonts w:cs="Arial"/>
                <w:color w:val="0D0D0D" w:themeColor="text1" w:themeTint="F2"/>
                <w:spacing w:val="-2"/>
              </w:rPr>
              <w:t>I</w:t>
            </w:r>
            <w:r w:rsidR="00BC7833">
              <w:rPr>
                <w:rFonts w:cs="Arial"/>
                <w:color w:val="0D0D0D" w:themeColor="text1" w:themeTint="F2"/>
                <w:spacing w:val="-2"/>
              </w:rPr>
              <w:t> </w:t>
            </w:r>
            <w:r w:rsidRPr="00FC612C">
              <w:rPr>
                <w:rFonts w:cs="Arial"/>
                <w:color w:val="0D0D0D" w:themeColor="text1" w:themeTint="F2"/>
                <w:spacing w:val="-2"/>
              </w:rPr>
              <w:t xml:space="preserve">díky vyššímu podílu příplatků, odměn či náhrad mzdy není překvapivé, že nejlépe byly odměňovány osoby, jejichž pracovní poměr trval déle než dvacet let. Jejich postavení oproti všem zaměstnancům se mezi roky 2012 </w:t>
            </w:r>
            <w:r w:rsidR="00BC7833" w:rsidRPr="00FC612C">
              <w:rPr>
                <w:rFonts w:cs="Arial"/>
                <w:color w:val="0D0D0D" w:themeColor="text1" w:themeTint="F2"/>
                <w:spacing w:val="-2"/>
              </w:rPr>
              <w:t>a</w:t>
            </w:r>
            <w:r w:rsidR="00BC7833">
              <w:rPr>
                <w:rFonts w:cs="Arial"/>
                <w:color w:val="0D0D0D" w:themeColor="text1" w:themeTint="F2"/>
                <w:spacing w:val="-2"/>
              </w:rPr>
              <w:t> </w:t>
            </w:r>
            <w:r w:rsidRPr="00FC612C">
              <w:rPr>
                <w:rFonts w:cs="Arial"/>
                <w:color w:val="0D0D0D" w:themeColor="text1" w:themeTint="F2"/>
                <w:spacing w:val="-2"/>
              </w:rPr>
              <w:t xml:space="preserve">2018 téměř nezměnilo (jejich medián mzdy byl skoro </w:t>
            </w:r>
            <w:r w:rsidR="00BC7833" w:rsidRPr="00FC612C">
              <w:rPr>
                <w:rFonts w:cs="Arial"/>
                <w:color w:val="0D0D0D" w:themeColor="text1" w:themeTint="F2"/>
                <w:spacing w:val="-2"/>
              </w:rPr>
              <w:t>o</w:t>
            </w:r>
            <w:r w:rsidR="00BC7833">
              <w:rPr>
                <w:rFonts w:cs="Arial"/>
                <w:color w:val="0D0D0D" w:themeColor="text1" w:themeTint="F2"/>
                <w:spacing w:val="-2"/>
              </w:rPr>
              <w:t> </w:t>
            </w:r>
            <w:r w:rsidRPr="00FC612C">
              <w:rPr>
                <w:rFonts w:cs="Arial"/>
                <w:color w:val="0D0D0D" w:themeColor="text1" w:themeTint="F2"/>
                <w:spacing w:val="-2"/>
              </w:rPr>
              <w:t>čtvrtin</w:t>
            </w:r>
            <w:r>
              <w:rPr>
                <w:rFonts w:cs="Arial"/>
                <w:color w:val="0D0D0D" w:themeColor="text1" w:themeTint="F2"/>
                <w:spacing w:val="-2"/>
              </w:rPr>
              <w:t>u vyšší). V</w:t>
            </w:r>
            <w:r w:rsidRPr="00FC612C">
              <w:rPr>
                <w:rFonts w:cs="Arial"/>
                <w:color w:val="0D0D0D" w:themeColor="text1" w:themeTint="F2"/>
                <w:spacing w:val="-2"/>
              </w:rPr>
              <w:t xml:space="preserve"> této skupině </w:t>
            </w:r>
            <w:r>
              <w:rPr>
                <w:rFonts w:cs="Arial"/>
                <w:color w:val="0D0D0D" w:themeColor="text1" w:themeTint="F2"/>
                <w:spacing w:val="-2"/>
              </w:rPr>
              <w:t>patrn</w:t>
            </w:r>
            <w:r w:rsidRPr="00FC612C">
              <w:rPr>
                <w:rFonts w:cs="Arial"/>
                <w:color w:val="0D0D0D" w:themeColor="text1" w:themeTint="F2"/>
                <w:spacing w:val="-2"/>
              </w:rPr>
              <w:t>ě převažují zaměstnanci placení přímo z veřejných rozpočtů</w:t>
            </w:r>
            <w:r>
              <w:rPr>
                <w:rFonts w:cs="Arial"/>
                <w:color w:val="0D0D0D" w:themeColor="text1" w:themeTint="F2"/>
                <w:spacing w:val="-2"/>
              </w:rPr>
              <w:t xml:space="preserve"> (např.</w:t>
            </w:r>
            <w:r w:rsidR="00DD3A2C">
              <w:rPr>
                <w:rFonts w:cs="Arial"/>
                <w:color w:val="0D0D0D" w:themeColor="text1" w:themeTint="F2"/>
                <w:spacing w:val="-2"/>
              </w:rPr>
              <w:t> </w:t>
            </w:r>
            <w:r>
              <w:rPr>
                <w:rFonts w:cs="Arial"/>
                <w:color w:val="0D0D0D" w:themeColor="text1" w:themeTint="F2"/>
                <w:spacing w:val="-2"/>
              </w:rPr>
              <w:t>osoby ve vzdělávání či zdravotnictví)</w:t>
            </w:r>
            <w:r w:rsidRPr="00FC612C">
              <w:rPr>
                <w:rFonts w:cs="Arial"/>
                <w:color w:val="0D0D0D" w:themeColor="text1" w:themeTint="F2"/>
                <w:spacing w:val="-2"/>
              </w:rPr>
              <w:t>.</w:t>
            </w:r>
          </w:p>
        </w:tc>
      </w:tr>
      <w:tr w:rsidR="00AA4F0A" w14:paraId="3B62BCC4" w14:textId="77777777" w:rsidTr="00A500A7">
        <w:trPr>
          <w:trHeight w:val="145"/>
        </w:trPr>
        <w:tc>
          <w:tcPr>
            <w:tcW w:w="1976" w:type="dxa"/>
            <w:tcBorders>
              <w:top w:val="nil"/>
              <w:left w:val="nil"/>
              <w:bottom w:val="nil"/>
              <w:right w:val="nil"/>
            </w:tcBorders>
          </w:tcPr>
          <w:p w14:paraId="0A0418E0" w14:textId="77777777" w:rsidR="00AA4F0A" w:rsidRDefault="00AA4F0A" w:rsidP="00A500A7">
            <w:pPr>
              <w:pStyle w:val="Marginlie"/>
            </w:pPr>
          </w:p>
        </w:tc>
        <w:tc>
          <w:tcPr>
            <w:tcW w:w="277" w:type="dxa"/>
            <w:tcBorders>
              <w:top w:val="nil"/>
              <w:left w:val="nil"/>
              <w:bottom w:val="nil"/>
              <w:right w:val="nil"/>
            </w:tcBorders>
          </w:tcPr>
          <w:p w14:paraId="5A3AF163" w14:textId="77777777" w:rsidR="00AA4F0A" w:rsidRPr="005E4483" w:rsidRDefault="00AA4F0A" w:rsidP="00A500A7">
            <w:pPr>
              <w:pStyle w:val="Textpoznpodarou"/>
              <w:jc w:val="both"/>
              <w:rPr>
                <w:spacing w:val="-4"/>
              </w:rPr>
            </w:pPr>
          </w:p>
        </w:tc>
        <w:tc>
          <w:tcPr>
            <w:tcW w:w="7391" w:type="dxa"/>
            <w:tcBorders>
              <w:top w:val="nil"/>
              <w:left w:val="nil"/>
              <w:bottom w:val="nil"/>
              <w:right w:val="nil"/>
            </w:tcBorders>
          </w:tcPr>
          <w:p w14:paraId="224B3CA8" w14:textId="4384C647" w:rsidR="00AA4F0A" w:rsidRPr="00306AD7" w:rsidRDefault="00AA4F0A" w:rsidP="00A500A7">
            <w:pPr>
              <w:spacing w:after="0"/>
              <w:jc w:val="left"/>
              <w:rPr>
                <w:rFonts w:cs="Arial"/>
                <w:color w:val="0D0D0D" w:themeColor="text1" w:themeTint="F2"/>
                <w:spacing w:val="-2"/>
              </w:rPr>
            </w:pPr>
            <w:r w:rsidRPr="00306AD7">
              <w:rPr>
                <w:b/>
                <w:spacing w:val="-2"/>
              </w:rPr>
              <w:t xml:space="preserve">Graf </w:t>
            </w:r>
            <w:r w:rsidR="00BA35F3">
              <w:rPr>
                <w:b/>
                <w:spacing w:val="-2"/>
              </w:rPr>
              <w:t>č. </w:t>
            </w:r>
            <w:r w:rsidR="00306AD7" w:rsidRPr="00306AD7">
              <w:rPr>
                <w:b/>
                <w:spacing w:val="-2"/>
              </w:rPr>
              <w:t>2</w:t>
            </w:r>
            <w:r w:rsidRPr="00306AD7">
              <w:rPr>
                <w:b/>
                <w:spacing w:val="-2"/>
              </w:rPr>
              <w:t>4</w:t>
            </w:r>
            <w:r w:rsidR="00A67D62">
              <w:rPr>
                <w:b/>
                <w:spacing w:val="-2"/>
              </w:rPr>
              <w:t xml:space="preserve"> </w:t>
            </w:r>
            <w:r w:rsidRPr="00306AD7">
              <w:rPr>
                <w:b/>
                <w:spacing w:val="-2"/>
              </w:rPr>
              <w:t xml:space="preserve"> Medián mzdy zaměstnance </w:t>
            </w:r>
            <w:r w:rsidRPr="00306AD7">
              <w:rPr>
                <w:spacing w:val="-2"/>
              </w:rPr>
              <w:t>(úhrn</w:t>
            </w:r>
            <w:r w:rsidR="00DD3A2C">
              <w:rPr>
                <w:spacing w:val="-2"/>
              </w:rPr>
              <w:t xml:space="preserve"> </w:t>
            </w:r>
            <w:r w:rsidRPr="00306AD7">
              <w:rPr>
                <w:spacing w:val="-2"/>
              </w:rPr>
              <w:t>=</w:t>
            </w:r>
            <w:r w:rsidR="00DD3A2C">
              <w:rPr>
                <w:spacing w:val="-2"/>
              </w:rPr>
              <w:t xml:space="preserve"> </w:t>
            </w:r>
            <w:r w:rsidRPr="00306AD7">
              <w:rPr>
                <w:spacing w:val="-2"/>
              </w:rPr>
              <w:t>100)</w:t>
            </w:r>
            <w:r w:rsidRPr="00306AD7">
              <w:rPr>
                <w:b/>
                <w:spacing w:val="-2"/>
              </w:rPr>
              <w:t xml:space="preserve"> </w:t>
            </w:r>
            <w:r w:rsidR="00BC7833" w:rsidRPr="00306AD7">
              <w:rPr>
                <w:b/>
                <w:spacing w:val="-2"/>
              </w:rPr>
              <w:t>a</w:t>
            </w:r>
            <w:r w:rsidR="00BC7833">
              <w:rPr>
                <w:b/>
                <w:spacing w:val="-2"/>
              </w:rPr>
              <w:t> </w:t>
            </w:r>
            <w:r w:rsidRPr="00306AD7">
              <w:rPr>
                <w:b/>
                <w:spacing w:val="-2"/>
              </w:rPr>
              <w:t xml:space="preserve">podíl základní složky mzdy na hrubém výdělku </w:t>
            </w:r>
            <w:r w:rsidRPr="00306AD7">
              <w:rPr>
                <w:spacing w:val="-2"/>
              </w:rPr>
              <w:t>(v</w:t>
            </w:r>
            <w:r w:rsidR="006454CC">
              <w:rPr>
                <w:spacing w:val="-2"/>
              </w:rPr>
              <w:t> %</w:t>
            </w:r>
            <w:r w:rsidRPr="00306AD7">
              <w:rPr>
                <w:spacing w:val="-2"/>
              </w:rPr>
              <w:t xml:space="preserve">) </w:t>
            </w:r>
            <w:r w:rsidRPr="00306AD7">
              <w:rPr>
                <w:b/>
                <w:spacing w:val="-2"/>
              </w:rPr>
              <w:t xml:space="preserve">dle doby zaměstnání </w:t>
            </w:r>
            <w:r w:rsidR="00BC7833" w:rsidRPr="00306AD7">
              <w:rPr>
                <w:b/>
                <w:spacing w:val="-2"/>
              </w:rPr>
              <w:t>u</w:t>
            </w:r>
            <w:r w:rsidR="00BC7833">
              <w:rPr>
                <w:b/>
                <w:spacing w:val="-2"/>
              </w:rPr>
              <w:t> </w:t>
            </w:r>
            <w:r w:rsidRPr="00306AD7">
              <w:rPr>
                <w:b/>
                <w:spacing w:val="-2"/>
              </w:rPr>
              <w:t>stávajícího zaměstnavatele</w:t>
            </w:r>
          </w:p>
        </w:tc>
      </w:tr>
      <w:tr w:rsidR="00AA4F0A" w14:paraId="6EE201E6" w14:textId="77777777" w:rsidTr="00E9274D">
        <w:tblPrEx>
          <w:tblCellMar>
            <w:left w:w="70" w:type="dxa"/>
            <w:right w:w="70" w:type="dxa"/>
          </w:tblCellMar>
        </w:tblPrEx>
        <w:trPr>
          <w:trHeight w:val="145"/>
        </w:trPr>
        <w:tc>
          <w:tcPr>
            <w:tcW w:w="1976" w:type="dxa"/>
            <w:tcBorders>
              <w:top w:val="nil"/>
              <w:left w:val="nil"/>
              <w:bottom w:val="nil"/>
              <w:right w:val="nil"/>
            </w:tcBorders>
          </w:tcPr>
          <w:p w14:paraId="55F08CD5" w14:textId="77777777" w:rsidR="00AA4F0A" w:rsidRDefault="00AA4F0A" w:rsidP="00A500A7">
            <w:pPr>
              <w:pStyle w:val="Marginlie"/>
            </w:pPr>
          </w:p>
        </w:tc>
        <w:tc>
          <w:tcPr>
            <w:tcW w:w="277" w:type="dxa"/>
            <w:tcBorders>
              <w:top w:val="nil"/>
              <w:left w:val="nil"/>
              <w:bottom w:val="nil"/>
              <w:right w:val="nil"/>
            </w:tcBorders>
          </w:tcPr>
          <w:p w14:paraId="0857BB39" w14:textId="77777777" w:rsidR="00AA4F0A" w:rsidRPr="005E4483" w:rsidRDefault="00AA4F0A" w:rsidP="00A500A7">
            <w:pPr>
              <w:pStyle w:val="Textpoznpodarou"/>
              <w:jc w:val="both"/>
              <w:rPr>
                <w:spacing w:val="-4"/>
              </w:rPr>
            </w:pPr>
          </w:p>
        </w:tc>
        <w:tc>
          <w:tcPr>
            <w:tcW w:w="7391" w:type="dxa"/>
            <w:tcBorders>
              <w:top w:val="nil"/>
              <w:left w:val="nil"/>
              <w:bottom w:val="nil"/>
              <w:right w:val="nil"/>
            </w:tcBorders>
          </w:tcPr>
          <w:p w14:paraId="28B62624" w14:textId="6927F681" w:rsidR="00AA4F0A" w:rsidRDefault="00E9274D" w:rsidP="00A500A7">
            <w:pPr>
              <w:spacing w:after="0" w:line="240" w:lineRule="auto"/>
              <w:rPr>
                <w:rFonts w:cs="Arial"/>
                <w:color w:val="0D0D0D" w:themeColor="text1" w:themeTint="F2"/>
                <w:spacing w:val="-4"/>
              </w:rPr>
            </w:pPr>
            <w:r>
              <w:rPr>
                <w:noProof/>
              </w:rPr>
              <w:drawing>
                <wp:inline distT="0" distB="0" distL="0" distR="0" wp14:anchorId="3D28AD5F" wp14:editId="5C8FEEAD">
                  <wp:extent cx="4604385" cy="3433445"/>
                  <wp:effectExtent l="0" t="0" r="5715" b="0"/>
                  <wp:docPr id="70" name="Graf 70"/>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tc>
      </w:tr>
      <w:tr w:rsidR="00AA4F0A" w14:paraId="54E10612" w14:textId="77777777" w:rsidTr="00A500A7">
        <w:trPr>
          <w:trHeight w:val="145"/>
        </w:trPr>
        <w:tc>
          <w:tcPr>
            <w:tcW w:w="1976" w:type="dxa"/>
            <w:tcBorders>
              <w:top w:val="nil"/>
              <w:left w:val="nil"/>
              <w:bottom w:val="nil"/>
              <w:right w:val="nil"/>
            </w:tcBorders>
          </w:tcPr>
          <w:p w14:paraId="6F6FD80D" w14:textId="77777777" w:rsidR="00AA4F0A" w:rsidRDefault="00AA4F0A" w:rsidP="00A500A7">
            <w:pPr>
              <w:pStyle w:val="Marginlie"/>
            </w:pPr>
          </w:p>
        </w:tc>
        <w:tc>
          <w:tcPr>
            <w:tcW w:w="277" w:type="dxa"/>
            <w:tcBorders>
              <w:top w:val="nil"/>
              <w:left w:val="nil"/>
              <w:bottom w:val="nil"/>
              <w:right w:val="nil"/>
            </w:tcBorders>
          </w:tcPr>
          <w:p w14:paraId="30C06289" w14:textId="77777777" w:rsidR="00AA4F0A" w:rsidRPr="005E4483" w:rsidRDefault="00AA4F0A" w:rsidP="00A500A7">
            <w:pPr>
              <w:pStyle w:val="Textpoznpodarou"/>
              <w:jc w:val="both"/>
              <w:rPr>
                <w:spacing w:val="-4"/>
              </w:rPr>
            </w:pPr>
          </w:p>
        </w:tc>
        <w:tc>
          <w:tcPr>
            <w:tcW w:w="7391" w:type="dxa"/>
            <w:tcBorders>
              <w:top w:val="nil"/>
              <w:left w:val="nil"/>
              <w:bottom w:val="nil"/>
              <w:right w:val="nil"/>
            </w:tcBorders>
          </w:tcPr>
          <w:p w14:paraId="5F90E654" w14:textId="77777777" w:rsidR="00AA4F0A" w:rsidRDefault="00AA4F0A" w:rsidP="00A500A7">
            <w:pPr>
              <w:rPr>
                <w:rFonts w:cs="Arial"/>
                <w:color w:val="0D0D0D" w:themeColor="text1" w:themeTint="F2"/>
                <w:spacing w:val="-4"/>
              </w:rPr>
            </w:pPr>
            <w:r w:rsidRPr="00444E6D">
              <w:rPr>
                <w:rFonts w:cs="Arial"/>
                <w:sz w:val="14"/>
                <w:szCs w:val="14"/>
              </w:rPr>
              <w:t xml:space="preserve">Zdroj: </w:t>
            </w:r>
            <w:r>
              <w:rPr>
                <w:rFonts w:cs="Arial"/>
                <w:sz w:val="14"/>
                <w:szCs w:val="14"/>
              </w:rPr>
              <w:t xml:space="preserve">MPSV </w:t>
            </w:r>
            <w:r w:rsidR="00BC7833">
              <w:rPr>
                <w:rFonts w:cs="Arial"/>
                <w:sz w:val="14"/>
                <w:szCs w:val="14"/>
              </w:rPr>
              <w:t>a </w:t>
            </w:r>
            <w:r>
              <w:rPr>
                <w:rFonts w:cs="Arial"/>
                <w:sz w:val="14"/>
                <w:szCs w:val="14"/>
              </w:rPr>
              <w:t>ČSÚ (Strukturální mzdová statistika)</w:t>
            </w:r>
          </w:p>
        </w:tc>
      </w:tr>
      <w:tr w:rsidR="00AA4F0A" w14:paraId="1DF13B00" w14:textId="77777777" w:rsidTr="00A500A7">
        <w:trPr>
          <w:trHeight w:val="145"/>
        </w:trPr>
        <w:tc>
          <w:tcPr>
            <w:tcW w:w="1976" w:type="dxa"/>
            <w:tcBorders>
              <w:top w:val="nil"/>
              <w:left w:val="nil"/>
              <w:bottom w:val="nil"/>
              <w:right w:val="nil"/>
            </w:tcBorders>
          </w:tcPr>
          <w:p w14:paraId="57B2CD69" w14:textId="77777777" w:rsidR="00AA4F0A" w:rsidRPr="000B3163" w:rsidRDefault="00AA4F0A" w:rsidP="00A500A7">
            <w:pPr>
              <w:pStyle w:val="Marginlie"/>
              <w:rPr>
                <w:spacing w:val="0"/>
              </w:rPr>
            </w:pPr>
            <w:r w:rsidRPr="000B3163">
              <w:rPr>
                <w:spacing w:val="0"/>
              </w:rPr>
              <w:t xml:space="preserve">Průměrné </w:t>
            </w:r>
            <w:r w:rsidR="00BC7833" w:rsidRPr="000B3163">
              <w:rPr>
                <w:spacing w:val="0"/>
              </w:rPr>
              <w:t>i</w:t>
            </w:r>
            <w:r w:rsidR="00BC7833">
              <w:rPr>
                <w:spacing w:val="0"/>
              </w:rPr>
              <w:t> </w:t>
            </w:r>
            <w:r w:rsidRPr="000B3163">
              <w:rPr>
                <w:spacing w:val="0"/>
              </w:rPr>
              <w:t>mediánové výdělky žen po 3</w:t>
            </w:r>
            <w:r w:rsidR="00BC7833" w:rsidRPr="000B3163">
              <w:rPr>
                <w:spacing w:val="0"/>
              </w:rPr>
              <w:t>0</w:t>
            </w:r>
            <w:r w:rsidR="00BC7833">
              <w:rPr>
                <w:spacing w:val="0"/>
              </w:rPr>
              <w:t>. </w:t>
            </w:r>
            <w:r w:rsidRPr="000B3163">
              <w:rPr>
                <w:spacing w:val="0"/>
              </w:rPr>
              <w:t>roku věku fakticky stagnovaly. U mužů ale dále rostly a </w:t>
            </w:r>
            <w:r>
              <w:rPr>
                <w:spacing w:val="0"/>
              </w:rPr>
              <w:t>vrcholily až ve skupině 40</w:t>
            </w:r>
            <w:r w:rsidRPr="000B3163">
              <w:rPr>
                <w:spacing w:val="0"/>
              </w:rPr>
              <w:t> </w:t>
            </w:r>
            <w:r>
              <w:rPr>
                <w:spacing w:val="0"/>
              </w:rPr>
              <w:t>až</w:t>
            </w:r>
            <w:r w:rsidRPr="000B3163">
              <w:rPr>
                <w:spacing w:val="0"/>
              </w:rPr>
              <w:t> 4</w:t>
            </w:r>
            <w:r w:rsidR="00D82A1E" w:rsidRPr="000B3163">
              <w:rPr>
                <w:spacing w:val="0"/>
              </w:rPr>
              <w:t>4</w:t>
            </w:r>
            <w:r w:rsidR="00D82A1E">
              <w:rPr>
                <w:spacing w:val="0"/>
              </w:rPr>
              <w:t> </w:t>
            </w:r>
            <w:r w:rsidRPr="000B3163">
              <w:rPr>
                <w:spacing w:val="0"/>
              </w:rPr>
              <w:t>let.</w:t>
            </w:r>
          </w:p>
        </w:tc>
        <w:tc>
          <w:tcPr>
            <w:tcW w:w="277" w:type="dxa"/>
            <w:tcBorders>
              <w:top w:val="nil"/>
              <w:left w:val="nil"/>
              <w:bottom w:val="nil"/>
              <w:right w:val="nil"/>
            </w:tcBorders>
          </w:tcPr>
          <w:p w14:paraId="017F0C11" w14:textId="77777777" w:rsidR="00AA4F0A" w:rsidRPr="005E4483" w:rsidRDefault="00AA4F0A" w:rsidP="00A500A7">
            <w:pPr>
              <w:pStyle w:val="Textpoznpodarou"/>
              <w:jc w:val="both"/>
              <w:rPr>
                <w:spacing w:val="-4"/>
              </w:rPr>
            </w:pPr>
          </w:p>
        </w:tc>
        <w:tc>
          <w:tcPr>
            <w:tcW w:w="7391" w:type="dxa"/>
            <w:tcBorders>
              <w:top w:val="nil"/>
              <w:left w:val="nil"/>
              <w:bottom w:val="nil"/>
              <w:right w:val="nil"/>
            </w:tcBorders>
          </w:tcPr>
          <w:p w14:paraId="01FE9044" w14:textId="3C6E6DCE" w:rsidR="00AA4F0A" w:rsidRDefault="00AA4F0A" w:rsidP="00A500A7">
            <w:pPr>
              <w:spacing w:after="220"/>
              <w:rPr>
                <w:rFonts w:cs="Arial"/>
                <w:color w:val="0D0D0D" w:themeColor="text1" w:themeTint="F2"/>
                <w:spacing w:val="-4"/>
              </w:rPr>
            </w:pPr>
            <w:r>
              <w:rPr>
                <w:rFonts w:cs="Arial"/>
                <w:color w:val="0D0D0D" w:themeColor="text1" w:themeTint="F2"/>
                <w:spacing w:val="-4"/>
              </w:rPr>
              <w:t>Nejvyššího mzdového mediánu dosahují dlouhodobě pracovníci ve věku 30 až 3</w:t>
            </w:r>
            <w:r w:rsidR="00D82A1E">
              <w:rPr>
                <w:rFonts w:cs="Arial"/>
                <w:color w:val="0D0D0D" w:themeColor="text1" w:themeTint="F2"/>
                <w:spacing w:val="-4"/>
              </w:rPr>
              <w:t>4 </w:t>
            </w:r>
            <w:r>
              <w:rPr>
                <w:rFonts w:cs="Arial"/>
                <w:color w:val="0D0D0D" w:themeColor="text1" w:themeTint="F2"/>
                <w:spacing w:val="-4"/>
              </w:rPr>
              <w:t>let. V roce 2018 jejich výdělek (30,</w:t>
            </w:r>
            <w:r w:rsidR="00D82A1E">
              <w:rPr>
                <w:rFonts w:cs="Arial"/>
                <w:color w:val="0D0D0D" w:themeColor="text1" w:themeTint="F2"/>
                <w:spacing w:val="-4"/>
              </w:rPr>
              <w:t>7 </w:t>
            </w:r>
            <w:r>
              <w:rPr>
                <w:rFonts w:cs="Arial"/>
                <w:color w:val="0D0D0D" w:themeColor="text1" w:themeTint="F2"/>
                <w:spacing w:val="-4"/>
              </w:rPr>
              <w:t xml:space="preserve">tis. korun měsíčně hrubého) převýšil úroveň všech zaměstnanců </w:t>
            </w:r>
            <w:r w:rsidR="00BC7833">
              <w:rPr>
                <w:rFonts w:cs="Arial"/>
                <w:color w:val="0D0D0D" w:themeColor="text1" w:themeTint="F2"/>
                <w:spacing w:val="-4"/>
              </w:rPr>
              <w:t>o </w:t>
            </w:r>
            <w:r>
              <w:rPr>
                <w:rFonts w:cs="Arial"/>
                <w:color w:val="0D0D0D" w:themeColor="text1" w:themeTint="F2"/>
                <w:spacing w:val="-4"/>
              </w:rPr>
              <w:t>5</w:t>
            </w:r>
            <w:r w:rsidR="006454CC">
              <w:rPr>
                <w:rFonts w:cs="Arial"/>
                <w:color w:val="0D0D0D" w:themeColor="text1" w:themeTint="F2"/>
                <w:spacing w:val="-4"/>
              </w:rPr>
              <w:t> %</w:t>
            </w:r>
            <w:r>
              <w:rPr>
                <w:rFonts w:cs="Arial"/>
                <w:color w:val="0D0D0D" w:themeColor="text1" w:themeTint="F2"/>
                <w:spacing w:val="-4"/>
              </w:rPr>
              <w:t xml:space="preserve"> </w:t>
            </w:r>
            <w:r w:rsidR="00BC7833">
              <w:rPr>
                <w:rFonts w:cs="Arial"/>
                <w:color w:val="0D0D0D" w:themeColor="text1" w:themeTint="F2"/>
                <w:spacing w:val="-4"/>
              </w:rPr>
              <w:t>a </w:t>
            </w:r>
            <w:r>
              <w:rPr>
                <w:rFonts w:cs="Arial"/>
                <w:color w:val="0D0D0D" w:themeColor="text1" w:themeTint="F2"/>
                <w:spacing w:val="-4"/>
              </w:rPr>
              <w:t>těch nejhůře placených</w:t>
            </w:r>
            <w:r w:rsidR="0037734D">
              <w:rPr>
                <w:rFonts w:cs="Arial"/>
                <w:color w:val="0D0D0D" w:themeColor="text1" w:themeTint="F2"/>
                <w:spacing w:val="-4"/>
              </w:rPr>
              <w:t xml:space="preserve"> – </w:t>
            </w:r>
            <w:r>
              <w:rPr>
                <w:rFonts w:cs="Arial"/>
                <w:color w:val="0D0D0D" w:themeColor="text1" w:themeTint="F2"/>
                <w:spacing w:val="-4"/>
              </w:rPr>
              <w:t>v nepočetné skupině do 1</w:t>
            </w:r>
            <w:r w:rsidR="00D82A1E">
              <w:rPr>
                <w:rFonts w:cs="Arial"/>
                <w:color w:val="0D0D0D" w:themeColor="text1" w:themeTint="F2"/>
                <w:spacing w:val="-4"/>
              </w:rPr>
              <w:t>9 </w:t>
            </w:r>
            <w:r>
              <w:rPr>
                <w:rFonts w:cs="Arial"/>
                <w:color w:val="0D0D0D" w:themeColor="text1" w:themeTint="F2"/>
                <w:spacing w:val="-4"/>
              </w:rPr>
              <w:t>let</w:t>
            </w:r>
            <w:r w:rsidR="0037734D">
              <w:rPr>
                <w:rFonts w:cs="Arial"/>
                <w:color w:val="0D0D0D" w:themeColor="text1" w:themeTint="F2"/>
                <w:spacing w:val="-4"/>
              </w:rPr>
              <w:t xml:space="preserve"> – </w:t>
            </w:r>
            <w:r w:rsidR="00BC7833">
              <w:rPr>
                <w:rFonts w:cs="Arial"/>
                <w:color w:val="0D0D0D" w:themeColor="text1" w:themeTint="F2"/>
                <w:spacing w:val="-4"/>
              </w:rPr>
              <w:t>o </w:t>
            </w:r>
            <w:r>
              <w:rPr>
                <w:rFonts w:cs="Arial"/>
                <w:color w:val="0D0D0D" w:themeColor="text1" w:themeTint="F2"/>
                <w:spacing w:val="-4"/>
              </w:rPr>
              <w:t xml:space="preserve">42 %. Křivka průběhu mezd mužů </w:t>
            </w:r>
            <w:r w:rsidR="00BC7833">
              <w:rPr>
                <w:rFonts w:cs="Arial"/>
                <w:color w:val="0D0D0D" w:themeColor="text1" w:themeTint="F2"/>
                <w:spacing w:val="-4"/>
              </w:rPr>
              <w:t>a </w:t>
            </w:r>
            <w:r>
              <w:rPr>
                <w:rFonts w:cs="Arial"/>
                <w:color w:val="0D0D0D" w:themeColor="text1" w:themeTint="F2"/>
                <w:spacing w:val="-4"/>
              </w:rPr>
              <w:t xml:space="preserve">žen se odlišuje. Po prudkém růstu výdělků mezi 20. </w:t>
            </w:r>
            <w:r w:rsidR="00BC7833">
              <w:rPr>
                <w:rFonts w:cs="Arial"/>
                <w:color w:val="0D0D0D" w:themeColor="text1" w:themeTint="F2"/>
                <w:spacing w:val="-4"/>
              </w:rPr>
              <w:t>a </w:t>
            </w:r>
            <w:r>
              <w:rPr>
                <w:rFonts w:cs="Arial"/>
                <w:color w:val="0D0D0D" w:themeColor="text1" w:themeTint="F2"/>
                <w:spacing w:val="-4"/>
              </w:rPr>
              <w:t>3</w:t>
            </w:r>
            <w:r w:rsidR="00BC7833">
              <w:rPr>
                <w:rFonts w:cs="Arial"/>
                <w:color w:val="0D0D0D" w:themeColor="text1" w:themeTint="F2"/>
                <w:spacing w:val="-4"/>
              </w:rPr>
              <w:t>0. </w:t>
            </w:r>
            <w:r>
              <w:rPr>
                <w:rFonts w:cs="Arial"/>
                <w:color w:val="0D0D0D" w:themeColor="text1" w:themeTint="F2"/>
                <w:spacing w:val="-4"/>
              </w:rPr>
              <w:t>rokem věku (společn</w:t>
            </w:r>
            <w:r w:rsidR="00083234">
              <w:rPr>
                <w:rFonts w:cs="Arial"/>
                <w:color w:val="0D0D0D" w:themeColor="text1" w:themeTint="F2"/>
                <w:spacing w:val="-4"/>
              </w:rPr>
              <w:t>é</w:t>
            </w:r>
            <w:r>
              <w:rPr>
                <w:rFonts w:cs="Arial"/>
                <w:color w:val="0D0D0D" w:themeColor="text1" w:themeTint="F2"/>
                <w:spacing w:val="-4"/>
              </w:rPr>
              <w:t xml:space="preserve">m pro obě pohlaví) dosahuje mzda </w:t>
            </w:r>
            <w:r w:rsidR="00BC7833">
              <w:rPr>
                <w:rFonts w:cs="Arial"/>
                <w:color w:val="0D0D0D" w:themeColor="text1" w:themeTint="F2"/>
                <w:spacing w:val="-4"/>
              </w:rPr>
              <w:t>u </w:t>
            </w:r>
            <w:r>
              <w:rPr>
                <w:rFonts w:cs="Arial"/>
                <w:color w:val="0D0D0D" w:themeColor="text1" w:themeTint="F2"/>
                <w:spacing w:val="-4"/>
              </w:rPr>
              <w:t>žen lokálního maxima ve skupině 30</w:t>
            </w:r>
            <w:r w:rsidR="00D82A1E">
              <w:rPr>
                <w:rFonts w:cs="Arial"/>
                <w:color w:val="0D0D0D" w:themeColor="text1" w:themeTint="F2"/>
                <w:spacing w:val="-4"/>
              </w:rPr>
              <w:t>–</w:t>
            </w:r>
            <w:r>
              <w:rPr>
                <w:rFonts w:cs="Arial"/>
                <w:color w:val="0D0D0D" w:themeColor="text1" w:themeTint="F2"/>
                <w:spacing w:val="-4"/>
              </w:rPr>
              <w:t xml:space="preserve">34letých, </w:t>
            </w:r>
            <w:r w:rsidR="00BC7833">
              <w:rPr>
                <w:rFonts w:cs="Arial"/>
                <w:color w:val="0D0D0D" w:themeColor="text1" w:themeTint="F2"/>
                <w:spacing w:val="-4"/>
              </w:rPr>
              <w:t>u </w:t>
            </w:r>
            <w:r>
              <w:rPr>
                <w:rFonts w:cs="Arial"/>
                <w:color w:val="0D0D0D" w:themeColor="text1" w:themeTint="F2"/>
                <w:spacing w:val="-4"/>
              </w:rPr>
              <w:t xml:space="preserve">mužů ale až </w:t>
            </w:r>
            <w:r w:rsidR="00BC7833">
              <w:rPr>
                <w:rFonts w:cs="Arial"/>
                <w:color w:val="0D0D0D" w:themeColor="text1" w:themeTint="F2"/>
                <w:spacing w:val="-4"/>
              </w:rPr>
              <w:t>o </w:t>
            </w:r>
            <w:r>
              <w:rPr>
                <w:rFonts w:cs="Arial"/>
                <w:color w:val="0D0D0D" w:themeColor="text1" w:themeTint="F2"/>
                <w:spacing w:val="-4"/>
              </w:rPr>
              <w:t>dese</w:t>
            </w:r>
            <w:r w:rsidR="00DD2B66">
              <w:rPr>
                <w:rFonts w:cs="Arial"/>
                <w:color w:val="0D0D0D" w:themeColor="text1" w:themeTint="F2"/>
                <w:spacing w:val="-4"/>
              </w:rPr>
              <w:t>t</w:t>
            </w:r>
            <w:r>
              <w:rPr>
                <w:rFonts w:cs="Arial"/>
                <w:color w:val="0D0D0D" w:themeColor="text1" w:themeTint="F2"/>
                <w:spacing w:val="-4"/>
              </w:rPr>
              <w:t xml:space="preserve"> let později. Výdělky žen mezi 30. </w:t>
            </w:r>
            <w:r w:rsidR="00BC7833">
              <w:rPr>
                <w:rFonts w:cs="Arial"/>
                <w:color w:val="0D0D0D" w:themeColor="text1" w:themeTint="F2"/>
                <w:spacing w:val="-4"/>
              </w:rPr>
              <w:t>a </w:t>
            </w:r>
            <w:r>
              <w:rPr>
                <w:rFonts w:cs="Arial"/>
                <w:color w:val="0D0D0D" w:themeColor="text1" w:themeTint="F2"/>
                <w:spacing w:val="-4"/>
              </w:rPr>
              <w:t>6</w:t>
            </w:r>
            <w:r w:rsidR="00BC7833">
              <w:rPr>
                <w:rFonts w:cs="Arial"/>
                <w:color w:val="0D0D0D" w:themeColor="text1" w:themeTint="F2"/>
                <w:spacing w:val="-4"/>
              </w:rPr>
              <w:t>0. </w:t>
            </w:r>
            <w:r>
              <w:rPr>
                <w:rFonts w:cs="Arial"/>
                <w:color w:val="0D0D0D" w:themeColor="text1" w:themeTint="F2"/>
                <w:spacing w:val="-4"/>
              </w:rPr>
              <w:t xml:space="preserve">rokem věku stagnovaly. Většina žen v této skupině musí obvykle skloubit pracovní kariéru s péčí </w:t>
            </w:r>
            <w:r w:rsidR="00BC7833">
              <w:rPr>
                <w:rFonts w:cs="Arial"/>
                <w:color w:val="0D0D0D" w:themeColor="text1" w:themeTint="F2"/>
                <w:spacing w:val="-4"/>
              </w:rPr>
              <w:t>o </w:t>
            </w:r>
            <w:r>
              <w:rPr>
                <w:rFonts w:cs="Arial"/>
                <w:color w:val="0D0D0D" w:themeColor="text1" w:themeTint="F2"/>
                <w:spacing w:val="-4"/>
              </w:rPr>
              <w:t xml:space="preserve">závislé děti </w:t>
            </w:r>
            <w:r w:rsidR="00BC7833">
              <w:rPr>
                <w:rFonts w:cs="Arial"/>
                <w:color w:val="0D0D0D" w:themeColor="text1" w:themeTint="F2"/>
                <w:spacing w:val="-4"/>
              </w:rPr>
              <w:t>i </w:t>
            </w:r>
            <w:r>
              <w:rPr>
                <w:rFonts w:cs="Arial"/>
                <w:color w:val="0D0D0D" w:themeColor="text1" w:themeTint="F2"/>
                <w:spacing w:val="-4"/>
              </w:rPr>
              <w:t>běžný</w:t>
            </w:r>
            <w:r w:rsidR="00083234">
              <w:rPr>
                <w:rFonts w:cs="Arial"/>
                <w:color w:val="0D0D0D" w:themeColor="text1" w:themeTint="F2"/>
                <w:spacing w:val="-4"/>
              </w:rPr>
              <w:t>m</w:t>
            </w:r>
            <w:r>
              <w:rPr>
                <w:rFonts w:cs="Arial"/>
                <w:color w:val="0D0D0D" w:themeColor="text1" w:themeTint="F2"/>
                <w:spacing w:val="-4"/>
              </w:rPr>
              <w:t xml:space="preserve"> chod</w:t>
            </w:r>
            <w:r w:rsidR="00083234">
              <w:rPr>
                <w:rFonts w:cs="Arial"/>
                <w:color w:val="0D0D0D" w:themeColor="text1" w:themeTint="F2"/>
                <w:spacing w:val="-4"/>
              </w:rPr>
              <w:t>em</w:t>
            </w:r>
            <w:r>
              <w:rPr>
                <w:rFonts w:cs="Arial"/>
                <w:color w:val="0D0D0D" w:themeColor="text1" w:themeTint="F2"/>
                <w:spacing w:val="-4"/>
              </w:rPr>
              <w:t xml:space="preserve"> domácnosti. Změna postavení pracujících žen nastává až ve skupině 60</w:t>
            </w:r>
            <w:r w:rsidR="00083234">
              <w:rPr>
                <w:rFonts w:cs="Arial"/>
                <w:color w:val="0D0D0D" w:themeColor="text1" w:themeTint="F2"/>
                <w:spacing w:val="-4"/>
              </w:rPr>
              <w:t>–</w:t>
            </w:r>
            <w:r>
              <w:rPr>
                <w:rFonts w:cs="Arial"/>
                <w:color w:val="0D0D0D" w:themeColor="text1" w:themeTint="F2"/>
                <w:spacing w:val="-4"/>
              </w:rPr>
              <w:t>64letých, kdy se mediánová mzda žen téměř dorovná úrovni mužů (</w:t>
            </w:r>
            <w:r w:rsidR="00BC7833">
              <w:rPr>
                <w:rFonts w:cs="Arial"/>
                <w:color w:val="0D0D0D" w:themeColor="text1" w:themeTint="F2"/>
                <w:spacing w:val="-4"/>
              </w:rPr>
              <w:t>v </w:t>
            </w:r>
            <w:r>
              <w:rPr>
                <w:rFonts w:cs="Arial"/>
                <w:color w:val="0D0D0D" w:themeColor="text1" w:themeTint="F2"/>
                <w:spacing w:val="-4"/>
              </w:rPr>
              <w:t>roce 2016: 29,</w:t>
            </w:r>
            <w:r w:rsidR="00D82A1E">
              <w:rPr>
                <w:rFonts w:cs="Arial"/>
                <w:color w:val="0D0D0D" w:themeColor="text1" w:themeTint="F2"/>
                <w:spacing w:val="-4"/>
              </w:rPr>
              <w:t>8 </w:t>
            </w:r>
            <w:r>
              <w:rPr>
                <w:rFonts w:cs="Arial"/>
                <w:color w:val="0D0D0D" w:themeColor="text1" w:themeTint="F2"/>
                <w:spacing w:val="-4"/>
              </w:rPr>
              <w:t>tis. vs. 30,</w:t>
            </w:r>
            <w:r w:rsidR="00D82A1E">
              <w:rPr>
                <w:rFonts w:cs="Arial"/>
                <w:color w:val="0D0D0D" w:themeColor="text1" w:themeTint="F2"/>
                <w:spacing w:val="-4"/>
              </w:rPr>
              <w:t>0 </w:t>
            </w:r>
            <w:r>
              <w:rPr>
                <w:rFonts w:cs="Arial"/>
                <w:color w:val="0D0D0D" w:themeColor="text1" w:themeTint="F2"/>
                <w:spacing w:val="-4"/>
              </w:rPr>
              <w:t>tis. korun). Za tímto posunem ale stojí proměna kvalifikační i vzdělanostní skladby zaměstnaných, neboť výrazná většina žen s podprůměrnou mzdou využije možnost odejít kolem 6</w:t>
            </w:r>
            <w:r w:rsidR="00BC7833">
              <w:rPr>
                <w:rFonts w:cs="Arial"/>
                <w:color w:val="0D0D0D" w:themeColor="text1" w:themeTint="F2"/>
                <w:spacing w:val="-4"/>
              </w:rPr>
              <w:t>0. </w:t>
            </w:r>
            <w:r>
              <w:rPr>
                <w:rFonts w:cs="Arial"/>
                <w:color w:val="0D0D0D" w:themeColor="text1" w:themeTint="F2"/>
                <w:spacing w:val="-4"/>
              </w:rPr>
              <w:t>roku do řádného, popř</w:t>
            </w:r>
            <w:r w:rsidR="00083234">
              <w:rPr>
                <w:rFonts w:cs="Arial"/>
                <w:color w:val="0D0D0D" w:themeColor="text1" w:themeTint="F2"/>
                <w:spacing w:val="-4"/>
              </w:rPr>
              <w:t>ípadě</w:t>
            </w:r>
            <w:r>
              <w:rPr>
                <w:rFonts w:cs="Arial"/>
                <w:color w:val="0D0D0D" w:themeColor="text1" w:themeTint="F2"/>
                <w:spacing w:val="-4"/>
              </w:rPr>
              <w:t xml:space="preserve"> </w:t>
            </w:r>
            <w:r>
              <w:rPr>
                <w:rFonts w:cs="Arial"/>
                <w:color w:val="0D0D0D" w:themeColor="text1" w:themeTint="F2"/>
                <w:spacing w:val="-4"/>
              </w:rPr>
              <w:lastRenderedPageBreak/>
              <w:t>předčasného důchodu. Po 6</w:t>
            </w:r>
            <w:r w:rsidR="00D82A1E">
              <w:rPr>
                <w:rFonts w:cs="Arial"/>
                <w:color w:val="0D0D0D" w:themeColor="text1" w:themeTint="F2"/>
                <w:spacing w:val="-4"/>
              </w:rPr>
              <w:t>5. </w:t>
            </w:r>
            <w:r>
              <w:rPr>
                <w:rFonts w:cs="Arial"/>
                <w:color w:val="0D0D0D" w:themeColor="text1" w:themeTint="F2"/>
                <w:spacing w:val="-4"/>
              </w:rPr>
              <w:t>ro</w:t>
            </w:r>
            <w:r w:rsidR="00DD2B66">
              <w:rPr>
                <w:rFonts w:cs="Arial"/>
                <w:color w:val="0D0D0D" w:themeColor="text1" w:themeTint="F2"/>
                <w:spacing w:val="-4"/>
              </w:rPr>
              <w:t>ce</w:t>
            </w:r>
            <w:r>
              <w:rPr>
                <w:rFonts w:cs="Arial"/>
                <w:color w:val="0D0D0D" w:themeColor="text1" w:themeTint="F2"/>
                <w:spacing w:val="-4"/>
              </w:rPr>
              <w:t xml:space="preserve"> dochází k obdobnému posunu ve skladbě pracujících </w:t>
            </w:r>
            <w:r w:rsidR="00BC7833">
              <w:rPr>
                <w:rFonts w:cs="Arial"/>
                <w:color w:val="0D0D0D" w:themeColor="text1" w:themeTint="F2"/>
                <w:spacing w:val="-4"/>
              </w:rPr>
              <w:t>u </w:t>
            </w:r>
            <w:r>
              <w:rPr>
                <w:rFonts w:cs="Arial"/>
                <w:color w:val="0D0D0D" w:themeColor="text1" w:themeTint="F2"/>
                <w:spacing w:val="-4"/>
              </w:rPr>
              <w:t xml:space="preserve">mužů </w:t>
            </w:r>
            <w:r w:rsidR="00BC7833">
              <w:rPr>
                <w:rFonts w:cs="Arial"/>
                <w:color w:val="0D0D0D" w:themeColor="text1" w:themeTint="F2"/>
                <w:spacing w:val="-4"/>
              </w:rPr>
              <w:t>a </w:t>
            </w:r>
            <w:r>
              <w:rPr>
                <w:rFonts w:cs="Arial"/>
                <w:color w:val="0D0D0D" w:themeColor="text1" w:themeTint="F2"/>
                <w:spacing w:val="-4"/>
              </w:rPr>
              <w:t>rozdíly mezi úrovní výdělků žen a mužů se opět prohlubují.</w:t>
            </w:r>
          </w:p>
        </w:tc>
      </w:tr>
      <w:tr w:rsidR="00AA4F0A" w14:paraId="61FD839B" w14:textId="77777777" w:rsidTr="00A500A7">
        <w:trPr>
          <w:trHeight w:val="145"/>
        </w:trPr>
        <w:tc>
          <w:tcPr>
            <w:tcW w:w="1976" w:type="dxa"/>
            <w:tcBorders>
              <w:top w:val="nil"/>
              <w:left w:val="nil"/>
              <w:bottom w:val="nil"/>
              <w:right w:val="nil"/>
            </w:tcBorders>
          </w:tcPr>
          <w:p w14:paraId="4A713A1D" w14:textId="1DCFC192" w:rsidR="00AA4F0A" w:rsidRDefault="00AA4F0A" w:rsidP="00A500A7">
            <w:pPr>
              <w:pStyle w:val="Marginlie"/>
            </w:pPr>
            <w:r>
              <w:lastRenderedPageBreak/>
              <w:t>Rozdíl mezi výš</w:t>
            </w:r>
            <w:r w:rsidR="00083234">
              <w:t>í</w:t>
            </w:r>
            <w:r>
              <w:t xml:space="preserve"> mužských </w:t>
            </w:r>
            <w:r w:rsidR="00BC7833">
              <w:t>a </w:t>
            </w:r>
            <w:r>
              <w:t xml:space="preserve">ženských výdělků se po roce 2015 mírně snížil. Stál za tím příznivý vývoj ve </w:t>
            </w:r>
            <w:r w:rsidR="00083234">
              <w:t xml:space="preserve">věkové </w:t>
            </w:r>
            <w:r>
              <w:t>skupině 35</w:t>
            </w:r>
            <w:r w:rsidR="00D82A1E">
              <w:t>–</w:t>
            </w:r>
            <w:r>
              <w:t>4</w:t>
            </w:r>
            <w:r w:rsidR="00D82A1E">
              <w:t>4 </w:t>
            </w:r>
            <w:r>
              <w:t xml:space="preserve">let </w:t>
            </w:r>
            <w:r w:rsidR="00BC7833">
              <w:t>a </w:t>
            </w:r>
            <w:r>
              <w:t>také v seniorském věku.</w:t>
            </w:r>
          </w:p>
        </w:tc>
        <w:tc>
          <w:tcPr>
            <w:tcW w:w="277" w:type="dxa"/>
            <w:tcBorders>
              <w:top w:val="nil"/>
              <w:left w:val="nil"/>
              <w:bottom w:val="nil"/>
              <w:right w:val="nil"/>
            </w:tcBorders>
          </w:tcPr>
          <w:p w14:paraId="74CF442F" w14:textId="77777777" w:rsidR="00AA4F0A" w:rsidRPr="005E4483" w:rsidRDefault="00AA4F0A" w:rsidP="00A500A7">
            <w:pPr>
              <w:pStyle w:val="Textpoznpodarou"/>
              <w:jc w:val="both"/>
              <w:rPr>
                <w:spacing w:val="-4"/>
              </w:rPr>
            </w:pPr>
          </w:p>
        </w:tc>
        <w:tc>
          <w:tcPr>
            <w:tcW w:w="7391" w:type="dxa"/>
            <w:tcBorders>
              <w:top w:val="nil"/>
              <w:left w:val="nil"/>
              <w:bottom w:val="nil"/>
              <w:right w:val="nil"/>
            </w:tcBorders>
          </w:tcPr>
          <w:p w14:paraId="4E77B8E8" w14:textId="06AEB173" w:rsidR="00AA4F0A" w:rsidRPr="00610895" w:rsidRDefault="00AA4F0A" w:rsidP="00A500A7">
            <w:pPr>
              <w:spacing w:after="220"/>
              <w:rPr>
                <w:rFonts w:cs="Arial"/>
                <w:color w:val="0D0D0D" w:themeColor="text1" w:themeTint="F2"/>
                <w:spacing w:val="-4"/>
              </w:rPr>
            </w:pPr>
            <w:r>
              <w:rPr>
                <w:rFonts w:cs="Arial"/>
                <w:color w:val="0D0D0D" w:themeColor="text1" w:themeTint="F2"/>
                <w:spacing w:val="-4"/>
              </w:rPr>
              <w:t xml:space="preserve">Největší rozdíly </w:t>
            </w:r>
            <w:r w:rsidR="00083234">
              <w:rPr>
                <w:rFonts w:cs="Arial"/>
                <w:color w:val="0D0D0D" w:themeColor="text1" w:themeTint="F2"/>
                <w:spacing w:val="-4"/>
              </w:rPr>
              <w:t xml:space="preserve">ve </w:t>
            </w:r>
            <w:r>
              <w:rPr>
                <w:rFonts w:cs="Arial"/>
                <w:color w:val="0D0D0D" w:themeColor="text1" w:themeTint="F2"/>
                <w:spacing w:val="-4"/>
              </w:rPr>
              <w:t>výš</w:t>
            </w:r>
            <w:r w:rsidR="00083234">
              <w:rPr>
                <w:rFonts w:cs="Arial"/>
                <w:color w:val="0D0D0D" w:themeColor="text1" w:themeTint="F2"/>
                <w:spacing w:val="-4"/>
              </w:rPr>
              <w:t>i</w:t>
            </w:r>
            <w:r>
              <w:rPr>
                <w:rFonts w:cs="Arial"/>
                <w:color w:val="0D0D0D" w:themeColor="text1" w:themeTint="F2"/>
                <w:spacing w:val="-4"/>
              </w:rPr>
              <w:t xml:space="preserve"> výdělků mezi pohlavími se dlouhodobě projevují ve věku kolem 4</w:t>
            </w:r>
            <w:r w:rsidR="00D82A1E">
              <w:rPr>
                <w:rFonts w:cs="Arial"/>
                <w:color w:val="0D0D0D" w:themeColor="text1" w:themeTint="F2"/>
                <w:spacing w:val="-4"/>
              </w:rPr>
              <w:t>0 </w:t>
            </w:r>
            <w:r>
              <w:rPr>
                <w:rFonts w:cs="Arial"/>
                <w:color w:val="0D0D0D" w:themeColor="text1" w:themeTint="F2"/>
                <w:spacing w:val="-4"/>
              </w:rPr>
              <w:t>let. Ve skupině 40 až 4</w:t>
            </w:r>
            <w:r w:rsidR="00D82A1E">
              <w:rPr>
                <w:rFonts w:cs="Arial"/>
                <w:color w:val="0D0D0D" w:themeColor="text1" w:themeTint="F2"/>
                <w:spacing w:val="-4"/>
              </w:rPr>
              <w:t>4 </w:t>
            </w:r>
            <w:r>
              <w:rPr>
                <w:rFonts w:cs="Arial"/>
                <w:color w:val="0D0D0D" w:themeColor="text1" w:themeTint="F2"/>
                <w:spacing w:val="-4"/>
              </w:rPr>
              <w:t>let činil loni medián mezd žen 79,5</w:t>
            </w:r>
            <w:r w:rsidR="006454CC">
              <w:rPr>
                <w:rFonts w:cs="Arial"/>
                <w:color w:val="0D0D0D" w:themeColor="text1" w:themeTint="F2"/>
                <w:spacing w:val="-4"/>
              </w:rPr>
              <w:t> %</w:t>
            </w:r>
            <w:r>
              <w:rPr>
                <w:rFonts w:cs="Arial"/>
                <w:color w:val="0D0D0D" w:themeColor="text1" w:themeTint="F2"/>
                <w:spacing w:val="-4"/>
              </w:rPr>
              <w:t xml:space="preserve"> úrovně mužů. V případě průměrné mzdy byl rozdíl s ohledem na vysokou mzdovou variabilitu mužských mezd v tomto věku vyšší, ženy dosahovaly jen 72,7</w:t>
            </w:r>
            <w:r w:rsidR="006454CC">
              <w:rPr>
                <w:rFonts w:cs="Arial"/>
                <w:color w:val="0D0D0D" w:themeColor="text1" w:themeTint="F2"/>
                <w:spacing w:val="-4"/>
              </w:rPr>
              <w:t> %</w:t>
            </w:r>
            <w:r>
              <w:rPr>
                <w:rFonts w:cs="Arial"/>
                <w:color w:val="0D0D0D" w:themeColor="text1" w:themeTint="F2"/>
                <w:spacing w:val="-4"/>
              </w:rPr>
              <w:t xml:space="preserve">. Celkové diference mezi pohlavími zůstávají v čase poměrně stabilní. Mezi roky 2015 </w:t>
            </w:r>
            <w:r w:rsidR="00BC7833">
              <w:rPr>
                <w:rFonts w:cs="Arial"/>
                <w:color w:val="0D0D0D" w:themeColor="text1" w:themeTint="F2"/>
                <w:spacing w:val="-4"/>
              </w:rPr>
              <w:t>a </w:t>
            </w:r>
            <w:r>
              <w:rPr>
                <w:rFonts w:cs="Arial"/>
                <w:color w:val="0D0D0D" w:themeColor="text1" w:themeTint="F2"/>
                <w:spacing w:val="-4"/>
              </w:rPr>
              <w:t>2018 lze ale vystopovat náznaky mírného sbližování</w:t>
            </w:r>
            <w:r w:rsidR="0037734D">
              <w:rPr>
                <w:rFonts w:cs="Arial"/>
                <w:color w:val="0D0D0D" w:themeColor="text1" w:themeTint="F2"/>
                <w:spacing w:val="-4"/>
              </w:rPr>
              <w:t xml:space="preserve"> – </w:t>
            </w:r>
            <w:r>
              <w:rPr>
                <w:rFonts w:cs="Arial"/>
                <w:color w:val="0D0D0D" w:themeColor="text1" w:themeTint="F2"/>
                <w:spacing w:val="-4"/>
              </w:rPr>
              <w:t>svižnější</w:t>
            </w:r>
            <w:r w:rsidR="00203390">
              <w:rPr>
                <w:rFonts w:cs="Arial"/>
                <w:color w:val="0D0D0D" w:themeColor="text1" w:themeTint="F2"/>
                <w:spacing w:val="-4"/>
              </w:rPr>
              <w:t>ho</w:t>
            </w:r>
            <w:r>
              <w:rPr>
                <w:rFonts w:cs="Arial"/>
                <w:color w:val="0D0D0D" w:themeColor="text1" w:themeTint="F2"/>
                <w:spacing w:val="-4"/>
              </w:rPr>
              <w:t xml:space="preserve"> na úrovni průměrných mezd (</w:t>
            </w:r>
            <w:r w:rsidR="00BC7833">
              <w:rPr>
                <w:rFonts w:cs="Arial"/>
                <w:color w:val="0D0D0D" w:themeColor="text1" w:themeTint="F2"/>
                <w:spacing w:val="-4"/>
              </w:rPr>
              <w:t>o </w:t>
            </w:r>
            <w:r>
              <w:rPr>
                <w:rFonts w:cs="Arial"/>
                <w:color w:val="0D0D0D" w:themeColor="text1" w:themeTint="F2"/>
                <w:spacing w:val="-4"/>
              </w:rPr>
              <w:t>2,0</w:t>
            </w:r>
            <w:r w:rsidR="006454CC">
              <w:rPr>
                <w:rFonts w:cs="Arial"/>
                <w:color w:val="0D0D0D" w:themeColor="text1" w:themeTint="F2"/>
                <w:spacing w:val="-4"/>
              </w:rPr>
              <w:t> p. b.</w:t>
            </w:r>
            <w:r>
              <w:rPr>
                <w:rFonts w:cs="Arial"/>
                <w:color w:val="0D0D0D" w:themeColor="text1" w:themeTint="F2"/>
                <w:spacing w:val="-4"/>
              </w:rPr>
              <w:t>) než mediánových (1,3</w:t>
            </w:r>
            <w:r w:rsidR="006454CC">
              <w:rPr>
                <w:rFonts w:cs="Arial"/>
                <w:color w:val="0D0D0D" w:themeColor="text1" w:themeTint="F2"/>
                <w:spacing w:val="-4"/>
              </w:rPr>
              <w:t> p. b.</w:t>
            </w:r>
            <w:r>
              <w:rPr>
                <w:rFonts w:cs="Arial"/>
                <w:color w:val="0D0D0D" w:themeColor="text1" w:themeTint="F2"/>
                <w:spacing w:val="-4"/>
              </w:rPr>
              <w:t xml:space="preserve">). K tomuto pozitivnímu vývoji přispěly konvergenční tendence </w:t>
            </w:r>
            <w:r w:rsidR="00BC7833">
              <w:rPr>
                <w:rFonts w:cs="Arial"/>
                <w:color w:val="0D0D0D" w:themeColor="text1" w:themeTint="F2"/>
                <w:spacing w:val="-4"/>
              </w:rPr>
              <w:t>u </w:t>
            </w:r>
            <w:r>
              <w:rPr>
                <w:rFonts w:cs="Arial"/>
                <w:color w:val="0D0D0D" w:themeColor="text1" w:themeTint="F2"/>
                <w:spacing w:val="-4"/>
              </w:rPr>
              <w:t>výdělků ve věku 35 až 4</w:t>
            </w:r>
            <w:r w:rsidR="00D82A1E">
              <w:rPr>
                <w:rFonts w:cs="Arial"/>
                <w:color w:val="0D0D0D" w:themeColor="text1" w:themeTint="F2"/>
                <w:spacing w:val="-4"/>
              </w:rPr>
              <w:t>4 </w:t>
            </w:r>
            <w:r>
              <w:rPr>
                <w:rFonts w:cs="Arial"/>
                <w:color w:val="0D0D0D" w:themeColor="text1" w:themeTint="F2"/>
                <w:spacing w:val="-4"/>
              </w:rPr>
              <w:t xml:space="preserve">let </w:t>
            </w:r>
            <w:r w:rsidR="00BC7833">
              <w:rPr>
                <w:rFonts w:cs="Arial"/>
                <w:color w:val="0D0D0D" w:themeColor="text1" w:themeTint="F2"/>
                <w:spacing w:val="-4"/>
              </w:rPr>
              <w:t>a </w:t>
            </w:r>
            <w:r>
              <w:rPr>
                <w:rFonts w:cs="Arial"/>
                <w:color w:val="0D0D0D" w:themeColor="text1" w:themeTint="F2"/>
                <w:spacing w:val="-4"/>
              </w:rPr>
              <w:t>také po 60</w:t>
            </w:r>
            <w:r w:rsidR="00D82A1E">
              <w:rPr>
                <w:rFonts w:cs="Arial"/>
                <w:color w:val="0D0D0D" w:themeColor="text1" w:themeTint="F2"/>
                <w:spacing w:val="-4"/>
              </w:rPr>
              <w:t>. </w:t>
            </w:r>
            <w:r>
              <w:rPr>
                <w:rFonts w:cs="Arial"/>
                <w:color w:val="0D0D0D" w:themeColor="text1" w:themeTint="F2"/>
                <w:spacing w:val="-4"/>
              </w:rPr>
              <w:t xml:space="preserve">roce. </w:t>
            </w:r>
            <w:r w:rsidR="00BC7833">
              <w:rPr>
                <w:rFonts w:cs="Arial"/>
                <w:color w:val="0D0D0D" w:themeColor="text1" w:themeTint="F2"/>
                <w:spacing w:val="-4"/>
              </w:rPr>
              <w:t>I </w:t>
            </w:r>
            <w:r>
              <w:rPr>
                <w:rFonts w:cs="Arial"/>
                <w:color w:val="0D0D0D" w:themeColor="text1" w:themeTint="F2"/>
                <w:spacing w:val="-4"/>
              </w:rPr>
              <w:t>přes tuto mírnou korekci zůstává ČR nadále ve skupině států</w:t>
            </w:r>
            <w:r w:rsidR="00203390">
              <w:rPr>
                <w:rFonts w:cs="Arial"/>
                <w:color w:val="0D0D0D" w:themeColor="text1" w:themeTint="F2"/>
                <w:spacing w:val="-4"/>
              </w:rPr>
              <w:t> </w:t>
            </w:r>
            <w:r>
              <w:rPr>
                <w:rFonts w:cs="Arial"/>
                <w:color w:val="0D0D0D" w:themeColor="text1" w:themeTint="F2"/>
                <w:spacing w:val="-4"/>
              </w:rPr>
              <w:t xml:space="preserve">EU s nejvyššími rozdíly v průměrné výši výdělků mužů </w:t>
            </w:r>
            <w:r w:rsidR="00BC7833">
              <w:rPr>
                <w:rFonts w:cs="Arial"/>
                <w:color w:val="0D0D0D" w:themeColor="text1" w:themeTint="F2"/>
                <w:spacing w:val="-4"/>
              </w:rPr>
              <w:t>a </w:t>
            </w:r>
            <w:r w:rsidR="003279BA">
              <w:rPr>
                <w:rFonts w:cs="Arial"/>
                <w:color w:val="0D0D0D" w:themeColor="text1" w:themeTint="F2"/>
                <w:spacing w:val="-4"/>
              </w:rPr>
              <w:t>žen.</w:t>
            </w:r>
          </w:p>
        </w:tc>
      </w:tr>
      <w:tr w:rsidR="00AA4F0A" w:rsidRPr="005A2E40" w14:paraId="7F3FA56C" w14:textId="77777777" w:rsidTr="00A500A7">
        <w:trPr>
          <w:trHeight w:val="429"/>
        </w:trPr>
        <w:tc>
          <w:tcPr>
            <w:tcW w:w="1976" w:type="dxa"/>
            <w:tcBorders>
              <w:top w:val="nil"/>
              <w:left w:val="nil"/>
              <w:bottom w:val="nil"/>
              <w:right w:val="nil"/>
            </w:tcBorders>
          </w:tcPr>
          <w:p w14:paraId="55AEBDA7" w14:textId="77777777" w:rsidR="00AA4F0A" w:rsidRPr="00106639" w:rsidRDefault="00AA4F0A" w:rsidP="00A500A7">
            <w:pPr>
              <w:pStyle w:val="Marginlie"/>
            </w:pPr>
          </w:p>
        </w:tc>
        <w:tc>
          <w:tcPr>
            <w:tcW w:w="277" w:type="dxa"/>
            <w:tcBorders>
              <w:top w:val="nil"/>
              <w:left w:val="nil"/>
              <w:bottom w:val="nil"/>
              <w:right w:val="nil"/>
            </w:tcBorders>
          </w:tcPr>
          <w:p w14:paraId="2BAEA289" w14:textId="77777777" w:rsidR="00AA4F0A" w:rsidRPr="005E4483" w:rsidRDefault="00AA4F0A" w:rsidP="00A500A7">
            <w:pPr>
              <w:pStyle w:val="Textpoznpodarou"/>
              <w:jc w:val="both"/>
              <w:rPr>
                <w:spacing w:val="-4"/>
              </w:rPr>
            </w:pPr>
          </w:p>
        </w:tc>
        <w:tc>
          <w:tcPr>
            <w:tcW w:w="7391" w:type="dxa"/>
            <w:tcBorders>
              <w:top w:val="nil"/>
              <w:left w:val="nil"/>
              <w:bottom w:val="nil"/>
              <w:right w:val="nil"/>
            </w:tcBorders>
          </w:tcPr>
          <w:p w14:paraId="659E26B4" w14:textId="414DE295" w:rsidR="00AA4F0A" w:rsidRPr="00257FB1" w:rsidRDefault="00AA4F0A" w:rsidP="00A500A7">
            <w:pPr>
              <w:spacing w:after="0"/>
              <w:rPr>
                <w:spacing w:val="-5"/>
              </w:rPr>
            </w:pPr>
            <w:r w:rsidRPr="00257FB1">
              <w:rPr>
                <w:b/>
                <w:spacing w:val="-5"/>
              </w:rPr>
              <w:t xml:space="preserve">Graf </w:t>
            </w:r>
            <w:r w:rsidR="00BA35F3">
              <w:rPr>
                <w:b/>
                <w:spacing w:val="-5"/>
              </w:rPr>
              <w:t>č. </w:t>
            </w:r>
            <w:r w:rsidR="00306AD7">
              <w:rPr>
                <w:b/>
                <w:spacing w:val="-5"/>
              </w:rPr>
              <w:t>2</w:t>
            </w:r>
            <w:r w:rsidRPr="00257FB1">
              <w:rPr>
                <w:b/>
                <w:spacing w:val="-5"/>
              </w:rPr>
              <w:t xml:space="preserve">5  Průměr </w:t>
            </w:r>
            <w:r w:rsidR="00BC7833" w:rsidRPr="00257FB1">
              <w:rPr>
                <w:b/>
                <w:spacing w:val="-5"/>
              </w:rPr>
              <w:t>a</w:t>
            </w:r>
            <w:r w:rsidR="00BC7833">
              <w:rPr>
                <w:b/>
                <w:spacing w:val="-5"/>
              </w:rPr>
              <w:t> </w:t>
            </w:r>
            <w:r w:rsidRPr="00257FB1">
              <w:rPr>
                <w:b/>
                <w:spacing w:val="-5"/>
              </w:rPr>
              <w:t xml:space="preserve">medián hr. měs. mezd dle věku </w:t>
            </w:r>
            <w:r w:rsidR="006F0603">
              <w:rPr>
                <w:b/>
                <w:spacing w:val="-5"/>
              </w:rPr>
              <w:t>a </w:t>
            </w:r>
            <w:r w:rsidRPr="00257FB1">
              <w:rPr>
                <w:b/>
                <w:spacing w:val="-5"/>
              </w:rPr>
              <w:t xml:space="preserve">pohlaví v roce 2018 </w:t>
            </w:r>
            <w:r w:rsidRPr="00257FB1">
              <w:rPr>
                <w:spacing w:val="-5"/>
              </w:rPr>
              <w:t>(</w:t>
            </w:r>
            <w:r w:rsidR="00BC7833" w:rsidRPr="00257FB1">
              <w:rPr>
                <w:spacing w:val="-5"/>
              </w:rPr>
              <w:t>v</w:t>
            </w:r>
            <w:r w:rsidR="00BC7833">
              <w:rPr>
                <w:spacing w:val="-5"/>
              </w:rPr>
              <w:t> </w:t>
            </w:r>
            <w:r w:rsidRPr="00257FB1">
              <w:rPr>
                <w:spacing w:val="-5"/>
              </w:rPr>
              <w:t xml:space="preserve">korunách) </w:t>
            </w:r>
            <w:r w:rsidR="00BC7833" w:rsidRPr="00257FB1">
              <w:rPr>
                <w:b/>
                <w:spacing w:val="-5"/>
              </w:rPr>
              <w:t>a</w:t>
            </w:r>
            <w:r w:rsidR="00BC7833">
              <w:rPr>
                <w:b/>
                <w:spacing w:val="-5"/>
              </w:rPr>
              <w:t> </w:t>
            </w:r>
            <w:r w:rsidRPr="00257FB1">
              <w:rPr>
                <w:b/>
                <w:spacing w:val="-5"/>
              </w:rPr>
              <w:t xml:space="preserve">poměr </w:t>
            </w:r>
            <w:r w:rsidR="006F0603" w:rsidRPr="00257FB1">
              <w:rPr>
                <w:b/>
                <w:spacing w:val="-5"/>
              </w:rPr>
              <w:t>medián</w:t>
            </w:r>
            <w:r w:rsidR="006F0603">
              <w:rPr>
                <w:b/>
                <w:spacing w:val="-5"/>
              </w:rPr>
              <w:t>.</w:t>
            </w:r>
            <w:r w:rsidR="006F0603" w:rsidRPr="00257FB1">
              <w:rPr>
                <w:b/>
                <w:spacing w:val="-5"/>
              </w:rPr>
              <w:t xml:space="preserve"> </w:t>
            </w:r>
            <w:r w:rsidRPr="00257FB1">
              <w:rPr>
                <w:b/>
                <w:spacing w:val="-5"/>
              </w:rPr>
              <w:t xml:space="preserve">mzdy žen </w:t>
            </w:r>
            <w:r w:rsidR="006F0603">
              <w:rPr>
                <w:b/>
                <w:spacing w:val="-5"/>
              </w:rPr>
              <w:t>a </w:t>
            </w:r>
            <w:r w:rsidRPr="00257FB1">
              <w:rPr>
                <w:b/>
                <w:spacing w:val="-5"/>
              </w:rPr>
              <w:t xml:space="preserve">mužů 2012, 2015 </w:t>
            </w:r>
            <w:r w:rsidR="00BC7833" w:rsidRPr="00257FB1">
              <w:rPr>
                <w:b/>
                <w:spacing w:val="-5"/>
              </w:rPr>
              <w:t>a</w:t>
            </w:r>
            <w:r w:rsidR="00BC7833">
              <w:rPr>
                <w:b/>
                <w:spacing w:val="-5"/>
              </w:rPr>
              <w:t> </w:t>
            </w:r>
            <w:r w:rsidRPr="00257FB1">
              <w:rPr>
                <w:b/>
                <w:spacing w:val="-5"/>
              </w:rPr>
              <w:t>2018</w:t>
            </w:r>
            <w:r w:rsidRPr="00257FB1">
              <w:rPr>
                <w:spacing w:val="-5"/>
              </w:rPr>
              <w:t xml:space="preserve"> (v</w:t>
            </w:r>
            <w:r w:rsidR="006454CC">
              <w:rPr>
                <w:spacing w:val="-5"/>
              </w:rPr>
              <w:t> %</w:t>
            </w:r>
            <w:r w:rsidRPr="00257FB1">
              <w:rPr>
                <w:spacing w:val="-5"/>
              </w:rPr>
              <w:t>, pravá osa)</w:t>
            </w:r>
          </w:p>
        </w:tc>
      </w:tr>
      <w:tr w:rsidR="00AA4F0A" w14:paraId="39C19D50" w14:textId="77777777" w:rsidTr="00E9274D">
        <w:tblPrEx>
          <w:tblCellMar>
            <w:left w:w="70" w:type="dxa"/>
            <w:right w:w="70" w:type="dxa"/>
          </w:tblCellMar>
        </w:tblPrEx>
        <w:trPr>
          <w:trHeight w:val="429"/>
        </w:trPr>
        <w:tc>
          <w:tcPr>
            <w:tcW w:w="1976" w:type="dxa"/>
            <w:tcBorders>
              <w:top w:val="nil"/>
              <w:left w:val="nil"/>
              <w:bottom w:val="nil"/>
              <w:right w:val="nil"/>
            </w:tcBorders>
          </w:tcPr>
          <w:p w14:paraId="47BA1EDD" w14:textId="77777777" w:rsidR="00AA4F0A" w:rsidRPr="00106639" w:rsidRDefault="00AA4F0A" w:rsidP="00A500A7">
            <w:pPr>
              <w:pStyle w:val="Marginlie"/>
            </w:pPr>
          </w:p>
        </w:tc>
        <w:tc>
          <w:tcPr>
            <w:tcW w:w="277" w:type="dxa"/>
            <w:tcBorders>
              <w:top w:val="nil"/>
              <w:left w:val="nil"/>
              <w:bottom w:val="nil"/>
              <w:right w:val="nil"/>
            </w:tcBorders>
          </w:tcPr>
          <w:p w14:paraId="4A3EDD3A" w14:textId="77777777" w:rsidR="00AA4F0A" w:rsidRPr="005E4483" w:rsidRDefault="00AA4F0A" w:rsidP="00A500A7">
            <w:pPr>
              <w:pStyle w:val="Textpoznpodarou"/>
              <w:jc w:val="both"/>
              <w:rPr>
                <w:spacing w:val="-4"/>
              </w:rPr>
            </w:pPr>
          </w:p>
        </w:tc>
        <w:tc>
          <w:tcPr>
            <w:tcW w:w="7391" w:type="dxa"/>
            <w:tcBorders>
              <w:top w:val="nil"/>
              <w:left w:val="nil"/>
              <w:bottom w:val="nil"/>
              <w:right w:val="nil"/>
            </w:tcBorders>
          </w:tcPr>
          <w:p w14:paraId="68B9C4D9" w14:textId="783F1CAB" w:rsidR="00AA4F0A" w:rsidRDefault="00E9274D" w:rsidP="00A500A7">
            <w:pPr>
              <w:spacing w:after="0"/>
            </w:pPr>
            <w:r>
              <w:rPr>
                <w:noProof/>
              </w:rPr>
              <w:drawing>
                <wp:inline distT="0" distB="0" distL="0" distR="0" wp14:anchorId="283BCB80" wp14:editId="19F50D9C">
                  <wp:extent cx="4604385" cy="3385185"/>
                  <wp:effectExtent l="0" t="0" r="5715" b="5715"/>
                  <wp:docPr id="71" name="Graf 71"/>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tc>
      </w:tr>
      <w:tr w:rsidR="00AA4F0A" w:rsidRPr="005A2E40" w14:paraId="2217B785" w14:textId="77777777" w:rsidTr="00A500A7">
        <w:trPr>
          <w:trHeight w:val="429"/>
        </w:trPr>
        <w:tc>
          <w:tcPr>
            <w:tcW w:w="1976" w:type="dxa"/>
            <w:tcBorders>
              <w:top w:val="nil"/>
              <w:left w:val="nil"/>
              <w:bottom w:val="nil"/>
              <w:right w:val="nil"/>
            </w:tcBorders>
          </w:tcPr>
          <w:p w14:paraId="53BCCFCB" w14:textId="77777777" w:rsidR="00AA4F0A" w:rsidRPr="00106639" w:rsidRDefault="00AA4F0A" w:rsidP="00A500A7">
            <w:pPr>
              <w:pStyle w:val="Marginlie"/>
            </w:pPr>
          </w:p>
        </w:tc>
        <w:tc>
          <w:tcPr>
            <w:tcW w:w="277" w:type="dxa"/>
            <w:tcBorders>
              <w:top w:val="nil"/>
              <w:left w:val="nil"/>
              <w:bottom w:val="nil"/>
              <w:right w:val="nil"/>
            </w:tcBorders>
          </w:tcPr>
          <w:p w14:paraId="0D7C6E66" w14:textId="77777777" w:rsidR="00AA4F0A" w:rsidRPr="005E4483" w:rsidRDefault="00AA4F0A" w:rsidP="00A500A7">
            <w:pPr>
              <w:pStyle w:val="Textpoznpodarou"/>
              <w:jc w:val="both"/>
              <w:rPr>
                <w:spacing w:val="-4"/>
              </w:rPr>
            </w:pPr>
          </w:p>
        </w:tc>
        <w:tc>
          <w:tcPr>
            <w:tcW w:w="7391" w:type="dxa"/>
            <w:tcBorders>
              <w:top w:val="nil"/>
              <w:left w:val="nil"/>
              <w:bottom w:val="nil"/>
              <w:right w:val="nil"/>
            </w:tcBorders>
          </w:tcPr>
          <w:p w14:paraId="79A3F5C0" w14:textId="77777777" w:rsidR="00AA4F0A" w:rsidRPr="00711FC2" w:rsidRDefault="00AA4F0A" w:rsidP="00A500A7">
            <w:pPr>
              <w:spacing w:after="0"/>
            </w:pPr>
            <w:r w:rsidRPr="00444E6D">
              <w:rPr>
                <w:rFonts w:cs="Arial"/>
                <w:sz w:val="14"/>
                <w:szCs w:val="14"/>
              </w:rPr>
              <w:t xml:space="preserve">Zdroj: </w:t>
            </w:r>
            <w:r>
              <w:rPr>
                <w:rFonts w:cs="Arial"/>
                <w:sz w:val="14"/>
                <w:szCs w:val="14"/>
              </w:rPr>
              <w:t xml:space="preserve">MPSV </w:t>
            </w:r>
            <w:r w:rsidR="00BC7833">
              <w:rPr>
                <w:rFonts w:cs="Arial"/>
                <w:sz w:val="14"/>
                <w:szCs w:val="14"/>
              </w:rPr>
              <w:t>a </w:t>
            </w:r>
            <w:r>
              <w:rPr>
                <w:rFonts w:cs="Arial"/>
                <w:sz w:val="14"/>
                <w:szCs w:val="14"/>
              </w:rPr>
              <w:t>ČSÚ (Strukturální mzdová statistika)</w:t>
            </w:r>
          </w:p>
        </w:tc>
      </w:tr>
      <w:tr w:rsidR="00AA4F0A" w14:paraId="6D290117" w14:textId="77777777" w:rsidTr="00A500A7">
        <w:trPr>
          <w:trHeight w:val="145"/>
        </w:trPr>
        <w:tc>
          <w:tcPr>
            <w:tcW w:w="1976" w:type="dxa"/>
            <w:tcBorders>
              <w:top w:val="nil"/>
              <w:left w:val="nil"/>
              <w:bottom w:val="nil"/>
              <w:right w:val="nil"/>
            </w:tcBorders>
          </w:tcPr>
          <w:p w14:paraId="02E82B08" w14:textId="77777777" w:rsidR="00AA4F0A" w:rsidRDefault="00AA4F0A" w:rsidP="00A500A7">
            <w:pPr>
              <w:pStyle w:val="Marginlie"/>
            </w:pPr>
            <w:r>
              <w:t xml:space="preserve">Ve směru sbližování úrovně mužských </w:t>
            </w:r>
            <w:r w:rsidR="00BC7833">
              <w:t>a </w:t>
            </w:r>
            <w:r>
              <w:t xml:space="preserve">ženských výdělků působila </w:t>
            </w:r>
            <w:r w:rsidR="00BC7833">
              <w:t>i </w:t>
            </w:r>
            <w:r>
              <w:t>rostoucí vzdělanostní úroveň žen.</w:t>
            </w:r>
          </w:p>
        </w:tc>
        <w:tc>
          <w:tcPr>
            <w:tcW w:w="277" w:type="dxa"/>
            <w:tcBorders>
              <w:top w:val="nil"/>
              <w:left w:val="nil"/>
              <w:bottom w:val="nil"/>
              <w:right w:val="nil"/>
            </w:tcBorders>
          </w:tcPr>
          <w:p w14:paraId="1FC790D9" w14:textId="77777777" w:rsidR="00AA4F0A" w:rsidRPr="005E4483" w:rsidRDefault="00AA4F0A" w:rsidP="00A500A7">
            <w:pPr>
              <w:pStyle w:val="Textpoznpodarou"/>
              <w:jc w:val="both"/>
              <w:rPr>
                <w:spacing w:val="-4"/>
              </w:rPr>
            </w:pPr>
          </w:p>
        </w:tc>
        <w:tc>
          <w:tcPr>
            <w:tcW w:w="7391" w:type="dxa"/>
            <w:tcBorders>
              <w:top w:val="nil"/>
              <w:left w:val="nil"/>
              <w:bottom w:val="nil"/>
              <w:right w:val="nil"/>
            </w:tcBorders>
          </w:tcPr>
          <w:p w14:paraId="460C9E7D" w14:textId="1CE47E68" w:rsidR="00AA4F0A" w:rsidRPr="00257FB1" w:rsidRDefault="00AA4F0A" w:rsidP="00A500A7">
            <w:pPr>
              <w:spacing w:after="220"/>
              <w:rPr>
                <w:spacing w:val="-3"/>
              </w:rPr>
            </w:pPr>
            <w:r w:rsidRPr="00257FB1">
              <w:rPr>
                <w:spacing w:val="-3"/>
              </w:rPr>
              <w:t xml:space="preserve">Za mírným sbližováním výše mužských </w:t>
            </w:r>
            <w:r w:rsidR="00BC7833" w:rsidRPr="00257FB1">
              <w:rPr>
                <w:spacing w:val="-3"/>
              </w:rPr>
              <w:t>a</w:t>
            </w:r>
            <w:r w:rsidR="00BC7833">
              <w:rPr>
                <w:spacing w:val="-3"/>
              </w:rPr>
              <w:t> </w:t>
            </w:r>
            <w:r w:rsidRPr="00257FB1">
              <w:rPr>
                <w:spacing w:val="-3"/>
              </w:rPr>
              <w:t>ženských výdělků stojí také rostoucí vzdělanostní úroveň pracujících žen (zejména v mladších věkových skupinách), neboť výše vzdělání je jednou z klíčových determinant úrovně mezd. V roce 2018 dosahoval medián hrubé měsíční mzdy vysokoškoláků (na magisterském či doktorském stupni) 40,</w:t>
            </w:r>
            <w:r w:rsidR="00D82A1E" w:rsidRPr="00257FB1">
              <w:rPr>
                <w:spacing w:val="-3"/>
              </w:rPr>
              <w:t>8</w:t>
            </w:r>
            <w:r w:rsidR="00D82A1E">
              <w:rPr>
                <w:spacing w:val="-3"/>
              </w:rPr>
              <w:t> </w:t>
            </w:r>
            <w:r w:rsidRPr="00257FB1">
              <w:rPr>
                <w:spacing w:val="-3"/>
              </w:rPr>
              <w:t xml:space="preserve">tis. korun </w:t>
            </w:r>
            <w:r w:rsidR="00BC7833" w:rsidRPr="00257FB1">
              <w:rPr>
                <w:spacing w:val="-3"/>
              </w:rPr>
              <w:t>a</w:t>
            </w:r>
            <w:r w:rsidR="00BC7833">
              <w:rPr>
                <w:spacing w:val="-3"/>
              </w:rPr>
              <w:t> </w:t>
            </w:r>
            <w:r w:rsidRPr="00257FB1">
              <w:rPr>
                <w:spacing w:val="-3"/>
              </w:rPr>
              <w:t>úroveň všech zaměstnanců převyšoval o 40 %. Výdělky pracovníků na nižším stupni terciárního vzdělávání</w:t>
            </w:r>
            <w:r w:rsidRPr="00257FB1">
              <w:rPr>
                <w:rFonts w:cs="Arial"/>
                <w:spacing w:val="-3"/>
                <w:vertAlign w:val="superscript"/>
              </w:rPr>
              <w:footnoteReference w:id="69"/>
            </w:r>
            <w:r w:rsidRPr="00257FB1">
              <w:rPr>
                <w:spacing w:val="-3"/>
              </w:rPr>
              <w:t xml:space="preserve"> byly oproti celé ekonomice vyšší </w:t>
            </w:r>
            <w:r w:rsidR="00BC7833" w:rsidRPr="00257FB1">
              <w:rPr>
                <w:spacing w:val="-3"/>
              </w:rPr>
              <w:t>o</w:t>
            </w:r>
            <w:r w:rsidR="00BC7833">
              <w:rPr>
                <w:spacing w:val="-3"/>
              </w:rPr>
              <w:t> </w:t>
            </w:r>
            <w:r w:rsidRPr="00257FB1">
              <w:rPr>
                <w:spacing w:val="-3"/>
              </w:rPr>
              <w:t xml:space="preserve">šestinu, naopak </w:t>
            </w:r>
            <w:r w:rsidR="00BC7833" w:rsidRPr="00257FB1">
              <w:rPr>
                <w:spacing w:val="-3"/>
              </w:rPr>
              <w:t>u</w:t>
            </w:r>
            <w:r w:rsidR="00BC7833">
              <w:rPr>
                <w:spacing w:val="-3"/>
              </w:rPr>
              <w:t> </w:t>
            </w:r>
            <w:r w:rsidRPr="00257FB1">
              <w:rPr>
                <w:spacing w:val="-3"/>
              </w:rPr>
              <w:t>osob se středním vzděláním bez maturity činily jen 85</w:t>
            </w:r>
            <w:r w:rsidR="006454CC">
              <w:rPr>
                <w:spacing w:val="-3"/>
              </w:rPr>
              <w:t> %</w:t>
            </w:r>
            <w:r w:rsidRPr="00257FB1">
              <w:rPr>
                <w:spacing w:val="-3"/>
              </w:rPr>
              <w:t xml:space="preserve"> této úrovně </w:t>
            </w:r>
            <w:r w:rsidR="00BC7833" w:rsidRPr="00257FB1">
              <w:rPr>
                <w:spacing w:val="-3"/>
              </w:rPr>
              <w:t>a</w:t>
            </w:r>
            <w:r w:rsidR="00BC7833">
              <w:rPr>
                <w:spacing w:val="-3"/>
              </w:rPr>
              <w:t> </w:t>
            </w:r>
            <w:r w:rsidR="00BC7833" w:rsidRPr="00257FB1">
              <w:rPr>
                <w:spacing w:val="-3"/>
              </w:rPr>
              <w:t>u</w:t>
            </w:r>
            <w:r w:rsidR="00BC7833">
              <w:rPr>
                <w:spacing w:val="-3"/>
              </w:rPr>
              <w:t> </w:t>
            </w:r>
            <w:r w:rsidRPr="00257FB1">
              <w:rPr>
                <w:spacing w:val="-3"/>
              </w:rPr>
              <w:t>lidí s maximálně základním vzděláním 74 %.</w:t>
            </w:r>
          </w:p>
        </w:tc>
      </w:tr>
      <w:tr w:rsidR="00AA4F0A" w14:paraId="48E1CCBB" w14:textId="77777777" w:rsidTr="00A500A7">
        <w:trPr>
          <w:trHeight w:val="145"/>
        </w:trPr>
        <w:tc>
          <w:tcPr>
            <w:tcW w:w="1976" w:type="dxa"/>
            <w:tcBorders>
              <w:top w:val="nil"/>
              <w:left w:val="nil"/>
              <w:bottom w:val="nil"/>
              <w:right w:val="nil"/>
            </w:tcBorders>
          </w:tcPr>
          <w:p w14:paraId="591BCDD5" w14:textId="77777777" w:rsidR="00AA4F0A" w:rsidRDefault="00AA4F0A" w:rsidP="00A500A7">
            <w:pPr>
              <w:pStyle w:val="Marginlie"/>
            </w:pPr>
            <w:r>
              <w:t>Relativní rozdíly výdělků dle výše dosaženého vzdělání se nadále mírně snižovaly. Tempo růstu mzdy vysokoškoláků bylo v posledních šesti letech podprůměrné.</w:t>
            </w:r>
          </w:p>
        </w:tc>
        <w:tc>
          <w:tcPr>
            <w:tcW w:w="277" w:type="dxa"/>
            <w:tcBorders>
              <w:top w:val="nil"/>
              <w:left w:val="nil"/>
              <w:bottom w:val="nil"/>
              <w:right w:val="nil"/>
            </w:tcBorders>
          </w:tcPr>
          <w:p w14:paraId="1AB45599" w14:textId="77777777" w:rsidR="00AA4F0A" w:rsidRPr="005E4483" w:rsidRDefault="00AA4F0A" w:rsidP="00A500A7">
            <w:pPr>
              <w:pStyle w:val="Textpoznpodarou"/>
              <w:jc w:val="both"/>
              <w:rPr>
                <w:spacing w:val="-4"/>
              </w:rPr>
            </w:pPr>
          </w:p>
        </w:tc>
        <w:tc>
          <w:tcPr>
            <w:tcW w:w="7391" w:type="dxa"/>
            <w:tcBorders>
              <w:top w:val="nil"/>
              <w:left w:val="nil"/>
              <w:bottom w:val="nil"/>
              <w:right w:val="nil"/>
            </w:tcBorders>
          </w:tcPr>
          <w:p w14:paraId="134493AB" w14:textId="15F22C63" w:rsidR="00AA4F0A" w:rsidRPr="00257FB1" w:rsidRDefault="00AA4F0A" w:rsidP="006F14C9">
            <w:pPr>
              <w:spacing w:after="220"/>
              <w:rPr>
                <w:spacing w:val="-3"/>
              </w:rPr>
            </w:pPr>
            <w:r w:rsidRPr="00257FB1">
              <w:rPr>
                <w:spacing w:val="-3"/>
              </w:rPr>
              <w:t>Ve srovnání s rokem 2011 došlo loni k největšímu pozitivnímu posunu u pracovníků s nejnižší úrovní vzdělání</w:t>
            </w:r>
            <w:r>
              <w:rPr>
                <w:spacing w:val="-3"/>
              </w:rPr>
              <w:t xml:space="preserve"> (ze 71</w:t>
            </w:r>
            <w:r w:rsidR="006454CC">
              <w:rPr>
                <w:spacing w:val="-3"/>
              </w:rPr>
              <w:t> %</w:t>
            </w:r>
            <w:r>
              <w:rPr>
                <w:spacing w:val="-3"/>
              </w:rPr>
              <w:t xml:space="preserve"> na 74</w:t>
            </w:r>
            <w:r w:rsidR="006454CC">
              <w:rPr>
                <w:spacing w:val="-3"/>
              </w:rPr>
              <w:t> %</w:t>
            </w:r>
            <w:r>
              <w:rPr>
                <w:spacing w:val="-3"/>
              </w:rPr>
              <w:t>). R</w:t>
            </w:r>
            <w:r w:rsidRPr="00257FB1">
              <w:rPr>
                <w:spacing w:val="-3"/>
              </w:rPr>
              <w:t>elativně nejvíce si naopak pohoršili vysokoškoláci (–10</w:t>
            </w:r>
            <w:r w:rsidR="00D82A1E">
              <w:rPr>
                <w:spacing w:val="-3"/>
              </w:rPr>
              <w:t> </w:t>
            </w:r>
            <w:r w:rsidRPr="00257FB1">
              <w:rPr>
                <w:spacing w:val="-3"/>
              </w:rPr>
              <w:t>p.</w:t>
            </w:r>
            <w:r w:rsidR="00D82A1E">
              <w:rPr>
                <w:spacing w:val="-3"/>
              </w:rPr>
              <w:t> </w:t>
            </w:r>
            <w:r w:rsidRPr="00257FB1">
              <w:rPr>
                <w:spacing w:val="-3"/>
              </w:rPr>
              <w:t>b</w:t>
            </w:r>
            <w:r w:rsidR="00D82A1E">
              <w:rPr>
                <w:spacing w:val="-3"/>
              </w:rPr>
              <w:t>.</w:t>
            </w:r>
            <w:r w:rsidRPr="00257FB1">
              <w:rPr>
                <w:spacing w:val="-3"/>
              </w:rPr>
              <w:t xml:space="preserve">). Slabší postavení měli </w:t>
            </w:r>
            <w:r w:rsidR="00BC7833" w:rsidRPr="00257FB1">
              <w:rPr>
                <w:spacing w:val="-3"/>
              </w:rPr>
              <w:t>i</w:t>
            </w:r>
            <w:r w:rsidR="00BC7833">
              <w:rPr>
                <w:spacing w:val="-3"/>
              </w:rPr>
              <w:t> </w:t>
            </w:r>
            <w:r w:rsidRPr="00257FB1">
              <w:rPr>
                <w:spacing w:val="-3"/>
              </w:rPr>
              <w:t xml:space="preserve">pracující </w:t>
            </w:r>
            <w:r>
              <w:rPr>
                <w:spacing w:val="-3"/>
              </w:rPr>
              <w:t xml:space="preserve">ve </w:t>
            </w:r>
            <w:r w:rsidRPr="00257FB1">
              <w:rPr>
                <w:spacing w:val="-3"/>
              </w:rPr>
              <w:t>váhově nejvýznamnější skupině</w:t>
            </w:r>
            <w:r w:rsidR="0037734D">
              <w:rPr>
                <w:spacing w:val="-3"/>
              </w:rPr>
              <w:t xml:space="preserve"> – </w:t>
            </w:r>
            <w:r w:rsidRPr="00257FB1">
              <w:rPr>
                <w:spacing w:val="-3"/>
              </w:rPr>
              <w:t xml:space="preserve">se středním vzděláním s maturitou (pokles </w:t>
            </w:r>
            <w:r w:rsidR="00BC7833" w:rsidRPr="00257FB1">
              <w:rPr>
                <w:spacing w:val="-3"/>
              </w:rPr>
              <w:t>o</w:t>
            </w:r>
            <w:r w:rsidR="00BC7833">
              <w:rPr>
                <w:spacing w:val="-3"/>
              </w:rPr>
              <w:t> </w:t>
            </w:r>
            <w:r w:rsidRPr="00257FB1">
              <w:rPr>
                <w:spacing w:val="-3"/>
              </w:rPr>
              <w:t>4</w:t>
            </w:r>
            <w:r w:rsidR="006454CC">
              <w:rPr>
                <w:spacing w:val="-3"/>
              </w:rPr>
              <w:t> p. b.</w:t>
            </w:r>
            <w:r w:rsidRPr="00257FB1">
              <w:rPr>
                <w:spacing w:val="-3"/>
              </w:rPr>
              <w:t xml:space="preserve"> na 102</w:t>
            </w:r>
            <w:r w:rsidR="006454CC">
              <w:rPr>
                <w:spacing w:val="-3"/>
              </w:rPr>
              <w:t> %</w:t>
            </w:r>
            <w:r w:rsidRPr="00257FB1">
              <w:rPr>
                <w:spacing w:val="-3"/>
              </w:rPr>
              <w:t xml:space="preserve">). K lepší pozici pracovníků se základním vzděláním přispěl především vývoj v letech 2016 a 2017, kdy </w:t>
            </w:r>
            <w:r w:rsidRPr="00257FB1">
              <w:rPr>
                <w:spacing w:val="-3"/>
              </w:rPr>
              <w:lastRenderedPageBreak/>
              <w:t xml:space="preserve">se navýšení minimální mzdy společně s citelným poklesem míry nezaměstnanosti v této skupině osob promítly </w:t>
            </w:r>
            <w:r w:rsidR="00BC7833" w:rsidRPr="00257FB1">
              <w:rPr>
                <w:spacing w:val="-3"/>
              </w:rPr>
              <w:t>v</w:t>
            </w:r>
            <w:r w:rsidR="00BC7833">
              <w:rPr>
                <w:spacing w:val="-3"/>
              </w:rPr>
              <w:t> </w:t>
            </w:r>
            <w:r w:rsidRPr="00257FB1">
              <w:rPr>
                <w:spacing w:val="-3"/>
              </w:rPr>
              <w:t>9% meziročních</w:t>
            </w:r>
            <w:r>
              <w:rPr>
                <w:spacing w:val="-3"/>
              </w:rPr>
              <w:t xml:space="preserve"> růstech mediánu mezd. Naopak u</w:t>
            </w:r>
            <w:r w:rsidRPr="00257FB1">
              <w:rPr>
                <w:spacing w:val="-3"/>
              </w:rPr>
              <w:t xml:space="preserve"> vysokoškoláků byla mzdová tempa po celé období podprůměrná (vyjma roku 2013). V rámci této skupiny </w:t>
            </w:r>
            <w:r>
              <w:rPr>
                <w:spacing w:val="-3"/>
              </w:rPr>
              <w:t>držely mírně lepší pozici</w:t>
            </w:r>
            <w:r w:rsidRPr="00257FB1">
              <w:rPr>
                <w:spacing w:val="-3"/>
              </w:rPr>
              <w:t xml:space="preserve"> ženy, jejichž mzdová dynamika byla v posledních šesti letech vyšší než mužů. </w:t>
            </w:r>
            <w:r w:rsidR="00BC7833" w:rsidRPr="00257FB1">
              <w:rPr>
                <w:spacing w:val="-3"/>
              </w:rPr>
              <w:t>I</w:t>
            </w:r>
            <w:r w:rsidR="00BC7833">
              <w:rPr>
                <w:spacing w:val="-3"/>
              </w:rPr>
              <w:t> </w:t>
            </w:r>
            <w:r w:rsidRPr="00257FB1">
              <w:rPr>
                <w:spacing w:val="-3"/>
              </w:rPr>
              <w:t xml:space="preserve">to přispělo k tomu, že variabilita výdělků všech vysokoškoláků poklesla v současné dekádě ze všech vzdělanostních skupin nejvíce. Její dosažená úroveň byla ale oproti zaměstnancům bez maturity </w:t>
            </w:r>
            <w:r>
              <w:rPr>
                <w:spacing w:val="-3"/>
              </w:rPr>
              <w:t xml:space="preserve">nadále </w:t>
            </w:r>
            <w:r w:rsidRPr="00257FB1">
              <w:rPr>
                <w:spacing w:val="-3"/>
              </w:rPr>
              <w:t xml:space="preserve">více </w:t>
            </w:r>
            <w:r w:rsidR="00FC5F49">
              <w:rPr>
                <w:spacing w:val="-3"/>
              </w:rPr>
              <w:t>než</w:t>
            </w:r>
            <w:r w:rsidRPr="00257FB1">
              <w:rPr>
                <w:spacing w:val="-3"/>
              </w:rPr>
              <w:t xml:space="preserve"> dvojnásobná</w:t>
            </w:r>
            <w:r w:rsidRPr="00257FB1">
              <w:rPr>
                <w:rFonts w:cs="Arial"/>
                <w:spacing w:val="-3"/>
                <w:vertAlign w:val="superscript"/>
              </w:rPr>
              <w:footnoteReference w:id="70"/>
            </w:r>
            <w:r w:rsidRPr="00257FB1">
              <w:rPr>
                <w:spacing w:val="-3"/>
              </w:rPr>
              <w:t>. Více než 11</w:t>
            </w:r>
            <w:r w:rsidR="00D82A1E" w:rsidRPr="00257FB1">
              <w:rPr>
                <w:spacing w:val="-3"/>
              </w:rPr>
              <w:t>4</w:t>
            </w:r>
            <w:r w:rsidR="00D82A1E">
              <w:rPr>
                <w:spacing w:val="-3"/>
              </w:rPr>
              <w:t> </w:t>
            </w:r>
            <w:r w:rsidRPr="00257FB1">
              <w:rPr>
                <w:spacing w:val="-3"/>
              </w:rPr>
              <w:t>tis. korun pobíra</w:t>
            </w:r>
            <w:r>
              <w:rPr>
                <w:spacing w:val="-3"/>
              </w:rPr>
              <w:t>lo loni na hrubé měsíční mzdě 5</w:t>
            </w:r>
            <w:r w:rsidRPr="00257FB1">
              <w:rPr>
                <w:spacing w:val="-3"/>
              </w:rPr>
              <w:t> % vysokoškoláků, čtvrtina pak více než 59 tis. korun (tuto hranic</w:t>
            </w:r>
            <w:r w:rsidR="00D83229">
              <w:rPr>
                <w:spacing w:val="-3"/>
              </w:rPr>
              <w:t>i</w:t>
            </w:r>
            <w:r w:rsidRPr="00257FB1">
              <w:rPr>
                <w:spacing w:val="-3"/>
              </w:rPr>
              <w:t xml:space="preserve"> překonal jen každý dvacátý zaměstnanec </w:t>
            </w:r>
            <w:r>
              <w:rPr>
                <w:spacing w:val="-3"/>
              </w:rPr>
              <w:t xml:space="preserve">se středním vzděláním </w:t>
            </w:r>
            <w:r w:rsidRPr="00257FB1">
              <w:rPr>
                <w:spacing w:val="-3"/>
              </w:rPr>
              <w:t>s maturi</w:t>
            </w:r>
            <w:r>
              <w:rPr>
                <w:spacing w:val="-3"/>
              </w:rPr>
              <w:t xml:space="preserve">tou). Na </w:t>
            </w:r>
            <w:r w:rsidR="00D83229">
              <w:rPr>
                <w:spacing w:val="-3"/>
              </w:rPr>
              <w:t>druhé straně</w:t>
            </w:r>
            <w:r>
              <w:rPr>
                <w:spacing w:val="-3"/>
              </w:rPr>
              <w:t xml:space="preserve"> téměř 30</w:t>
            </w:r>
            <w:r w:rsidRPr="00257FB1">
              <w:rPr>
                <w:spacing w:val="-3"/>
              </w:rPr>
              <w:t xml:space="preserve"> % vysokoškoláků nedosáhlo na úroveň průměrné mzdy v celé ekonomice </w:t>
            </w:r>
            <w:r w:rsidR="00BC7833" w:rsidRPr="00257FB1">
              <w:rPr>
                <w:spacing w:val="-3"/>
              </w:rPr>
              <w:t>a</w:t>
            </w:r>
            <w:r w:rsidR="00BC7833">
              <w:rPr>
                <w:spacing w:val="-3"/>
              </w:rPr>
              <w:t> </w:t>
            </w:r>
            <w:r w:rsidRPr="00257FB1">
              <w:rPr>
                <w:spacing w:val="-3"/>
              </w:rPr>
              <w:t>desetina pobírala méně než 22,</w:t>
            </w:r>
            <w:r w:rsidR="00D82A1E" w:rsidRPr="00257FB1">
              <w:rPr>
                <w:spacing w:val="-3"/>
              </w:rPr>
              <w:t>9</w:t>
            </w:r>
            <w:r w:rsidR="00D82A1E">
              <w:rPr>
                <w:spacing w:val="-3"/>
              </w:rPr>
              <w:t> </w:t>
            </w:r>
            <w:r w:rsidRPr="00257FB1">
              <w:rPr>
                <w:spacing w:val="-3"/>
              </w:rPr>
              <w:t>tis. korun.</w:t>
            </w:r>
          </w:p>
        </w:tc>
      </w:tr>
      <w:tr w:rsidR="00AA4F0A" w14:paraId="2E5CCBE8" w14:textId="77777777" w:rsidTr="00A500A7">
        <w:trPr>
          <w:trHeight w:val="145"/>
        </w:trPr>
        <w:tc>
          <w:tcPr>
            <w:tcW w:w="1976" w:type="dxa"/>
            <w:tcBorders>
              <w:top w:val="nil"/>
              <w:left w:val="nil"/>
              <w:bottom w:val="nil"/>
              <w:right w:val="nil"/>
            </w:tcBorders>
          </w:tcPr>
          <w:p w14:paraId="1977F1F6" w14:textId="77777777" w:rsidR="00AA4F0A" w:rsidRDefault="00AA4F0A" w:rsidP="00A500A7">
            <w:pPr>
              <w:pStyle w:val="Marginlie"/>
            </w:pPr>
          </w:p>
        </w:tc>
        <w:tc>
          <w:tcPr>
            <w:tcW w:w="277" w:type="dxa"/>
            <w:tcBorders>
              <w:top w:val="nil"/>
              <w:left w:val="nil"/>
              <w:bottom w:val="nil"/>
              <w:right w:val="nil"/>
            </w:tcBorders>
          </w:tcPr>
          <w:p w14:paraId="298A1D8B" w14:textId="77777777" w:rsidR="00AA4F0A" w:rsidRPr="005E4483" w:rsidRDefault="00AA4F0A" w:rsidP="00A500A7">
            <w:pPr>
              <w:pStyle w:val="Textpoznpodarou"/>
              <w:jc w:val="both"/>
              <w:rPr>
                <w:spacing w:val="-4"/>
              </w:rPr>
            </w:pPr>
          </w:p>
        </w:tc>
        <w:tc>
          <w:tcPr>
            <w:tcW w:w="7391" w:type="dxa"/>
            <w:tcBorders>
              <w:top w:val="nil"/>
              <w:left w:val="nil"/>
              <w:bottom w:val="nil"/>
              <w:right w:val="nil"/>
            </w:tcBorders>
          </w:tcPr>
          <w:p w14:paraId="329C39A9" w14:textId="13F9125D" w:rsidR="00AA4F0A" w:rsidRDefault="00AA4F0A" w:rsidP="00A500A7">
            <w:pPr>
              <w:spacing w:after="0"/>
              <w:jc w:val="left"/>
            </w:pPr>
            <w:r>
              <w:rPr>
                <w:b/>
                <w:spacing w:val="-4"/>
              </w:rPr>
              <w:t xml:space="preserve">Graf </w:t>
            </w:r>
            <w:r w:rsidR="00BA35F3">
              <w:rPr>
                <w:b/>
                <w:spacing w:val="-4"/>
              </w:rPr>
              <w:t>č. </w:t>
            </w:r>
            <w:r w:rsidR="00306AD7">
              <w:rPr>
                <w:b/>
                <w:spacing w:val="-4"/>
              </w:rPr>
              <w:t>2</w:t>
            </w:r>
            <w:r>
              <w:rPr>
                <w:b/>
                <w:spacing w:val="-4"/>
              </w:rPr>
              <w:t>6</w:t>
            </w:r>
            <w:r w:rsidRPr="006B4396">
              <w:rPr>
                <w:b/>
                <w:spacing w:val="-4"/>
              </w:rPr>
              <w:t xml:space="preserve">  </w:t>
            </w:r>
            <w:r>
              <w:rPr>
                <w:b/>
              </w:rPr>
              <w:t xml:space="preserve">Změna mediánu mzdy zaměstnance dle pohlaví </w:t>
            </w:r>
            <w:r w:rsidR="00BC7833">
              <w:rPr>
                <w:b/>
              </w:rPr>
              <w:t>a </w:t>
            </w:r>
            <w:r>
              <w:rPr>
                <w:b/>
              </w:rPr>
              <w:t>stupně vzdělání</w:t>
            </w:r>
            <w:r w:rsidRPr="00F32D37">
              <w:t xml:space="preserve"> </w:t>
            </w:r>
            <w:r>
              <w:t xml:space="preserve">(meziročně, </w:t>
            </w:r>
            <w:r w:rsidRPr="00F32D37">
              <w:t>v</w:t>
            </w:r>
            <w:r w:rsidR="006454CC">
              <w:t> %</w:t>
            </w:r>
            <w:r w:rsidRPr="00F32D37">
              <w:t>)</w:t>
            </w:r>
          </w:p>
        </w:tc>
      </w:tr>
      <w:tr w:rsidR="00AA4F0A" w14:paraId="277471B9" w14:textId="77777777" w:rsidTr="00E9274D">
        <w:tblPrEx>
          <w:tblCellMar>
            <w:left w:w="70" w:type="dxa"/>
            <w:right w:w="70" w:type="dxa"/>
          </w:tblCellMar>
        </w:tblPrEx>
        <w:trPr>
          <w:trHeight w:val="145"/>
        </w:trPr>
        <w:tc>
          <w:tcPr>
            <w:tcW w:w="1976" w:type="dxa"/>
            <w:tcBorders>
              <w:top w:val="nil"/>
              <w:left w:val="nil"/>
              <w:bottom w:val="nil"/>
              <w:right w:val="nil"/>
            </w:tcBorders>
          </w:tcPr>
          <w:p w14:paraId="39075002" w14:textId="77777777" w:rsidR="00AA4F0A" w:rsidRDefault="00AA4F0A" w:rsidP="00A500A7">
            <w:pPr>
              <w:pStyle w:val="Marginlie"/>
            </w:pPr>
          </w:p>
        </w:tc>
        <w:tc>
          <w:tcPr>
            <w:tcW w:w="277" w:type="dxa"/>
            <w:tcBorders>
              <w:top w:val="nil"/>
              <w:left w:val="nil"/>
              <w:bottom w:val="nil"/>
              <w:right w:val="nil"/>
            </w:tcBorders>
          </w:tcPr>
          <w:p w14:paraId="68953690" w14:textId="77777777" w:rsidR="00AA4F0A" w:rsidRPr="005E4483" w:rsidRDefault="00AA4F0A" w:rsidP="00A500A7">
            <w:pPr>
              <w:pStyle w:val="Textpoznpodarou"/>
              <w:jc w:val="both"/>
              <w:rPr>
                <w:spacing w:val="-4"/>
              </w:rPr>
            </w:pPr>
          </w:p>
        </w:tc>
        <w:tc>
          <w:tcPr>
            <w:tcW w:w="7391" w:type="dxa"/>
            <w:tcBorders>
              <w:top w:val="nil"/>
              <w:left w:val="nil"/>
              <w:bottom w:val="nil"/>
              <w:right w:val="nil"/>
            </w:tcBorders>
          </w:tcPr>
          <w:p w14:paraId="3F5B2A59" w14:textId="1F2619C3" w:rsidR="00AA4F0A" w:rsidRDefault="00E9274D" w:rsidP="00A500A7">
            <w:pPr>
              <w:spacing w:after="0"/>
            </w:pPr>
            <w:r>
              <w:rPr>
                <w:noProof/>
              </w:rPr>
              <w:drawing>
                <wp:inline distT="0" distB="0" distL="0" distR="0" wp14:anchorId="13B71134" wp14:editId="20581C84">
                  <wp:extent cx="4604385" cy="3394075"/>
                  <wp:effectExtent l="0" t="0" r="5715" b="0"/>
                  <wp:docPr id="72" name="Graf 72"/>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tc>
      </w:tr>
      <w:tr w:rsidR="00AA4F0A" w14:paraId="04102C69" w14:textId="77777777" w:rsidTr="00A500A7">
        <w:trPr>
          <w:trHeight w:val="145"/>
        </w:trPr>
        <w:tc>
          <w:tcPr>
            <w:tcW w:w="1976" w:type="dxa"/>
            <w:tcBorders>
              <w:top w:val="nil"/>
              <w:left w:val="nil"/>
              <w:bottom w:val="nil"/>
              <w:right w:val="nil"/>
            </w:tcBorders>
          </w:tcPr>
          <w:p w14:paraId="393B946F" w14:textId="77777777" w:rsidR="00AA4F0A" w:rsidRDefault="00AA4F0A" w:rsidP="00A500A7">
            <w:pPr>
              <w:pStyle w:val="Marginlie"/>
            </w:pPr>
          </w:p>
        </w:tc>
        <w:tc>
          <w:tcPr>
            <w:tcW w:w="277" w:type="dxa"/>
            <w:tcBorders>
              <w:top w:val="nil"/>
              <w:left w:val="nil"/>
              <w:bottom w:val="nil"/>
              <w:right w:val="nil"/>
            </w:tcBorders>
          </w:tcPr>
          <w:p w14:paraId="3DBA3214" w14:textId="77777777" w:rsidR="00AA4F0A" w:rsidRPr="005E4483" w:rsidRDefault="00AA4F0A" w:rsidP="00A500A7">
            <w:pPr>
              <w:pStyle w:val="Textpoznpodarou"/>
              <w:jc w:val="both"/>
              <w:rPr>
                <w:spacing w:val="-4"/>
              </w:rPr>
            </w:pPr>
          </w:p>
        </w:tc>
        <w:tc>
          <w:tcPr>
            <w:tcW w:w="7391" w:type="dxa"/>
            <w:tcBorders>
              <w:top w:val="nil"/>
              <w:left w:val="nil"/>
              <w:bottom w:val="nil"/>
              <w:right w:val="nil"/>
            </w:tcBorders>
          </w:tcPr>
          <w:p w14:paraId="2B1FF53F" w14:textId="77777777" w:rsidR="00AA4F0A" w:rsidRPr="00711FC2" w:rsidRDefault="00AA4F0A" w:rsidP="00A500A7">
            <w:pPr>
              <w:spacing w:after="220"/>
            </w:pPr>
            <w:r w:rsidRPr="00444E6D">
              <w:rPr>
                <w:rFonts w:cs="Arial"/>
                <w:sz w:val="14"/>
                <w:szCs w:val="14"/>
              </w:rPr>
              <w:t xml:space="preserve">Zdroj: </w:t>
            </w:r>
            <w:r>
              <w:rPr>
                <w:rFonts w:cs="Arial"/>
                <w:sz w:val="14"/>
                <w:szCs w:val="14"/>
              </w:rPr>
              <w:t xml:space="preserve">MPSV </w:t>
            </w:r>
            <w:r w:rsidR="00BC7833">
              <w:rPr>
                <w:rFonts w:cs="Arial"/>
                <w:sz w:val="14"/>
                <w:szCs w:val="14"/>
              </w:rPr>
              <w:t>a </w:t>
            </w:r>
            <w:r>
              <w:rPr>
                <w:rFonts w:cs="Arial"/>
                <w:sz w:val="14"/>
                <w:szCs w:val="14"/>
              </w:rPr>
              <w:t>ČSÚ (Strukturální mzdová statistika)</w:t>
            </w:r>
          </w:p>
        </w:tc>
      </w:tr>
      <w:tr w:rsidR="00AA4F0A" w14:paraId="71BD2F2D" w14:textId="77777777" w:rsidTr="00A500A7">
        <w:trPr>
          <w:trHeight w:val="145"/>
        </w:trPr>
        <w:tc>
          <w:tcPr>
            <w:tcW w:w="1976" w:type="dxa"/>
            <w:tcBorders>
              <w:top w:val="nil"/>
              <w:left w:val="nil"/>
              <w:bottom w:val="nil"/>
              <w:right w:val="nil"/>
            </w:tcBorders>
          </w:tcPr>
          <w:p w14:paraId="7B84664C" w14:textId="77777777" w:rsidR="00AA4F0A" w:rsidRDefault="00AA4F0A" w:rsidP="00A500A7">
            <w:pPr>
              <w:pStyle w:val="Marginlie"/>
            </w:pPr>
            <w:r>
              <w:t xml:space="preserve">Relativně nejrychleji rostly výdělky zaměstnancům ozbrojených složek. Více jak </w:t>
            </w:r>
            <w:r w:rsidR="00BC7833">
              <w:t>o </w:t>
            </w:r>
            <w:r>
              <w:t>desetinu posílily již třetím rokem v řadě.</w:t>
            </w:r>
          </w:p>
        </w:tc>
        <w:tc>
          <w:tcPr>
            <w:tcW w:w="277" w:type="dxa"/>
            <w:tcBorders>
              <w:top w:val="nil"/>
              <w:left w:val="nil"/>
              <w:bottom w:val="nil"/>
              <w:right w:val="nil"/>
            </w:tcBorders>
          </w:tcPr>
          <w:p w14:paraId="21556D9E" w14:textId="77777777" w:rsidR="00AA4F0A" w:rsidRPr="005E4483" w:rsidRDefault="00AA4F0A" w:rsidP="00A500A7">
            <w:pPr>
              <w:pStyle w:val="Textpoznpodarou"/>
              <w:jc w:val="both"/>
              <w:rPr>
                <w:spacing w:val="-4"/>
              </w:rPr>
            </w:pPr>
          </w:p>
        </w:tc>
        <w:tc>
          <w:tcPr>
            <w:tcW w:w="7391" w:type="dxa"/>
            <w:tcBorders>
              <w:top w:val="nil"/>
              <w:left w:val="nil"/>
              <w:bottom w:val="nil"/>
              <w:right w:val="nil"/>
            </w:tcBorders>
          </w:tcPr>
          <w:p w14:paraId="655B118D" w14:textId="3585F10A" w:rsidR="00AA4F0A" w:rsidRDefault="00BC7833" w:rsidP="00A500A7">
            <w:pPr>
              <w:spacing w:after="220"/>
            </w:pPr>
            <w:r>
              <w:t>Z </w:t>
            </w:r>
            <w:r w:rsidR="00AA4F0A">
              <w:t>deseti hlavních tříd klasifikace zaměstnání vzrostly loni mediánové mzdy nejvíce pracovníkům v ozbrojených silách (+13,2</w:t>
            </w:r>
            <w:r w:rsidR="006454CC">
              <w:t> %</w:t>
            </w:r>
            <w:r w:rsidR="00AA4F0A">
              <w:t>)</w:t>
            </w:r>
            <w:r w:rsidR="00AA4F0A" w:rsidRPr="00D13306">
              <w:rPr>
                <w:rFonts w:cs="Arial"/>
                <w:vertAlign w:val="superscript"/>
              </w:rPr>
              <w:footnoteReference w:id="71"/>
            </w:r>
            <w:r w:rsidR="00AA4F0A">
              <w:t xml:space="preserve">. Protože se tak stalo za poslední čtyři roky již potřetí, není překvapivé, že tento vývoj se výrazně odrazil </w:t>
            </w:r>
            <w:r>
              <w:t>i </w:t>
            </w:r>
            <w:r w:rsidR="00AA4F0A">
              <w:t>v celkovém postavení této nepočetné skupiny zaměstnanců. Medián jejich hrubé měsíční mzdy přesáhl loni 3</w:t>
            </w:r>
            <w:r w:rsidR="00D82A1E">
              <w:t>8 </w:t>
            </w:r>
            <w:r w:rsidR="00AA4F0A">
              <w:t xml:space="preserve">tis. korun </w:t>
            </w:r>
            <w:r>
              <w:t>a </w:t>
            </w:r>
            <w:r w:rsidR="00AA4F0A">
              <w:t xml:space="preserve">převýšil úroveň v celé ekonomice </w:t>
            </w:r>
            <w:r>
              <w:t>o </w:t>
            </w:r>
            <w:r w:rsidR="00AA4F0A">
              <w:t>31</w:t>
            </w:r>
            <w:r w:rsidR="006454CC">
              <w:t> %</w:t>
            </w:r>
            <w:r w:rsidR="00AA4F0A">
              <w:t>, v roce 2012 však jen o 7 %. Dlouhodobým specifikem pracovníků ozbrojených složek je vyšší mzdová úroveň žen než mužů</w:t>
            </w:r>
            <w:r w:rsidR="00AA4F0A" w:rsidRPr="00D13306">
              <w:rPr>
                <w:rFonts w:cs="Arial"/>
                <w:vertAlign w:val="superscript"/>
              </w:rPr>
              <w:footnoteReference w:id="72"/>
            </w:r>
            <w:r w:rsidR="00AA4F0A">
              <w:t xml:space="preserve">, jež patrně odráží odlišnou vzdělanostní </w:t>
            </w:r>
            <w:r>
              <w:t>i </w:t>
            </w:r>
            <w:r w:rsidR="00AA4F0A">
              <w:t>věkovou skladbu a též velmi nízkou absolutní četnost žen.</w:t>
            </w:r>
          </w:p>
        </w:tc>
      </w:tr>
      <w:tr w:rsidR="00AA4F0A" w14:paraId="04D6E0B6" w14:textId="77777777" w:rsidTr="00A500A7">
        <w:trPr>
          <w:trHeight w:val="145"/>
        </w:trPr>
        <w:tc>
          <w:tcPr>
            <w:tcW w:w="1976" w:type="dxa"/>
            <w:tcBorders>
              <w:top w:val="nil"/>
              <w:left w:val="nil"/>
              <w:bottom w:val="nil"/>
              <w:right w:val="nil"/>
            </w:tcBorders>
          </w:tcPr>
          <w:p w14:paraId="01C7D334" w14:textId="77777777" w:rsidR="00AA4F0A" w:rsidRDefault="00AA4F0A" w:rsidP="00A500A7">
            <w:pPr>
              <w:pStyle w:val="Marginlie"/>
            </w:pPr>
            <w:r>
              <w:lastRenderedPageBreak/>
              <w:t xml:space="preserve">Svižnému růstu výdělků pracovníků ve službách a prodeji pomohly vyšší veřejné výdaje </w:t>
            </w:r>
            <w:r w:rsidR="00BC7833">
              <w:t>i </w:t>
            </w:r>
            <w:r>
              <w:t>růst minimální mzdy.</w:t>
            </w:r>
          </w:p>
        </w:tc>
        <w:tc>
          <w:tcPr>
            <w:tcW w:w="277" w:type="dxa"/>
            <w:tcBorders>
              <w:top w:val="nil"/>
              <w:left w:val="nil"/>
              <w:bottom w:val="nil"/>
              <w:right w:val="nil"/>
            </w:tcBorders>
          </w:tcPr>
          <w:p w14:paraId="69FE1D1F" w14:textId="77777777" w:rsidR="00AA4F0A" w:rsidRPr="005E4483" w:rsidRDefault="00AA4F0A" w:rsidP="00A500A7">
            <w:pPr>
              <w:pStyle w:val="Textpoznpodarou"/>
              <w:jc w:val="both"/>
              <w:rPr>
                <w:spacing w:val="-4"/>
              </w:rPr>
            </w:pPr>
          </w:p>
        </w:tc>
        <w:tc>
          <w:tcPr>
            <w:tcW w:w="7391" w:type="dxa"/>
            <w:tcBorders>
              <w:top w:val="nil"/>
              <w:left w:val="nil"/>
              <w:bottom w:val="nil"/>
              <w:right w:val="nil"/>
            </w:tcBorders>
          </w:tcPr>
          <w:p w14:paraId="54B0270C" w14:textId="64824CCE" w:rsidR="00AA4F0A" w:rsidRPr="00257FB1" w:rsidRDefault="00AA4F0A" w:rsidP="00A500A7">
            <w:pPr>
              <w:spacing w:after="220"/>
              <w:rPr>
                <w:spacing w:val="-2"/>
              </w:rPr>
            </w:pPr>
            <w:r w:rsidRPr="00257FB1">
              <w:rPr>
                <w:spacing w:val="-2"/>
              </w:rPr>
              <w:t xml:space="preserve">Medián mezd ve třídě pracovníci ve službách </w:t>
            </w:r>
            <w:r w:rsidR="00BC7833" w:rsidRPr="00257FB1">
              <w:rPr>
                <w:spacing w:val="-2"/>
              </w:rPr>
              <w:t>a</w:t>
            </w:r>
            <w:r w:rsidR="00BC7833">
              <w:rPr>
                <w:spacing w:val="-2"/>
              </w:rPr>
              <w:t> </w:t>
            </w:r>
            <w:r w:rsidRPr="00257FB1">
              <w:rPr>
                <w:spacing w:val="-2"/>
              </w:rPr>
              <w:t xml:space="preserve">prodeji se navýšil dvouciferným tempem již druhým rokem v řadě. Stál za tím hlavně silný růst </w:t>
            </w:r>
            <w:r w:rsidR="00BC7833" w:rsidRPr="00257FB1">
              <w:rPr>
                <w:spacing w:val="-2"/>
              </w:rPr>
              <w:t>v</w:t>
            </w:r>
            <w:r w:rsidR="00BC7833">
              <w:rPr>
                <w:spacing w:val="-2"/>
              </w:rPr>
              <w:t> </w:t>
            </w:r>
            <w:r w:rsidRPr="00257FB1">
              <w:rPr>
                <w:spacing w:val="-2"/>
              </w:rPr>
              <w:t xml:space="preserve">zaměstnáních placených z drtivé většiny z veřejných rozpočtů (vězeňská správa, hasiči, řadoví policisté, pracovníci osobní péče ve zdravotní </w:t>
            </w:r>
            <w:r w:rsidR="00BC7833" w:rsidRPr="00257FB1">
              <w:rPr>
                <w:spacing w:val="-2"/>
              </w:rPr>
              <w:t>i</w:t>
            </w:r>
            <w:r w:rsidR="00BC7833">
              <w:rPr>
                <w:spacing w:val="-2"/>
              </w:rPr>
              <w:t> </w:t>
            </w:r>
            <w:r w:rsidRPr="00257FB1">
              <w:rPr>
                <w:spacing w:val="-2"/>
              </w:rPr>
              <w:t xml:space="preserve">sociální oblasti). Svižně ale posílily i mzdy </w:t>
            </w:r>
            <w:r w:rsidR="00BC7833" w:rsidRPr="00257FB1">
              <w:rPr>
                <w:spacing w:val="-2"/>
              </w:rPr>
              <w:t>v</w:t>
            </w:r>
            <w:r w:rsidR="00BC7833">
              <w:rPr>
                <w:spacing w:val="-2"/>
              </w:rPr>
              <w:t> </w:t>
            </w:r>
            <w:r w:rsidRPr="00257FB1">
              <w:rPr>
                <w:spacing w:val="-2"/>
              </w:rPr>
              <w:t xml:space="preserve">„tržní sféře“, kde se projevil vliv navýšení minimální mzdy, převis poptávky po pracovnících nad její nabídkou </w:t>
            </w:r>
            <w:r w:rsidR="00BC7833" w:rsidRPr="00257FB1">
              <w:rPr>
                <w:spacing w:val="-2"/>
              </w:rPr>
              <w:t>a</w:t>
            </w:r>
            <w:r w:rsidR="00BC7833">
              <w:rPr>
                <w:spacing w:val="-2"/>
              </w:rPr>
              <w:t> </w:t>
            </w:r>
            <w:r w:rsidRPr="00257FB1">
              <w:rPr>
                <w:spacing w:val="-2"/>
              </w:rPr>
              <w:t xml:space="preserve">patrně </w:t>
            </w:r>
            <w:r w:rsidR="00BC7833" w:rsidRPr="00257FB1">
              <w:rPr>
                <w:spacing w:val="-2"/>
              </w:rPr>
              <w:t>i</w:t>
            </w:r>
            <w:r w:rsidR="00BC7833">
              <w:rPr>
                <w:spacing w:val="-2"/>
              </w:rPr>
              <w:t> </w:t>
            </w:r>
            <w:r w:rsidRPr="00257FB1">
              <w:rPr>
                <w:spacing w:val="-2"/>
              </w:rPr>
              <w:t xml:space="preserve">větší fluktuace zaměstnanců (kuchaři, číšníci, servírky, prodavači, pracovníci ostrahy </w:t>
            </w:r>
            <w:r w:rsidR="00BC7833" w:rsidRPr="00257FB1">
              <w:rPr>
                <w:spacing w:val="-2"/>
              </w:rPr>
              <w:t>a</w:t>
            </w:r>
            <w:r w:rsidR="00BC7833">
              <w:rPr>
                <w:spacing w:val="-2"/>
              </w:rPr>
              <w:t> </w:t>
            </w:r>
            <w:r w:rsidRPr="00257FB1">
              <w:rPr>
                <w:spacing w:val="-2"/>
              </w:rPr>
              <w:t>bezpečnostních agentur). Navzdory tomuto posílení zůstala mzdová úroveň v celé této třídě zaměstnání výrazně podprůměrná, medián mzdy dosahoval loni jen 71</w:t>
            </w:r>
            <w:r w:rsidR="006454CC">
              <w:rPr>
                <w:spacing w:val="-2"/>
              </w:rPr>
              <w:t> %</w:t>
            </w:r>
            <w:r w:rsidRPr="00257FB1">
              <w:rPr>
                <w:spacing w:val="-2"/>
              </w:rPr>
              <w:t xml:space="preserve"> výše celé ekonomiky. Mírně le</w:t>
            </w:r>
            <w:r>
              <w:rPr>
                <w:spacing w:val="-2"/>
              </w:rPr>
              <w:t>pší pozici měly ženy (77</w:t>
            </w:r>
            <w:r w:rsidR="006454CC">
              <w:rPr>
                <w:spacing w:val="-2"/>
              </w:rPr>
              <w:t> %</w:t>
            </w:r>
            <w:r>
              <w:rPr>
                <w:spacing w:val="-2"/>
              </w:rPr>
              <w:t xml:space="preserve">), </w:t>
            </w:r>
            <w:r w:rsidR="00BC7833">
              <w:rPr>
                <w:spacing w:val="-2"/>
              </w:rPr>
              <w:t>u </w:t>
            </w:r>
            <w:r>
              <w:rPr>
                <w:spacing w:val="-2"/>
              </w:rPr>
              <w:t>nichž</w:t>
            </w:r>
            <w:r w:rsidRPr="00257FB1">
              <w:rPr>
                <w:spacing w:val="-2"/>
              </w:rPr>
              <w:t xml:space="preserve"> došlo </w:t>
            </w:r>
            <w:r w:rsidR="00BC7833" w:rsidRPr="00257FB1">
              <w:rPr>
                <w:spacing w:val="-2"/>
              </w:rPr>
              <w:t>i</w:t>
            </w:r>
            <w:r w:rsidR="00BC7833">
              <w:rPr>
                <w:spacing w:val="-2"/>
              </w:rPr>
              <w:t> </w:t>
            </w:r>
            <w:r w:rsidR="005329A1">
              <w:rPr>
                <w:spacing w:val="-2"/>
              </w:rPr>
              <w:t>k </w:t>
            </w:r>
            <w:r w:rsidRPr="00257FB1">
              <w:rPr>
                <w:spacing w:val="-2"/>
              </w:rPr>
              <w:t xml:space="preserve">většímu posunu (od roku 2011 </w:t>
            </w:r>
            <w:r w:rsidR="00BC7833" w:rsidRPr="00257FB1">
              <w:rPr>
                <w:spacing w:val="-2"/>
              </w:rPr>
              <w:t>o</w:t>
            </w:r>
            <w:r w:rsidR="00BC7833">
              <w:rPr>
                <w:spacing w:val="-2"/>
              </w:rPr>
              <w:t> </w:t>
            </w:r>
            <w:r w:rsidRPr="00257FB1">
              <w:rPr>
                <w:spacing w:val="-2"/>
              </w:rPr>
              <w:t>6</w:t>
            </w:r>
            <w:r w:rsidR="006454CC">
              <w:rPr>
                <w:spacing w:val="-2"/>
              </w:rPr>
              <w:t> p. b.</w:t>
            </w:r>
            <w:r w:rsidRPr="00257FB1">
              <w:rPr>
                <w:spacing w:val="-2"/>
              </w:rPr>
              <w:t>).</w:t>
            </w:r>
          </w:p>
        </w:tc>
      </w:tr>
      <w:tr w:rsidR="00AA4F0A" w14:paraId="65CEC3CA" w14:textId="77777777" w:rsidTr="00A500A7">
        <w:trPr>
          <w:trHeight w:val="145"/>
        </w:trPr>
        <w:tc>
          <w:tcPr>
            <w:tcW w:w="1976" w:type="dxa"/>
            <w:tcBorders>
              <w:top w:val="nil"/>
              <w:left w:val="nil"/>
              <w:bottom w:val="nil"/>
              <w:right w:val="nil"/>
            </w:tcBorders>
          </w:tcPr>
          <w:p w14:paraId="4277686E" w14:textId="61D11D3C" w:rsidR="00AA4F0A" w:rsidRDefault="00AA4F0A" w:rsidP="00A500A7">
            <w:pPr>
              <w:pStyle w:val="Marginlie"/>
            </w:pPr>
            <w:r>
              <w:t xml:space="preserve">Výdělky specialistů táhly loni hlavně vyšší veřejné výdaje na vzdělávání. </w:t>
            </w:r>
            <w:r w:rsidR="00BC7833">
              <w:t>I </w:t>
            </w:r>
            <w:r>
              <w:t xml:space="preserve">tak zůstala průměrná mzda učitelů a lektorů skoro </w:t>
            </w:r>
            <w:r w:rsidR="00BC7833">
              <w:t>o </w:t>
            </w:r>
            <w:r>
              <w:t xml:space="preserve">polovinu nižší než </w:t>
            </w:r>
            <w:r w:rsidR="00BC7833">
              <w:t>u </w:t>
            </w:r>
            <w:r>
              <w:t>pracovníků ICT.</w:t>
            </w:r>
          </w:p>
        </w:tc>
        <w:tc>
          <w:tcPr>
            <w:tcW w:w="277" w:type="dxa"/>
            <w:tcBorders>
              <w:top w:val="nil"/>
              <w:left w:val="nil"/>
              <w:bottom w:val="nil"/>
              <w:right w:val="nil"/>
            </w:tcBorders>
          </w:tcPr>
          <w:p w14:paraId="79EE1448" w14:textId="77777777" w:rsidR="00AA4F0A" w:rsidRPr="005E4483" w:rsidRDefault="00AA4F0A" w:rsidP="00A500A7">
            <w:pPr>
              <w:pStyle w:val="Textpoznpodarou"/>
              <w:jc w:val="both"/>
              <w:rPr>
                <w:spacing w:val="-4"/>
              </w:rPr>
            </w:pPr>
          </w:p>
        </w:tc>
        <w:tc>
          <w:tcPr>
            <w:tcW w:w="7391" w:type="dxa"/>
            <w:tcBorders>
              <w:top w:val="nil"/>
              <w:left w:val="nil"/>
              <w:bottom w:val="nil"/>
              <w:right w:val="nil"/>
            </w:tcBorders>
          </w:tcPr>
          <w:p w14:paraId="3D8D0392" w14:textId="4CF80683" w:rsidR="00AA4F0A" w:rsidRPr="00257FB1" w:rsidRDefault="00AA4F0A" w:rsidP="00A500A7">
            <w:pPr>
              <w:spacing w:after="220"/>
              <w:rPr>
                <w:spacing w:val="-2"/>
              </w:rPr>
            </w:pPr>
            <w:r w:rsidRPr="00257FB1">
              <w:rPr>
                <w:spacing w:val="-2"/>
              </w:rPr>
              <w:t>Mzd</w:t>
            </w:r>
            <w:r>
              <w:rPr>
                <w:spacing w:val="-2"/>
              </w:rPr>
              <w:t>ový medián ve třídě specialisté</w:t>
            </w:r>
            <w:r w:rsidRPr="00257FB1">
              <w:rPr>
                <w:spacing w:val="-2"/>
              </w:rPr>
              <w:t xml:space="preserve"> se v roce 2018, na rozdíl od předešlých čtyř let, navýšil nadprůměrně (+9,0</w:t>
            </w:r>
            <w:r w:rsidR="006454CC">
              <w:rPr>
                <w:spacing w:val="-2"/>
              </w:rPr>
              <w:t> %</w:t>
            </w:r>
            <w:r w:rsidRPr="00257FB1">
              <w:rPr>
                <w:spacing w:val="-2"/>
              </w:rPr>
              <w:t xml:space="preserve">). Výrazně se zde projevil růst veřejných výdajů v oblasti vzdělávání. </w:t>
            </w:r>
            <w:r w:rsidR="00BC7833" w:rsidRPr="00257FB1">
              <w:rPr>
                <w:spacing w:val="-2"/>
              </w:rPr>
              <w:t>I</w:t>
            </w:r>
            <w:r w:rsidR="00BC7833">
              <w:rPr>
                <w:spacing w:val="-2"/>
              </w:rPr>
              <w:t> </w:t>
            </w:r>
            <w:r w:rsidRPr="00257FB1">
              <w:rPr>
                <w:spacing w:val="-2"/>
              </w:rPr>
              <w:t>tak ale platy specialistů v této oblasti (zejm</w:t>
            </w:r>
            <w:r w:rsidR="005329A1">
              <w:rPr>
                <w:spacing w:val="-2"/>
              </w:rPr>
              <w:t>éna</w:t>
            </w:r>
            <w:r w:rsidRPr="00257FB1">
              <w:rPr>
                <w:spacing w:val="-2"/>
              </w:rPr>
              <w:t xml:space="preserve"> učitelů </w:t>
            </w:r>
            <w:r w:rsidR="00BC7833" w:rsidRPr="00257FB1">
              <w:rPr>
                <w:spacing w:val="-2"/>
              </w:rPr>
              <w:t>a</w:t>
            </w:r>
            <w:r w:rsidR="00BC7833">
              <w:rPr>
                <w:spacing w:val="-2"/>
              </w:rPr>
              <w:t> </w:t>
            </w:r>
            <w:r w:rsidRPr="00257FB1">
              <w:rPr>
                <w:spacing w:val="-2"/>
              </w:rPr>
              <w:t xml:space="preserve">lektorů) převyšovaly </w:t>
            </w:r>
            <w:r w:rsidR="005F21D8">
              <w:rPr>
                <w:spacing w:val="-2"/>
              </w:rPr>
              <w:t xml:space="preserve">jen mírně </w:t>
            </w:r>
            <w:r w:rsidRPr="00257FB1">
              <w:rPr>
                <w:spacing w:val="-2"/>
              </w:rPr>
              <w:t>úr</w:t>
            </w:r>
            <w:r>
              <w:rPr>
                <w:spacing w:val="-2"/>
              </w:rPr>
              <w:t xml:space="preserve">oveň </w:t>
            </w:r>
            <w:r w:rsidR="005F21D8">
              <w:rPr>
                <w:spacing w:val="-2"/>
              </w:rPr>
              <w:t>všech zaměstnanců v národním hospodářství</w:t>
            </w:r>
            <w:r w:rsidRPr="00257FB1">
              <w:rPr>
                <w:spacing w:val="-2"/>
              </w:rPr>
              <w:t>. Nejvyšší průměrnou hrubou měsíční</w:t>
            </w:r>
            <w:r>
              <w:rPr>
                <w:spacing w:val="-2"/>
              </w:rPr>
              <w:t xml:space="preserve"> </w:t>
            </w:r>
            <w:r w:rsidR="005329A1">
              <w:rPr>
                <w:spacing w:val="-2"/>
              </w:rPr>
              <w:t xml:space="preserve">mzdu </w:t>
            </w:r>
            <w:r>
              <w:rPr>
                <w:spacing w:val="-2"/>
              </w:rPr>
              <w:t>tradičně pobírali</w:t>
            </w:r>
            <w:r w:rsidRPr="00257FB1">
              <w:rPr>
                <w:spacing w:val="-2"/>
              </w:rPr>
              <w:t xml:space="preserve"> specialisté v oblasti ICT (loni 6</w:t>
            </w:r>
            <w:r w:rsidR="00D82A1E" w:rsidRPr="00257FB1">
              <w:rPr>
                <w:spacing w:val="-2"/>
              </w:rPr>
              <w:t>1</w:t>
            </w:r>
            <w:r w:rsidR="00D82A1E">
              <w:rPr>
                <w:spacing w:val="-2"/>
              </w:rPr>
              <w:t> </w:t>
            </w:r>
            <w:r w:rsidRPr="00257FB1">
              <w:rPr>
                <w:spacing w:val="-2"/>
              </w:rPr>
              <w:t xml:space="preserve">tis. korun). Medián mezd v celé třídě specialistů se dlouhodobě pohybuje </w:t>
            </w:r>
            <w:r w:rsidR="00BC7833" w:rsidRPr="00257FB1">
              <w:rPr>
                <w:spacing w:val="-2"/>
              </w:rPr>
              <w:t>o</w:t>
            </w:r>
            <w:r w:rsidR="00BC7833">
              <w:rPr>
                <w:spacing w:val="-2"/>
              </w:rPr>
              <w:t> </w:t>
            </w:r>
            <w:r>
              <w:rPr>
                <w:spacing w:val="-2"/>
              </w:rPr>
              <w:t xml:space="preserve">více než </w:t>
            </w:r>
            <w:r w:rsidRPr="00257FB1">
              <w:rPr>
                <w:spacing w:val="-2"/>
              </w:rPr>
              <w:t>třeti</w:t>
            </w:r>
            <w:r w:rsidR="006F14C9">
              <w:rPr>
                <w:spacing w:val="-2"/>
              </w:rPr>
              <w:t>nu nad úrovní celé ekonomiky. V </w:t>
            </w:r>
            <w:r w:rsidRPr="00257FB1">
              <w:rPr>
                <w:spacing w:val="-2"/>
              </w:rPr>
              <w:t>rámci skupiny žen dosáhlo loni toto převýšení 35</w:t>
            </w:r>
            <w:r w:rsidR="006454CC">
              <w:rPr>
                <w:spacing w:val="-2"/>
              </w:rPr>
              <w:t> %</w:t>
            </w:r>
            <w:r w:rsidRPr="00257FB1">
              <w:rPr>
                <w:spacing w:val="-2"/>
              </w:rPr>
              <w:t xml:space="preserve">, </w:t>
            </w:r>
            <w:r w:rsidR="00BC7833" w:rsidRPr="00257FB1">
              <w:rPr>
                <w:spacing w:val="-2"/>
              </w:rPr>
              <w:t>u</w:t>
            </w:r>
            <w:r w:rsidR="00BC7833">
              <w:rPr>
                <w:spacing w:val="-2"/>
              </w:rPr>
              <w:t> </w:t>
            </w:r>
            <w:r w:rsidRPr="00257FB1">
              <w:rPr>
                <w:spacing w:val="-2"/>
              </w:rPr>
              <w:t>mužů 45</w:t>
            </w:r>
            <w:r w:rsidR="006454CC">
              <w:rPr>
                <w:spacing w:val="-2"/>
              </w:rPr>
              <w:t> %</w:t>
            </w:r>
            <w:r w:rsidRPr="00257FB1">
              <w:rPr>
                <w:spacing w:val="-2"/>
              </w:rPr>
              <w:t>.</w:t>
            </w:r>
          </w:p>
        </w:tc>
      </w:tr>
      <w:tr w:rsidR="00AA4F0A" w14:paraId="5B210504" w14:textId="77777777" w:rsidTr="00A500A7">
        <w:trPr>
          <w:trHeight w:val="145"/>
        </w:trPr>
        <w:tc>
          <w:tcPr>
            <w:tcW w:w="1976" w:type="dxa"/>
            <w:tcBorders>
              <w:top w:val="nil"/>
              <w:left w:val="nil"/>
              <w:bottom w:val="nil"/>
              <w:right w:val="nil"/>
            </w:tcBorders>
          </w:tcPr>
          <w:p w14:paraId="483A0EB9" w14:textId="77777777" w:rsidR="00AA4F0A" w:rsidRDefault="00AA4F0A" w:rsidP="00A500A7">
            <w:pPr>
              <w:pStyle w:val="Marginlie"/>
            </w:pPr>
            <w:r>
              <w:t>,</w:t>
            </w:r>
          </w:p>
        </w:tc>
        <w:tc>
          <w:tcPr>
            <w:tcW w:w="277" w:type="dxa"/>
            <w:tcBorders>
              <w:top w:val="nil"/>
              <w:left w:val="nil"/>
              <w:bottom w:val="nil"/>
              <w:right w:val="nil"/>
            </w:tcBorders>
          </w:tcPr>
          <w:p w14:paraId="7653B016" w14:textId="77777777" w:rsidR="00AA4F0A" w:rsidRPr="005E4483" w:rsidRDefault="00AA4F0A" w:rsidP="00A500A7">
            <w:pPr>
              <w:pStyle w:val="Textpoznpodarou"/>
              <w:jc w:val="both"/>
              <w:rPr>
                <w:spacing w:val="-4"/>
              </w:rPr>
            </w:pPr>
          </w:p>
        </w:tc>
        <w:tc>
          <w:tcPr>
            <w:tcW w:w="7391" w:type="dxa"/>
            <w:tcBorders>
              <w:top w:val="nil"/>
              <w:left w:val="nil"/>
              <w:bottom w:val="nil"/>
              <w:right w:val="nil"/>
            </w:tcBorders>
          </w:tcPr>
          <w:p w14:paraId="039736E1" w14:textId="77777777" w:rsidR="00AA4F0A" w:rsidRDefault="00AA4F0A" w:rsidP="00A500A7">
            <w:pPr>
              <w:spacing w:after="0"/>
              <w:jc w:val="left"/>
            </w:pPr>
            <w:r>
              <w:rPr>
                <w:b/>
              </w:rPr>
              <w:t xml:space="preserve">Graf </w:t>
            </w:r>
            <w:r w:rsidR="00BA35F3">
              <w:rPr>
                <w:b/>
              </w:rPr>
              <w:t>č. </w:t>
            </w:r>
            <w:r w:rsidR="00306AD7">
              <w:rPr>
                <w:b/>
              </w:rPr>
              <w:t>2</w:t>
            </w:r>
            <w:r>
              <w:rPr>
                <w:b/>
              </w:rPr>
              <w:t>7</w:t>
            </w:r>
            <w:r w:rsidRPr="003601A5">
              <w:rPr>
                <w:b/>
              </w:rPr>
              <w:t xml:space="preserve">  </w:t>
            </w:r>
            <w:r>
              <w:rPr>
                <w:b/>
              </w:rPr>
              <w:t xml:space="preserve">Změna mediánu mzdy zaměstnance </w:t>
            </w:r>
            <w:r w:rsidRPr="00FF37E5">
              <w:rPr>
                <w:b/>
                <w:spacing w:val="-2"/>
              </w:rPr>
              <w:t xml:space="preserve">dle hlavních </w:t>
            </w:r>
            <w:r>
              <w:rPr>
                <w:b/>
                <w:spacing w:val="-2"/>
              </w:rPr>
              <w:t xml:space="preserve">kvalifikačních </w:t>
            </w:r>
            <w:r w:rsidRPr="00FF37E5">
              <w:rPr>
                <w:b/>
                <w:spacing w:val="-2"/>
              </w:rPr>
              <w:t>tříd</w:t>
            </w:r>
            <w:r>
              <w:rPr>
                <w:b/>
                <w:spacing w:val="-2"/>
              </w:rPr>
              <w:t>*</w:t>
            </w:r>
            <w:r w:rsidRPr="00FF37E5">
              <w:rPr>
                <w:b/>
                <w:spacing w:val="-2"/>
              </w:rPr>
              <w:t xml:space="preserve"> </w:t>
            </w:r>
            <w:r>
              <w:rPr>
                <w:b/>
                <w:spacing w:val="-2"/>
              </w:rPr>
              <w:t xml:space="preserve">celkem </w:t>
            </w:r>
            <w:r w:rsidR="00BC7833">
              <w:rPr>
                <w:b/>
                <w:spacing w:val="-2"/>
              </w:rPr>
              <w:t>a </w:t>
            </w:r>
            <w:r>
              <w:rPr>
                <w:b/>
                <w:spacing w:val="-2"/>
              </w:rPr>
              <w:t xml:space="preserve">za ženy </w:t>
            </w:r>
            <w:r>
              <w:rPr>
                <w:spacing w:val="-2"/>
              </w:rPr>
              <w:t>(meziročně, v</w:t>
            </w:r>
            <w:r w:rsidR="006454CC">
              <w:rPr>
                <w:spacing w:val="-2"/>
              </w:rPr>
              <w:t> %</w:t>
            </w:r>
            <w:r w:rsidRPr="00FF37E5">
              <w:rPr>
                <w:spacing w:val="-2"/>
              </w:rPr>
              <w:t>)</w:t>
            </w:r>
          </w:p>
        </w:tc>
      </w:tr>
      <w:tr w:rsidR="00AA4F0A" w14:paraId="4832D8F0" w14:textId="77777777" w:rsidTr="003601D9">
        <w:tblPrEx>
          <w:tblCellMar>
            <w:left w:w="70" w:type="dxa"/>
            <w:right w:w="70" w:type="dxa"/>
          </w:tblCellMar>
        </w:tblPrEx>
        <w:trPr>
          <w:trHeight w:val="145"/>
        </w:trPr>
        <w:tc>
          <w:tcPr>
            <w:tcW w:w="1976" w:type="dxa"/>
            <w:tcBorders>
              <w:top w:val="nil"/>
              <w:left w:val="nil"/>
              <w:bottom w:val="nil"/>
              <w:right w:val="nil"/>
            </w:tcBorders>
          </w:tcPr>
          <w:p w14:paraId="1CCA5BE6" w14:textId="77777777" w:rsidR="00AA4F0A" w:rsidRDefault="00AA4F0A" w:rsidP="00A500A7">
            <w:pPr>
              <w:pStyle w:val="Marginlie"/>
            </w:pPr>
          </w:p>
        </w:tc>
        <w:tc>
          <w:tcPr>
            <w:tcW w:w="277" w:type="dxa"/>
            <w:tcBorders>
              <w:top w:val="nil"/>
              <w:left w:val="nil"/>
              <w:bottom w:val="nil"/>
              <w:right w:val="nil"/>
            </w:tcBorders>
          </w:tcPr>
          <w:p w14:paraId="1A343A2F" w14:textId="77777777" w:rsidR="00AA4F0A" w:rsidRPr="005E4483" w:rsidRDefault="00AA4F0A" w:rsidP="00A500A7">
            <w:pPr>
              <w:pStyle w:val="Textpoznpodarou"/>
              <w:jc w:val="both"/>
              <w:rPr>
                <w:spacing w:val="-4"/>
              </w:rPr>
            </w:pPr>
          </w:p>
        </w:tc>
        <w:tc>
          <w:tcPr>
            <w:tcW w:w="7391" w:type="dxa"/>
            <w:tcBorders>
              <w:top w:val="nil"/>
              <w:left w:val="nil"/>
              <w:bottom w:val="nil"/>
              <w:right w:val="nil"/>
            </w:tcBorders>
          </w:tcPr>
          <w:p w14:paraId="60A8D651" w14:textId="5C0267C1" w:rsidR="00AA4F0A" w:rsidRDefault="003601D9" w:rsidP="00A500A7">
            <w:pPr>
              <w:spacing w:after="0"/>
            </w:pPr>
            <w:r>
              <w:rPr>
                <w:noProof/>
              </w:rPr>
              <w:drawing>
                <wp:inline distT="0" distB="0" distL="0" distR="0" wp14:anchorId="6353469B" wp14:editId="36DC7017">
                  <wp:extent cx="4604385" cy="3514725"/>
                  <wp:effectExtent l="0" t="0" r="5715" b="0"/>
                  <wp:docPr id="73" name="Graf 73"/>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tc>
      </w:tr>
      <w:tr w:rsidR="00AA4F0A" w14:paraId="0040C1EA" w14:textId="77777777" w:rsidTr="00A500A7">
        <w:trPr>
          <w:trHeight w:val="145"/>
        </w:trPr>
        <w:tc>
          <w:tcPr>
            <w:tcW w:w="1976" w:type="dxa"/>
            <w:tcBorders>
              <w:top w:val="nil"/>
              <w:left w:val="nil"/>
              <w:bottom w:val="nil"/>
              <w:right w:val="nil"/>
            </w:tcBorders>
          </w:tcPr>
          <w:p w14:paraId="61B93E29" w14:textId="77777777" w:rsidR="00AA4F0A" w:rsidRDefault="00AA4F0A" w:rsidP="00A500A7">
            <w:pPr>
              <w:pStyle w:val="Marginlie"/>
            </w:pPr>
          </w:p>
        </w:tc>
        <w:tc>
          <w:tcPr>
            <w:tcW w:w="277" w:type="dxa"/>
            <w:tcBorders>
              <w:top w:val="nil"/>
              <w:left w:val="nil"/>
              <w:bottom w:val="nil"/>
              <w:right w:val="nil"/>
            </w:tcBorders>
          </w:tcPr>
          <w:p w14:paraId="1A9295F8" w14:textId="77777777" w:rsidR="00AA4F0A" w:rsidRPr="005E4483" w:rsidRDefault="00AA4F0A" w:rsidP="00A500A7">
            <w:pPr>
              <w:pStyle w:val="Textpoznpodarou"/>
              <w:jc w:val="both"/>
              <w:rPr>
                <w:spacing w:val="-4"/>
              </w:rPr>
            </w:pPr>
          </w:p>
        </w:tc>
        <w:tc>
          <w:tcPr>
            <w:tcW w:w="7391" w:type="dxa"/>
            <w:tcBorders>
              <w:top w:val="nil"/>
              <w:left w:val="nil"/>
              <w:bottom w:val="nil"/>
              <w:right w:val="nil"/>
            </w:tcBorders>
          </w:tcPr>
          <w:p w14:paraId="0490143A" w14:textId="77777777" w:rsidR="00AA4F0A" w:rsidRDefault="00AA4F0A" w:rsidP="00A500A7">
            <w:pPr>
              <w:spacing w:after="0"/>
              <w:rPr>
                <w:rFonts w:cs="Arial"/>
                <w:sz w:val="14"/>
                <w:szCs w:val="14"/>
              </w:rPr>
            </w:pPr>
            <w:r>
              <w:rPr>
                <w:rFonts w:cs="Arial"/>
                <w:sz w:val="14"/>
                <w:szCs w:val="14"/>
              </w:rPr>
              <w:t>*Podle klasifikace zaměstnání CZ-ISCO</w:t>
            </w:r>
          </w:p>
          <w:p w14:paraId="2664B356" w14:textId="77777777" w:rsidR="00AA4F0A" w:rsidRDefault="00AA4F0A" w:rsidP="00A500A7">
            <w:pPr>
              <w:spacing w:after="220"/>
            </w:pPr>
            <w:r w:rsidRPr="00444E6D">
              <w:rPr>
                <w:rFonts w:cs="Arial"/>
                <w:sz w:val="14"/>
                <w:szCs w:val="14"/>
              </w:rPr>
              <w:t xml:space="preserve">Zdroj: </w:t>
            </w:r>
            <w:r>
              <w:rPr>
                <w:rFonts w:cs="Arial"/>
                <w:sz w:val="14"/>
                <w:szCs w:val="14"/>
              </w:rPr>
              <w:t xml:space="preserve">MPSV </w:t>
            </w:r>
            <w:r w:rsidR="00BC7833">
              <w:rPr>
                <w:rFonts w:cs="Arial"/>
                <w:sz w:val="14"/>
                <w:szCs w:val="14"/>
              </w:rPr>
              <w:t>a </w:t>
            </w:r>
            <w:r>
              <w:rPr>
                <w:rFonts w:cs="Arial"/>
                <w:sz w:val="14"/>
                <w:szCs w:val="14"/>
              </w:rPr>
              <w:t>ČSÚ (Strukturální mzdová statistika)</w:t>
            </w:r>
          </w:p>
        </w:tc>
      </w:tr>
      <w:tr w:rsidR="006F14C9" w14:paraId="2B285850" w14:textId="77777777" w:rsidTr="00A500A7">
        <w:trPr>
          <w:trHeight w:val="145"/>
        </w:trPr>
        <w:tc>
          <w:tcPr>
            <w:tcW w:w="1976" w:type="dxa"/>
            <w:tcBorders>
              <w:top w:val="nil"/>
              <w:left w:val="nil"/>
              <w:bottom w:val="nil"/>
              <w:right w:val="nil"/>
            </w:tcBorders>
          </w:tcPr>
          <w:p w14:paraId="4F5BCF0D" w14:textId="56294696" w:rsidR="006F14C9" w:rsidRDefault="006F14C9" w:rsidP="006F14C9">
            <w:pPr>
              <w:pStyle w:val="Marginlie"/>
            </w:pPr>
            <w:r>
              <w:t xml:space="preserve">Tempo růstu mezd ve třídě zákonodárců </w:t>
            </w:r>
            <w:r w:rsidR="00BC7833">
              <w:t>a </w:t>
            </w:r>
            <w:r>
              <w:t xml:space="preserve">řídících pracovníků bylo v posledních pěti letech spíše podprůměrné. Pokračoval </w:t>
            </w:r>
            <w:r w:rsidR="00B77AF4">
              <w:t xml:space="preserve">zde </w:t>
            </w:r>
            <w:r w:rsidR="00BC7833">
              <w:t>i </w:t>
            </w:r>
            <w:r>
              <w:t>pokles stavu zaměstnanců.</w:t>
            </w:r>
          </w:p>
        </w:tc>
        <w:tc>
          <w:tcPr>
            <w:tcW w:w="277" w:type="dxa"/>
            <w:tcBorders>
              <w:top w:val="nil"/>
              <w:left w:val="nil"/>
              <w:bottom w:val="nil"/>
              <w:right w:val="nil"/>
            </w:tcBorders>
          </w:tcPr>
          <w:p w14:paraId="1023038A" w14:textId="77777777" w:rsidR="006F14C9" w:rsidRPr="005E4483" w:rsidRDefault="006F14C9" w:rsidP="006F14C9">
            <w:pPr>
              <w:pStyle w:val="Textpoznpodarou"/>
              <w:jc w:val="both"/>
              <w:rPr>
                <w:spacing w:val="-4"/>
              </w:rPr>
            </w:pPr>
          </w:p>
        </w:tc>
        <w:tc>
          <w:tcPr>
            <w:tcW w:w="7391" w:type="dxa"/>
            <w:tcBorders>
              <w:top w:val="nil"/>
              <w:left w:val="nil"/>
              <w:bottom w:val="nil"/>
              <w:right w:val="nil"/>
            </w:tcBorders>
          </w:tcPr>
          <w:p w14:paraId="2A4B7085" w14:textId="621EAF1F" w:rsidR="006F14C9" w:rsidRPr="00257FB1" w:rsidRDefault="006F14C9" w:rsidP="006F14C9">
            <w:pPr>
              <w:spacing w:after="220"/>
              <w:rPr>
                <w:spacing w:val="-2"/>
              </w:rPr>
            </w:pPr>
            <w:r w:rsidRPr="00257FB1">
              <w:rPr>
                <w:spacing w:val="-2"/>
              </w:rPr>
              <w:t xml:space="preserve">Medián mezd zákonodárců </w:t>
            </w:r>
            <w:r w:rsidR="00BC7833" w:rsidRPr="00257FB1">
              <w:rPr>
                <w:spacing w:val="-2"/>
              </w:rPr>
              <w:t>a</w:t>
            </w:r>
            <w:r w:rsidR="00BC7833">
              <w:rPr>
                <w:spacing w:val="-2"/>
              </w:rPr>
              <w:t> </w:t>
            </w:r>
            <w:r w:rsidRPr="00257FB1">
              <w:rPr>
                <w:spacing w:val="-2"/>
              </w:rPr>
              <w:t xml:space="preserve">řídících pracovníků loni vzrostl </w:t>
            </w:r>
            <w:r w:rsidR="00BC7833" w:rsidRPr="00257FB1">
              <w:rPr>
                <w:spacing w:val="-2"/>
              </w:rPr>
              <w:t>o</w:t>
            </w:r>
            <w:r w:rsidR="00BC7833">
              <w:rPr>
                <w:spacing w:val="-2"/>
              </w:rPr>
              <w:t> </w:t>
            </w:r>
            <w:r w:rsidRPr="00257FB1">
              <w:rPr>
                <w:spacing w:val="-2"/>
              </w:rPr>
              <w:t>6,1</w:t>
            </w:r>
            <w:r w:rsidR="006454CC">
              <w:rPr>
                <w:spacing w:val="-2"/>
              </w:rPr>
              <w:t> %</w:t>
            </w:r>
            <w:r w:rsidRPr="00257FB1">
              <w:rPr>
                <w:spacing w:val="-2"/>
              </w:rPr>
              <w:t xml:space="preserve"> (průměrná mzda </w:t>
            </w:r>
            <w:r w:rsidR="00BC7833" w:rsidRPr="00257FB1">
              <w:rPr>
                <w:spacing w:val="-2"/>
              </w:rPr>
              <w:t>o</w:t>
            </w:r>
            <w:r w:rsidR="00BC7833">
              <w:rPr>
                <w:spacing w:val="-2"/>
              </w:rPr>
              <w:t> </w:t>
            </w:r>
            <w:r w:rsidRPr="00257FB1">
              <w:rPr>
                <w:spacing w:val="-2"/>
              </w:rPr>
              <w:t>5,3</w:t>
            </w:r>
            <w:r w:rsidR="006454CC">
              <w:rPr>
                <w:spacing w:val="-2"/>
              </w:rPr>
              <w:t> %</w:t>
            </w:r>
            <w:r w:rsidRPr="00257FB1">
              <w:rPr>
                <w:spacing w:val="-2"/>
              </w:rPr>
              <w:t xml:space="preserve">), což znamenalo mírný pokles tempa oproti roku 2017. To byl zároveň jediný rok od konce poslední recese, kdy mzdový medián v této třídě dosahoval vyššího meziročního tempa než v celé ekonomice. Relativně slabší dynamika výdělků může souviset se zpomalením hospodářského růstu, neboť vyšší podíl mezd zde tvoří příplatky, bonusy či mimořádné odměny (mnohdy vázané na hospodářské výsledky </w:t>
            </w:r>
            <w:r w:rsidR="00AA6B9B" w:rsidRPr="00257FB1">
              <w:rPr>
                <w:spacing w:val="-2"/>
              </w:rPr>
              <w:t>podnik</w:t>
            </w:r>
            <w:r w:rsidR="00AA6B9B">
              <w:rPr>
                <w:spacing w:val="-2"/>
              </w:rPr>
              <w:t>ů</w:t>
            </w:r>
            <w:r w:rsidRPr="00257FB1">
              <w:rPr>
                <w:spacing w:val="-2"/>
              </w:rPr>
              <w:t xml:space="preserve">). Působila </w:t>
            </w:r>
            <w:r w:rsidR="00BC7833" w:rsidRPr="00257FB1">
              <w:rPr>
                <w:spacing w:val="-2"/>
              </w:rPr>
              <w:t>i</w:t>
            </w:r>
            <w:r w:rsidR="00BC7833">
              <w:rPr>
                <w:spacing w:val="-2"/>
              </w:rPr>
              <w:t> </w:t>
            </w:r>
            <w:r w:rsidRPr="00257FB1">
              <w:rPr>
                <w:spacing w:val="-2"/>
              </w:rPr>
              <w:t xml:space="preserve">klesající míra zisku podniků po roce 2015, jež zintenzivnila </w:t>
            </w:r>
            <w:r w:rsidRPr="00257FB1">
              <w:rPr>
                <w:spacing w:val="-2"/>
              </w:rPr>
              <w:lastRenderedPageBreak/>
              <w:t xml:space="preserve">restrukturalizační </w:t>
            </w:r>
            <w:r w:rsidR="00BC7833" w:rsidRPr="00257FB1">
              <w:rPr>
                <w:spacing w:val="-2"/>
              </w:rPr>
              <w:t>a</w:t>
            </w:r>
            <w:r w:rsidR="00BC7833">
              <w:rPr>
                <w:spacing w:val="-2"/>
              </w:rPr>
              <w:t> </w:t>
            </w:r>
            <w:r w:rsidRPr="00257FB1">
              <w:rPr>
                <w:spacing w:val="-2"/>
              </w:rPr>
              <w:t xml:space="preserve">inovační procesy, </w:t>
            </w:r>
            <w:r w:rsidR="00BC7833" w:rsidRPr="00257FB1">
              <w:rPr>
                <w:spacing w:val="-2"/>
              </w:rPr>
              <w:t>a</w:t>
            </w:r>
            <w:r w:rsidR="00BC7833">
              <w:rPr>
                <w:spacing w:val="-2"/>
              </w:rPr>
              <w:t> </w:t>
            </w:r>
            <w:r w:rsidRPr="00257FB1">
              <w:rPr>
                <w:spacing w:val="-2"/>
              </w:rPr>
              <w:t>to včetně těch v oblasti řízení</w:t>
            </w:r>
            <w:r w:rsidRPr="00257FB1">
              <w:rPr>
                <w:rFonts w:cs="Arial"/>
                <w:spacing w:val="-2"/>
                <w:vertAlign w:val="superscript"/>
              </w:rPr>
              <w:footnoteReference w:id="73"/>
            </w:r>
            <w:r w:rsidRPr="00257FB1">
              <w:rPr>
                <w:spacing w:val="-2"/>
              </w:rPr>
              <w:t xml:space="preserve">. Výdělky zákonodárců </w:t>
            </w:r>
            <w:r w:rsidR="00BC7833" w:rsidRPr="00257FB1">
              <w:rPr>
                <w:spacing w:val="-2"/>
              </w:rPr>
              <w:t>a</w:t>
            </w:r>
            <w:r w:rsidR="00BC7833">
              <w:rPr>
                <w:spacing w:val="-2"/>
              </w:rPr>
              <w:t> </w:t>
            </w:r>
            <w:r w:rsidRPr="00257FB1">
              <w:rPr>
                <w:spacing w:val="-2"/>
              </w:rPr>
              <w:t xml:space="preserve">řídících pracovníků patří nejen k nejvyšším (medián mezd překonal loni úroveň celé ekonomiky </w:t>
            </w:r>
            <w:r w:rsidR="00BC7833" w:rsidRPr="00257FB1">
              <w:rPr>
                <w:spacing w:val="-2"/>
              </w:rPr>
              <w:t>o</w:t>
            </w:r>
            <w:r w:rsidR="00BC7833">
              <w:rPr>
                <w:spacing w:val="-2"/>
              </w:rPr>
              <w:t> </w:t>
            </w:r>
            <w:r w:rsidRPr="00257FB1">
              <w:rPr>
                <w:spacing w:val="-2"/>
              </w:rPr>
              <w:t>77</w:t>
            </w:r>
            <w:r w:rsidR="006454CC">
              <w:rPr>
                <w:spacing w:val="-2"/>
              </w:rPr>
              <w:t> %</w:t>
            </w:r>
            <w:r w:rsidRPr="00257FB1">
              <w:rPr>
                <w:spacing w:val="-2"/>
              </w:rPr>
              <w:t xml:space="preserve">, v roce 2011 </w:t>
            </w:r>
            <w:r w:rsidR="00BC7833" w:rsidRPr="00257FB1">
              <w:rPr>
                <w:spacing w:val="-2"/>
              </w:rPr>
              <w:t>o</w:t>
            </w:r>
            <w:r w:rsidR="00BC7833">
              <w:rPr>
                <w:spacing w:val="-2"/>
              </w:rPr>
              <w:t> </w:t>
            </w:r>
            <w:r w:rsidRPr="00257FB1">
              <w:rPr>
                <w:spacing w:val="-2"/>
              </w:rPr>
              <w:t>83</w:t>
            </w:r>
            <w:r w:rsidR="006454CC">
              <w:rPr>
                <w:spacing w:val="-2"/>
              </w:rPr>
              <w:t> %</w:t>
            </w:r>
            <w:r w:rsidRPr="00257FB1">
              <w:rPr>
                <w:spacing w:val="-2"/>
              </w:rPr>
              <w:t>), ale také k nejvariabilnějším (</w:t>
            </w:r>
            <w:r>
              <w:rPr>
                <w:spacing w:val="-2"/>
              </w:rPr>
              <w:t xml:space="preserve">jejich </w:t>
            </w:r>
            <w:r w:rsidRPr="00257FB1">
              <w:rPr>
                <w:spacing w:val="-2"/>
              </w:rPr>
              <w:t xml:space="preserve">variační koeficient byl třikrát vyšší než </w:t>
            </w:r>
            <w:r w:rsidR="00BC7833" w:rsidRPr="00257FB1">
              <w:rPr>
                <w:spacing w:val="-2"/>
              </w:rPr>
              <w:t>u</w:t>
            </w:r>
            <w:r w:rsidR="00BC7833">
              <w:rPr>
                <w:spacing w:val="-2"/>
              </w:rPr>
              <w:t> </w:t>
            </w:r>
            <w:r w:rsidRPr="00257FB1">
              <w:rPr>
                <w:spacing w:val="-2"/>
              </w:rPr>
              <w:t>(ne)kvalifikovaných manuálních činností). Desetina zaměstnanců pobírala hrubou měsíční mzdu nad 12</w:t>
            </w:r>
            <w:r w:rsidR="00D82A1E" w:rsidRPr="00257FB1">
              <w:rPr>
                <w:spacing w:val="-2"/>
              </w:rPr>
              <w:t>7</w:t>
            </w:r>
            <w:r w:rsidR="00D82A1E">
              <w:rPr>
                <w:spacing w:val="-2"/>
              </w:rPr>
              <w:t> </w:t>
            </w:r>
            <w:r w:rsidRPr="00257FB1">
              <w:rPr>
                <w:spacing w:val="-2"/>
              </w:rPr>
              <w:t xml:space="preserve">tis. korun, téměř čtvrtina ale také mzdu nepřevyšující průměr </w:t>
            </w:r>
            <w:r w:rsidR="00BC7833" w:rsidRPr="00257FB1">
              <w:rPr>
                <w:spacing w:val="-2"/>
              </w:rPr>
              <w:t>v</w:t>
            </w:r>
            <w:r w:rsidR="00BC7833">
              <w:rPr>
                <w:spacing w:val="-2"/>
              </w:rPr>
              <w:t> </w:t>
            </w:r>
            <w:r w:rsidRPr="00257FB1">
              <w:rPr>
                <w:spacing w:val="-2"/>
              </w:rPr>
              <w:t>celé ekonomice</w:t>
            </w:r>
            <w:r w:rsidRPr="00257FB1">
              <w:rPr>
                <w:rFonts w:cs="Arial"/>
                <w:spacing w:val="-2"/>
                <w:vertAlign w:val="superscript"/>
              </w:rPr>
              <w:footnoteReference w:id="74"/>
            </w:r>
            <w:r w:rsidRPr="00257FB1">
              <w:rPr>
                <w:spacing w:val="-2"/>
              </w:rPr>
              <w:t>.</w:t>
            </w:r>
          </w:p>
        </w:tc>
      </w:tr>
      <w:tr w:rsidR="006F14C9" w14:paraId="7CB0F39A" w14:textId="77777777" w:rsidTr="00A500A7">
        <w:trPr>
          <w:trHeight w:val="145"/>
        </w:trPr>
        <w:tc>
          <w:tcPr>
            <w:tcW w:w="1976" w:type="dxa"/>
            <w:tcBorders>
              <w:top w:val="nil"/>
              <w:left w:val="nil"/>
              <w:bottom w:val="nil"/>
              <w:right w:val="nil"/>
            </w:tcBorders>
          </w:tcPr>
          <w:p w14:paraId="45D0BF2B" w14:textId="3F922965" w:rsidR="006F14C9" w:rsidRDefault="006F14C9" w:rsidP="006F14C9">
            <w:pPr>
              <w:pStyle w:val="Marginlie"/>
            </w:pPr>
            <w:r>
              <w:lastRenderedPageBreak/>
              <w:t xml:space="preserve">Výše mediánu mezd technických </w:t>
            </w:r>
            <w:r w:rsidR="00BC7833">
              <w:t>a </w:t>
            </w:r>
            <w:r>
              <w:t xml:space="preserve">odborných pracovníků zůstává dlouhodobě </w:t>
            </w:r>
            <w:r w:rsidR="00BC7833">
              <w:t>o </w:t>
            </w:r>
            <w:r>
              <w:t>šestinu nad úrovní celé ekonomiky.</w:t>
            </w:r>
          </w:p>
        </w:tc>
        <w:tc>
          <w:tcPr>
            <w:tcW w:w="277" w:type="dxa"/>
            <w:tcBorders>
              <w:top w:val="nil"/>
              <w:left w:val="nil"/>
              <w:bottom w:val="nil"/>
              <w:right w:val="nil"/>
            </w:tcBorders>
          </w:tcPr>
          <w:p w14:paraId="7442A0BF" w14:textId="77777777" w:rsidR="006F14C9" w:rsidRPr="005E4483" w:rsidRDefault="006F14C9" w:rsidP="006F14C9">
            <w:pPr>
              <w:pStyle w:val="Textpoznpodarou"/>
              <w:jc w:val="both"/>
              <w:rPr>
                <w:spacing w:val="-4"/>
              </w:rPr>
            </w:pPr>
          </w:p>
        </w:tc>
        <w:tc>
          <w:tcPr>
            <w:tcW w:w="7391" w:type="dxa"/>
            <w:tcBorders>
              <w:top w:val="nil"/>
              <w:left w:val="nil"/>
              <w:bottom w:val="nil"/>
              <w:right w:val="nil"/>
            </w:tcBorders>
          </w:tcPr>
          <w:p w14:paraId="3B1DAE35" w14:textId="6B189D7C" w:rsidR="006F14C9" w:rsidRPr="00E316A0" w:rsidRDefault="006F14C9" w:rsidP="006F14C9">
            <w:pPr>
              <w:spacing w:after="220"/>
              <w:rPr>
                <w:spacing w:val="-4"/>
              </w:rPr>
            </w:pPr>
            <w:r w:rsidRPr="00E316A0">
              <w:rPr>
                <w:spacing w:val="-4"/>
              </w:rPr>
              <w:t>Tempo růstu mezd v početně nejvýznamnější třídě klasifikace zaměstnání</w:t>
            </w:r>
            <w:r w:rsidR="0037734D">
              <w:rPr>
                <w:spacing w:val="-4"/>
              </w:rPr>
              <w:t xml:space="preserve"> – </w:t>
            </w:r>
            <w:r w:rsidRPr="00E316A0">
              <w:rPr>
                <w:spacing w:val="-4"/>
              </w:rPr>
              <w:t>techni</w:t>
            </w:r>
            <w:r w:rsidR="00F9647C">
              <w:rPr>
                <w:spacing w:val="-4"/>
              </w:rPr>
              <w:t>čtí</w:t>
            </w:r>
            <w:r w:rsidRPr="00E316A0">
              <w:rPr>
                <w:spacing w:val="-4"/>
              </w:rPr>
              <w:t xml:space="preserve"> </w:t>
            </w:r>
            <w:r w:rsidR="00BC7833" w:rsidRPr="00E316A0">
              <w:rPr>
                <w:spacing w:val="-4"/>
              </w:rPr>
              <w:t>a</w:t>
            </w:r>
            <w:r w:rsidR="00BC7833">
              <w:rPr>
                <w:spacing w:val="-4"/>
              </w:rPr>
              <w:t> </w:t>
            </w:r>
            <w:r w:rsidRPr="00E316A0">
              <w:rPr>
                <w:spacing w:val="-4"/>
              </w:rPr>
              <w:t>odborn</w:t>
            </w:r>
            <w:r w:rsidR="00F9647C">
              <w:rPr>
                <w:spacing w:val="-4"/>
              </w:rPr>
              <w:t>í</w:t>
            </w:r>
            <w:r w:rsidRPr="00E316A0">
              <w:rPr>
                <w:spacing w:val="-4"/>
              </w:rPr>
              <w:t xml:space="preserve"> pracovní</w:t>
            </w:r>
            <w:r w:rsidR="00F9647C">
              <w:rPr>
                <w:spacing w:val="-4"/>
              </w:rPr>
              <w:t>ci</w:t>
            </w:r>
            <w:r w:rsidR="0037734D">
              <w:rPr>
                <w:spacing w:val="-4"/>
              </w:rPr>
              <w:t xml:space="preserve"> – </w:t>
            </w:r>
            <w:r w:rsidRPr="00E316A0">
              <w:rPr>
                <w:spacing w:val="-4"/>
              </w:rPr>
              <w:t>se v poslední dekádě výrazně neodchylovalo o</w:t>
            </w:r>
            <w:r>
              <w:rPr>
                <w:spacing w:val="-4"/>
              </w:rPr>
              <w:t>d</w:t>
            </w:r>
            <w:r w:rsidRPr="00E316A0">
              <w:rPr>
                <w:spacing w:val="-4"/>
              </w:rPr>
              <w:t xml:space="preserve"> dynamiky v celé ekonomice. V rámci této třídy se loni výdělky zvýšily nejvíce pracovníků</w:t>
            </w:r>
            <w:r>
              <w:rPr>
                <w:spacing w:val="-4"/>
              </w:rPr>
              <w:t>m</w:t>
            </w:r>
            <w:r w:rsidRPr="00E316A0">
              <w:rPr>
                <w:spacing w:val="-4"/>
              </w:rPr>
              <w:t xml:space="preserve"> v oblasti zdravotnictví (</w:t>
            </w:r>
            <w:r w:rsidR="00BC7833" w:rsidRPr="00E316A0">
              <w:rPr>
                <w:spacing w:val="-4"/>
              </w:rPr>
              <w:t>o</w:t>
            </w:r>
            <w:r w:rsidR="00BC7833">
              <w:rPr>
                <w:spacing w:val="-4"/>
              </w:rPr>
              <w:t> </w:t>
            </w:r>
            <w:r w:rsidRPr="00E316A0">
              <w:rPr>
                <w:spacing w:val="-4"/>
              </w:rPr>
              <w:t xml:space="preserve">desetinu, šlo zejména </w:t>
            </w:r>
            <w:r w:rsidR="00BC7833" w:rsidRPr="00E316A0">
              <w:rPr>
                <w:spacing w:val="-4"/>
              </w:rPr>
              <w:t>o</w:t>
            </w:r>
            <w:r w:rsidR="00BC7833">
              <w:rPr>
                <w:spacing w:val="-4"/>
              </w:rPr>
              <w:t> </w:t>
            </w:r>
            <w:r w:rsidRPr="00E316A0">
              <w:rPr>
                <w:spacing w:val="-4"/>
              </w:rPr>
              <w:t xml:space="preserve">všeobecné sestry bez specializace) </w:t>
            </w:r>
            <w:r w:rsidR="00BC7833" w:rsidRPr="00E316A0">
              <w:rPr>
                <w:spacing w:val="-4"/>
              </w:rPr>
              <w:t>a</w:t>
            </w:r>
            <w:r w:rsidR="00BC7833">
              <w:rPr>
                <w:spacing w:val="-4"/>
              </w:rPr>
              <w:t> </w:t>
            </w:r>
            <w:r w:rsidRPr="00E316A0">
              <w:rPr>
                <w:spacing w:val="-4"/>
              </w:rPr>
              <w:t xml:space="preserve">odborným pracovníkům </w:t>
            </w:r>
            <w:r w:rsidR="00BC7833" w:rsidRPr="00E316A0">
              <w:rPr>
                <w:spacing w:val="-4"/>
              </w:rPr>
              <w:t>v</w:t>
            </w:r>
            <w:r w:rsidR="00BC7833">
              <w:rPr>
                <w:spacing w:val="-4"/>
              </w:rPr>
              <w:t> </w:t>
            </w:r>
            <w:r w:rsidRPr="00E316A0">
              <w:rPr>
                <w:spacing w:val="-4"/>
              </w:rPr>
              <w:t>oblasti sociální práce. Výše mzdového mediánu v celé třídě setrvává v poslední dekádě stabilně necelou šestinu nad úrovní celé ekonomiky (bez rozdílu mezi pohlavími). Mírně nadpoloviční většin</w:t>
            </w:r>
            <w:r>
              <w:rPr>
                <w:spacing w:val="-4"/>
              </w:rPr>
              <w:t>a zaměstnanců měla střední vzdělání</w:t>
            </w:r>
            <w:r w:rsidRPr="00E316A0">
              <w:rPr>
                <w:spacing w:val="-4"/>
              </w:rPr>
              <w:t xml:space="preserve"> s maturitou, necelá třetina </w:t>
            </w:r>
            <w:r>
              <w:rPr>
                <w:spacing w:val="-4"/>
              </w:rPr>
              <w:t>pak vzdělání</w:t>
            </w:r>
            <w:r w:rsidRPr="00E316A0">
              <w:rPr>
                <w:spacing w:val="-4"/>
              </w:rPr>
              <w:t xml:space="preserve"> na terciárním stupni.</w:t>
            </w:r>
          </w:p>
        </w:tc>
      </w:tr>
      <w:tr w:rsidR="006F14C9" w14:paraId="46BC40A7" w14:textId="77777777" w:rsidTr="00A500A7">
        <w:trPr>
          <w:trHeight w:val="145"/>
        </w:trPr>
        <w:tc>
          <w:tcPr>
            <w:tcW w:w="1976" w:type="dxa"/>
            <w:tcBorders>
              <w:top w:val="nil"/>
              <w:left w:val="nil"/>
              <w:bottom w:val="nil"/>
              <w:right w:val="nil"/>
            </w:tcBorders>
          </w:tcPr>
          <w:p w14:paraId="2B7E5EAC" w14:textId="77777777" w:rsidR="006F14C9" w:rsidRDefault="006F14C9" w:rsidP="006F14C9">
            <w:pPr>
              <w:pStyle w:val="Marginlie"/>
            </w:pPr>
            <w:r>
              <w:t xml:space="preserve">Dynamika </w:t>
            </w:r>
            <w:r w:rsidR="00BC7833">
              <w:t>i </w:t>
            </w:r>
            <w:r>
              <w:t>úroveň úřednických výdělků zůstává dlouhodobě podprůměrná.</w:t>
            </w:r>
          </w:p>
        </w:tc>
        <w:tc>
          <w:tcPr>
            <w:tcW w:w="277" w:type="dxa"/>
            <w:tcBorders>
              <w:top w:val="nil"/>
              <w:left w:val="nil"/>
              <w:bottom w:val="nil"/>
              <w:right w:val="nil"/>
            </w:tcBorders>
          </w:tcPr>
          <w:p w14:paraId="2A02AC8D" w14:textId="77777777" w:rsidR="006F14C9" w:rsidRPr="005E4483" w:rsidRDefault="006F14C9" w:rsidP="006F14C9">
            <w:pPr>
              <w:pStyle w:val="Textpoznpodarou"/>
              <w:jc w:val="both"/>
              <w:rPr>
                <w:spacing w:val="-4"/>
              </w:rPr>
            </w:pPr>
          </w:p>
        </w:tc>
        <w:tc>
          <w:tcPr>
            <w:tcW w:w="7391" w:type="dxa"/>
            <w:tcBorders>
              <w:top w:val="nil"/>
              <w:left w:val="nil"/>
              <w:bottom w:val="nil"/>
              <w:right w:val="nil"/>
            </w:tcBorders>
          </w:tcPr>
          <w:p w14:paraId="43A25C50" w14:textId="77777777" w:rsidR="006F14C9" w:rsidRPr="00E12C96" w:rsidRDefault="006F14C9" w:rsidP="006F14C9">
            <w:pPr>
              <w:spacing w:after="220"/>
              <w:rPr>
                <w:spacing w:val="-4"/>
              </w:rPr>
            </w:pPr>
            <w:r w:rsidRPr="00E12C96">
              <w:rPr>
                <w:spacing w:val="-4"/>
              </w:rPr>
              <w:t>Dynamika mzdové</w:t>
            </w:r>
            <w:r>
              <w:rPr>
                <w:spacing w:val="-4"/>
              </w:rPr>
              <w:t>ho</w:t>
            </w:r>
            <w:r w:rsidRPr="00E12C96">
              <w:rPr>
                <w:spacing w:val="-4"/>
              </w:rPr>
              <w:t xml:space="preserve"> růstu ve třídě úředníků</w:t>
            </w:r>
            <w:r w:rsidRPr="00E12C96">
              <w:rPr>
                <w:rFonts w:cs="Arial"/>
                <w:spacing w:val="-4"/>
                <w:vertAlign w:val="superscript"/>
              </w:rPr>
              <w:footnoteReference w:id="75"/>
            </w:r>
            <w:r w:rsidRPr="00E12C96">
              <w:rPr>
                <w:spacing w:val="-4"/>
              </w:rPr>
              <w:t xml:space="preserve"> v posledních sedmi letech vždy za tem</w:t>
            </w:r>
            <w:r>
              <w:rPr>
                <w:spacing w:val="-4"/>
              </w:rPr>
              <w:t>py v celé ekonomice zaostala (po většinu</w:t>
            </w:r>
            <w:r w:rsidRPr="00E12C96">
              <w:rPr>
                <w:spacing w:val="-4"/>
              </w:rPr>
              <w:t xml:space="preserve"> tohoto období byla dokonce v rámci hlavních tříd zaměstnání nejslabší). Výdělky úředníků</w:t>
            </w:r>
            <w:r>
              <w:rPr>
                <w:spacing w:val="-4"/>
              </w:rPr>
              <w:t>, jež</w:t>
            </w:r>
            <w:r w:rsidRPr="00E12C96">
              <w:rPr>
                <w:spacing w:val="-4"/>
              </w:rPr>
              <w:t xml:space="preserve"> se vyznačují relativně nízkou variabilitou,  zaostávaly za úrovní v národním hospodářstv</w:t>
            </w:r>
            <w:r>
              <w:rPr>
                <w:spacing w:val="-4"/>
              </w:rPr>
              <w:t>í o 12</w:t>
            </w:r>
            <w:r w:rsidR="006454CC">
              <w:rPr>
                <w:spacing w:val="-4"/>
              </w:rPr>
              <w:t> %</w:t>
            </w:r>
            <w:r>
              <w:rPr>
                <w:spacing w:val="-4"/>
              </w:rPr>
              <w:t xml:space="preserve">, v roce 2011 </w:t>
            </w:r>
            <w:r w:rsidR="00BC7833">
              <w:rPr>
                <w:spacing w:val="-4"/>
              </w:rPr>
              <w:t>o </w:t>
            </w:r>
            <w:r w:rsidRPr="00E12C96">
              <w:rPr>
                <w:spacing w:val="-4"/>
              </w:rPr>
              <w:t>6</w:t>
            </w:r>
            <w:r w:rsidR="006454CC">
              <w:rPr>
                <w:spacing w:val="-4"/>
              </w:rPr>
              <w:t> %</w:t>
            </w:r>
            <w:r w:rsidRPr="00E12C96">
              <w:rPr>
                <w:spacing w:val="-4"/>
              </w:rPr>
              <w:t>. Více než tři čtvrtiny úředníků tvoří dlouhodobě ženy.</w:t>
            </w:r>
            <w:r>
              <w:rPr>
                <w:spacing w:val="-4"/>
              </w:rPr>
              <w:t xml:space="preserve"> Byť</w:t>
            </w:r>
            <w:r w:rsidRPr="00E12C96">
              <w:rPr>
                <w:spacing w:val="-4"/>
              </w:rPr>
              <w:t xml:space="preserve"> většina zaměstn</w:t>
            </w:r>
            <w:r>
              <w:rPr>
                <w:spacing w:val="-4"/>
              </w:rPr>
              <w:t>ání této třídy zahrnuje vysoký</w:t>
            </w:r>
            <w:r w:rsidRPr="00E12C96">
              <w:rPr>
                <w:spacing w:val="-4"/>
              </w:rPr>
              <w:t xml:space="preserve"> podíl rutinních činnost</w:t>
            </w:r>
            <w:r>
              <w:rPr>
                <w:spacing w:val="-4"/>
              </w:rPr>
              <w:t>í, počet zaměstnaných</w:t>
            </w:r>
            <w:r w:rsidRPr="00E12C96">
              <w:rPr>
                <w:spacing w:val="-4"/>
              </w:rPr>
              <w:t xml:space="preserve"> </w:t>
            </w:r>
            <w:r>
              <w:rPr>
                <w:spacing w:val="-4"/>
              </w:rPr>
              <w:t xml:space="preserve">zde </w:t>
            </w:r>
            <w:r w:rsidRPr="00E12C96">
              <w:rPr>
                <w:spacing w:val="-4"/>
              </w:rPr>
              <w:t>dlouhodobě mírně roste</w:t>
            </w:r>
            <w:r w:rsidRPr="00E12C96">
              <w:rPr>
                <w:rFonts w:cs="Arial"/>
                <w:spacing w:val="-4"/>
                <w:vertAlign w:val="superscript"/>
              </w:rPr>
              <w:footnoteReference w:id="76"/>
            </w:r>
            <w:r w:rsidRPr="00E12C96">
              <w:rPr>
                <w:spacing w:val="-4"/>
              </w:rPr>
              <w:t>.</w:t>
            </w:r>
          </w:p>
        </w:tc>
      </w:tr>
      <w:tr w:rsidR="006F14C9" w14:paraId="5078A138" w14:textId="77777777" w:rsidTr="00A500A7">
        <w:trPr>
          <w:trHeight w:val="145"/>
        </w:trPr>
        <w:tc>
          <w:tcPr>
            <w:tcW w:w="1976" w:type="dxa"/>
            <w:tcBorders>
              <w:top w:val="nil"/>
              <w:left w:val="nil"/>
              <w:bottom w:val="nil"/>
              <w:right w:val="nil"/>
            </w:tcBorders>
          </w:tcPr>
          <w:p w14:paraId="3F092D78" w14:textId="1B4C2359" w:rsidR="006F14C9" w:rsidRDefault="006F14C9" w:rsidP="006F14C9">
            <w:pPr>
              <w:pStyle w:val="Marginlie"/>
            </w:pPr>
            <w:r>
              <w:t>Nejslabší tempo mzdového růstu měli loni kvalifikovaní pracovníci v primárním sektoru.</w:t>
            </w:r>
          </w:p>
        </w:tc>
        <w:tc>
          <w:tcPr>
            <w:tcW w:w="277" w:type="dxa"/>
            <w:tcBorders>
              <w:top w:val="nil"/>
              <w:left w:val="nil"/>
              <w:bottom w:val="nil"/>
              <w:right w:val="nil"/>
            </w:tcBorders>
          </w:tcPr>
          <w:p w14:paraId="5E223686" w14:textId="77777777" w:rsidR="006F14C9" w:rsidRPr="005E4483" w:rsidRDefault="006F14C9" w:rsidP="006F14C9">
            <w:pPr>
              <w:pStyle w:val="Textpoznpodarou"/>
              <w:jc w:val="both"/>
              <w:rPr>
                <w:spacing w:val="-4"/>
              </w:rPr>
            </w:pPr>
          </w:p>
        </w:tc>
        <w:tc>
          <w:tcPr>
            <w:tcW w:w="7391" w:type="dxa"/>
            <w:tcBorders>
              <w:top w:val="nil"/>
              <w:left w:val="nil"/>
              <w:bottom w:val="nil"/>
              <w:right w:val="nil"/>
            </w:tcBorders>
          </w:tcPr>
          <w:p w14:paraId="61929C07" w14:textId="52F4D650" w:rsidR="006F14C9" w:rsidRPr="00E316A0" w:rsidRDefault="006F14C9" w:rsidP="006F14C9">
            <w:pPr>
              <w:spacing w:after="220"/>
              <w:rPr>
                <w:spacing w:val="-4"/>
              </w:rPr>
            </w:pPr>
            <w:r>
              <w:rPr>
                <w:spacing w:val="-4"/>
              </w:rPr>
              <w:t xml:space="preserve">Nepočetná </w:t>
            </w:r>
            <w:r w:rsidR="00BC7833">
              <w:rPr>
                <w:spacing w:val="-4"/>
              </w:rPr>
              <w:t>a </w:t>
            </w:r>
            <w:r>
              <w:rPr>
                <w:spacing w:val="-4"/>
              </w:rPr>
              <w:t xml:space="preserve">dlouhodobě velikostně stagnující skupina kvalifikovaných pracovníků v zemědělství, lesnictví </w:t>
            </w:r>
            <w:r w:rsidR="00BC7833">
              <w:rPr>
                <w:spacing w:val="-4"/>
              </w:rPr>
              <w:t>a </w:t>
            </w:r>
            <w:r>
              <w:rPr>
                <w:spacing w:val="-4"/>
              </w:rPr>
              <w:t>rybářství představovala jedinou zaměstnaneckou třídu, v níž nebyl od konce poslední recese patrný trend sílící dynamiky mezd. Jejich meziroční tempo bylo v posledních čtyřech letech podprůměrné</w:t>
            </w:r>
            <w:r w:rsidR="00061F73">
              <w:rPr>
                <w:spacing w:val="-4"/>
              </w:rPr>
              <w:t>,</w:t>
            </w:r>
            <w:r>
              <w:rPr>
                <w:spacing w:val="-4"/>
              </w:rPr>
              <w:t xml:space="preserve"> </w:t>
            </w:r>
            <w:r w:rsidR="00BC7833">
              <w:rPr>
                <w:spacing w:val="-4"/>
              </w:rPr>
              <w:t>a </w:t>
            </w:r>
            <w:r>
              <w:rPr>
                <w:spacing w:val="-4"/>
              </w:rPr>
              <w:t>loni dokonce nejslabší ze všech hlavních tříd zaměstnání (+4,4</w:t>
            </w:r>
            <w:r w:rsidR="006454CC">
              <w:rPr>
                <w:spacing w:val="-4"/>
              </w:rPr>
              <w:t> %</w:t>
            </w:r>
            <w:r>
              <w:rPr>
                <w:spacing w:val="-4"/>
              </w:rPr>
              <w:t xml:space="preserve">). Výše mzdového mediánu se nacházela téměř čtvrtinu pod úrovní celé ekonomiky </w:t>
            </w:r>
            <w:r w:rsidR="00BC7833">
              <w:rPr>
                <w:spacing w:val="-4"/>
              </w:rPr>
              <w:t>a </w:t>
            </w:r>
            <w:r>
              <w:rPr>
                <w:spacing w:val="-4"/>
              </w:rPr>
              <w:t>odpovídala nižší kvalifikační skladbě zaměstnanců (výrazná převaha vyučených bez maturity).</w:t>
            </w:r>
          </w:p>
        </w:tc>
      </w:tr>
      <w:tr w:rsidR="006F14C9" w14:paraId="234FD1EB" w14:textId="77777777" w:rsidTr="00A500A7">
        <w:trPr>
          <w:trHeight w:val="145"/>
        </w:trPr>
        <w:tc>
          <w:tcPr>
            <w:tcW w:w="1976" w:type="dxa"/>
            <w:tcBorders>
              <w:top w:val="nil"/>
              <w:left w:val="nil"/>
              <w:bottom w:val="nil"/>
              <w:right w:val="nil"/>
            </w:tcBorders>
          </w:tcPr>
          <w:p w14:paraId="3ECDB1AB" w14:textId="15CE91C2" w:rsidR="006F14C9" w:rsidRDefault="006F14C9" w:rsidP="006F14C9">
            <w:pPr>
              <w:pStyle w:val="Marginlie"/>
            </w:pPr>
            <w:r>
              <w:t>Medián mezd v ostatních třídách kvalifikovaných manuálních pracovníků zůstává dlouhodobě těsně pod úrovní celé ekonomiky.</w:t>
            </w:r>
          </w:p>
        </w:tc>
        <w:tc>
          <w:tcPr>
            <w:tcW w:w="277" w:type="dxa"/>
            <w:tcBorders>
              <w:top w:val="nil"/>
              <w:left w:val="nil"/>
              <w:bottom w:val="nil"/>
              <w:right w:val="nil"/>
            </w:tcBorders>
          </w:tcPr>
          <w:p w14:paraId="7425BC2B" w14:textId="77777777" w:rsidR="006F14C9" w:rsidRPr="005E4483" w:rsidRDefault="006F14C9" w:rsidP="006F14C9">
            <w:pPr>
              <w:pStyle w:val="Textpoznpodarou"/>
              <w:jc w:val="both"/>
              <w:rPr>
                <w:spacing w:val="-4"/>
              </w:rPr>
            </w:pPr>
          </w:p>
        </w:tc>
        <w:tc>
          <w:tcPr>
            <w:tcW w:w="7391" w:type="dxa"/>
            <w:tcBorders>
              <w:top w:val="nil"/>
              <w:left w:val="nil"/>
              <w:bottom w:val="nil"/>
              <w:right w:val="nil"/>
            </w:tcBorders>
          </w:tcPr>
          <w:p w14:paraId="66B0AFA9" w14:textId="4EF739EE" w:rsidR="006F14C9" w:rsidRPr="00CD2028" w:rsidRDefault="006F14C9" w:rsidP="006F14C9">
            <w:pPr>
              <w:spacing w:after="220"/>
              <w:rPr>
                <w:spacing w:val="-4"/>
              </w:rPr>
            </w:pPr>
            <w:r>
              <w:rPr>
                <w:spacing w:val="-4"/>
              </w:rPr>
              <w:t>Dvě zbývající třídy zahrnující převážně kvalifikované manuální činnosti (</w:t>
            </w:r>
            <w:r w:rsidR="008A4C18">
              <w:rPr>
                <w:spacing w:val="-4"/>
              </w:rPr>
              <w:t xml:space="preserve">řemeslníci </w:t>
            </w:r>
            <w:r>
              <w:rPr>
                <w:spacing w:val="-4"/>
              </w:rPr>
              <w:t>a opraváři</w:t>
            </w:r>
            <w:r w:rsidRPr="001B219E">
              <w:rPr>
                <w:spacing w:val="-4"/>
              </w:rPr>
              <w:t xml:space="preserve">; </w:t>
            </w:r>
            <w:r w:rsidR="008A4C18">
              <w:rPr>
                <w:spacing w:val="-4"/>
              </w:rPr>
              <w:t xml:space="preserve">obsluha </w:t>
            </w:r>
            <w:r>
              <w:rPr>
                <w:spacing w:val="-4"/>
              </w:rPr>
              <w:t xml:space="preserve">strojů </w:t>
            </w:r>
            <w:r w:rsidR="00BC7833">
              <w:rPr>
                <w:spacing w:val="-4"/>
              </w:rPr>
              <w:t>a </w:t>
            </w:r>
            <w:r>
              <w:rPr>
                <w:spacing w:val="-4"/>
              </w:rPr>
              <w:t xml:space="preserve">zařízení) vykazují značné podobnosti z hlediska úrovně mezd, jejich dynamiky, nízké celkové variability </w:t>
            </w:r>
            <w:r w:rsidR="00BC7833">
              <w:rPr>
                <w:spacing w:val="-4"/>
              </w:rPr>
              <w:t>a </w:t>
            </w:r>
            <w:r>
              <w:rPr>
                <w:spacing w:val="-4"/>
              </w:rPr>
              <w:t xml:space="preserve">také početnosti </w:t>
            </w:r>
            <w:r w:rsidR="00BC7833">
              <w:rPr>
                <w:spacing w:val="-4"/>
              </w:rPr>
              <w:t>i </w:t>
            </w:r>
            <w:r>
              <w:rPr>
                <w:spacing w:val="-4"/>
              </w:rPr>
              <w:t>vzdělanostní skladby zaměstnanců</w:t>
            </w:r>
            <w:r w:rsidRPr="00E12C96">
              <w:rPr>
                <w:rFonts w:cs="Arial"/>
                <w:spacing w:val="-4"/>
                <w:vertAlign w:val="superscript"/>
              </w:rPr>
              <w:footnoteReference w:id="77"/>
            </w:r>
            <w:r>
              <w:rPr>
                <w:spacing w:val="-4"/>
              </w:rPr>
              <w:t xml:space="preserve">. Medián mezd zde v letech 2017 </w:t>
            </w:r>
            <w:r w:rsidR="003557D2">
              <w:rPr>
                <w:spacing w:val="-4"/>
              </w:rPr>
              <w:t>a</w:t>
            </w:r>
            <w:r w:rsidR="00BC7833">
              <w:rPr>
                <w:spacing w:val="-4"/>
              </w:rPr>
              <w:t> </w:t>
            </w:r>
            <w:r>
              <w:rPr>
                <w:spacing w:val="-4"/>
              </w:rPr>
              <w:t>2018 rostl tempy okolo 8</w:t>
            </w:r>
            <w:r w:rsidR="006454CC">
              <w:rPr>
                <w:spacing w:val="-4"/>
              </w:rPr>
              <w:t> %</w:t>
            </w:r>
            <w:r>
              <w:rPr>
                <w:spacing w:val="-4"/>
              </w:rPr>
              <w:t>. Na úrovni zaměstnaneckých skupin se nejvíce dařilo m</w:t>
            </w:r>
            <w:r w:rsidRPr="007F4C54">
              <w:rPr>
                <w:spacing w:val="-4"/>
              </w:rPr>
              <w:t>ontážní</w:t>
            </w:r>
            <w:r>
              <w:rPr>
                <w:spacing w:val="-4"/>
              </w:rPr>
              <w:t>m dělníkům</w:t>
            </w:r>
            <w:r w:rsidRPr="007F4C54">
              <w:rPr>
                <w:spacing w:val="-4"/>
              </w:rPr>
              <w:t xml:space="preserve"> výrobků </w:t>
            </w:r>
            <w:r w:rsidR="00BC7833" w:rsidRPr="007F4C54">
              <w:rPr>
                <w:spacing w:val="-4"/>
              </w:rPr>
              <w:t>a</w:t>
            </w:r>
            <w:r w:rsidR="00BC7833">
              <w:rPr>
                <w:spacing w:val="-4"/>
              </w:rPr>
              <w:t> </w:t>
            </w:r>
            <w:r w:rsidRPr="007F4C54">
              <w:rPr>
                <w:spacing w:val="-4"/>
              </w:rPr>
              <w:t>zařízení</w:t>
            </w:r>
            <w:r>
              <w:rPr>
                <w:spacing w:val="-4"/>
              </w:rPr>
              <w:t xml:space="preserve"> a také zpracovatelům</w:t>
            </w:r>
            <w:r w:rsidRPr="007F4C54">
              <w:rPr>
                <w:spacing w:val="-4"/>
              </w:rPr>
              <w:t xml:space="preserve"> potravin,</w:t>
            </w:r>
            <w:r>
              <w:rPr>
                <w:spacing w:val="-4"/>
              </w:rPr>
              <w:t xml:space="preserve"> dřeva </w:t>
            </w:r>
            <w:r w:rsidR="00BC7833">
              <w:rPr>
                <w:spacing w:val="-4"/>
              </w:rPr>
              <w:t>a </w:t>
            </w:r>
            <w:r w:rsidRPr="007F4C54">
              <w:rPr>
                <w:spacing w:val="-4"/>
              </w:rPr>
              <w:t>textilu</w:t>
            </w:r>
            <w:r>
              <w:rPr>
                <w:spacing w:val="-4"/>
              </w:rPr>
              <w:t>. Výše mezd se v roce 2018 nacházela mírně přes 5</w:t>
            </w:r>
            <w:r w:rsidR="006454CC">
              <w:rPr>
                <w:spacing w:val="-4"/>
              </w:rPr>
              <w:t> %</w:t>
            </w:r>
            <w:r>
              <w:rPr>
                <w:spacing w:val="-4"/>
              </w:rPr>
              <w:t xml:space="preserve"> pod úrovní národního hospodářství, za poslední dekádu se tento </w:t>
            </w:r>
            <w:r w:rsidR="003A69A0">
              <w:rPr>
                <w:spacing w:val="-4"/>
              </w:rPr>
              <w:t>od</w:t>
            </w:r>
            <w:r>
              <w:rPr>
                <w:spacing w:val="-4"/>
              </w:rPr>
              <w:t>stup prakticky nezměnil.</w:t>
            </w:r>
          </w:p>
        </w:tc>
      </w:tr>
      <w:tr w:rsidR="006F14C9" w14:paraId="6C8EEEC3" w14:textId="77777777" w:rsidTr="00A500A7">
        <w:trPr>
          <w:trHeight w:val="145"/>
        </w:trPr>
        <w:tc>
          <w:tcPr>
            <w:tcW w:w="1976" w:type="dxa"/>
            <w:tcBorders>
              <w:top w:val="nil"/>
              <w:left w:val="nil"/>
              <w:bottom w:val="nil"/>
              <w:right w:val="nil"/>
            </w:tcBorders>
          </w:tcPr>
          <w:p w14:paraId="4834F0F3" w14:textId="2EAA06C3" w:rsidR="006F14C9" w:rsidRPr="009448CC" w:rsidRDefault="006F14C9" w:rsidP="006F14C9">
            <w:pPr>
              <w:pStyle w:val="Marginlie"/>
              <w:rPr>
                <w:spacing w:val="-10"/>
              </w:rPr>
            </w:pPr>
            <w:r w:rsidRPr="009603E2">
              <w:lastRenderedPageBreak/>
              <w:t xml:space="preserve">Loňské tempo růstu mezd pomocných a nekvalifikovaných pracovníků bylo nejslabší </w:t>
            </w:r>
            <w:r w:rsidR="003557D2">
              <w:br/>
            </w:r>
            <w:r w:rsidRPr="009603E2">
              <w:t>za poslední tři roky. K</w:t>
            </w:r>
            <w:r w:rsidR="003A69A0">
              <w:t>ro</w:t>
            </w:r>
            <w:r w:rsidRPr="009603E2">
              <w:t xml:space="preserve">mě efektu minimální mzdy se projevoval </w:t>
            </w:r>
            <w:r w:rsidR="00BC7833" w:rsidRPr="009603E2">
              <w:t>i</w:t>
            </w:r>
            <w:r w:rsidR="00BC7833">
              <w:t> </w:t>
            </w:r>
            <w:r w:rsidRPr="009603E2">
              <w:t>efekt přílivu levné pracovní síly ze zahraničí</w:t>
            </w:r>
            <w:r w:rsidRPr="009448CC">
              <w:rPr>
                <w:spacing w:val="-10"/>
              </w:rPr>
              <w:t>.</w:t>
            </w:r>
          </w:p>
        </w:tc>
        <w:tc>
          <w:tcPr>
            <w:tcW w:w="277" w:type="dxa"/>
            <w:tcBorders>
              <w:top w:val="nil"/>
              <w:left w:val="nil"/>
              <w:bottom w:val="nil"/>
              <w:right w:val="nil"/>
            </w:tcBorders>
          </w:tcPr>
          <w:p w14:paraId="320C662E" w14:textId="77777777" w:rsidR="006F14C9" w:rsidRPr="005E4483" w:rsidRDefault="006F14C9" w:rsidP="006F14C9">
            <w:pPr>
              <w:pStyle w:val="Textpoznpodarou"/>
              <w:jc w:val="both"/>
              <w:rPr>
                <w:spacing w:val="-4"/>
              </w:rPr>
            </w:pPr>
          </w:p>
        </w:tc>
        <w:tc>
          <w:tcPr>
            <w:tcW w:w="7391" w:type="dxa"/>
            <w:tcBorders>
              <w:top w:val="nil"/>
              <w:left w:val="nil"/>
              <w:bottom w:val="nil"/>
              <w:right w:val="nil"/>
            </w:tcBorders>
          </w:tcPr>
          <w:p w14:paraId="20B8CCA1" w14:textId="3E07D38C" w:rsidR="006F14C9" w:rsidRPr="00CD2028" w:rsidRDefault="006F14C9" w:rsidP="006F14C9">
            <w:pPr>
              <w:spacing w:after="220"/>
              <w:rPr>
                <w:spacing w:val="-4"/>
              </w:rPr>
            </w:pPr>
            <w:r>
              <w:rPr>
                <w:spacing w:val="-4"/>
              </w:rPr>
              <w:t xml:space="preserve">Medián mzdy ve třídě pomocných </w:t>
            </w:r>
            <w:r w:rsidR="00BC7833">
              <w:rPr>
                <w:spacing w:val="-4"/>
              </w:rPr>
              <w:t>a </w:t>
            </w:r>
            <w:r>
              <w:rPr>
                <w:spacing w:val="-4"/>
              </w:rPr>
              <w:t>nekvalifikovaných pracovníků vzrostl v roce 2018 o 6,6</w:t>
            </w:r>
            <w:r w:rsidR="006454CC">
              <w:rPr>
                <w:spacing w:val="-4"/>
              </w:rPr>
              <w:t> %</w:t>
            </w:r>
            <w:r>
              <w:rPr>
                <w:spacing w:val="-4"/>
              </w:rPr>
              <w:t xml:space="preserve">, nejslabším tempem za poslední tři roky. V letech 2016 </w:t>
            </w:r>
            <w:r w:rsidR="003A69A0">
              <w:rPr>
                <w:spacing w:val="-4"/>
              </w:rPr>
              <w:t>a</w:t>
            </w:r>
            <w:r w:rsidR="00BC7833">
              <w:rPr>
                <w:spacing w:val="-4"/>
              </w:rPr>
              <w:t> </w:t>
            </w:r>
            <w:r>
              <w:rPr>
                <w:spacing w:val="-4"/>
              </w:rPr>
              <w:t xml:space="preserve">2017 se do svižného tempa růstu výdělků promítalo navyšování minimální mzdy. Tento vliv působil </w:t>
            </w:r>
            <w:r w:rsidR="00BC7833">
              <w:rPr>
                <w:spacing w:val="-4"/>
              </w:rPr>
              <w:t>i </w:t>
            </w:r>
            <w:r>
              <w:rPr>
                <w:spacing w:val="-4"/>
              </w:rPr>
              <w:t xml:space="preserve">loni, ve vykázané výši mezd se patrně projevil méně. Jednou z příčin může být zpomalení hospodářského růstu, které na trhu práce mezi prvními obvykle pocítí nejméně kvalifikovaní zaměstnanci. Nicméně poptávka po nich zůstala </w:t>
            </w:r>
            <w:r w:rsidR="00BC7833">
              <w:rPr>
                <w:spacing w:val="-4"/>
              </w:rPr>
              <w:t>i </w:t>
            </w:r>
            <w:r>
              <w:rPr>
                <w:spacing w:val="-4"/>
              </w:rPr>
              <w:t xml:space="preserve">loni </w:t>
            </w:r>
            <w:r w:rsidR="00BC7833">
              <w:rPr>
                <w:spacing w:val="-4"/>
              </w:rPr>
              <w:t>v </w:t>
            </w:r>
            <w:r>
              <w:rPr>
                <w:spacing w:val="-4"/>
              </w:rPr>
              <w:t xml:space="preserve">tuzemské ekonomice silná </w:t>
            </w:r>
            <w:r w:rsidR="00BC7833">
              <w:rPr>
                <w:spacing w:val="-4"/>
              </w:rPr>
              <w:t>a </w:t>
            </w:r>
            <w:r>
              <w:rPr>
                <w:spacing w:val="-4"/>
              </w:rPr>
              <w:t xml:space="preserve">počet těchto pracovníků vykazoval již šest let mírně rostoucí trend, zejména </w:t>
            </w:r>
            <w:r w:rsidR="00BC7833">
              <w:rPr>
                <w:spacing w:val="-4"/>
              </w:rPr>
              <w:t>u </w:t>
            </w:r>
            <w:r>
              <w:rPr>
                <w:spacing w:val="-4"/>
              </w:rPr>
              <w:t>žen. Proti silnějšímu růstu mezd v této třídě zřejmě působila sílící pracovní migrace (zejména ze zemí mimo</w:t>
            </w:r>
            <w:r w:rsidR="003A69A0">
              <w:rPr>
                <w:spacing w:val="-4"/>
              </w:rPr>
              <w:t> </w:t>
            </w:r>
            <w:r>
              <w:rPr>
                <w:spacing w:val="-4"/>
              </w:rPr>
              <w:t>EU)</w:t>
            </w:r>
            <w:r w:rsidRPr="00E12C96">
              <w:rPr>
                <w:rFonts w:cs="Arial"/>
                <w:spacing w:val="-4"/>
                <w:vertAlign w:val="superscript"/>
              </w:rPr>
              <w:t xml:space="preserve"> </w:t>
            </w:r>
            <w:r w:rsidRPr="00E12C96">
              <w:rPr>
                <w:rFonts w:cs="Arial"/>
                <w:spacing w:val="-4"/>
                <w:vertAlign w:val="superscript"/>
              </w:rPr>
              <w:footnoteReference w:id="78"/>
            </w:r>
            <w:r>
              <w:rPr>
                <w:spacing w:val="-4"/>
              </w:rPr>
              <w:t>. Mzdový medián odrážel zpravidla velmi nízkou vzdělanostní úroveň v této třídě</w:t>
            </w:r>
            <w:r w:rsidRPr="00E12C96">
              <w:rPr>
                <w:rFonts w:cs="Arial"/>
                <w:spacing w:val="-4"/>
                <w:vertAlign w:val="superscript"/>
              </w:rPr>
              <w:footnoteReference w:id="79"/>
            </w:r>
            <w:r>
              <w:rPr>
                <w:spacing w:val="-4"/>
              </w:rPr>
              <w:t xml:space="preserve"> </w:t>
            </w:r>
            <w:r w:rsidR="00BC7833">
              <w:rPr>
                <w:spacing w:val="-4"/>
              </w:rPr>
              <w:t>a </w:t>
            </w:r>
            <w:r>
              <w:rPr>
                <w:spacing w:val="-4"/>
              </w:rPr>
              <w:t>dosahoval jen 61</w:t>
            </w:r>
            <w:r w:rsidR="006454CC">
              <w:rPr>
                <w:spacing w:val="-4"/>
              </w:rPr>
              <w:t> %</w:t>
            </w:r>
            <w:r>
              <w:rPr>
                <w:spacing w:val="-4"/>
              </w:rPr>
              <w:t xml:space="preserve"> výše celé ekonomiky. Za poslední dekádu se tento odstup nezměnil. Hrubou měsíční mzdu nižší než 1</w:t>
            </w:r>
            <w:r w:rsidR="00D82A1E">
              <w:rPr>
                <w:spacing w:val="-4"/>
              </w:rPr>
              <w:t>5 </w:t>
            </w:r>
            <w:r>
              <w:rPr>
                <w:spacing w:val="-4"/>
              </w:rPr>
              <w:t>tis. korun pobíralo v této třídě v roce 2018 okolo 30</w:t>
            </w:r>
            <w:r w:rsidR="006454CC">
              <w:rPr>
                <w:spacing w:val="-4"/>
              </w:rPr>
              <w:t> %</w:t>
            </w:r>
            <w:r>
              <w:rPr>
                <w:spacing w:val="-4"/>
              </w:rPr>
              <w:t xml:space="preserve"> zaměstnanců </w:t>
            </w:r>
            <w:r w:rsidR="00BC7833">
              <w:rPr>
                <w:spacing w:val="-4"/>
              </w:rPr>
              <w:t>a </w:t>
            </w:r>
            <w:r>
              <w:rPr>
                <w:spacing w:val="-4"/>
              </w:rPr>
              <w:t>jen necelých 5</w:t>
            </w:r>
            <w:r w:rsidR="006454CC">
              <w:rPr>
                <w:spacing w:val="-4"/>
              </w:rPr>
              <w:t> %</w:t>
            </w:r>
            <w:r>
              <w:rPr>
                <w:spacing w:val="-4"/>
              </w:rPr>
              <w:t xml:space="preserve"> bylo odměněno mzdou převyšující průměr v celé ekonomice </w:t>
            </w:r>
            <w:r w:rsidRPr="000A0030">
              <w:rPr>
                <w:spacing w:val="-4"/>
              </w:rPr>
              <w:t xml:space="preserve">Na úrovni zaměstnaneckých skupin dosahovali nejnižších průměrných výdělků uklízeči </w:t>
            </w:r>
            <w:r w:rsidR="00BC7833" w:rsidRPr="000A0030">
              <w:rPr>
                <w:spacing w:val="-4"/>
              </w:rPr>
              <w:t>a</w:t>
            </w:r>
            <w:r w:rsidR="00BC7833">
              <w:rPr>
                <w:spacing w:val="-4"/>
              </w:rPr>
              <w:t> </w:t>
            </w:r>
            <w:r w:rsidRPr="000A0030">
              <w:rPr>
                <w:spacing w:val="-4"/>
              </w:rPr>
              <w:t>pomocníci (16,</w:t>
            </w:r>
            <w:r w:rsidR="00D82A1E" w:rsidRPr="000A0030">
              <w:rPr>
                <w:spacing w:val="-4"/>
              </w:rPr>
              <w:t>3</w:t>
            </w:r>
            <w:r w:rsidR="00D82A1E">
              <w:rPr>
                <w:spacing w:val="-4"/>
              </w:rPr>
              <w:t> </w:t>
            </w:r>
            <w:r w:rsidRPr="000A0030">
              <w:rPr>
                <w:spacing w:val="-4"/>
              </w:rPr>
              <w:t xml:space="preserve">tis. korun), </w:t>
            </w:r>
            <w:r>
              <w:rPr>
                <w:spacing w:val="-4"/>
              </w:rPr>
              <w:t xml:space="preserve">naopak </w:t>
            </w:r>
            <w:r w:rsidR="003A69A0">
              <w:rPr>
                <w:spacing w:val="-4"/>
              </w:rPr>
              <w:t>nejvyšších</w:t>
            </w:r>
            <w:r w:rsidR="003A69A0" w:rsidRPr="000A0030">
              <w:rPr>
                <w:spacing w:val="-4"/>
              </w:rPr>
              <w:t xml:space="preserve"> </w:t>
            </w:r>
            <w:r w:rsidRPr="000A0030">
              <w:rPr>
                <w:spacing w:val="-4"/>
              </w:rPr>
              <w:t xml:space="preserve">pomocní pracovníci v oblasti těžby, stavebnictví, výroby </w:t>
            </w:r>
            <w:r w:rsidR="00BC7833" w:rsidRPr="000A0030">
              <w:rPr>
                <w:spacing w:val="-4"/>
              </w:rPr>
              <w:t>a</w:t>
            </w:r>
            <w:r w:rsidR="00BC7833">
              <w:rPr>
                <w:spacing w:val="-4"/>
              </w:rPr>
              <w:t> </w:t>
            </w:r>
            <w:r w:rsidRPr="000A0030">
              <w:rPr>
                <w:spacing w:val="-4"/>
              </w:rPr>
              <w:t>dopravy (22,6</w:t>
            </w:r>
            <w:r>
              <w:rPr>
                <w:spacing w:val="-4"/>
              </w:rPr>
              <w:t> </w:t>
            </w:r>
            <w:r w:rsidRPr="000A0030">
              <w:rPr>
                <w:spacing w:val="-4"/>
              </w:rPr>
              <w:t>tis. korun).</w:t>
            </w:r>
          </w:p>
        </w:tc>
      </w:tr>
      <w:tr w:rsidR="006F14C9" w14:paraId="5871F63A" w14:textId="77777777" w:rsidTr="00A500A7">
        <w:trPr>
          <w:trHeight w:val="145"/>
        </w:trPr>
        <w:tc>
          <w:tcPr>
            <w:tcW w:w="1976" w:type="dxa"/>
            <w:tcBorders>
              <w:top w:val="nil"/>
              <w:left w:val="nil"/>
              <w:bottom w:val="nil"/>
              <w:right w:val="nil"/>
            </w:tcBorders>
          </w:tcPr>
          <w:p w14:paraId="426AAA79" w14:textId="77777777" w:rsidR="006F14C9" w:rsidRDefault="006F14C9" w:rsidP="006F14C9">
            <w:pPr>
              <w:pStyle w:val="Marginlie"/>
            </w:pPr>
          </w:p>
        </w:tc>
        <w:tc>
          <w:tcPr>
            <w:tcW w:w="277" w:type="dxa"/>
            <w:tcBorders>
              <w:top w:val="nil"/>
              <w:left w:val="nil"/>
              <w:bottom w:val="nil"/>
              <w:right w:val="nil"/>
            </w:tcBorders>
          </w:tcPr>
          <w:p w14:paraId="111AB2B6" w14:textId="77777777" w:rsidR="006F14C9" w:rsidRPr="005E4483" w:rsidRDefault="006F14C9" w:rsidP="006F14C9">
            <w:pPr>
              <w:pStyle w:val="Textpoznpodarou"/>
              <w:jc w:val="both"/>
              <w:rPr>
                <w:spacing w:val="-4"/>
              </w:rPr>
            </w:pPr>
          </w:p>
        </w:tc>
        <w:tc>
          <w:tcPr>
            <w:tcW w:w="7391" w:type="dxa"/>
            <w:tcBorders>
              <w:top w:val="nil"/>
              <w:left w:val="nil"/>
              <w:bottom w:val="nil"/>
              <w:right w:val="nil"/>
            </w:tcBorders>
          </w:tcPr>
          <w:p w14:paraId="48469FEC" w14:textId="1167DCB7" w:rsidR="006F14C9" w:rsidRPr="00CD2028" w:rsidRDefault="006F14C9" w:rsidP="006F14C9">
            <w:pPr>
              <w:spacing w:after="0"/>
              <w:rPr>
                <w:spacing w:val="-4"/>
              </w:rPr>
            </w:pPr>
            <w:r>
              <w:rPr>
                <w:b/>
              </w:rPr>
              <w:t xml:space="preserve">Graf </w:t>
            </w:r>
            <w:r w:rsidR="00BA35F3">
              <w:rPr>
                <w:b/>
              </w:rPr>
              <w:t>č. </w:t>
            </w:r>
            <w:r w:rsidR="00306AD7">
              <w:rPr>
                <w:b/>
              </w:rPr>
              <w:t>2</w:t>
            </w:r>
            <w:r>
              <w:rPr>
                <w:b/>
              </w:rPr>
              <w:t>8</w:t>
            </w:r>
            <w:r w:rsidRPr="003601A5">
              <w:rPr>
                <w:b/>
              </w:rPr>
              <w:t xml:space="preserve">  </w:t>
            </w:r>
            <w:r>
              <w:rPr>
                <w:b/>
              </w:rPr>
              <w:t xml:space="preserve">Poměr průměrných mezd žen </w:t>
            </w:r>
            <w:r w:rsidR="00BC7833">
              <w:rPr>
                <w:b/>
              </w:rPr>
              <w:t>a </w:t>
            </w:r>
            <w:r>
              <w:rPr>
                <w:b/>
              </w:rPr>
              <w:t xml:space="preserve">mužů dle vybraných stupňů vzdělání v rámci hlavních kvalifikačních tříd </w:t>
            </w:r>
            <w:r w:rsidRPr="004A3E80">
              <w:t>(mzdy mužů</w:t>
            </w:r>
            <w:r>
              <w:t xml:space="preserve"> v rámci dané skupiny</w:t>
            </w:r>
            <w:r w:rsidR="00AF7180">
              <w:t xml:space="preserve"> </w:t>
            </w:r>
            <w:r w:rsidRPr="004A3E80">
              <w:t>=</w:t>
            </w:r>
            <w:r w:rsidR="00AF7180">
              <w:t xml:space="preserve"> </w:t>
            </w:r>
            <w:r w:rsidRPr="004A3E80">
              <w:t>100)</w:t>
            </w:r>
          </w:p>
        </w:tc>
      </w:tr>
      <w:tr w:rsidR="006F14C9" w14:paraId="14A23A50" w14:textId="77777777" w:rsidTr="001435B3">
        <w:tblPrEx>
          <w:tblCellMar>
            <w:left w:w="70" w:type="dxa"/>
            <w:right w:w="70" w:type="dxa"/>
          </w:tblCellMar>
        </w:tblPrEx>
        <w:trPr>
          <w:trHeight w:val="145"/>
        </w:trPr>
        <w:tc>
          <w:tcPr>
            <w:tcW w:w="1976" w:type="dxa"/>
            <w:tcBorders>
              <w:top w:val="nil"/>
              <w:left w:val="nil"/>
              <w:bottom w:val="nil"/>
              <w:right w:val="nil"/>
            </w:tcBorders>
          </w:tcPr>
          <w:p w14:paraId="26FFF294" w14:textId="77777777" w:rsidR="006F14C9" w:rsidRDefault="006F14C9" w:rsidP="006F14C9">
            <w:pPr>
              <w:pStyle w:val="Marginlie"/>
            </w:pPr>
          </w:p>
        </w:tc>
        <w:tc>
          <w:tcPr>
            <w:tcW w:w="277" w:type="dxa"/>
            <w:tcBorders>
              <w:top w:val="nil"/>
              <w:left w:val="nil"/>
              <w:bottom w:val="nil"/>
              <w:right w:val="nil"/>
            </w:tcBorders>
          </w:tcPr>
          <w:p w14:paraId="4409D3A2" w14:textId="77777777" w:rsidR="006F14C9" w:rsidRPr="005E4483" w:rsidRDefault="006F14C9" w:rsidP="006F14C9">
            <w:pPr>
              <w:pStyle w:val="Textpoznpodarou"/>
              <w:jc w:val="both"/>
              <w:rPr>
                <w:spacing w:val="-4"/>
              </w:rPr>
            </w:pPr>
          </w:p>
        </w:tc>
        <w:tc>
          <w:tcPr>
            <w:tcW w:w="7391" w:type="dxa"/>
            <w:tcBorders>
              <w:top w:val="nil"/>
              <w:left w:val="nil"/>
              <w:bottom w:val="nil"/>
              <w:right w:val="nil"/>
            </w:tcBorders>
          </w:tcPr>
          <w:p w14:paraId="4808CCB6" w14:textId="1A0E895D" w:rsidR="006F14C9" w:rsidRPr="00CD2028" w:rsidRDefault="001435B3" w:rsidP="006F14C9">
            <w:pPr>
              <w:spacing w:after="0"/>
              <w:rPr>
                <w:spacing w:val="-4"/>
              </w:rPr>
            </w:pPr>
            <w:r>
              <w:rPr>
                <w:noProof/>
              </w:rPr>
              <w:drawing>
                <wp:inline distT="0" distB="0" distL="0" distR="0" wp14:anchorId="3AB87F1D" wp14:editId="15E1B7FA">
                  <wp:extent cx="4604385" cy="3348355"/>
                  <wp:effectExtent l="0" t="0" r="5715" b="4445"/>
                  <wp:docPr id="74" name="Graf 74"/>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tc>
      </w:tr>
      <w:tr w:rsidR="006F14C9" w14:paraId="5851A2E1" w14:textId="77777777" w:rsidTr="00A500A7">
        <w:trPr>
          <w:trHeight w:val="145"/>
        </w:trPr>
        <w:tc>
          <w:tcPr>
            <w:tcW w:w="1976" w:type="dxa"/>
            <w:tcBorders>
              <w:top w:val="nil"/>
              <w:left w:val="nil"/>
              <w:bottom w:val="nil"/>
              <w:right w:val="nil"/>
            </w:tcBorders>
          </w:tcPr>
          <w:p w14:paraId="2EA3BA86" w14:textId="77777777" w:rsidR="006F14C9" w:rsidRDefault="006F14C9" w:rsidP="006F14C9">
            <w:pPr>
              <w:pStyle w:val="Marginlie"/>
            </w:pPr>
          </w:p>
        </w:tc>
        <w:tc>
          <w:tcPr>
            <w:tcW w:w="277" w:type="dxa"/>
            <w:tcBorders>
              <w:top w:val="nil"/>
              <w:left w:val="nil"/>
              <w:bottom w:val="nil"/>
              <w:right w:val="nil"/>
            </w:tcBorders>
          </w:tcPr>
          <w:p w14:paraId="5A3767A4" w14:textId="77777777" w:rsidR="006F14C9" w:rsidRPr="005E4483" w:rsidRDefault="006F14C9" w:rsidP="006F14C9">
            <w:pPr>
              <w:pStyle w:val="Textpoznpodarou"/>
              <w:jc w:val="both"/>
              <w:rPr>
                <w:spacing w:val="-4"/>
              </w:rPr>
            </w:pPr>
          </w:p>
        </w:tc>
        <w:tc>
          <w:tcPr>
            <w:tcW w:w="7391" w:type="dxa"/>
            <w:tcBorders>
              <w:top w:val="nil"/>
              <w:left w:val="nil"/>
              <w:bottom w:val="nil"/>
              <w:right w:val="nil"/>
            </w:tcBorders>
          </w:tcPr>
          <w:p w14:paraId="1A8FEAED" w14:textId="01F3BA72" w:rsidR="006F14C9" w:rsidRDefault="006F14C9" w:rsidP="006F14C9">
            <w:pPr>
              <w:spacing w:after="0"/>
              <w:rPr>
                <w:rFonts w:cs="Arial"/>
                <w:sz w:val="14"/>
                <w:szCs w:val="14"/>
              </w:rPr>
            </w:pPr>
            <w:r>
              <w:rPr>
                <w:rFonts w:cs="Arial"/>
                <w:sz w:val="14"/>
                <w:szCs w:val="14"/>
              </w:rPr>
              <w:t>Pozn</w:t>
            </w:r>
            <w:r w:rsidR="00AF7180">
              <w:rPr>
                <w:rFonts w:cs="Arial"/>
                <w:sz w:val="14"/>
                <w:szCs w:val="14"/>
              </w:rPr>
              <w:t>.</w:t>
            </w:r>
            <w:r>
              <w:rPr>
                <w:rFonts w:cs="Arial"/>
                <w:sz w:val="14"/>
                <w:szCs w:val="14"/>
              </w:rPr>
              <w:t>: třída</w:t>
            </w:r>
            <w:r w:rsidR="00AF7180">
              <w:rPr>
                <w:rFonts w:cs="Arial"/>
                <w:sz w:val="14"/>
                <w:szCs w:val="14"/>
              </w:rPr>
              <w:t> </w:t>
            </w:r>
            <w:r w:rsidR="00BC7833">
              <w:rPr>
                <w:rFonts w:cs="Arial"/>
                <w:sz w:val="14"/>
                <w:szCs w:val="14"/>
              </w:rPr>
              <w:t>6</w:t>
            </w:r>
            <w:r w:rsidR="00AF7180">
              <w:rPr>
                <w:rFonts w:cs="Arial"/>
                <w:sz w:val="14"/>
                <w:szCs w:val="14"/>
              </w:rPr>
              <w:t xml:space="preserve"> </w:t>
            </w:r>
            <w:r>
              <w:rPr>
                <w:rFonts w:cs="Arial"/>
                <w:sz w:val="14"/>
                <w:szCs w:val="14"/>
              </w:rPr>
              <w:t>–</w:t>
            </w:r>
            <w:r w:rsidR="00AF7180">
              <w:rPr>
                <w:rFonts w:cs="Arial"/>
                <w:sz w:val="14"/>
                <w:szCs w:val="14"/>
              </w:rPr>
              <w:t> </w:t>
            </w:r>
            <w:r w:rsidRPr="00E42E3B">
              <w:rPr>
                <w:rFonts w:cs="Arial"/>
                <w:sz w:val="14"/>
                <w:szCs w:val="14"/>
              </w:rPr>
              <w:t xml:space="preserve">Kvalifikovaní pracovníci </w:t>
            </w:r>
            <w:r w:rsidR="00BC7833" w:rsidRPr="00E42E3B">
              <w:rPr>
                <w:rFonts w:cs="Arial"/>
                <w:sz w:val="14"/>
                <w:szCs w:val="14"/>
              </w:rPr>
              <w:t>v</w:t>
            </w:r>
            <w:r w:rsidR="00BC7833">
              <w:rPr>
                <w:rFonts w:cs="Arial"/>
                <w:sz w:val="14"/>
                <w:szCs w:val="14"/>
              </w:rPr>
              <w:t> </w:t>
            </w:r>
            <w:r w:rsidRPr="00E42E3B">
              <w:rPr>
                <w:rFonts w:cs="Arial"/>
                <w:sz w:val="14"/>
                <w:szCs w:val="14"/>
              </w:rPr>
              <w:t xml:space="preserve">zemědělství, lesnictví </w:t>
            </w:r>
            <w:r w:rsidR="00BC7833" w:rsidRPr="00E42E3B">
              <w:rPr>
                <w:rFonts w:cs="Arial"/>
                <w:sz w:val="14"/>
                <w:szCs w:val="14"/>
              </w:rPr>
              <w:t>a</w:t>
            </w:r>
            <w:r w:rsidR="00BC7833">
              <w:rPr>
                <w:rFonts w:cs="Arial"/>
                <w:sz w:val="14"/>
                <w:szCs w:val="14"/>
              </w:rPr>
              <w:t> </w:t>
            </w:r>
            <w:r w:rsidRPr="00E42E3B">
              <w:rPr>
                <w:rFonts w:cs="Arial"/>
                <w:sz w:val="14"/>
                <w:szCs w:val="14"/>
              </w:rPr>
              <w:t>rybářství</w:t>
            </w:r>
            <w:r w:rsidR="00AF7180">
              <w:rPr>
                <w:rFonts w:cs="Arial"/>
                <w:sz w:val="14"/>
                <w:szCs w:val="14"/>
              </w:rPr>
              <w:t>;</w:t>
            </w:r>
            <w:r>
              <w:rPr>
                <w:rFonts w:cs="Arial"/>
                <w:sz w:val="14"/>
                <w:szCs w:val="14"/>
              </w:rPr>
              <w:t xml:space="preserve"> třída</w:t>
            </w:r>
            <w:r w:rsidR="00AF7180">
              <w:rPr>
                <w:rFonts w:cs="Arial"/>
                <w:sz w:val="14"/>
                <w:szCs w:val="14"/>
              </w:rPr>
              <w:t> </w:t>
            </w:r>
            <w:r w:rsidR="00BC7833">
              <w:rPr>
                <w:rFonts w:cs="Arial"/>
                <w:sz w:val="14"/>
                <w:szCs w:val="14"/>
              </w:rPr>
              <w:t>0</w:t>
            </w:r>
            <w:r w:rsidR="00AF7180">
              <w:rPr>
                <w:rFonts w:cs="Arial"/>
                <w:sz w:val="14"/>
                <w:szCs w:val="14"/>
              </w:rPr>
              <w:t xml:space="preserve"> </w:t>
            </w:r>
            <w:r>
              <w:rPr>
                <w:rFonts w:cs="Arial"/>
                <w:sz w:val="14"/>
                <w:szCs w:val="14"/>
              </w:rPr>
              <w:t>–</w:t>
            </w:r>
            <w:r w:rsidR="00AF7180">
              <w:rPr>
                <w:rFonts w:cs="Arial"/>
                <w:sz w:val="14"/>
                <w:szCs w:val="14"/>
              </w:rPr>
              <w:t> </w:t>
            </w:r>
            <w:r w:rsidRPr="00E42E3B">
              <w:rPr>
                <w:rFonts w:cs="Arial"/>
                <w:sz w:val="14"/>
                <w:szCs w:val="14"/>
              </w:rPr>
              <w:t xml:space="preserve">Zaměstnanci </w:t>
            </w:r>
            <w:r w:rsidR="00BC7833" w:rsidRPr="00E42E3B">
              <w:rPr>
                <w:rFonts w:cs="Arial"/>
                <w:sz w:val="14"/>
                <w:szCs w:val="14"/>
              </w:rPr>
              <w:t>v</w:t>
            </w:r>
            <w:r w:rsidR="00BC7833">
              <w:rPr>
                <w:rFonts w:cs="Arial"/>
                <w:sz w:val="14"/>
                <w:szCs w:val="14"/>
              </w:rPr>
              <w:t> </w:t>
            </w:r>
            <w:r w:rsidRPr="00E42E3B">
              <w:rPr>
                <w:rFonts w:cs="Arial"/>
                <w:sz w:val="14"/>
                <w:szCs w:val="14"/>
              </w:rPr>
              <w:t>ozbrojených silách</w:t>
            </w:r>
            <w:r>
              <w:rPr>
                <w:rFonts w:cs="Arial"/>
                <w:sz w:val="14"/>
                <w:szCs w:val="14"/>
              </w:rPr>
              <w:t>.</w:t>
            </w:r>
          </w:p>
          <w:p w14:paraId="1E34529A" w14:textId="77777777" w:rsidR="006F14C9" w:rsidRPr="00CD2028" w:rsidRDefault="006F14C9" w:rsidP="006F14C9">
            <w:pPr>
              <w:spacing w:after="220"/>
              <w:rPr>
                <w:spacing w:val="-2"/>
              </w:rPr>
            </w:pPr>
            <w:r w:rsidRPr="00444E6D">
              <w:rPr>
                <w:rFonts w:cs="Arial"/>
                <w:sz w:val="14"/>
                <w:szCs w:val="14"/>
              </w:rPr>
              <w:t xml:space="preserve">Zdroj: </w:t>
            </w:r>
            <w:r>
              <w:rPr>
                <w:rFonts w:cs="Arial"/>
                <w:sz w:val="14"/>
                <w:szCs w:val="14"/>
              </w:rPr>
              <w:t xml:space="preserve">MPSV </w:t>
            </w:r>
            <w:r w:rsidR="00BC7833">
              <w:rPr>
                <w:rFonts w:cs="Arial"/>
                <w:sz w:val="14"/>
                <w:szCs w:val="14"/>
              </w:rPr>
              <w:t>a </w:t>
            </w:r>
            <w:r>
              <w:rPr>
                <w:rFonts w:cs="Arial"/>
                <w:sz w:val="14"/>
                <w:szCs w:val="14"/>
              </w:rPr>
              <w:t>ČSÚ (Strukturální mzdová statistika)</w:t>
            </w:r>
          </w:p>
        </w:tc>
      </w:tr>
      <w:tr w:rsidR="006F14C9" w:rsidRPr="005A2E40" w14:paraId="3CFD7691" w14:textId="77777777" w:rsidTr="00A500A7">
        <w:trPr>
          <w:trHeight w:val="429"/>
        </w:trPr>
        <w:tc>
          <w:tcPr>
            <w:tcW w:w="1976" w:type="dxa"/>
            <w:tcBorders>
              <w:top w:val="nil"/>
              <w:left w:val="nil"/>
              <w:bottom w:val="nil"/>
              <w:right w:val="nil"/>
            </w:tcBorders>
          </w:tcPr>
          <w:p w14:paraId="4EE26FC6" w14:textId="77777777" w:rsidR="006F14C9" w:rsidRDefault="006F14C9" w:rsidP="006F14C9">
            <w:pPr>
              <w:pStyle w:val="Marginlie"/>
            </w:pPr>
            <w:r>
              <w:t xml:space="preserve">Nejnižší absolutní </w:t>
            </w:r>
            <w:r w:rsidR="00BC7833">
              <w:t>i </w:t>
            </w:r>
            <w:r>
              <w:t>relativní odstup mediánových mezd od mužů měly ženy ve třídě pracovníci ve službách a prodeji.</w:t>
            </w:r>
          </w:p>
          <w:p w14:paraId="5FE6D732" w14:textId="77777777" w:rsidR="006F14C9" w:rsidRDefault="006F14C9" w:rsidP="006F14C9">
            <w:pPr>
              <w:pStyle w:val="Marginlie"/>
            </w:pPr>
          </w:p>
          <w:p w14:paraId="35DA71F4" w14:textId="77777777" w:rsidR="006F14C9" w:rsidRDefault="006F14C9" w:rsidP="006F14C9">
            <w:pPr>
              <w:pStyle w:val="Marginlie"/>
            </w:pPr>
          </w:p>
          <w:p w14:paraId="185280D9" w14:textId="77777777" w:rsidR="006F14C9" w:rsidRDefault="006F14C9" w:rsidP="006F14C9">
            <w:pPr>
              <w:pStyle w:val="Marginlie"/>
            </w:pPr>
          </w:p>
          <w:p w14:paraId="3025CB31" w14:textId="77777777" w:rsidR="006F14C9" w:rsidRDefault="006F14C9" w:rsidP="006F14C9">
            <w:pPr>
              <w:pStyle w:val="Marginlie"/>
            </w:pPr>
          </w:p>
          <w:p w14:paraId="34F0DFC8" w14:textId="77777777" w:rsidR="006F14C9" w:rsidRDefault="006F14C9" w:rsidP="006F14C9">
            <w:pPr>
              <w:pStyle w:val="Marginlie"/>
            </w:pPr>
          </w:p>
          <w:p w14:paraId="17C5D25A" w14:textId="77777777" w:rsidR="006F14C9" w:rsidRPr="00106639" w:rsidRDefault="006F14C9" w:rsidP="006F14C9">
            <w:pPr>
              <w:pStyle w:val="Marginlie"/>
            </w:pPr>
            <w:r>
              <w:lastRenderedPageBreak/>
              <w:t>Konvergence výše výdělků mezi pohlavími probíhá pomalu, viditelnější byla u méně kvalifikovaných činností.</w:t>
            </w:r>
          </w:p>
        </w:tc>
        <w:tc>
          <w:tcPr>
            <w:tcW w:w="277" w:type="dxa"/>
            <w:tcBorders>
              <w:top w:val="nil"/>
              <w:left w:val="nil"/>
              <w:bottom w:val="nil"/>
              <w:right w:val="nil"/>
            </w:tcBorders>
          </w:tcPr>
          <w:p w14:paraId="1B23803E" w14:textId="77777777" w:rsidR="006F14C9" w:rsidRPr="005E4483" w:rsidRDefault="006F14C9" w:rsidP="006F14C9">
            <w:pPr>
              <w:pStyle w:val="Textpoznpodarou"/>
              <w:jc w:val="both"/>
              <w:rPr>
                <w:spacing w:val="-4"/>
              </w:rPr>
            </w:pPr>
          </w:p>
        </w:tc>
        <w:tc>
          <w:tcPr>
            <w:tcW w:w="7391" w:type="dxa"/>
            <w:tcBorders>
              <w:top w:val="nil"/>
              <w:left w:val="nil"/>
              <w:bottom w:val="nil"/>
              <w:right w:val="nil"/>
            </w:tcBorders>
          </w:tcPr>
          <w:p w14:paraId="3BFB912E" w14:textId="6D771D9B" w:rsidR="006F14C9" w:rsidRPr="003D7E4E" w:rsidRDefault="006F14C9" w:rsidP="006F14C9">
            <w:pPr>
              <w:spacing w:after="220"/>
              <w:rPr>
                <w:spacing w:val="-3"/>
              </w:rPr>
            </w:pPr>
            <w:r w:rsidRPr="00633083">
              <w:rPr>
                <w:spacing w:val="-4"/>
              </w:rPr>
              <w:t>Medián mezd žen činil v roce 2018 necelých 85</w:t>
            </w:r>
            <w:r w:rsidR="006454CC">
              <w:rPr>
                <w:spacing w:val="-4"/>
              </w:rPr>
              <w:t> %</w:t>
            </w:r>
            <w:r w:rsidRPr="00633083">
              <w:rPr>
                <w:spacing w:val="-4"/>
              </w:rPr>
              <w:t xml:space="preserve"> úrovně mužů, v absolutním vyjádření se jednalo </w:t>
            </w:r>
            <w:r w:rsidR="00BC7833" w:rsidRPr="00633083">
              <w:rPr>
                <w:spacing w:val="-4"/>
              </w:rPr>
              <w:t>o</w:t>
            </w:r>
            <w:r w:rsidR="00BC7833">
              <w:rPr>
                <w:spacing w:val="-4"/>
              </w:rPr>
              <w:t> </w:t>
            </w:r>
            <w:r w:rsidR="00D82A1E" w:rsidRPr="00633083">
              <w:rPr>
                <w:spacing w:val="-4"/>
              </w:rPr>
              <w:t>4</w:t>
            </w:r>
            <w:r w:rsidR="00D82A1E">
              <w:rPr>
                <w:spacing w:val="-4"/>
              </w:rPr>
              <w:t> </w:t>
            </w:r>
            <w:r w:rsidRPr="00633083">
              <w:rPr>
                <w:spacing w:val="-4"/>
              </w:rPr>
              <w:t>75</w:t>
            </w:r>
            <w:r w:rsidR="00D82A1E" w:rsidRPr="00633083">
              <w:rPr>
                <w:spacing w:val="-4"/>
              </w:rPr>
              <w:t>5</w:t>
            </w:r>
            <w:r w:rsidR="00D82A1E">
              <w:rPr>
                <w:spacing w:val="-4"/>
              </w:rPr>
              <w:t> </w:t>
            </w:r>
            <w:r w:rsidRPr="00633083">
              <w:rPr>
                <w:spacing w:val="-4"/>
              </w:rPr>
              <w:t>korun</w:t>
            </w:r>
            <w:r>
              <w:rPr>
                <w:spacing w:val="-4"/>
              </w:rPr>
              <w:t xml:space="preserve"> (na hrubé měsíční mzdě). V rámci hlavních tříd zaměstnání existují </w:t>
            </w:r>
            <w:r w:rsidR="008329A1">
              <w:rPr>
                <w:spacing w:val="-4"/>
              </w:rPr>
              <w:t xml:space="preserve">ve </w:t>
            </w:r>
            <w:r>
              <w:rPr>
                <w:spacing w:val="-4"/>
              </w:rPr>
              <w:t>výš</w:t>
            </w:r>
            <w:r w:rsidR="008329A1">
              <w:rPr>
                <w:spacing w:val="-4"/>
              </w:rPr>
              <w:t>i</w:t>
            </w:r>
            <w:r>
              <w:rPr>
                <w:spacing w:val="-4"/>
              </w:rPr>
              <w:t xml:space="preserve"> výdělků mezi pohlavími významnější rozdíly. Zatímco u</w:t>
            </w:r>
            <w:r w:rsidRPr="00633083">
              <w:rPr>
                <w:spacing w:val="-4"/>
              </w:rPr>
              <w:t> </w:t>
            </w:r>
            <w:r>
              <w:rPr>
                <w:spacing w:val="-4"/>
              </w:rPr>
              <w:t xml:space="preserve">pracovníků ve službách </w:t>
            </w:r>
            <w:r w:rsidR="00BC7833">
              <w:rPr>
                <w:spacing w:val="-4"/>
              </w:rPr>
              <w:t>a </w:t>
            </w:r>
            <w:r>
              <w:rPr>
                <w:spacing w:val="-4"/>
              </w:rPr>
              <w:t xml:space="preserve">prodeji (kde skoro dvě třetiny zaměstnanců tvoří ženy) dosahoval rozdíl necelých tisíc korun, v kategorii zákonodárců </w:t>
            </w:r>
            <w:r w:rsidR="00BC7833">
              <w:rPr>
                <w:spacing w:val="-4"/>
              </w:rPr>
              <w:t>a </w:t>
            </w:r>
            <w:r>
              <w:rPr>
                <w:spacing w:val="-4"/>
              </w:rPr>
              <w:t xml:space="preserve">vedoucích </w:t>
            </w:r>
            <w:r w:rsidR="00BC7833">
              <w:rPr>
                <w:spacing w:val="-4"/>
              </w:rPr>
              <w:t>a </w:t>
            </w:r>
            <w:r>
              <w:rPr>
                <w:spacing w:val="-4"/>
              </w:rPr>
              <w:t>řídí</w:t>
            </w:r>
            <w:r w:rsidR="005127B1">
              <w:rPr>
                <w:spacing w:val="-4"/>
              </w:rPr>
              <w:t>cí</w:t>
            </w:r>
            <w:r>
              <w:rPr>
                <w:spacing w:val="-4"/>
              </w:rPr>
              <w:t>ch pracovníků (kde v podobném poměru převládají muži) byl více než desetinásobný. V procentním vyjádření byl ale odstup ženských výdělků od mužských nejvyšší u pomocných a nekvalifikovaných pracovníků (22</w:t>
            </w:r>
            <w:r w:rsidR="006454CC">
              <w:rPr>
                <w:spacing w:val="-4"/>
              </w:rPr>
              <w:t> %</w:t>
            </w:r>
            <w:r>
              <w:rPr>
                <w:spacing w:val="-4"/>
              </w:rPr>
              <w:t xml:space="preserve">). Mezi roky 2011 </w:t>
            </w:r>
            <w:r w:rsidR="00BC7833">
              <w:rPr>
                <w:spacing w:val="-4"/>
              </w:rPr>
              <w:t>a </w:t>
            </w:r>
            <w:r>
              <w:rPr>
                <w:spacing w:val="-4"/>
              </w:rPr>
              <w:t>2018 se tento odstup v celé ekonomice snížil z</w:t>
            </w:r>
            <w:r w:rsidR="008329A1">
              <w:rPr>
                <w:spacing w:val="-4"/>
              </w:rPr>
              <w:t xml:space="preserve">e </w:t>
            </w:r>
            <w:r>
              <w:rPr>
                <w:spacing w:val="-4"/>
              </w:rPr>
              <w:t>16</w:t>
            </w:r>
            <w:r w:rsidR="006454CC">
              <w:rPr>
                <w:spacing w:val="-4"/>
              </w:rPr>
              <w:t> %</w:t>
            </w:r>
            <w:r>
              <w:rPr>
                <w:spacing w:val="-4"/>
              </w:rPr>
              <w:t xml:space="preserve"> na 15</w:t>
            </w:r>
            <w:r w:rsidR="006454CC">
              <w:rPr>
                <w:spacing w:val="-4"/>
              </w:rPr>
              <w:t> %</w:t>
            </w:r>
            <w:r>
              <w:rPr>
                <w:spacing w:val="-4"/>
              </w:rPr>
              <w:t xml:space="preserve">, </w:t>
            </w:r>
            <w:r w:rsidR="00BC7833">
              <w:rPr>
                <w:spacing w:val="-4"/>
              </w:rPr>
              <w:t>a </w:t>
            </w:r>
            <w:r>
              <w:rPr>
                <w:spacing w:val="-4"/>
              </w:rPr>
              <w:t xml:space="preserve">to výhradně zásluhou konvergenčního vývoje </w:t>
            </w:r>
            <w:r>
              <w:rPr>
                <w:spacing w:val="-4"/>
              </w:rPr>
              <w:lastRenderedPageBreak/>
              <w:t xml:space="preserve">v posledních třech letech. Na úrovni jednotlivých tříd byla za posledních sedm let konvergence patrná spíše </w:t>
            </w:r>
            <w:r w:rsidR="00BC7833">
              <w:rPr>
                <w:spacing w:val="-4"/>
              </w:rPr>
              <w:t>u </w:t>
            </w:r>
            <w:r>
              <w:rPr>
                <w:spacing w:val="-4"/>
              </w:rPr>
              <w:t xml:space="preserve">méně kvalifikovaných činností. U montérů </w:t>
            </w:r>
            <w:r w:rsidR="00BC7833">
              <w:rPr>
                <w:spacing w:val="-4"/>
              </w:rPr>
              <w:t>a </w:t>
            </w:r>
            <w:r>
              <w:rPr>
                <w:spacing w:val="-4"/>
              </w:rPr>
              <w:t xml:space="preserve">obsluhy strojů </w:t>
            </w:r>
            <w:r w:rsidR="00BC7833">
              <w:rPr>
                <w:spacing w:val="-4"/>
              </w:rPr>
              <w:t>a </w:t>
            </w:r>
            <w:r>
              <w:rPr>
                <w:spacing w:val="-4"/>
              </w:rPr>
              <w:t>zařízení se odstup snížil z 22</w:t>
            </w:r>
            <w:r w:rsidR="006454CC">
              <w:rPr>
                <w:spacing w:val="-4"/>
              </w:rPr>
              <w:t> %</w:t>
            </w:r>
            <w:r>
              <w:rPr>
                <w:spacing w:val="-4"/>
              </w:rPr>
              <w:t xml:space="preserve"> na 15</w:t>
            </w:r>
            <w:r w:rsidR="006454CC">
              <w:rPr>
                <w:spacing w:val="-4"/>
              </w:rPr>
              <w:t> %</w:t>
            </w:r>
            <w:r>
              <w:rPr>
                <w:spacing w:val="-4"/>
              </w:rPr>
              <w:t xml:space="preserve">, </w:t>
            </w:r>
            <w:r w:rsidR="00BC7833">
              <w:rPr>
                <w:spacing w:val="-4"/>
              </w:rPr>
              <w:t>u </w:t>
            </w:r>
            <w:r>
              <w:rPr>
                <w:spacing w:val="-4"/>
              </w:rPr>
              <w:t>řemeslníků a opravářů z 27</w:t>
            </w:r>
            <w:r w:rsidR="006454CC">
              <w:rPr>
                <w:spacing w:val="-4"/>
              </w:rPr>
              <w:t> %</w:t>
            </w:r>
            <w:r>
              <w:rPr>
                <w:spacing w:val="-4"/>
              </w:rPr>
              <w:t xml:space="preserve"> na 21</w:t>
            </w:r>
            <w:r w:rsidR="006454CC">
              <w:rPr>
                <w:spacing w:val="-4"/>
              </w:rPr>
              <w:t> %</w:t>
            </w:r>
            <w:r>
              <w:rPr>
                <w:spacing w:val="-4"/>
              </w:rPr>
              <w:t xml:space="preserve"> a u pracovníků</w:t>
            </w:r>
            <w:r w:rsidRPr="008F3DF1">
              <w:rPr>
                <w:spacing w:val="-4"/>
              </w:rPr>
              <w:t xml:space="preserve"> ve službách </w:t>
            </w:r>
            <w:r w:rsidR="00BC7833" w:rsidRPr="008F3DF1">
              <w:rPr>
                <w:spacing w:val="-4"/>
              </w:rPr>
              <w:t>a</w:t>
            </w:r>
            <w:r w:rsidR="00BC7833">
              <w:rPr>
                <w:spacing w:val="-4"/>
              </w:rPr>
              <w:t> </w:t>
            </w:r>
            <w:r w:rsidRPr="008F3DF1">
              <w:rPr>
                <w:spacing w:val="-4"/>
              </w:rPr>
              <w:t>prodeji</w:t>
            </w:r>
            <w:r>
              <w:rPr>
                <w:spacing w:val="-4"/>
              </w:rPr>
              <w:t xml:space="preserve"> z 10</w:t>
            </w:r>
            <w:r w:rsidR="006454CC">
              <w:rPr>
                <w:spacing w:val="-4"/>
              </w:rPr>
              <w:t> %</w:t>
            </w:r>
            <w:r>
              <w:rPr>
                <w:spacing w:val="-4"/>
              </w:rPr>
              <w:t xml:space="preserve"> na 5</w:t>
            </w:r>
            <w:r w:rsidR="006454CC">
              <w:rPr>
                <w:spacing w:val="-4"/>
              </w:rPr>
              <w:t> %</w:t>
            </w:r>
            <w:r>
              <w:rPr>
                <w:spacing w:val="-4"/>
              </w:rPr>
              <w:t xml:space="preserve">. Naopak ve třídě zákonodárci, vedoucí </w:t>
            </w:r>
            <w:r w:rsidR="00BC7833">
              <w:rPr>
                <w:spacing w:val="-4"/>
              </w:rPr>
              <w:t>a </w:t>
            </w:r>
            <w:r>
              <w:rPr>
                <w:spacing w:val="-4"/>
              </w:rPr>
              <w:t>řídící pracovníci se odstup nezměnil (19</w:t>
            </w:r>
            <w:r w:rsidR="006454CC">
              <w:rPr>
                <w:spacing w:val="-4"/>
              </w:rPr>
              <w:t> %</w:t>
            </w:r>
            <w:r>
              <w:rPr>
                <w:spacing w:val="-4"/>
              </w:rPr>
              <w:t>)</w:t>
            </w:r>
            <w:r w:rsidR="008329A1">
              <w:rPr>
                <w:spacing w:val="-4"/>
              </w:rPr>
              <w:t>,</w:t>
            </w:r>
            <w:r>
              <w:rPr>
                <w:spacing w:val="-4"/>
              </w:rPr>
              <w:t xml:space="preserve"> a </w:t>
            </w:r>
            <w:r w:rsidR="00BC7833">
              <w:rPr>
                <w:spacing w:val="-4"/>
              </w:rPr>
              <w:t>u </w:t>
            </w:r>
            <w:r>
              <w:rPr>
                <w:spacing w:val="-4"/>
              </w:rPr>
              <w:t>úředníků dokonce mírně vzrostl (ze 17 % na 19</w:t>
            </w:r>
            <w:r w:rsidR="006454CC">
              <w:rPr>
                <w:spacing w:val="-4"/>
              </w:rPr>
              <w:t> %</w:t>
            </w:r>
            <w:r>
              <w:rPr>
                <w:spacing w:val="-4"/>
              </w:rPr>
              <w:t>). Specifickou pozici mají ženy pracující v ozbrojených složkách. Medián jejich mezd převyšoval loni úroveň mužů o 11</w:t>
            </w:r>
            <w:r w:rsidR="006454CC">
              <w:rPr>
                <w:spacing w:val="-4"/>
              </w:rPr>
              <w:t> %</w:t>
            </w:r>
            <w:r>
              <w:rPr>
                <w:spacing w:val="-4"/>
              </w:rPr>
              <w:t>, v roce 2011 pak o 3 %</w:t>
            </w:r>
            <w:r w:rsidRPr="00E12C96">
              <w:rPr>
                <w:rFonts w:cs="Arial"/>
                <w:spacing w:val="-4"/>
                <w:vertAlign w:val="superscript"/>
              </w:rPr>
              <w:footnoteReference w:id="80"/>
            </w:r>
            <w:r>
              <w:rPr>
                <w:spacing w:val="-4"/>
              </w:rPr>
              <w:t>.</w:t>
            </w:r>
          </w:p>
        </w:tc>
      </w:tr>
      <w:tr w:rsidR="006F14C9" w:rsidRPr="005A2E40" w14:paraId="1FFA830E" w14:textId="77777777" w:rsidTr="00A500A7">
        <w:trPr>
          <w:trHeight w:val="429"/>
        </w:trPr>
        <w:tc>
          <w:tcPr>
            <w:tcW w:w="1976" w:type="dxa"/>
            <w:tcBorders>
              <w:top w:val="nil"/>
              <w:left w:val="nil"/>
              <w:bottom w:val="nil"/>
              <w:right w:val="nil"/>
            </w:tcBorders>
          </w:tcPr>
          <w:p w14:paraId="62BA5EE2" w14:textId="77777777" w:rsidR="006F14C9" w:rsidRPr="00106639" w:rsidRDefault="006F14C9" w:rsidP="006F14C9">
            <w:pPr>
              <w:pStyle w:val="Marginlie"/>
            </w:pPr>
            <w:r>
              <w:rPr>
                <w:spacing w:val="-4"/>
              </w:rPr>
              <w:lastRenderedPageBreak/>
              <w:t>S klesajícím stupněm vzdělání se relativní rozdíly ve výdělcích mezi pohlavími spíše snižovaly.</w:t>
            </w:r>
          </w:p>
        </w:tc>
        <w:tc>
          <w:tcPr>
            <w:tcW w:w="277" w:type="dxa"/>
            <w:tcBorders>
              <w:top w:val="nil"/>
              <w:left w:val="nil"/>
              <w:bottom w:val="nil"/>
              <w:right w:val="nil"/>
            </w:tcBorders>
          </w:tcPr>
          <w:p w14:paraId="22D6E583" w14:textId="77777777" w:rsidR="006F14C9" w:rsidRPr="005E4483" w:rsidRDefault="006F14C9" w:rsidP="006F14C9">
            <w:pPr>
              <w:pStyle w:val="Textpoznpodarou"/>
              <w:jc w:val="both"/>
              <w:rPr>
                <w:spacing w:val="-4"/>
              </w:rPr>
            </w:pPr>
          </w:p>
        </w:tc>
        <w:tc>
          <w:tcPr>
            <w:tcW w:w="7391" w:type="dxa"/>
            <w:tcBorders>
              <w:top w:val="nil"/>
              <w:left w:val="nil"/>
              <w:bottom w:val="nil"/>
              <w:right w:val="nil"/>
            </w:tcBorders>
          </w:tcPr>
          <w:p w14:paraId="292F8B2A" w14:textId="5993EFB3" w:rsidR="006F14C9" w:rsidRPr="003D7E4E" w:rsidRDefault="006F14C9" w:rsidP="006F14C9">
            <w:pPr>
              <w:spacing w:after="220"/>
              <w:rPr>
                <w:spacing w:val="-3"/>
              </w:rPr>
            </w:pPr>
            <w:r>
              <w:rPr>
                <w:spacing w:val="-3"/>
              </w:rPr>
              <w:t xml:space="preserve">Uvedené tendence jsou s drobnými odchylkami patrné </w:t>
            </w:r>
            <w:r w:rsidR="00BC7833">
              <w:rPr>
                <w:spacing w:val="-3"/>
              </w:rPr>
              <w:t>i </w:t>
            </w:r>
            <w:r>
              <w:rPr>
                <w:spacing w:val="-3"/>
              </w:rPr>
              <w:t>na mzdách vyjádřených v průměrech. Odstup žen od mužů loni činil 20</w:t>
            </w:r>
            <w:r w:rsidR="006454CC">
              <w:rPr>
                <w:spacing w:val="-3"/>
              </w:rPr>
              <w:t> %</w:t>
            </w:r>
            <w:r>
              <w:rPr>
                <w:spacing w:val="-3"/>
              </w:rPr>
              <w:t xml:space="preserve"> (resp.</w:t>
            </w:r>
            <w:r w:rsidR="008329A1">
              <w:rPr>
                <w:spacing w:val="-3"/>
              </w:rPr>
              <w:t> </w:t>
            </w:r>
            <w:r w:rsidR="00D82A1E">
              <w:rPr>
                <w:spacing w:val="-3"/>
              </w:rPr>
              <w:t>7 </w:t>
            </w:r>
            <w:r>
              <w:rPr>
                <w:spacing w:val="-3"/>
              </w:rPr>
              <w:t>38</w:t>
            </w:r>
            <w:r w:rsidR="00D82A1E">
              <w:rPr>
                <w:spacing w:val="-3"/>
              </w:rPr>
              <w:t>1 </w:t>
            </w:r>
            <w:r>
              <w:rPr>
                <w:spacing w:val="-3"/>
              </w:rPr>
              <w:t xml:space="preserve">korun </w:t>
            </w:r>
            <w:r>
              <w:rPr>
                <w:spacing w:val="-4"/>
              </w:rPr>
              <w:t>na hrubé měsíční mzdě</w:t>
            </w:r>
            <w:r>
              <w:rPr>
                <w:spacing w:val="-3"/>
              </w:rPr>
              <w:t xml:space="preserve">). </w:t>
            </w:r>
            <w:r w:rsidR="00BC7833">
              <w:rPr>
                <w:spacing w:val="-3"/>
              </w:rPr>
              <w:t>U </w:t>
            </w:r>
            <w:r>
              <w:rPr>
                <w:spacing w:val="-3"/>
              </w:rPr>
              <w:t xml:space="preserve">řídících pracovníků </w:t>
            </w:r>
            <w:r w:rsidR="00BC7833">
              <w:rPr>
                <w:spacing w:val="-3"/>
              </w:rPr>
              <w:t>a </w:t>
            </w:r>
            <w:r>
              <w:rPr>
                <w:spacing w:val="-3"/>
              </w:rPr>
              <w:t>specialistů činil 26</w:t>
            </w:r>
            <w:r w:rsidR="006454CC">
              <w:rPr>
                <w:spacing w:val="-3"/>
              </w:rPr>
              <w:t> %</w:t>
            </w:r>
            <w:r>
              <w:rPr>
                <w:spacing w:val="-3"/>
              </w:rPr>
              <w:t xml:space="preserve">, více než dvojnásobek než </w:t>
            </w:r>
            <w:r>
              <w:rPr>
                <w:spacing w:val="-4"/>
              </w:rPr>
              <w:t>u</w:t>
            </w:r>
            <w:r w:rsidRPr="00633083">
              <w:rPr>
                <w:spacing w:val="-4"/>
              </w:rPr>
              <w:t> </w:t>
            </w:r>
            <w:r>
              <w:rPr>
                <w:spacing w:val="-4"/>
              </w:rPr>
              <w:t xml:space="preserve">pracovníků ve službách </w:t>
            </w:r>
            <w:r w:rsidR="00BC7833">
              <w:rPr>
                <w:spacing w:val="-4"/>
              </w:rPr>
              <w:t>a </w:t>
            </w:r>
            <w:r>
              <w:rPr>
                <w:spacing w:val="-4"/>
              </w:rPr>
              <w:t xml:space="preserve">prodeji. V této třídě zaměstnanosti se také nejvíce projevoval vliv dosaženého vzdělání. S klesajícím stupněm vzdělání se rozdíly ve výdělcích mezi pohlavími snižovaly. </w:t>
            </w:r>
            <w:r w:rsidR="00BC7833">
              <w:rPr>
                <w:spacing w:val="-4"/>
              </w:rPr>
              <w:t>U </w:t>
            </w:r>
            <w:r>
              <w:rPr>
                <w:spacing w:val="-4"/>
              </w:rPr>
              <w:t>osob s nižším než maturitním vzděláním (tvořících zde mírně nadpoloviční podíl zaměstnanců) byly loni průměrné mzdy mužů a</w:t>
            </w:r>
            <w:r>
              <w:rPr>
                <w:spacing w:val="-3"/>
              </w:rPr>
              <w:t> </w:t>
            </w:r>
            <w:r>
              <w:rPr>
                <w:spacing w:val="-4"/>
              </w:rPr>
              <w:t xml:space="preserve">žen prakticky totožné. </w:t>
            </w:r>
          </w:p>
        </w:tc>
      </w:tr>
      <w:tr w:rsidR="006F14C9" w:rsidRPr="005A2E40" w14:paraId="10875476" w14:textId="77777777" w:rsidTr="00A500A7">
        <w:trPr>
          <w:trHeight w:val="429"/>
        </w:trPr>
        <w:tc>
          <w:tcPr>
            <w:tcW w:w="1976" w:type="dxa"/>
            <w:tcBorders>
              <w:top w:val="nil"/>
              <w:left w:val="nil"/>
              <w:bottom w:val="nil"/>
              <w:right w:val="nil"/>
            </w:tcBorders>
          </w:tcPr>
          <w:p w14:paraId="68827DC9" w14:textId="77777777" w:rsidR="006F14C9" w:rsidRPr="001C7003" w:rsidRDefault="006F14C9" w:rsidP="006F14C9">
            <w:pPr>
              <w:pStyle w:val="Marginlie"/>
            </w:pPr>
          </w:p>
        </w:tc>
        <w:tc>
          <w:tcPr>
            <w:tcW w:w="277" w:type="dxa"/>
            <w:tcBorders>
              <w:top w:val="nil"/>
              <w:left w:val="nil"/>
              <w:bottom w:val="nil"/>
              <w:right w:val="nil"/>
            </w:tcBorders>
          </w:tcPr>
          <w:p w14:paraId="71206FB8" w14:textId="77777777" w:rsidR="006F14C9" w:rsidRPr="001C7003" w:rsidRDefault="006F14C9" w:rsidP="006F14C9">
            <w:pPr>
              <w:pStyle w:val="Textpoznpodarou"/>
              <w:jc w:val="both"/>
              <w:rPr>
                <w:spacing w:val="-4"/>
              </w:rPr>
            </w:pPr>
          </w:p>
        </w:tc>
        <w:tc>
          <w:tcPr>
            <w:tcW w:w="7391" w:type="dxa"/>
            <w:tcBorders>
              <w:top w:val="nil"/>
              <w:left w:val="nil"/>
              <w:bottom w:val="nil"/>
              <w:right w:val="nil"/>
            </w:tcBorders>
          </w:tcPr>
          <w:p w14:paraId="046ACEAC" w14:textId="77777777" w:rsidR="006F14C9" w:rsidRPr="001C7003" w:rsidRDefault="006F14C9" w:rsidP="006F14C9">
            <w:pPr>
              <w:spacing w:after="0"/>
              <w:jc w:val="left"/>
              <w:rPr>
                <w:spacing w:val="-3"/>
              </w:rPr>
            </w:pPr>
            <w:r w:rsidRPr="003D7E4E">
              <w:rPr>
                <w:b/>
                <w:spacing w:val="-3"/>
              </w:rPr>
              <w:t xml:space="preserve">Graf </w:t>
            </w:r>
            <w:r w:rsidR="00BA35F3">
              <w:rPr>
                <w:b/>
                <w:spacing w:val="-3"/>
              </w:rPr>
              <w:t>č. </w:t>
            </w:r>
            <w:r w:rsidR="00306AD7">
              <w:rPr>
                <w:b/>
                <w:spacing w:val="-3"/>
              </w:rPr>
              <w:t>2</w:t>
            </w:r>
            <w:r>
              <w:rPr>
                <w:b/>
                <w:spacing w:val="-3"/>
              </w:rPr>
              <w:t>9</w:t>
            </w:r>
            <w:r w:rsidRPr="003D7E4E">
              <w:rPr>
                <w:b/>
                <w:spacing w:val="-3"/>
              </w:rPr>
              <w:t xml:space="preserve">  Průměrné hr. měsíční mzdy v odvětvích dle hlavních tříd zaměstnání* v roce 2018 </w:t>
            </w:r>
            <w:r w:rsidRPr="003D7E4E">
              <w:rPr>
                <w:spacing w:val="-3"/>
              </w:rPr>
              <w:t xml:space="preserve">(v korunách) </w:t>
            </w:r>
            <w:r w:rsidR="00BC7833" w:rsidRPr="003D7E4E">
              <w:rPr>
                <w:b/>
                <w:spacing w:val="-3"/>
              </w:rPr>
              <w:t>a</w:t>
            </w:r>
            <w:r w:rsidR="00BC7833">
              <w:rPr>
                <w:b/>
                <w:spacing w:val="-3"/>
              </w:rPr>
              <w:t> </w:t>
            </w:r>
            <w:r w:rsidRPr="003D7E4E">
              <w:rPr>
                <w:b/>
                <w:spacing w:val="-3"/>
              </w:rPr>
              <w:t xml:space="preserve">poměr mezd zaměstnanců s vysokoškolským vzděláním </w:t>
            </w:r>
            <w:r w:rsidR="00BC7833" w:rsidRPr="003D7E4E">
              <w:rPr>
                <w:b/>
                <w:spacing w:val="-3"/>
              </w:rPr>
              <w:t>a</w:t>
            </w:r>
            <w:r w:rsidR="00BC7833">
              <w:rPr>
                <w:b/>
                <w:spacing w:val="-3"/>
              </w:rPr>
              <w:t> </w:t>
            </w:r>
            <w:r w:rsidRPr="003D7E4E">
              <w:rPr>
                <w:b/>
                <w:spacing w:val="-3"/>
              </w:rPr>
              <w:t xml:space="preserve">se středním vzděláním bez maturity v letech 2012 </w:t>
            </w:r>
            <w:r w:rsidR="00BC7833" w:rsidRPr="003D7E4E">
              <w:rPr>
                <w:b/>
                <w:spacing w:val="-3"/>
              </w:rPr>
              <w:t>a</w:t>
            </w:r>
            <w:r w:rsidR="00BC7833">
              <w:rPr>
                <w:b/>
                <w:spacing w:val="-3"/>
              </w:rPr>
              <w:t> </w:t>
            </w:r>
            <w:r w:rsidRPr="003D7E4E">
              <w:rPr>
                <w:b/>
                <w:spacing w:val="-3"/>
              </w:rPr>
              <w:t>2018</w:t>
            </w:r>
            <w:r w:rsidRPr="003D7E4E">
              <w:rPr>
                <w:spacing w:val="-3"/>
              </w:rPr>
              <w:t xml:space="preserve"> (pravá osa)</w:t>
            </w:r>
          </w:p>
        </w:tc>
      </w:tr>
      <w:tr w:rsidR="006F14C9" w14:paraId="276B0AAD" w14:textId="77777777" w:rsidTr="001435B3">
        <w:tblPrEx>
          <w:tblCellMar>
            <w:left w:w="70" w:type="dxa"/>
            <w:right w:w="70" w:type="dxa"/>
          </w:tblCellMar>
        </w:tblPrEx>
        <w:trPr>
          <w:trHeight w:val="429"/>
        </w:trPr>
        <w:tc>
          <w:tcPr>
            <w:tcW w:w="1976" w:type="dxa"/>
            <w:tcBorders>
              <w:top w:val="nil"/>
              <w:left w:val="nil"/>
              <w:bottom w:val="nil"/>
              <w:right w:val="nil"/>
            </w:tcBorders>
          </w:tcPr>
          <w:p w14:paraId="32BFDA48" w14:textId="77777777" w:rsidR="006F14C9" w:rsidRPr="00106639" w:rsidRDefault="006F14C9" w:rsidP="006F14C9">
            <w:pPr>
              <w:pStyle w:val="Marginlie"/>
            </w:pPr>
          </w:p>
        </w:tc>
        <w:tc>
          <w:tcPr>
            <w:tcW w:w="277" w:type="dxa"/>
            <w:tcBorders>
              <w:top w:val="nil"/>
              <w:left w:val="nil"/>
              <w:bottom w:val="nil"/>
              <w:right w:val="nil"/>
            </w:tcBorders>
          </w:tcPr>
          <w:p w14:paraId="0525C477" w14:textId="77777777" w:rsidR="006F14C9" w:rsidRPr="005E4483" w:rsidRDefault="006F14C9" w:rsidP="006F14C9">
            <w:pPr>
              <w:pStyle w:val="Textpoznpodarou"/>
              <w:jc w:val="both"/>
              <w:rPr>
                <w:spacing w:val="-4"/>
              </w:rPr>
            </w:pPr>
          </w:p>
        </w:tc>
        <w:tc>
          <w:tcPr>
            <w:tcW w:w="7391" w:type="dxa"/>
            <w:tcBorders>
              <w:top w:val="nil"/>
              <w:left w:val="nil"/>
              <w:bottom w:val="nil"/>
              <w:right w:val="nil"/>
            </w:tcBorders>
          </w:tcPr>
          <w:p w14:paraId="14EEC793" w14:textId="442C67A1" w:rsidR="006F14C9" w:rsidRDefault="001435B3" w:rsidP="006F14C9">
            <w:pPr>
              <w:spacing w:after="0" w:line="240" w:lineRule="auto"/>
            </w:pPr>
            <w:r>
              <w:rPr>
                <w:noProof/>
              </w:rPr>
              <w:drawing>
                <wp:inline distT="0" distB="0" distL="0" distR="0" wp14:anchorId="76905464" wp14:editId="26F90476">
                  <wp:extent cx="4604385" cy="3380740"/>
                  <wp:effectExtent l="0" t="0" r="5715" b="0"/>
                  <wp:docPr id="75" name="Graf 75"/>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tc>
      </w:tr>
      <w:tr w:rsidR="006F14C9" w:rsidRPr="005A2E40" w14:paraId="192554FA" w14:textId="77777777" w:rsidTr="00A500A7">
        <w:trPr>
          <w:trHeight w:val="429"/>
        </w:trPr>
        <w:tc>
          <w:tcPr>
            <w:tcW w:w="1976" w:type="dxa"/>
            <w:tcBorders>
              <w:top w:val="nil"/>
              <w:left w:val="nil"/>
              <w:bottom w:val="nil"/>
              <w:right w:val="nil"/>
            </w:tcBorders>
          </w:tcPr>
          <w:p w14:paraId="50855222" w14:textId="77777777" w:rsidR="006F14C9" w:rsidRPr="00106639" w:rsidRDefault="006F14C9" w:rsidP="006F14C9">
            <w:pPr>
              <w:pStyle w:val="Marginlie"/>
            </w:pPr>
          </w:p>
        </w:tc>
        <w:tc>
          <w:tcPr>
            <w:tcW w:w="277" w:type="dxa"/>
            <w:tcBorders>
              <w:top w:val="nil"/>
              <w:left w:val="nil"/>
              <w:bottom w:val="nil"/>
              <w:right w:val="nil"/>
            </w:tcBorders>
          </w:tcPr>
          <w:p w14:paraId="25ACC08A" w14:textId="77777777" w:rsidR="006F14C9" w:rsidRPr="005E4483" w:rsidRDefault="006F14C9" w:rsidP="006F14C9">
            <w:pPr>
              <w:pStyle w:val="Textpoznpodarou"/>
              <w:jc w:val="both"/>
              <w:rPr>
                <w:spacing w:val="-4"/>
              </w:rPr>
            </w:pPr>
          </w:p>
        </w:tc>
        <w:tc>
          <w:tcPr>
            <w:tcW w:w="7391" w:type="dxa"/>
            <w:tcBorders>
              <w:top w:val="nil"/>
              <w:left w:val="nil"/>
              <w:bottom w:val="nil"/>
              <w:right w:val="nil"/>
            </w:tcBorders>
          </w:tcPr>
          <w:p w14:paraId="6F632DF8" w14:textId="22FD4F72" w:rsidR="006F14C9" w:rsidRDefault="006F14C9" w:rsidP="006F14C9">
            <w:pPr>
              <w:spacing w:after="0"/>
              <w:jc w:val="left"/>
              <w:rPr>
                <w:rFonts w:cs="Arial"/>
                <w:sz w:val="14"/>
                <w:szCs w:val="14"/>
              </w:rPr>
            </w:pPr>
            <w:r>
              <w:rPr>
                <w:rFonts w:cs="Arial"/>
                <w:sz w:val="14"/>
                <w:szCs w:val="14"/>
              </w:rPr>
              <w:t xml:space="preserve">* Popis vybraných tříd: </w:t>
            </w:r>
            <w:r w:rsidR="00BC7833">
              <w:rPr>
                <w:rFonts w:cs="Arial"/>
                <w:sz w:val="14"/>
                <w:szCs w:val="14"/>
              </w:rPr>
              <w:t>2 </w:t>
            </w:r>
            <w:r>
              <w:rPr>
                <w:rFonts w:cs="Arial"/>
                <w:sz w:val="14"/>
                <w:szCs w:val="14"/>
              </w:rPr>
              <w:t>–</w:t>
            </w:r>
            <w:r w:rsidR="002C4CD2">
              <w:rPr>
                <w:rFonts w:cs="Arial"/>
                <w:sz w:val="14"/>
                <w:szCs w:val="14"/>
              </w:rPr>
              <w:t> </w:t>
            </w:r>
            <w:r>
              <w:rPr>
                <w:rFonts w:cs="Arial"/>
                <w:sz w:val="14"/>
                <w:szCs w:val="14"/>
              </w:rPr>
              <w:t xml:space="preserve">Specialisté, </w:t>
            </w:r>
            <w:r w:rsidR="00BC7833">
              <w:rPr>
                <w:rFonts w:cs="Arial"/>
                <w:sz w:val="14"/>
                <w:szCs w:val="14"/>
              </w:rPr>
              <w:t>3 </w:t>
            </w:r>
            <w:r>
              <w:rPr>
                <w:rFonts w:cs="Arial"/>
                <w:sz w:val="14"/>
                <w:szCs w:val="14"/>
              </w:rPr>
              <w:t>–</w:t>
            </w:r>
            <w:r w:rsidR="002C4CD2">
              <w:rPr>
                <w:rFonts w:cs="Arial"/>
                <w:sz w:val="14"/>
                <w:szCs w:val="14"/>
              </w:rPr>
              <w:t> </w:t>
            </w:r>
            <w:r>
              <w:rPr>
                <w:rFonts w:cs="Arial"/>
                <w:sz w:val="14"/>
                <w:szCs w:val="14"/>
              </w:rPr>
              <w:t xml:space="preserve">Techničtí </w:t>
            </w:r>
            <w:r w:rsidR="00BC7833" w:rsidRPr="003D7E4E">
              <w:rPr>
                <w:rFonts w:cs="Arial"/>
                <w:sz w:val="14"/>
                <w:szCs w:val="14"/>
              </w:rPr>
              <w:t>a</w:t>
            </w:r>
            <w:r w:rsidR="00BC7833">
              <w:rPr>
                <w:rFonts w:cs="Arial"/>
                <w:sz w:val="14"/>
                <w:szCs w:val="14"/>
              </w:rPr>
              <w:t> </w:t>
            </w:r>
            <w:r w:rsidRPr="003D7E4E">
              <w:rPr>
                <w:rFonts w:cs="Arial"/>
                <w:sz w:val="14"/>
                <w:szCs w:val="14"/>
              </w:rPr>
              <w:t>odborní pracovníci</w:t>
            </w:r>
            <w:r>
              <w:rPr>
                <w:rFonts w:cs="Arial"/>
                <w:sz w:val="14"/>
                <w:szCs w:val="14"/>
              </w:rPr>
              <w:t xml:space="preserve">, </w:t>
            </w:r>
            <w:r w:rsidR="00BC7833">
              <w:rPr>
                <w:rFonts w:cs="Arial"/>
                <w:sz w:val="14"/>
                <w:szCs w:val="14"/>
              </w:rPr>
              <w:t>4 </w:t>
            </w:r>
            <w:r>
              <w:rPr>
                <w:rFonts w:cs="Arial"/>
                <w:sz w:val="14"/>
                <w:szCs w:val="14"/>
              </w:rPr>
              <w:t>–</w:t>
            </w:r>
            <w:r w:rsidR="002C4CD2">
              <w:rPr>
                <w:rFonts w:cs="Arial"/>
                <w:sz w:val="14"/>
                <w:szCs w:val="14"/>
              </w:rPr>
              <w:t> </w:t>
            </w:r>
            <w:r>
              <w:rPr>
                <w:rFonts w:cs="Arial"/>
                <w:sz w:val="14"/>
                <w:szCs w:val="14"/>
              </w:rPr>
              <w:t>Úředníci,</w:t>
            </w:r>
            <w:r w:rsidR="006454CC">
              <w:rPr>
                <w:rFonts w:cs="Arial"/>
                <w:sz w:val="14"/>
                <w:szCs w:val="14"/>
              </w:rPr>
              <w:t xml:space="preserve"> </w:t>
            </w:r>
            <w:r w:rsidR="00BC7833">
              <w:rPr>
                <w:rFonts w:cs="Arial"/>
                <w:sz w:val="14"/>
                <w:szCs w:val="14"/>
              </w:rPr>
              <w:t>5 </w:t>
            </w:r>
            <w:r>
              <w:rPr>
                <w:rFonts w:cs="Arial"/>
                <w:sz w:val="14"/>
                <w:szCs w:val="14"/>
              </w:rPr>
              <w:t>–</w:t>
            </w:r>
            <w:r w:rsidR="002C4CD2">
              <w:rPr>
                <w:rFonts w:cs="Arial"/>
                <w:sz w:val="14"/>
                <w:szCs w:val="14"/>
              </w:rPr>
              <w:t> </w:t>
            </w:r>
            <w:r>
              <w:rPr>
                <w:rFonts w:cs="Arial"/>
                <w:sz w:val="14"/>
                <w:szCs w:val="14"/>
              </w:rPr>
              <w:t>Pracovníci ve službách a</w:t>
            </w:r>
            <w:r w:rsidRPr="003D7E4E">
              <w:rPr>
                <w:rFonts w:cs="Arial"/>
                <w:sz w:val="14"/>
                <w:szCs w:val="14"/>
              </w:rPr>
              <w:t> prodeji</w:t>
            </w:r>
            <w:r>
              <w:rPr>
                <w:rFonts w:cs="Arial"/>
                <w:sz w:val="14"/>
                <w:szCs w:val="14"/>
              </w:rPr>
              <w:t xml:space="preserve">, </w:t>
            </w:r>
            <w:r w:rsidR="00BC7833">
              <w:rPr>
                <w:rFonts w:cs="Arial"/>
                <w:sz w:val="14"/>
                <w:szCs w:val="14"/>
              </w:rPr>
              <w:t>7 </w:t>
            </w:r>
            <w:r>
              <w:rPr>
                <w:rFonts w:cs="Arial"/>
                <w:sz w:val="14"/>
                <w:szCs w:val="14"/>
              </w:rPr>
              <w:t>–</w:t>
            </w:r>
            <w:r w:rsidR="002C4CD2">
              <w:rPr>
                <w:rFonts w:cs="Arial"/>
                <w:sz w:val="14"/>
                <w:szCs w:val="14"/>
              </w:rPr>
              <w:t> </w:t>
            </w:r>
            <w:r>
              <w:rPr>
                <w:rFonts w:cs="Arial"/>
                <w:sz w:val="14"/>
                <w:szCs w:val="14"/>
              </w:rPr>
              <w:t xml:space="preserve">Řemeslníci </w:t>
            </w:r>
            <w:r w:rsidR="00BC7833">
              <w:rPr>
                <w:rFonts w:cs="Arial"/>
                <w:sz w:val="14"/>
                <w:szCs w:val="14"/>
              </w:rPr>
              <w:t>a </w:t>
            </w:r>
            <w:r>
              <w:rPr>
                <w:rFonts w:cs="Arial"/>
                <w:sz w:val="14"/>
                <w:szCs w:val="14"/>
              </w:rPr>
              <w:t xml:space="preserve">opraváři, </w:t>
            </w:r>
            <w:r w:rsidR="00BC7833">
              <w:rPr>
                <w:rFonts w:cs="Arial"/>
                <w:sz w:val="14"/>
                <w:szCs w:val="14"/>
              </w:rPr>
              <w:t>8 </w:t>
            </w:r>
            <w:r>
              <w:rPr>
                <w:rFonts w:cs="Arial"/>
                <w:sz w:val="14"/>
                <w:szCs w:val="14"/>
              </w:rPr>
              <w:t>–</w:t>
            </w:r>
            <w:r w:rsidR="002C4CD2">
              <w:rPr>
                <w:rFonts w:cs="Arial"/>
                <w:sz w:val="14"/>
                <w:szCs w:val="14"/>
              </w:rPr>
              <w:t> </w:t>
            </w:r>
            <w:r w:rsidRPr="003D7E4E">
              <w:rPr>
                <w:rFonts w:cs="Arial"/>
                <w:sz w:val="14"/>
                <w:szCs w:val="14"/>
              </w:rPr>
              <w:t xml:space="preserve">Obsluha strojů </w:t>
            </w:r>
            <w:r w:rsidR="00BC7833" w:rsidRPr="003D7E4E">
              <w:rPr>
                <w:rFonts w:cs="Arial"/>
                <w:sz w:val="14"/>
                <w:szCs w:val="14"/>
              </w:rPr>
              <w:t>a</w:t>
            </w:r>
            <w:r w:rsidR="00BC7833">
              <w:rPr>
                <w:rFonts w:cs="Arial"/>
                <w:sz w:val="14"/>
                <w:szCs w:val="14"/>
              </w:rPr>
              <w:t> </w:t>
            </w:r>
            <w:r w:rsidRPr="003D7E4E">
              <w:rPr>
                <w:rFonts w:cs="Arial"/>
                <w:sz w:val="14"/>
                <w:szCs w:val="14"/>
              </w:rPr>
              <w:t>zařízení, montéři</w:t>
            </w:r>
            <w:r>
              <w:rPr>
                <w:rFonts w:cs="Arial"/>
                <w:sz w:val="14"/>
                <w:szCs w:val="14"/>
              </w:rPr>
              <w:t xml:space="preserve">, </w:t>
            </w:r>
            <w:r w:rsidR="00BC7833">
              <w:rPr>
                <w:rFonts w:cs="Arial"/>
                <w:sz w:val="14"/>
                <w:szCs w:val="14"/>
              </w:rPr>
              <w:t>9 </w:t>
            </w:r>
            <w:r>
              <w:rPr>
                <w:rFonts w:cs="Arial"/>
                <w:sz w:val="14"/>
                <w:szCs w:val="14"/>
              </w:rPr>
              <w:t>–</w:t>
            </w:r>
            <w:r w:rsidR="002C4CD2">
              <w:rPr>
                <w:rFonts w:cs="Arial"/>
                <w:sz w:val="14"/>
                <w:szCs w:val="14"/>
              </w:rPr>
              <w:t> </w:t>
            </w:r>
            <w:r w:rsidRPr="003D7E4E">
              <w:rPr>
                <w:rFonts w:cs="Arial"/>
                <w:sz w:val="14"/>
                <w:szCs w:val="14"/>
              </w:rPr>
              <w:t xml:space="preserve">Pomocní </w:t>
            </w:r>
            <w:r w:rsidR="00BC7833" w:rsidRPr="003D7E4E">
              <w:rPr>
                <w:rFonts w:cs="Arial"/>
                <w:sz w:val="14"/>
                <w:szCs w:val="14"/>
              </w:rPr>
              <w:t>a</w:t>
            </w:r>
            <w:r w:rsidR="00BC7833">
              <w:rPr>
                <w:rFonts w:cs="Arial"/>
                <w:sz w:val="14"/>
                <w:szCs w:val="14"/>
              </w:rPr>
              <w:t> </w:t>
            </w:r>
            <w:r w:rsidRPr="003D7E4E">
              <w:rPr>
                <w:rFonts w:cs="Arial"/>
                <w:sz w:val="14"/>
                <w:szCs w:val="14"/>
              </w:rPr>
              <w:t>nekvalifikovaní pracovníci</w:t>
            </w:r>
            <w:r>
              <w:rPr>
                <w:rFonts w:cs="Arial"/>
                <w:sz w:val="14"/>
                <w:szCs w:val="14"/>
              </w:rPr>
              <w:t>.</w:t>
            </w:r>
          </w:p>
          <w:p w14:paraId="4AE77A01" w14:textId="7A66AB70" w:rsidR="006F14C9" w:rsidRDefault="006F14C9" w:rsidP="006F14C9">
            <w:pPr>
              <w:spacing w:after="0"/>
              <w:jc w:val="left"/>
              <w:rPr>
                <w:rFonts w:cs="Arial"/>
                <w:sz w:val="14"/>
                <w:szCs w:val="14"/>
              </w:rPr>
            </w:pPr>
            <w:r>
              <w:rPr>
                <w:rFonts w:cs="Arial"/>
                <w:sz w:val="14"/>
                <w:szCs w:val="14"/>
              </w:rPr>
              <w:t>Z</w:t>
            </w:r>
            <w:r w:rsidRPr="003D7E4E">
              <w:rPr>
                <w:rFonts w:cs="Arial"/>
                <w:sz w:val="14"/>
                <w:szCs w:val="14"/>
              </w:rPr>
              <w:t xml:space="preserve"> důvodu </w:t>
            </w:r>
            <w:r>
              <w:rPr>
                <w:rFonts w:cs="Arial"/>
                <w:sz w:val="14"/>
                <w:szCs w:val="14"/>
              </w:rPr>
              <w:t>snížené vypovídací schopnosti</w:t>
            </w:r>
            <w:r w:rsidRPr="003D7E4E">
              <w:rPr>
                <w:rFonts w:cs="Arial"/>
                <w:sz w:val="14"/>
                <w:szCs w:val="14"/>
              </w:rPr>
              <w:t xml:space="preserve"> nejsou uvedeny </w:t>
            </w:r>
            <w:r>
              <w:rPr>
                <w:rFonts w:cs="Arial"/>
                <w:sz w:val="14"/>
                <w:szCs w:val="14"/>
              </w:rPr>
              <w:t xml:space="preserve">třídy Zákonodárci </w:t>
            </w:r>
            <w:r w:rsidR="00BC7833">
              <w:rPr>
                <w:rFonts w:cs="Arial"/>
                <w:sz w:val="14"/>
                <w:szCs w:val="14"/>
              </w:rPr>
              <w:t>a </w:t>
            </w:r>
            <w:r>
              <w:rPr>
                <w:rFonts w:cs="Arial"/>
                <w:sz w:val="14"/>
                <w:szCs w:val="14"/>
              </w:rPr>
              <w:t xml:space="preserve">řídící pracovníci </w:t>
            </w:r>
            <w:r w:rsidR="00BC7833">
              <w:rPr>
                <w:rFonts w:cs="Arial"/>
                <w:sz w:val="14"/>
                <w:szCs w:val="14"/>
              </w:rPr>
              <w:t>a </w:t>
            </w:r>
            <w:r w:rsidRPr="003D7E4E">
              <w:rPr>
                <w:rFonts w:cs="Arial"/>
                <w:sz w:val="14"/>
                <w:szCs w:val="14"/>
              </w:rPr>
              <w:t xml:space="preserve">Kvalifikovaní pracovníci </w:t>
            </w:r>
            <w:r w:rsidR="00BC7833" w:rsidRPr="003D7E4E">
              <w:rPr>
                <w:rFonts w:cs="Arial"/>
                <w:sz w:val="14"/>
                <w:szCs w:val="14"/>
              </w:rPr>
              <w:t>v</w:t>
            </w:r>
            <w:r w:rsidR="00BC7833">
              <w:rPr>
                <w:rFonts w:cs="Arial"/>
                <w:sz w:val="14"/>
                <w:szCs w:val="14"/>
              </w:rPr>
              <w:t> </w:t>
            </w:r>
            <w:r w:rsidRPr="003D7E4E">
              <w:rPr>
                <w:rFonts w:cs="Arial"/>
                <w:sz w:val="14"/>
                <w:szCs w:val="14"/>
              </w:rPr>
              <w:t xml:space="preserve">zemědělství, lesnictví </w:t>
            </w:r>
            <w:r w:rsidR="00BC7833" w:rsidRPr="003D7E4E">
              <w:rPr>
                <w:rFonts w:cs="Arial"/>
                <w:sz w:val="14"/>
                <w:szCs w:val="14"/>
              </w:rPr>
              <w:t>a</w:t>
            </w:r>
            <w:r w:rsidR="00BC7833">
              <w:rPr>
                <w:rFonts w:cs="Arial"/>
                <w:sz w:val="14"/>
                <w:szCs w:val="14"/>
              </w:rPr>
              <w:t> </w:t>
            </w:r>
            <w:r w:rsidRPr="003D7E4E">
              <w:rPr>
                <w:rFonts w:cs="Arial"/>
                <w:sz w:val="14"/>
                <w:szCs w:val="14"/>
              </w:rPr>
              <w:t>rybářství</w:t>
            </w:r>
            <w:r>
              <w:rPr>
                <w:rFonts w:cs="Arial"/>
                <w:sz w:val="14"/>
                <w:szCs w:val="14"/>
              </w:rPr>
              <w:t>. Obdobně chyb</w:t>
            </w:r>
            <w:r w:rsidR="002C4CD2">
              <w:rPr>
                <w:rFonts w:cs="Arial"/>
                <w:sz w:val="14"/>
                <w:szCs w:val="14"/>
              </w:rPr>
              <w:t>ěj</w:t>
            </w:r>
            <w:r>
              <w:rPr>
                <w:rFonts w:cs="Arial"/>
                <w:sz w:val="14"/>
                <w:szCs w:val="14"/>
              </w:rPr>
              <w:t xml:space="preserve">í také </w:t>
            </w:r>
            <w:r w:rsidR="00BC7833">
              <w:rPr>
                <w:rFonts w:cs="Arial"/>
                <w:sz w:val="14"/>
                <w:szCs w:val="14"/>
              </w:rPr>
              <w:t>u </w:t>
            </w:r>
            <w:r>
              <w:rPr>
                <w:rFonts w:cs="Arial"/>
                <w:sz w:val="14"/>
                <w:szCs w:val="14"/>
              </w:rPr>
              <w:t xml:space="preserve">odvětví </w:t>
            </w:r>
            <w:r w:rsidR="002C4CD2">
              <w:rPr>
                <w:rFonts w:cs="Arial"/>
                <w:sz w:val="14"/>
                <w:szCs w:val="14"/>
              </w:rPr>
              <w:t>s </w:t>
            </w:r>
            <w:r>
              <w:rPr>
                <w:rFonts w:cs="Arial"/>
                <w:sz w:val="14"/>
                <w:szCs w:val="14"/>
              </w:rPr>
              <w:t>výrazně pod/nadprůměrnou mzdovou úrovní údaje za nejvyšší/nejnižší kvalifikační třídy.</w:t>
            </w:r>
          </w:p>
          <w:p w14:paraId="2D405C65" w14:textId="77777777" w:rsidR="006F14C9" w:rsidRPr="00711FC2" w:rsidRDefault="006F14C9" w:rsidP="006F14C9">
            <w:pPr>
              <w:spacing w:after="200"/>
              <w:jc w:val="left"/>
            </w:pPr>
            <w:r w:rsidRPr="00444E6D">
              <w:rPr>
                <w:rFonts w:cs="Arial"/>
                <w:sz w:val="14"/>
                <w:szCs w:val="14"/>
              </w:rPr>
              <w:t xml:space="preserve">Zdroj: </w:t>
            </w:r>
            <w:r>
              <w:rPr>
                <w:rFonts w:cs="Arial"/>
                <w:sz w:val="14"/>
                <w:szCs w:val="14"/>
              </w:rPr>
              <w:t xml:space="preserve">MPSV </w:t>
            </w:r>
            <w:r w:rsidR="00BC7833">
              <w:rPr>
                <w:rFonts w:cs="Arial"/>
                <w:sz w:val="14"/>
                <w:szCs w:val="14"/>
              </w:rPr>
              <w:t>a </w:t>
            </w:r>
            <w:r>
              <w:rPr>
                <w:rFonts w:cs="Arial"/>
                <w:sz w:val="14"/>
                <w:szCs w:val="14"/>
              </w:rPr>
              <w:t>ČSÚ (Strukturální mzdová statistika)</w:t>
            </w:r>
          </w:p>
        </w:tc>
      </w:tr>
      <w:tr w:rsidR="006F14C9" w14:paraId="07F1CA6D" w14:textId="77777777" w:rsidTr="00A500A7">
        <w:trPr>
          <w:trHeight w:val="145"/>
        </w:trPr>
        <w:tc>
          <w:tcPr>
            <w:tcW w:w="1976" w:type="dxa"/>
            <w:tcBorders>
              <w:top w:val="nil"/>
              <w:left w:val="nil"/>
              <w:bottom w:val="nil"/>
              <w:right w:val="nil"/>
            </w:tcBorders>
          </w:tcPr>
          <w:p w14:paraId="4839BCD5" w14:textId="7EB093DF" w:rsidR="006F14C9" w:rsidRDefault="006F14C9" w:rsidP="006F14C9">
            <w:pPr>
              <w:pStyle w:val="Marginlie"/>
            </w:pPr>
            <w:r>
              <w:t xml:space="preserve">Průměrné mzdy pomocných </w:t>
            </w:r>
            <w:r w:rsidR="00BC7833">
              <w:t>a </w:t>
            </w:r>
            <w:r>
              <w:t xml:space="preserve">nekvalifikovaných pracovníků byly nejvyšší v těžbě </w:t>
            </w:r>
            <w:r w:rsidR="00BC7833">
              <w:t>a </w:t>
            </w:r>
            <w:r>
              <w:t>dobývání</w:t>
            </w:r>
            <w:r w:rsidR="0037734D">
              <w:t xml:space="preserve"> – </w:t>
            </w:r>
            <w:r w:rsidR="00BC7833">
              <w:t>o </w:t>
            </w:r>
            <w:r>
              <w:t>dvě třetiny nad úrovní těchto pracovníků pracujících v oblasti nemovitostí.</w:t>
            </w:r>
          </w:p>
        </w:tc>
        <w:tc>
          <w:tcPr>
            <w:tcW w:w="277" w:type="dxa"/>
            <w:tcBorders>
              <w:top w:val="nil"/>
              <w:left w:val="nil"/>
              <w:bottom w:val="nil"/>
              <w:right w:val="nil"/>
            </w:tcBorders>
          </w:tcPr>
          <w:p w14:paraId="6A0E1231" w14:textId="77777777" w:rsidR="006F14C9" w:rsidRPr="005E4483" w:rsidRDefault="006F14C9" w:rsidP="006F14C9">
            <w:pPr>
              <w:pStyle w:val="Textpoznpodarou"/>
              <w:jc w:val="both"/>
              <w:rPr>
                <w:spacing w:val="-4"/>
              </w:rPr>
            </w:pPr>
          </w:p>
        </w:tc>
        <w:tc>
          <w:tcPr>
            <w:tcW w:w="7391" w:type="dxa"/>
            <w:tcBorders>
              <w:top w:val="nil"/>
              <w:left w:val="nil"/>
              <w:bottom w:val="nil"/>
              <w:right w:val="nil"/>
            </w:tcBorders>
          </w:tcPr>
          <w:p w14:paraId="38DCC156" w14:textId="4FCBEAE3" w:rsidR="006F14C9" w:rsidRPr="00CD2028" w:rsidRDefault="00BC7833" w:rsidP="006F14C9">
            <w:pPr>
              <w:spacing w:after="220"/>
              <w:rPr>
                <w:spacing w:val="-2"/>
              </w:rPr>
            </w:pPr>
            <w:r>
              <w:rPr>
                <w:spacing w:val="-2"/>
              </w:rPr>
              <w:t>V </w:t>
            </w:r>
            <w:r w:rsidR="006F14C9">
              <w:rPr>
                <w:spacing w:val="-2"/>
              </w:rPr>
              <w:t>roce 2018 dosahovali ve všech devatenácti hlavních odvětvích nejvyšší průměrné mzdy zaměstnanci s nejvyšší kvalifikační úrovní</w:t>
            </w:r>
            <w:r w:rsidR="00D30575">
              <w:rPr>
                <w:spacing w:val="-2"/>
              </w:rPr>
              <w:t>,</w:t>
            </w:r>
            <w:r w:rsidR="0037734D">
              <w:rPr>
                <w:spacing w:val="-2"/>
              </w:rPr>
              <w:t xml:space="preserve"> </w:t>
            </w:r>
            <w:r w:rsidR="00D30575">
              <w:rPr>
                <w:spacing w:val="-2"/>
              </w:rPr>
              <w:t xml:space="preserve">a to </w:t>
            </w:r>
            <w:r w:rsidR="006F14C9">
              <w:rPr>
                <w:spacing w:val="-2"/>
              </w:rPr>
              <w:t xml:space="preserve">v pořadí vedoucí </w:t>
            </w:r>
            <w:r>
              <w:rPr>
                <w:spacing w:val="-2"/>
              </w:rPr>
              <w:t>a </w:t>
            </w:r>
            <w:r w:rsidR="006F14C9">
              <w:rPr>
                <w:spacing w:val="-2"/>
              </w:rPr>
              <w:t xml:space="preserve">řídící pracovníci, specialisté </w:t>
            </w:r>
            <w:r>
              <w:rPr>
                <w:spacing w:val="-2"/>
              </w:rPr>
              <w:t>a </w:t>
            </w:r>
            <w:r w:rsidR="006F14C9">
              <w:rPr>
                <w:spacing w:val="-2"/>
              </w:rPr>
              <w:t xml:space="preserve">techničtí </w:t>
            </w:r>
            <w:r>
              <w:rPr>
                <w:spacing w:val="-2"/>
              </w:rPr>
              <w:t>a </w:t>
            </w:r>
            <w:r w:rsidR="006F14C9">
              <w:rPr>
                <w:spacing w:val="-2"/>
              </w:rPr>
              <w:t xml:space="preserve">odborní pracovníci. Naopak výdělky pomocných a nekvalifikovaných pracovníků nebyly v porovnání s ostatními třídami v rámci odvětví vždy nejslabší. V manuálně náročnějších odvětvích (ve zpracovatelském průmyslu, stavebnictví </w:t>
            </w:r>
            <w:r>
              <w:rPr>
                <w:spacing w:val="-2"/>
              </w:rPr>
              <w:t>a </w:t>
            </w:r>
            <w:r w:rsidR="006F14C9">
              <w:rPr>
                <w:spacing w:val="-2"/>
              </w:rPr>
              <w:t xml:space="preserve">zemědělství, lesnictví </w:t>
            </w:r>
            <w:r>
              <w:rPr>
                <w:spacing w:val="-2"/>
              </w:rPr>
              <w:t>a </w:t>
            </w:r>
            <w:r w:rsidR="006F14C9">
              <w:rPr>
                <w:spacing w:val="-2"/>
              </w:rPr>
              <w:t xml:space="preserve">rybářství) </w:t>
            </w:r>
            <w:r w:rsidR="00D30575">
              <w:rPr>
                <w:spacing w:val="-2"/>
              </w:rPr>
              <w:t xml:space="preserve">dostávaly </w:t>
            </w:r>
            <w:r w:rsidR="006F14C9">
              <w:rPr>
                <w:spacing w:val="-2"/>
              </w:rPr>
              <w:t xml:space="preserve">nejnižší mzdy osoby zařazené do třídy pracovníci ve službách </w:t>
            </w:r>
            <w:r>
              <w:rPr>
                <w:spacing w:val="-2"/>
              </w:rPr>
              <w:t>a </w:t>
            </w:r>
            <w:r w:rsidR="006F14C9">
              <w:rPr>
                <w:spacing w:val="-2"/>
              </w:rPr>
              <w:t xml:space="preserve">prodeji. Nejméně kvalifikovaní pracovníci </w:t>
            </w:r>
            <w:r w:rsidR="006F14C9">
              <w:rPr>
                <w:spacing w:val="-2"/>
              </w:rPr>
              <w:lastRenderedPageBreak/>
              <w:t xml:space="preserve">mají dlouhodobě nejlepší postavení v odvětví těžby </w:t>
            </w:r>
            <w:r>
              <w:rPr>
                <w:spacing w:val="-2"/>
              </w:rPr>
              <w:t>a </w:t>
            </w:r>
            <w:r w:rsidR="006F14C9">
              <w:rPr>
                <w:spacing w:val="-2"/>
              </w:rPr>
              <w:t>dobývání</w:t>
            </w:r>
            <w:r w:rsidR="0037734D">
              <w:rPr>
                <w:spacing w:val="-2"/>
              </w:rPr>
              <w:t xml:space="preserve"> – </w:t>
            </w:r>
            <w:r w:rsidR="006F14C9">
              <w:rPr>
                <w:spacing w:val="-2"/>
              </w:rPr>
              <w:t xml:space="preserve">v roce 2018 si zde vydělali v průměru </w:t>
            </w:r>
            <w:r>
              <w:rPr>
                <w:spacing w:val="-2"/>
              </w:rPr>
              <w:t>o </w:t>
            </w:r>
            <w:r w:rsidR="006F14C9">
              <w:rPr>
                <w:spacing w:val="-2"/>
              </w:rPr>
              <w:t>dvě třetiny více než osoby ve stejné třídě ve vzdělávání či v činnostech v oblasti nemovitostí.</w:t>
            </w:r>
          </w:p>
        </w:tc>
      </w:tr>
      <w:tr w:rsidR="006F14C9" w14:paraId="401A4269" w14:textId="77777777" w:rsidTr="00A500A7">
        <w:trPr>
          <w:trHeight w:val="145"/>
        </w:trPr>
        <w:tc>
          <w:tcPr>
            <w:tcW w:w="1976" w:type="dxa"/>
            <w:tcBorders>
              <w:top w:val="nil"/>
              <w:left w:val="nil"/>
              <w:bottom w:val="nil"/>
              <w:right w:val="nil"/>
            </w:tcBorders>
          </w:tcPr>
          <w:p w14:paraId="61EF6454" w14:textId="74C50C80" w:rsidR="006F14C9" w:rsidRDefault="006F14C9" w:rsidP="006F14C9">
            <w:pPr>
              <w:pStyle w:val="Marginlie"/>
            </w:pPr>
            <w:r>
              <w:lastRenderedPageBreak/>
              <w:t>Výdělky vedoucích a řídících pracovníků ve finančnictví převyšovaly jejich úroveň v administrativních a podpůrných činnostech téměř trojnásobně.</w:t>
            </w:r>
          </w:p>
          <w:p w14:paraId="37E8D537" w14:textId="77777777" w:rsidR="006F14C9" w:rsidRDefault="006F14C9" w:rsidP="006F14C9">
            <w:pPr>
              <w:pStyle w:val="Marginlie"/>
            </w:pPr>
          </w:p>
          <w:p w14:paraId="7A486BA1" w14:textId="77777777" w:rsidR="006F14C9" w:rsidRDefault="006F14C9" w:rsidP="006F14C9">
            <w:pPr>
              <w:pStyle w:val="Marginlie"/>
            </w:pPr>
          </w:p>
          <w:p w14:paraId="4755F8B9" w14:textId="77777777" w:rsidR="006F14C9" w:rsidRDefault="006F14C9" w:rsidP="006F14C9">
            <w:pPr>
              <w:pStyle w:val="Marginlie"/>
            </w:pPr>
          </w:p>
          <w:p w14:paraId="4833A726" w14:textId="77777777" w:rsidR="006F14C9" w:rsidRDefault="006F14C9" w:rsidP="006F14C9">
            <w:pPr>
              <w:pStyle w:val="Marginlie"/>
            </w:pPr>
          </w:p>
          <w:p w14:paraId="00A043C3" w14:textId="77777777" w:rsidR="006F14C9" w:rsidRDefault="006F14C9" w:rsidP="006F14C9">
            <w:pPr>
              <w:pStyle w:val="Marginlie"/>
            </w:pPr>
          </w:p>
          <w:p w14:paraId="1F5432FC" w14:textId="77777777" w:rsidR="006F14C9" w:rsidRDefault="006F14C9" w:rsidP="006F14C9">
            <w:pPr>
              <w:pStyle w:val="Marginlie"/>
            </w:pPr>
          </w:p>
          <w:p w14:paraId="7C34A84A" w14:textId="201A8036" w:rsidR="006F14C9" w:rsidRDefault="006F14C9" w:rsidP="006F14C9">
            <w:pPr>
              <w:pStyle w:val="Marginlie"/>
            </w:pPr>
            <w:r>
              <w:t xml:space="preserve">Specialisté ve zdravotní a sociální péči měli </w:t>
            </w:r>
            <w:r w:rsidR="00BC7833">
              <w:t>o </w:t>
            </w:r>
            <w:r>
              <w:t xml:space="preserve">více než třetinu vyšší průměrné výdělky než ti </w:t>
            </w:r>
            <w:r w:rsidR="00D30575">
              <w:t>z </w:t>
            </w:r>
            <w:r>
              <w:t>oblasti kultury či vzdělávání.</w:t>
            </w:r>
          </w:p>
        </w:tc>
        <w:tc>
          <w:tcPr>
            <w:tcW w:w="277" w:type="dxa"/>
            <w:tcBorders>
              <w:top w:val="nil"/>
              <w:left w:val="nil"/>
              <w:bottom w:val="nil"/>
              <w:right w:val="nil"/>
            </w:tcBorders>
          </w:tcPr>
          <w:p w14:paraId="0B2913D0" w14:textId="77777777" w:rsidR="006F14C9" w:rsidRPr="005E4483" w:rsidRDefault="006F14C9" w:rsidP="006F14C9">
            <w:pPr>
              <w:pStyle w:val="Textpoznpodarou"/>
              <w:jc w:val="both"/>
              <w:rPr>
                <w:spacing w:val="-4"/>
              </w:rPr>
            </w:pPr>
          </w:p>
        </w:tc>
        <w:tc>
          <w:tcPr>
            <w:tcW w:w="7391" w:type="dxa"/>
            <w:tcBorders>
              <w:top w:val="nil"/>
              <w:left w:val="nil"/>
              <w:bottom w:val="nil"/>
              <w:right w:val="nil"/>
            </w:tcBorders>
          </w:tcPr>
          <w:p w14:paraId="41E9C43D" w14:textId="5CFEE267" w:rsidR="006F14C9" w:rsidRPr="00CD2028" w:rsidRDefault="006F14C9" w:rsidP="006F14C9">
            <w:pPr>
              <w:spacing w:after="220"/>
              <w:rPr>
                <w:spacing w:val="-2"/>
              </w:rPr>
            </w:pPr>
            <w:r>
              <w:rPr>
                <w:spacing w:val="-2"/>
              </w:rPr>
              <w:t>Není překvapivé, že na opačném spektru kvalifikace dosáhl</w:t>
            </w:r>
            <w:r w:rsidR="009D3F3E">
              <w:rPr>
                <w:spacing w:val="-2"/>
              </w:rPr>
              <w:t>i</w:t>
            </w:r>
            <w:r>
              <w:rPr>
                <w:spacing w:val="-2"/>
              </w:rPr>
              <w:t xml:space="preserve"> loni na nejvyšší průměrné mzdy zaměstnanci </w:t>
            </w:r>
            <w:r w:rsidR="00BC7833">
              <w:rPr>
                <w:spacing w:val="-2"/>
              </w:rPr>
              <w:t>v </w:t>
            </w:r>
            <w:r>
              <w:rPr>
                <w:spacing w:val="-2"/>
              </w:rPr>
              <w:t>p</w:t>
            </w:r>
            <w:r w:rsidRPr="002A2E73">
              <w:rPr>
                <w:spacing w:val="-2"/>
              </w:rPr>
              <w:t xml:space="preserve">eněžnictví </w:t>
            </w:r>
            <w:r w:rsidR="00BC7833" w:rsidRPr="002A2E73">
              <w:rPr>
                <w:spacing w:val="-2"/>
              </w:rPr>
              <w:t>a</w:t>
            </w:r>
            <w:r w:rsidR="00BC7833">
              <w:rPr>
                <w:spacing w:val="-2"/>
              </w:rPr>
              <w:t> </w:t>
            </w:r>
            <w:r w:rsidRPr="002A2E73">
              <w:rPr>
                <w:spacing w:val="-2"/>
              </w:rPr>
              <w:t>pojišťovnictví</w:t>
            </w:r>
            <w:r>
              <w:rPr>
                <w:spacing w:val="-2"/>
              </w:rPr>
              <w:t xml:space="preserve"> (13</w:t>
            </w:r>
            <w:r w:rsidR="00D82A1E">
              <w:rPr>
                <w:spacing w:val="-2"/>
              </w:rPr>
              <w:t>1 </w:t>
            </w:r>
            <w:r>
              <w:rPr>
                <w:spacing w:val="-2"/>
              </w:rPr>
              <w:t xml:space="preserve">tis. korun hrubého měsíčně) </w:t>
            </w:r>
            <w:r w:rsidR="00BC7833">
              <w:rPr>
                <w:spacing w:val="-2"/>
              </w:rPr>
              <w:t>a v </w:t>
            </w:r>
            <w:r>
              <w:rPr>
                <w:spacing w:val="-2"/>
              </w:rPr>
              <w:t>i</w:t>
            </w:r>
            <w:r w:rsidRPr="002A2E73">
              <w:rPr>
                <w:spacing w:val="-2"/>
              </w:rPr>
              <w:t>nformační</w:t>
            </w:r>
            <w:r>
              <w:rPr>
                <w:spacing w:val="-2"/>
              </w:rPr>
              <w:t>ch</w:t>
            </w:r>
            <w:r w:rsidRPr="002A2E73">
              <w:rPr>
                <w:spacing w:val="-2"/>
              </w:rPr>
              <w:t xml:space="preserve"> </w:t>
            </w:r>
            <w:r w:rsidR="00BC7833" w:rsidRPr="002A2E73">
              <w:rPr>
                <w:spacing w:val="-2"/>
              </w:rPr>
              <w:t>a</w:t>
            </w:r>
            <w:r w:rsidR="00BC7833">
              <w:rPr>
                <w:spacing w:val="-2"/>
              </w:rPr>
              <w:t> </w:t>
            </w:r>
            <w:r w:rsidRPr="002A2E73">
              <w:rPr>
                <w:spacing w:val="-2"/>
              </w:rPr>
              <w:t>komunikační</w:t>
            </w:r>
            <w:r>
              <w:rPr>
                <w:spacing w:val="-2"/>
              </w:rPr>
              <w:t>ch činnostech (10</w:t>
            </w:r>
            <w:r w:rsidR="00D82A1E">
              <w:rPr>
                <w:spacing w:val="-2"/>
              </w:rPr>
              <w:t>7 </w:t>
            </w:r>
            <w:r>
              <w:rPr>
                <w:spacing w:val="-2"/>
              </w:rPr>
              <w:t>tis.). Mimo terciární sféru pak šlo o pracovníky energetiky</w:t>
            </w:r>
            <w:r w:rsidRPr="00E12C96">
              <w:rPr>
                <w:rFonts w:cs="Arial"/>
                <w:spacing w:val="-4"/>
                <w:vertAlign w:val="superscript"/>
              </w:rPr>
              <w:footnoteReference w:id="81"/>
            </w:r>
            <w:r>
              <w:rPr>
                <w:spacing w:val="-2"/>
              </w:rPr>
              <w:t xml:space="preserve"> (9</w:t>
            </w:r>
            <w:r w:rsidR="00D82A1E">
              <w:rPr>
                <w:spacing w:val="-2"/>
              </w:rPr>
              <w:t>9 </w:t>
            </w:r>
            <w:r>
              <w:rPr>
                <w:spacing w:val="-2"/>
              </w:rPr>
              <w:t xml:space="preserve">tis.). Jde zároveň </w:t>
            </w:r>
            <w:r w:rsidR="00BC7833">
              <w:rPr>
                <w:spacing w:val="-2"/>
              </w:rPr>
              <w:t>o </w:t>
            </w:r>
            <w:r>
              <w:rPr>
                <w:spacing w:val="-2"/>
              </w:rPr>
              <w:t xml:space="preserve">odvětví s celkově nejvyšší mzdovou úrovní </w:t>
            </w:r>
            <w:r w:rsidR="00BC7833">
              <w:rPr>
                <w:spacing w:val="-2"/>
              </w:rPr>
              <w:t>a </w:t>
            </w:r>
            <w:r>
              <w:rPr>
                <w:spacing w:val="-2"/>
              </w:rPr>
              <w:t xml:space="preserve">také s vysokou mzdovou variabilitou. Manažerské výdělky ve finančnictví přitom převyšovaly úroveň mezd vedoucích </w:t>
            </w:r>
            <w:r w:rsidR="00BC7833">
              <w:rPr>
                <w:spacing w:val="-2"/>
              </w:rPr>
              <w:t>a </w:t>
            </w:r>
            <w:r>
              <w:rPr>
                <w:spacing w:val="-2"/>
              </w:rPr>
              <w:t xml:space="preserve">řídících pracovníků v administrativních </w:t>
            </w:r>
            <w:r w:rsidR="00BC7833">
              <w:rPr>
                <w:spacing w:val="-2"/>
              </w:rPr>
              <w:t>a </w:t>
            </w:r>
            <w:r>
              <w:rPr>
                <w:spacing w:val="-2"/>
              </w:rPr>
              <w:t>podpůrných činnostech téměř trojnásobně. Velké odvětvové rozdíly panovaly rovněž ve třídě specialist</w:t>
            </w:r>
            <w:r w:rsidR="00D30575">
              <w:rPr>
                <w:spacing w:val="-2"/>
              </w:rPr>
              <w:t>ů</w:t>
            </w:r>
            <w:r>
              <w:rPr>
                <w:spacing w:val="-2"/>
              </w:rPr>
              <w:t>. Jejich průměrné výdělky v energetice byly dvakrát vyšší (6</w:t>
            </w:r>
            <w:r w:rsidR="00D82A1E">
              <w:rPr>
                <w:spacing w:val="-2"/>
              </w:rPr>
              <w:t>4 </w:t>
            </w:r>
            <w:r>
              <w:rPr>
                <w:spacing w:val="-2"/>
              </w:rPr>
              <w:t>tis. korun) než v ostatních činnostech služeb</w:t>
            </w:r>
            <w:r w:rsidRPr="00E12C96">
              <w:rPr>
                <w:rFonts w:cs="Arial"/>
                <w:spacing w:val="-4"/>
                <w:vertAlign w:val="superscript"/>
              </w:rPr>
              <w:footnoteReference w:id="82"/>
            </w:r>
            <w:r>
              <w:rPr>
                <w:spacing w:val="-2"/>
              </w:rPr>
              <w:t xml:space="preserve">. </w:t>
            </w:r>
            <w:r w:rsidR="00D30575">
              <w:rPr>
                <w:spacing w:val="-2"/>
              </w:rPr>
              <w:t xml:space="preserve">Relativně </w:t>
            </w:r>
            <w:r>
              <w:rPr>
                <w:spacing w:val="-2"/>
              </w:rPr>
              <w:t>velmi podprůměrné byly též výdělky specialistů ve vzdělávání (3</w:t>
            </w:r>
            <w:r w:rsidR="00D82A1E">
              <w:rPr>
                <w:spacing w:val="-2"/>
              </w:rPr>
              <w:t>7 </w:t>
            </w:r>
            <w:r>
              <w:rPr>
                <w:spacing w:val="-2"/>
              </w:rPr>
              <w:t>tis.), ti přitom v tomto odvětví tvoří více než nadpoloviční část všech zaměstnanců. O mnoho lépe na tom nebyl</w:t>
            </w:r>
            <w:r w:rsidR="00D30575">
              <w:rPr>
                <w:spacing w:val="-2"/>
              </w:rPr>
              <w:t>i</w:t>
            </w:r>
            <w:r>
              <w:rPr>
                <w:spacing w:val="-2"/>
              </w:rPr>
              <w:t xml:space="preserve"> ani specialisté </w:t>
            </w:r>
            <w:r w:rsidR="00BC7833">
              <w:rPr>
                <w:spacing w:val="-2"/>
              </w:rPr>
              <w:t>v </w:t>
            </w:r>
            <w:r>
              <w:rPr>
                <w:spacing w:val="-2"/>
              </w:rPr>
              <w:t>k</w:t>
            </w:r>
            <w:r w:rsidRPr="006A3038">
              <w:rPr>
                <w:spacing w:val="-2"/>
              </w:rPr>
              <w:t>ulturní</w:t>
            </w:r>
            <w:r>
              <w:rPr>
                <w:spacing w:val="-2"/>
              </w:rPr>
              <w:t>ch</w:t>
            </w:r>
            <w:r w:rsidRPr="006A3038">
              <w:rPr>
                <w:spacing w:val="-2"/>
              </w:rPr>
              <w:t>, zábavní</w:t>
            </w:r>
            <w:r>
              <w:rPr>
                <w:spacing w:val="-2"/>
              </w:rPr>
              <w:t>ch</w:t>
            </w:r>
            <w:r w:rsidRPr="006A3038">
              <w:rPr>
                <w:spacing w:val="-2"/>
              </w:rPr>
              <w:t xml:space="preserve"> </w:t>
            </w:r>
            <w:r w:rsidR="00BC7833" w:rsidRPr="006A3038">
              <w:rPr>
                <w:spacing w:val="-2"/>
              </w:rPr>
              <w:t>a</w:t>
            </w:r>
            <w:r w:rsidR="00BC7833">
              <w:rPr>
                <w:spacing w:val="-2"/>
              </w:rPr>
              <w:t> </w:t>
            </w:r>
            <w:r w:rsidRPr="006A3038">
              <w:rPr>
                <w:spacing w:val="-2"/>
              </w:rPr>
              <w:t>rekreační</w:t>
            </w:r>
            <w:r>
              <w:rPr>
                <w:spacing w:val="-2"/>
              </w:rPr>
              <w:t xml:space="preserve">ch činnostech. Pracovníci v této třídě dosahují v rámci odvětví s dominancí veřejného sektoru dlouhodobě nejlepšího postavení ve zdravotní </w:t>
            </w:r>
            <w:r w:rsidR="00BC7833">
              <w:rPr>
                <w:spacing w:val="-2"/>
              </w:rPr>
              <w:t>a </w:t>
            </w:r>
            <w:r>
              <w:rPr>
                <w:spacing w:val="-2"/>
              </w:rPr>
              <w:t>sociální péči (loni 5</w:t>
            </w:r>
            <w:r w:rsidR="00D82A1E">
              <w:rPr>
                <w:spacing w:val="-2"/>
              </w:rPr>
              <w:t>0 </w:t>
            </w:r>
            <w:r>
              <w:rPr>
                <w:spacing w:val="-2"/>
              </w:rPr>
              <w:t xml:space="preserve">tis. korun). V tomto odvětví jsou také patrné citelné diference výdělků mezi vysokoškoláky </w:t>
            </w:r>
            <w:r w:rsidR="00BC7833">
              <w:rPr>
                <w:spacing w:val="-2"/>
              </w:rPr>
              <w:t>a </w:t>
            </w:r>
            <w:r>
              <w:rPr>
                <w:spacing w:val="-2"/>
              </w:rPr>
              <w:t>pracovníky se středním vzděláním bez maturity, které se ale v poslední dekádě mírně snížily.</w:t>
            </w:r>
          </w:p>
        </w:tc>
      </w:tr>
      <w:tr w:rsidR="006F14C9" w:rsidRPr="005A2E40" w14:paraId="5DCF7B83" w14:textId="77777777" w:rsidTr="00A500A7">
        <w:trPr>
          <w:trHeight w:val="429"/>
        </w:trPr>
        <w:tc>
          <w:tcPr>
            <w:tcW w:w="1976" w:type="dxa"/>
            <w:tcBorders>
              <w:top w:val="nil"/>
              <w:left w:val="nil"/>
              <w:bottom w:val="nil"/>
              <w:right w:val="nil"/>
            </w:tcBorders>
          </w:tcPr>
          <w:p w14:paraId="4A727F59" w14:textId="77777777" w:rsidR="006F14C9" w:rsidRPr="00106639" w:rsidRDefault="006F14C9" w:rsidP="006F14C9">
            <w:pPr>
              <w:pStyle w:val="Marginlie"/>
            </w:pPr>
          </w:p>
        </w:tc>
        <w:tc>
          <w:tcPr>
            <w:tcW w:w="277" w:type="dxa"/>
            <w:tcBorders>
              <w:top w:val="nil"/>
              <w:left w:val="nil"/>
              <w:bottom w:val="nil"/>
              <w:right w:val="nil"/>
            </w:tcBorders>
          </w:tcPr>
          <w:p w14:paraId="258C64EE" w14:textId="77777777" w:rsidR="006F14C9" w:rsidRPr="005E4483" w:rsidRDefault="006F14C9" w:rsidP="006F14C9">
            <w:pPr>
              <w:pStyle w:val="Textpoznpodarou"/>
              <w:jc w:val="both"/>
              <w:rPr>
                <w:spacing w:val="-4"/>
              </w:rPr>
            </w:pPr>
          </w:p>
        </w:tc>
        <w:tc>
          <w:tcPr>
            <w:tcW w:w="7391" w:type="dxa"/>
            <w:tcBorders>
              <w:top w:val="nil"/>
              <w:left w:val="nil"/>
              <w:bottom w:val="nil"/>
              <w:right w:val="nil"/>
            </w:tcBorders>
          </w:tcPr>
          <w:p w14:paraId="1608D202" w14:textId="77777777" w:rsidR="006F14C9" w:rsidRPr="00711FC2" w:rsidRDefault="006F14C9" w:rsidP="006F14C9">
            <w:pPr>
              <w:spacing w:after="0"/>
            </w:pPr>
            <w:r>
              <w:rPr>
                <w:b/>
              </w:rPr>
              <w:t xml:space="preserve">Graf </w:t>
            </w:r>
            <w:r w:rsidR="00BA35F3">
              <w:rPr>
                <w:b/>
              </w:rPr>
              <w:t>č. </w:t>
            </w:r>
            <w:r w:rsidR="00306AD7">
              <w:rPr>
                <w:b/>
              </w:rPr>
              <w:t>3</w:t>
            </w:r>
            <w:r>
              <w:rPr>
                <w:b/>
              </w:rPr>
              <w:t>0</w:t>
            </w:r>
            <w:r w:rsidRPr="003601A5">
              <w:rPr>
                <w:b/>
              </w:rPr>
              <w:t xml:space="preserve">  </w:t>
            </w:r>
            <w:r>
              <w:rPr>
                <w:b/>
              </w:rPr>
              <w:t>P</w:t>
            </w:r>
            <w:r w:rsidRPr="003601A5">
              <w:rPr>
                <w:b/>
              </w:rPr>
              <w:t>r</w:t>
            </w:r>
            <w:r>
              <w:rPr>
                <w:b/>
              </w:rPr>
              <w:t>ů</w:t>
            </w:r>
            <w:r w:rsidRPr="003601A5">
              <w:rPr>
                <w:b/>
              </w:rPr>
              <w:t>měrné mzdy v krajích dle hlavních tříd zaměstnání</w:t>
            </w:r>
            <w:r w:rsidRPr="00711FC2">
              <w:t xml:space="preserve"> </w:t>
            </w:r>
          </w:p>
          <w:p w14:paraId="6B6D5E81" w14:textId="140A8B0B" w:rsidR="006F14C9" w:rsidRPr="00711FC2" w:rsidRDefault="006F14C9" w:rsidP="006F14C9">
            <w:pPr>
              <w:spacing w:after="0"/>
            </w:pPr>
            <w:r w:rsidRPr="00711FC2">
              <w:t>(</w:t>
            </w:r>
            <w:r>
              <w:t>m</w:t>
            </w:r>
            <w:r w:rsidRPr="0059472E">
              <w:t xml:space="preserve">zda </w:t>
            </w:r>
            <w:r w:rsidR="00BC7833" w:rsidRPr="0059472E">
              <w:t>v</w:t>
            </w:r>
            <w:r w:rsidR="00BC7833">
              <w:t> </w:t>
            </w:r>
            <w:r w:rsidRPr="0059472E">
              <w:t xml:space="preserve">dané třídě zaměstnání </w:t>
            </w:r>
            <w:r w:rsidR="00BC7833" w:rsidRPr="0059472E">
              <w:t>v</w:t>
            </w:r>
            <w:r w:rsidR="00BC7833">
              <w:t> </w:t>
            </w:r>
            <w:r w:rsidRPr="0059472E">
              <w:t>ČR = 100, srovnání let 2012</w:t>
            </w:r>
            <w:r>
              <w:t xml:space="preserve">, 2015 </w:t>
            </w:r>
            <w:r w:rsidR="00BC7833">
              <w:t>a </w:t>
            </w:r>
            <w:r>
              <w:t>2018</w:t>
            </w:r>
            <w:r w:rsidR="007E2E62">
              <w:t>)</w:t>
            </w:r>
          </w:p>
        </w:tc>
      </w:tr>
      <w:tr w:rsidR="006F14C9" w14:paraId="5EECFAFE" w14:textId="77777777" w:rsidTr="00A500A7">
        <w:tblPrEx>
          <w:tblCellMar>
            <w:left w:w="70" w:type="dxa"/>
            <w:right w:w="70" w:type="dxa"/>
          </w:tblCellMar>
        </w:tblPrEx>
        <w:trPr>
          <w:trHeight w:val="429"/>
        </w:trPr>
        <w:tc>
          <w:tcPr>
            <w:tcW w:w="1976" w:type="dxa"/>
            <w:tcBorders>
              <w:top w:val="nil"/>
              <w:left w:val="nil"/>
              <w:bottom w:val="nil"/>
              <w:right w:val="nil"/>
            </w:tcBorders>
          </w:tcPr>
          <w:p w14:paraId="7BC24C25" w14:textId="77777777" w:rsidR="006F14C9" w:rsidRPr="00106639" w:rsidRDefault="006F14C9" w:rsidP="006F14C9">
            <w:pPr>
              <w:pStyle w:val="Marginlie"/>
            </w:pPr>
          </w:p>
        </w:tc>
        <w:tc>
          <w:tcPr>
            <w:tcW w:w="277" w:type="dxa"/>
            <w:tcBorders>
              <w:top w:val="nil"/>
              <w:left w:val="nil"/>
              <w:bottom w:val="nil"/>
              <w:right w:val="nil"/>
            </w:tcBorders>
          </w:tcPr>
          <w:p w14:paraId="67F0156F" w14:textId="77777777" w:rsidR="006F14C9" w:rsidRPr="005E4483" w:rsidRDefault="006F14C9" w:rsidP="006F14C9">
            <w:pPr>
              <w:pStyle w:val="Textpoznpodarou"/>
              <w:jc w:val="both"/>
              <w:rPr>
                <w:spacing w:val="-4"/>
              </w:rPr>
            </w:pPr>
          </w:p>
        </w:tc>
        <w:tc>
          <w:tcPr>
            <w:tcW w:w="7391" w:type="dxa"/>
            <w:tcBorders>
              <w:top w:val="nil"/>
              <w:left w:val="nil"/>
              <w:bottom w:val="nil"/>
              <w:right w:val="nil"/>
            </w:tcBorders>
          </w:tcPr>
          <w:p w14:paraId="0073360B" w14:textId="77777777" w:rsidR="006F14C9" w:rsidRDefault="006F14C9" w:rsidP="006F14C9">
            <w:pPr>
              <w:spacing w:after="0"/>
            </w:pPr>
            <w:r>
              <w:rPr>
                <w:noProof/>
              </w:rPr>
              <w:drawing>
                <wp:inline distT="0" distB="0" distL="0" distR="0" wp14:anchorId="62768BD3" wp14:editId="78DEF850">
                  <wp:extent cx="4604385" cy="3386455"/>
                  <wp:effectExtent l="0" t="0" r="5715" b="4445"/>
                  <wp:docPr id="96" name="Graf 96"/>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tc>
      </w:tr>
      <w:tr w:rsidR="006F14C9" w:rsidRPr="005A2E40" w14:paraId="06D681C8" w14:textId="77777777" w:rsidTr="00A500A7">
        <w:trPr>
          <w:trHeight w:val="429"/>
        </w:trPr>
        <w:tc>
          <w:tcPr>
            <w:tcW w:w="1976" w:type="dxa"/>
            <w:tcBorders>
              <w:top w:val="nil"/>
              <w:left w:val="nil"/>
              <w:bottom w:val="nil"/>
              <w:right w:val="nil"/>
            </w:tcBorders>
          </w:tcPr>
          <w:p w14:paraId="4465C88D" w14:textId="77777777" w:rsidR="006F14C9" w:rsidRPr="00106639" w:rsidRDefault="006F14C9" w:rsidP="006F14C9">
            <w:pPr>
              <w:pStyle w:val="Marginlie"/>
            </w:pPr>
          </w:p>
        </w:tc>
        <w:tc>
          <w:tcPr>
            <w:tcW w:w="277" w:type="dxa"/>
            <w:tcBorders>
              <w:top w:val="nil"/>
              <w:left w:val="nil"/>
              <w:bottom w:val="nil"/>
              <w:right w:val="nil"/>
            </w:tcBorders>
          </w:tcPr>
          <w:p w14:paraId="0FCBAC35" w14:textId="77777777" w:rsidR="006F14C9" w:rsidRPr="005E4483" w:rsidRDefault="006F14C9" w:rsidP="006F14C9">
            <w:pPr>
              <w:pStyle w:val="Textpoznpodarou"/>
              <w:jc w:val="both"/>
              <w:rPr>
                <w:spacing w:val="-4"/>
              </w:rPr>
            </w:pPr>
          </w:p>
        </w:tc>
        <w:tc>
          <w:tcPr>
            <w:tcW w:w="7391" w:type="dxa"/>
            <w:tcBorders>
              <w:top w:val="nil"/>
              <w:left w:val="nil"/>
              <w:bottom w:val="nil"/>
              <w:right w:val="nil"/>
            </w:tcBorders>
          </w:tcPr>
          <w:p w14:paraId="139A1EB6" w14:textId="2B0752CD" w:rsidR="006F14C9" w:rsidRDefault="006F14C9" w:rsidP="006F14C9">
            <w:pPr>
              <w:spacing w:after="0"/>
              <w:rPr>
                <w:rFonts w:cs="Arial"/>
                <w:sz w:val="14"/>
                <w:szCs w:val="14"/>
              </w:rPr>
            </w:pPr>
            <w:r>
              <w:rPr>
                <w:rFonts w:cs="Arial"/>
                <w:sz w:val="14"/>
                <w:szCs w:val="14"/>
              </w:rPr>
              <w:t xml:space="preserve">Poznámka: Vzhledem k nízké spolehlivosti údajů v regionálním členění nejsou uvedeny třídy </w:t>
            </w:r>
            <w:r w:rsidR="008A4C18">
              <w:rPr>
                <w:rFonts w:cs="Arial"/>
                <w:sz w:val="14"/>
                <w:szCs w:val="14"/>
              </w:rPr>
              <w:t xml:space="preserve">kvalifikovaní </w:t>
            </w:r>
            <w:r>
              <w:rPr>
                <w:rFonts w:cs="Arial"/>
                <w:sz w:val="14"/>
                <w:szCs w:val="14"/>
              </w:rPr>
              <w:t xml:space="preserve">pracovníci v zemědělství, lesnictví </w:t>
            </w:r>
            <w:r w:rsidR="00BC7833">
              <w:rPr>
                <w:rFonts w:cs="Arial"/>
                <w:sz w:val="14"/>
                <w:szCs w:val="14"/>
              </w:rPr>
              <w:t>a </w:t>
            </w:r>
            <w:r>
              <w:rPr>
                <w:rFonts w:cs="Arial"/>
                <w:sz w:val="14"/>
                <w:szCs w:val="14"/>
              </w:rPr>
              <w:t xml:space="preserve">rybářství </w:t>
            </w:r>
            <w:r w:rsidR="00BC7833">
              <w:rPr>
                <w:rFonts w:cs="Arial"/>
                <w:sz w:val="14"/>
                <w:szCs w:val="14"/>
              </w:rPr>
              <w:t>a </w:t>
            </w:r>
            <w:r w:rsidR="008A4C18">
              <w:rPr>
                <w:rFonts w:cs="Arial"/>
                <w:sz w:val="14"/>
                <w:szCs w:val="14"/>
              </w:rPr>
              <w:t>z</w:t>
            </w:r>
            <w:r>
              <w:rPr>
                <w:rFonts w:cs="Arial"/>
                <w:sz w:val="14"/>
                <w:szCs w:val="14"/>
              </w:rPr>
              <w:t>aměstnanci v ozbrojených složkách.</w:t>
            </w:r>
          </w:p>
          <w:p w14:paraId="1A98DB1A" w14:textId="77777777" w:rsidR="006F14C9" w:rsidRDefault="006F14C9" w:rsidP="006F14C9">
            <w:pPr>
              <w:spacing w:after="0"/>
              <w:rPr>
                <w:rFonts w:cs="Arial"/>
                <w:sz w:val="14"/>
                <w:szCs w:val="14"/>
              </w:rPr>
            </w:pPr>
            <w:r>
              <w:rPr>
                <w:rFonts w:cs="Arial"/>
                <w:sz w:val="14"/>
                <w:szCs w:val="14"/>
              </w:rPr>
              <w:t xml:space="preserve">Zkratky krajů </w:t>
            </w:r>
            <w:r w:rsidR="00BC7833">
              <w:rPr>
                <w:rFonts w:cs="Arial"/>
                <w:sz w:val="14"/>
                <w:szCs w:val="14"/>
              </w:rPr>
              <w:t>u </w:t>
            </w:r>
            <w:r>
              <w:rPr>
                <w:rFonts w:cs="Arial"/>
                <w:sz w:val="14"/>
                <w:szCs w:val="14"/>
              </w:rPr>
              <w:t xml:space="preserve">rozpětí mimopražských regionů označují kraj s nejvyšší </w:t>
            </w:r>
            <w:r w:rsidR="00BC7833">
              <w:rPr>
                <w:rFonts w:cs="Arial"/>
                <w:sz w:val="14"/>
                <w:szCs w:val="14"/>
              </w:rPr>
              <w:t>a </w:t>
            </w:r>
            <w:r>
              <w:rPr>
                <w:rFonts w:cs="Arial"/>
                <w:sz w:val="14"/>
                <w:szCs w:val="14"/>
              </w:rPr>
              <w:t>nejnižší hodnotou.</w:t>
            </w:r>
          </w:p>
          <w:p w14:paraId="751A23A6" w14:textId="77777777" w:rsidR="006F14C9" w:rsidRPr="00711FC2" w:rsidRDefault="006F14C9" w:rsidP="006F14C9">
            <w:pPr>
              <w:spacing w:after="200"/>
            </w:pPr>
            <w:r w:rsidRPr="00444E6D">
              <w:rPr>
                <w:rFonts w:cs="Arial"/>
                <w:sz w:val="14"/>
                <w:szCs w:val="14"/>
              </w:rPr>
              <w:t xml:space="preserve">Zdroj: </w:t>
            </w:r>
            <w:r>
              <w:rPr>
                <w:rFonts w:cs="Arial"/>
                <w:sz w:val="14"/>
                <w:szCs w:val="14"/>
              </w:rPr>
              <w:t xml:space="preserve">MPSV </w:t>
            </w:r>
            <w:r w:rsidR="00BC7833">
              <w:rPr>
                <w:rFonts w:cs="Arial"/>
                <w:sz w:val="14"/>
                <w:szCs w:val="14"/>
              </w:rPr>
              <w:t>a </w:t>
            </w:r>
            <w:r>
              <w:rPr>
                <w:rFonts w:cs="Arial"/>
                <w:sz w:val="14"/>
                <w:szCs w:val="14"/>
              </w:rPr>
              <w:t>ČSÚ (Strukturální mzdová statistika)</w:t>
            </w:r>
          </w:p>
        </w:tc>
      </w:tr>
      <w:tr w:rsidR="006F14C9" w14:paraId="019D134A" w14:textId="77777777" w:rsidTr="00A500A7">
        <w:trPr>
          <w:trHeight w:val="145"/>
        </w:trPr>
        <w:tc>
          <w:tcPr>
            <w:tcW w:w="1976" w:type="dxa"/>
            <w:tcBorders>
              <w:top w:val="nil"/>
              <w:left w:val="nil"/>
              <w:bottom w:val="nil"/>
              <w:right w:val="nil"/>
            </w:tcBorders>
          </w:tcPr>
          <w:p w14:paraId="6E3D8D7A" w14:textId="77777777" w:rsidR="006F14C9" w:rsidRDefault="006F14C9" w:rsidP="006F14C9">
            <w:pPr>
              <w:pStyle w:val="Marginlie"/>
            </w:pPr>
            <w:r>
              <w:t xml:space="preserve">Dominance Prahy nad ostatními regiony ve výši průměrných výdělků klesá </w:t>
            </w:r>
            <w:r>
              <w:lastRenderedPageBreak/>
              <w:t>spolu s nižší kvalifikační úrovní zaměstnání.</w:t>
            </w:r>
          </w:p>
          <w:p w14:paraId="4A696786" w14:textId="77777777" w:rsidR="006F14C9" w:rsidRDefault="006F14C9" w:rsidP="006F14C9">
            <w:pPr>
              <w:pStyle w:val="Marginlie"/>
            </w:pPr>
          </w:p>
          <w:p w14:paraId="48B5503A" w14:textId="77777777" w:rsidR="006F14C9" w:rsidRDefault="006F14C9" w:rsidP="006F14C9">
            <w:pPr>
              <w:pStyle w:val="Marginlie"/>
            </w:pPr>
          </w:p>
          <w:p w14:paraId="6ED3A506" w14:textId="77777777" w:rsidR="006F14C9" w:rsidRDefault="006F14C9" w:rsidP="006F14C9">
            <w:pPr>
              <w:pStyle w:val="Marginlie"/>
            </w:pPr>
          </w:p>
          <w:p w14:paraId="486EBCDB" w14:textId="77777777" w:rsidR="006F14C9" w:rsidRDefault="006F14C9" w:rsidP="006F14C9">
            <w:pPr>
              <w:pStyle w:val="Marginlie"/>
            </w:pPr>
          </w:p>
          <w:p w14:paraId="5B500A21" w14:textId="5C8338BF" w:rsidR="006F14C9" w:rsidRDefault="006F14C9" w:rsidP="006F14C9">
            <w:pPr>
              <w:pStyle w:val="Marginlie"/>
            </w:pPr>
            <w:r>
              <w:t xml:space="preserve">Disparity mezi mimopražskými kraji se zvyšovaly zejména ve třídě zákonodárců </w:t>
            </w:r>
            <w:r w:rsidR="00BC7833">
              <w:t>a </w:t>
            </w:r>
            <w:r>
              <w:t xml:space="preserve">vedoucích </w:t>
            </w:r>
            <w:r w:rsidR="00D30575">
              <w:t>a</w:t>
            </w:r>
            <w:r>
              <w:t> řídících pracovníků.</w:t>
            </w:r>
          </w:p>
        </w:tc>
        <w:tc>
          <w:tcPr>
            <w:tcW w:w="277" w:type="dxa"/>
            <w:tcBorders>
              <w:top w:val="nil"/>
              <w:left w:val="nil"/>
              <w:bottom w:val="nil"/>
              <w:right w:val="nil"/>
            </w:tcBorders>
          </w:tcPr>
          <w:p w14:paraId="28A17566" w14:textId="77777777" w:rsidR="006F14C9" w:rsidRPr="005E4483" w:rsidRDefault="006F14C9" w:rsidP="006F14C9">
            <w:pPr>
              <w:pStyle w:val="Textpoznpodarou"/>
              <w:jc w:val="both"/>
              <w:rPr>
                <w:spacing w:val="-4"/>
              </w:rPr>
            </w:pPr>
          </w:p>
        </w:tc>
        <w:tc>
          <w:tcPr>
            <w:tcW w:w="7391" w:type="dxa"/>
            <w:tcBorders>
              <w:top w:val="nil"/>
              <w:left w:val="nil"/>
              <w:bottom w:val="nil"/>
              <w:right w:val="nil"/>
            </w:tcBorders>
          </w:tcPr>
          <w:p w14:paraId="552182A0" w14:textId="53005EB5" w:rsidR="006F14C9" w:rsidRDefault="00BC7833" w:rsidP="006F14C9">
            <w:pPr>
              <w:spacing w:after="0"/>
              <w:rPr>
                <w:rFonts w:cs="Arial"/>
                <w:color w:val="0D0D0D" w:themeColor="text1" w:themeTint="F2"/>
                <w:spacing w:val="-4"/>
              </w:rPr>
            </w:pPr>
            <w:r>
              <w:rPr>
                <w:rFonts w:cs="Arial"/>
                <w:color w:val="0D0D0D" w:themeColor="text1" w:themeTint="F2"/>
                <w:spacing w:val="-4"/>
              </w:rPr>
              <w:t>V </w:t>
            </w:r>
            <w:r w:rsidR="006F14C9">
              <w:rPr>
                <w:rFonts w:cs="Arial"/>
                <w:color w:val="0D0D0D" w:themeColor="text1" w:themeTint="F2"/>
                <w:spacing w:val="-4"/>
              </w:rPr>
              <w:t xml:space="preserve">oblasti regionálních disparit sledujeme v poslední dekádě postupné oslabování relativní převahy Prahy nad ostatními kraji. To je zjevně patrné zejména </w:t>
            </w:r>
            <w:r>
              <w:rPr>
                <w:rFonts w:cs="Arial"/>
                <w:color w:val="0D0D0D" w:themeColor="text1" w:themeTint="F2"/>
                <w:spacing w:val="-4"/>
              </w:rPr>
              <w:t>u </w:t>
            </w:r>
            <w:r w:rsidR="006F14C9">
              <w:rPr>
                <w:rFonts w:cs="Arial"/>
                <w:color w:val="0D0D0D" w:themeColor="text1" w:themeTint="F2"/>
                <w:spacing w:val="-4"/>
              </w:rPr>
              <w:t xml:space="preserve">průměrných </w:t>
            </w:r>
            <w:r w:rsidR="006F14C9">
              <w:rPr>
                <w:rFonts w:cs="Arial"/>
                <w:color w:val="0D0D0D" w:themeColor="text1" w:themeTint="F2"/>
                <w:spacing w:val="-4"/>
              </w:rPr>
              <w:lastRenderedPageBreak/>
              <w:t xml:space="preserve">mezd řídících pracovníků </w:t>
            </w:r>
            <w:r w:rsidR="002D4854">
              <w:rPr>
                <w:rFonts w:cs="Arial"/>
                <w:color w:val="0D0D0D" w:themeColor="text1" w:themeTint="F2"/>
                <w:spacing w:val="-4"/>
              </w:rPr>
              <w:t>a </w:t>
            </w:r>
            <w:r w:rsidR="006F14C9">
              <w:rPr>
                <w:rFonts w:cs="Arial"/>
                <w:color w:val="0D0D0D" w:themeColor="text1" w:themeTint="F2"/>
                <w:spacing w:val="-4"/>
              </w:rPr>
              <w:t xml:space="preserve">specialistů, ale </w:t>
            </w:r>
            <w:r w:rsidR="002D4854">
              <w:rPr>
                <w:rFonts w:cs="Arial"/>
                <w:color w:val="0D0D0D" w:themeColor="text1" w:themeTint="F2"/>
                <w:spacing w:val="-4"/>
              </w:rPr>
              <w:t>i </w:t>
            </w:r>
            <w:r>
              <w:rPr>
                <w:rFonts w:cs="Arial"/>
                <w:color w:val="0D0D0D" w:themeColor="text1" w:themeTint="F2"/>
                <w:spacing w:val="-4"/>
              </w:rPr>
              <w:t>u </w:t>
            </w:r>
            <w:r w:rsidR="006F14C9">
              <w:rPr>
                <w:rFonts w:cs="Arial"/>
                <w:color w:val="0D0D0D" w:themeColor="text1" w:themeTint="F2"/>
                <w:spacing w:val="-4"/>
              </w:rPr>
              <w:t xml:space="preserve">pomocných </w:t>
            </w:r>
            <w:r>
              <w:rPr>
                <w:rFonts w:cs="Arial"/>
                <w:color w:val="0D0D0D" w:themeColor="text1" w:themeTint="F2"/>
                <w:spacing w:val="-4"/>
              </w:rPr>
              <w:t>a </w:t>
            </w:r>
            <w:r w:rsidR="006F14C9">
              <w:rPr>
                <w:rFonts w:cs="Arial"/>
                <w:color w:val="0D0D0D" w:themeColor="text1" w:themeTint="F2"/>
                <w:spacing w:val="-4"/>
              </w:rPr>
              <w:t xml:space="preserve">nekvalifikovaných pracovníků. Na druhé straně se objevují </w:t>
            </w:r>
            <w:r>
              <w:rPr>
                <w:rFonts w:cs="Arial"/>
                <w:color w:val="0D0D0D" w:themeColor="text1" w:themeTint="F2"/>
                <w:spacing w:val="-4"/>
              </w:rPr>
              <w:t>i </w:t>
            </w:r>
            <w:r w:rsidR="006F14C9">
              <w:rPr>
                <w:rFonts w:cs="Arial"/>
                <w:color w:val="0D0D0D" w:themeColor="text1" w:themeTint="F2"/>
                <w:spacing w:val="-4"/>
              </w:rPr>
              <w:t xml:space="preserve">náznaky mírného rozevírání nůžek mezi mimopražskými regiony, hlavně </w:t>
            </w:r>
            <w:r>
              <w:rPr>
                <w:rFonts w:cs="Arial"/>
                <w:color w:val="0D0D0D" w:themeColor="text1" w:themeTint="F2"/>
                <w:spacing w:val="-4"/>
              </w:rPr>
              <w:t>u </w:t>
            </w:r>
            <w:r w:rsidR="006F14C9">
              <w:rPr>
                <w:rFonts w:cs="Arial"/>
                <w:color w:val="0D0D0D" w:themeColor="text1" w:themeTint="F2"/>
                <w:spacing w:val="-4"/>
              </w:rPr>
              <w:t>pracovníků v krajních třídách kvalifikačního spektra (tj.</w:t>
            </w:r>
            <w:r w:rsidR="002D4854">
              <w:rPr>
                <w:rFonts w:cs="Arial"/>
                <w:color w:val="0D0D0D" w:themeColor="text1" w:themeTint="F2"/>
                <w:spacing w:val="-4"/>
              </w:rPr>
              <w:t> u </w:t>
            </w:r>
            <w:r w:rsidR="006F14C9">
              <w:rPr>
                <w:rFonts w:cs="Arial"/>
                <w:color w:val="0D0D0D" w:themeColor="text1" w:themeTint="F2"/>
                <w:spacing w:val="-4"/>
              </w:rPr>
              <w:t xml:space="preserve">manažerských </w:t>
            </w:r>
            <w:r>
              <w:rPr>
                <w:rFonts w:cs="Arial"/>
                <w:color w:val="0D0D0D" w:themeColor="text1" w:themeTint="F2"/>
                <w:spacing w:val="-4"/>
              </w:rPr>
              <w:t>i </w:t>
            </w:r>
            <w:r w:rsidR="006F14C9">
              <w:rPr>
                <w:rFonts w:cs="Arial"/>
                <w:color w:val="0D0D0D" w:themeColor="text1" w:themeTint="F2"/>
                <w:spacing w:val="-4"/>
              </w:rPr>
              <w:t xml:space="preserve">nekvalifikovaných pozic), v menší míře </w:t>
            </w:r>
            <w:r>
              <w:rPr>
                <w:rFonts w:cs="Arial"/>
                <w:color w:val="0D0D0D" w:themeColor="text1" w:themeTint="F2"/>
                <w:spacing w:val="-4"/>
              </w:rPr>
              <w:t>i u </w:t>
            </w:r>
            <w:r w:rsidR="006F14C9">
              <w:rPr>
                <w:rFonts w:cs="Arial"/>
                <w:color w:val="0D0D0D" w:themeColor="text1" w:themeTint="F2"/>
                <w:spacing w:val="-4"/>
              </w:rPr>
              <w:t xml:space="preserve">úředníků. Na jejich čele se napříč kvalifikačními třídami objevuje nejčastěji Středočeský kraj, na straně minim pak především </w:t>
            </w:r>
            <w:r w:rsidR="002D4854">
              <w:rPr>
                <w:rFonts w:cs="Arial"/>
                <w:color w:val="0D0D0D" w:themeColor="text1" w:themeTint="F2"/>
                <w:spacing w:val="-4"/>
              </w:rPr>
              <w:t xml:space="preserve">kraje </w:t>
            </w:r>
            <w:r w:rsidR="006F14C9">
              <w:rPr>
                <w:rFonts w:cs="Arial"/>
                <w:color w:val="0D0D0D" w:themeColor="text1" w:themeTint="F2"/>
                <w:spacing w:val="-4"/>
              </w:rPr>
              <w:t xml:space="preserve">Karlovarský, Olomoucký </w:t>
            </w:r>
            <w:r>
              <w:rPr>
                <w:rFonts w:cs="Arial"/>
                <w:color w:val="0D0D0D" w:themeColor="text1" w:themeTint="F2"/>
                <w:spacing w:val="-4"/>
              </w:rPr>
              <w:t>a </w:t>
            </w:r>
            <w:r w:rsidR="006F14C9">
              <w:rPr>
                <w:rFonts w:cs="Arial"/>
                <w:color w:val="0D0D0D" w:themeColor="text1" w:themeTint="F2"/>
                <w:spacing w:val="-4"/>
              </w:rPr>
              <w:t xml:space="preserve">Moravskoslezský. Zvláštní bylo postavení Jihočeského kraje, který vévodil mimopražským regionům ve třídě pracovníků ve službách </w:t>
            </w:r>
            <w:r>
              <w:rPr>
                <w:rFonts w:cs="Arial"/>
                <w:color w:val="0D0D0D" w:themeColor="text1" w:themeTint="F2"/>
                <w:spacing w:val="-4"/>
              </w:rPr>
              <w:t>a </w:t>
            </w:r>
            <w:r w:rsidR="006F14C9">
              <w:rPr>
                <w:rFonts w:cs="Arial"/>
                <w:color w:val="0D0D0D" w:themeColor="text1" w:themeTint="F2"/>
                <w:spacing w:val="-4"/>
              </w:rPr>
              <w:t>prodeji (což patrně souviselo s rozvinutým cestovní</w:t>
            </w:r>
            <w:r w:rsidR="002D4854">
              <w:rPr>
                <w:rFonts w:cs="Arial"/>
                <w:color w:val="0D0D0D" w:themeColor="text1" w:themeTint="F2"/>
                <w:spacing w:val="-4"/>
              </w:rPr>
              <w:t>m</w:t>
            </w:r>
            <w:r w:rsidR="006F14C9">
              <w:rPr>
                <w:rFonts w:cs="Arial"/>
                <w:color w:val="0D0D0D" w:themeColor="text1" w:themeTint="F2"/>
                <w:spacing w:val="-4"/>
              </w:rPr>
              <w:t xml:space="preserve"> ruchem, jak dokládá i nadprůměrné postavení Karlovarského kraje). Naopak </w:t>
            </w:r>
            <w:r>
              <w:rPr>
                <w:rFonts w:cs="Arial"/>
                <w:color w:val="0D0D0D" w:themeColor="text1" w:themeTint="F2"/>
                <w:spacing w:val="-4"/>
              </w:rPr>
              <w:t>u </w:t>
            </w:r>
            <w:r w:rsidR="006F14C9">
              <w:rPr>
                <w:rFonts w:cs="Arial"/>
                <w:color w:val="0D0D0D" w:themeColor="text1" w:themeTint="F2"/>
                <w:spacing w:val="-4"/>
              </w:rPr>
              <w:t xml:space="preserve">specialistů měl tento kraj nejslabší pozici, výdělky zde </w:t>
            </w:r>
            <w:r>
              <w:rPr>
                <w:rFonts w:cs="Arial"/>
                <w:color w:val="0D0D0D" w:themeColor="text1" w:themeTint="F2"/>
                <w:spacing w:val="-4"/>
              </w:rPr>
              <w:t>o </w:t>
            </w:r>
            <w:r w:rsidR="006F14C9">
              <w:rPr>
                <w:rFonts w:cs="Arial"/>
                <w:color w:val="0D0D0D" w:themeColor="text1" w:themeTint="F2"/>
                <w:spacing w:val="-4"/>
              </w:rPr>
              <w:t>desetinu zaostávaly za Jihomoravským krajem (kde se projevoval vliv silně rozvinutého vysokého školství v kombinaci s vyšší koncentrací významných správních funkcí jako důsledek pozice druhého největšího centra Česka). Poměrně výraznými relativními regionálními rozdíly se překvapivě vyznačovaly výdělky pomocných a nekvalifikovaných pracovníků. V poslední dekádě zde nejvyššími průměrnými mzdami dominovaly kraje se silným zastoupením průmyslu (Středočeský, Plzeňský, Liberecký). Naopak pozice Prahy zde citelně oslabovala, loni byla dokonce poprvé na nejhorším místě mezi kraji (18,</w:t>
            </w:r>
            <w:r w:rsidR="00D82A1E">
              <w:rPr>
                <w:rFonts w:cs="Arial"/>
                <w:color w:val="0D0D0D" w:themeColor="text1" w:themeTint="F2"/>
                <w:spacing w:val="-4"/>
              </w:rPr>
              <w:t>5 </w:t>
            </w:r>
            <w:r w:rsidR="006F14C9">
              <w:rPr>
                <w:rFonts w:cs="Arial"/>
                <w:color w:val="0D0D0D" w:themeColor="text1" w:themeTint="F2"/>
                <w:spacing w:val="-4"/>
              </w:rPr>
              <w:t xml:space="preserve">tis. hrubého měsíčně) </w:t>
            </w:r>
            <w:r>
              <w:rPr>
                <w:rFonts w:cs="Arial"/>
                <w:color w:val="0D0D0D" w:themeColor="text1" w:themeTint="F2"/>
                <w:spacing w:val="-4"/>
              </w:rPr>
              <w:t>a </w:t>
            </w:r>
            <w:r w:rsidR="006F14C9">
              <w:rPr>
                <w:rFonts w:cs="Arial"/>
                <w:color w:val="0D0D0D" w:themeColor="text1" w:themeTint="F2"/>
                <w:spacing w:val="-4"/>
              </w:rPr>
              <w:t>na nejlépe postavený kraj Plzeňský zde zaměstnanci v průměru ztráceli bezmála čtyři tisíce korun.</w:t>
            </w:r>
          </w:p>
        </w:tc>
      </w:tr>
    </w:tbl>
    <w:p w14:paraId="11E6C353" w14:textId="78E37987" w:rsidR="008B4CC2" w:rsidRPr="008B4CC2" w:rsidRDefault="008B4CC2" w:rsidP="000F6340">
      <w:pPr>
        <w:pStyle w:val="Normalodrka"/>
        <w:numPr>
          <w:ilvl w:val="0"/>
          <w:numId w:val="0"/>
        </w:numPr>
        <w:spacing w:after="160"/>
        <w:rPr>
          <w:rFonts w:eastAsia="MS Gothic"/>
          <w:bCs/>
          <w:color w:val="71818C"/>
          <w:szCs w:val="20"/>
        </w:rPr>
      </w:pPr>
      <w:bookmarkStart w:id="4" w:name="_GoBack"/>
      <w:bookmarkEnd w:id="4"/>
    </w:p>
    <w:sectPr w:rsidR="008B4CC2" w:rsidRPr="008B4CC2" w:rsidSect="006F5416">
      <w:headerReference w:type="even" r:id="rId48"/>
      <w:headerReference w:type="default" r:id="rId49"/>
      <w:footerReference w:type="even" r:id="rId50"/>
      <w:footerReference w:type="default" r:id="rId51"/>
      <w:footnotePr>
        <w:pos w:val="beneathText"/>
      </w:footnotePr>
      <w:pgSz w:w="11906" w:h="16838" w:code="9"/>
      <w:pgMar w:top="1134" w:right="1134" w:bottom="1418" w:left="1134" w:header="680" w:footer="680"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3A571AD" w16cid:durableId="2112BAA4"/>
  <w16cid:commentId w16cid:paraId="797DF3BF" w16cid:durableId="2112C741"/>
  <w16cid:commentId w16cid:paraId="5D9BFD76" w16cid:durableId="2112CAF1"/>
  <w16cid:commentId w16cid:paraId="4D2643BC" w16cid:durableId="2112D015"/>
  <w16cid:commentId w16cid:paraId="64EAC988" w16cid:durableId="21137880"/>
  <w16cid:commentId w16cid:paraId="5446B628" w16cid:durableId="211389B5"/>
  <w16cid:commentId w16cid:paraId="368D907F" w16cid:durableId="2113CB61"/>
  <w16cid:commentId w16cid:paraId="2E75A395" w16cid:durableId="21138B79"/>
  <w16cid:commentId w16cid:paraId="4E2854D6" w16cid:durableId="21138CCC"/>
  <w16cid:commentId w16cid:paraId="6D7E8A28" w16cid:durableId="2113CA35"/>
  <w16cid:commentId w16cid:paraId="322B2F7D" w16cid:durableId="2113CBFB"/>
  <w16cid:commentId w16cid:paraId="149A838A" w16cid:durableId="2113DEC4"/>
  <w16cid:commentId w16cid:paraId="12349168" w16cid:durableId="2113E013"/>
  <w16cid:commentId w16cid:paraId="27C8990F" w16cid:durableId="2113DC11"/>
  <w16cid:commentId w16cid:paraId="04071B5F" w16cid:durableId="2113E16E"/>
  <w16cid:commentId w16cid:paraId="447DAD33" w16cid:durableId="2114CE72"/>
  <w16cid:commentId w16cid:paraId="6ECA3228" w16cid:durableId="2114DDC4"/>
  <w16cid:commentId w16cid:paraId="77FF6D81" w16cid:durableId="2114DFBA"/>
  <w16cid:commentId w16cid:paraId="0890F7F0" w16cid:durableId="2114DB9F"/>
  <w16cid:commentId w16cid:paraId="60A4E397" w16cid:durableId="21141192"/>
  <w16cid:commentId w16cid:paraId="4F3D94F7" w16cid:durableId="21152395"/>
  <w16cid:commentId w16cid:paraId="635721EC" w16cid:durableId="21152AA2"/>
  <w16cid:commentId w16cid:paraId="6ED35DA1" w16cid:durableId="2115337B"/>
  <w16cid:commentId w16cid:paraId="2E561FF0" w16cid:durableId="21175359"/>
  <w16cid:commentId w16cid:paraId="0833B399" w16cid:durableId="211776E6"/>
  <w16cid:commentId w16cid:paraId="7FB202E3" w16cid:durableId="21177A5E"/>
  <w16cid:commentId w16cid:paraId="77C610BB" w16cid:durableId="211785A9"/>
  <w16cid:commentId w16cid:paraId="5945CE27" w16cid:durableId="2117B660"/>
  <w16cid:commentId w16cid:paraId="65B5C048" w16cid:durableId="2117C193"/>
  <w16cid:commentId w16cid:paraId="64DEABC3" w16cid:durableId="2117CCC1"/>
  <w16cid:commentId w16cid:paraId="290BB16F" w16cid:durableId="2117BCE5"/>
  <w16cid:commentId w16cid:paraId="6737B076" w16cid:durableId="2117DCF9"/>
  <w16cid:commentId w16cid:paraId="26EA541D" w16cid:durableId="21180946"/>
  <w16cid:commentId w16cid:paraId="3E19951C" w16cid:durableId="21180DF8"/>
  <w16cid:commentId w16cid:paraId="1468C132" w16cid:durableId="21189FD4"/>
  <w16cid:commentId w16cid:paraId="554224F1" w16cid:durableId="2118A096"/>
  <w16cid:commentId w16cid:paraId="60D37C55" w16cid:durableId="2118B1E6"/>
  <w16cid:commentId w16cid:paraId="588B042A" w16cid:durableId="2118A2F3"/>
  <w16cid:commentId w16cid:paraId="5DE0CF6E" w16cid:durableId="2118B48C"/>
  <w16cid:commentId w16cid:paraId="581472C4" w16cid:durableId="2118A3E1"/>
  <w16cid:commentId w16cid:paraId="18133820" w16cid:durableId="2118A61B"/>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731C9E1" w14:textId="77777777" w:rsidR="007E6AD9" w:rsidRDefault="007E6AD9" w:rsidP="00E71A58">
      <w:r>
        <w:separator/>
      </w:r>
    </w:p>
  </w:endnote>
  <w:endnote w:type="continuationSeparator" w:id="0">
    <w:p w14:paraId="128583A6" w14:textId="77777777" w:rsidR="007E6AD9" w:rsidRDefault="007E6AD9" w:rsidP="00E71A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Minion Pro">
    <w:charset w:val="00"/>
    <w:family w:val="auto"/>
    <w:pitch w:val="variable"/>
    <w:sig w:usb0="00000003" w:usb1="00000000" w:usb2="00000000" w:usb3="00000000" w:csb0="00000001" w:csb1="00000000"/>
  </w:font>
  <w:font w:name="Times New Roman CE obyèejné">
    <w:altName w:val="Times New Roman"/>
    <w:panose1 w:val="00000000000000000000"/>
    <w:charset w:val="00"/>
    <w:family w:val="auto"/>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D684EF" w14:textId="6D285AFB" w:rsidR="004E684C" w:rsidRPr="00932443" w:rsidRDefault="004E684C" w:rsidP="00A418BC">
    <w:pPr>
      <w:pStyle w:val="Zpat"/>
      <w:rPr>
        <w:szCs w:val="16"/>
      </w:rPr>
    </w:pPr>
    <w:r>
      <w:rPr>
        <w:szCs w:val="16"/>
        <w:lang w:eastAsia="cs-CZ"/>
      </w:rPr>
      <w:drawing>
        <wp:anchor distT="0" distB="0" distL="114300" distR="114300" simplePos="0" relativeHeight="251658240" behindDoc="0" locked="0" layoutInCell="1" allowOverlap="1" wp14:anchorId="6E37B55D" wp14:editId="6A3597CF">
          <wp:simplePos x="0" y="0"/>
          <wp:positionH relativeFrom="column">
            <wp:align>right</wp:align>
          </wp:positionH>
          <wp:positionV relativeFrom="paragraph">
            <wp:posOffset>-64770</wp:posOffset>
          </wp:positionV>
          <wp:extent cx="428625" cy="201295"/>
          <wp:effectExtent l="0" t="0" r="3175" b="1905"/>
          <wp:wrapNone/>
          <wp:docPr id="113" name="Picture 15" descr="CSU RGB CZ 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SU RGB CZ logo-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8625" cy="201295"/>
                  </a:xfrm>
                  <a:prstGeom prst="rect">
                    <a:avLst/>
                  </a:prstGeom>
                  <a:noFill/>
                  <a:ln>
                    <a:noFill/>
                  </a:ln>
                </pic:spPr>
              </pic:pic>
            </a:graphicData>
          </a:graphic>
        </wp:anchor>
      </w:drawing>
    </w:r>
    <w:r w:rsidRPr="00932443">
      <w:rPr>
        <w:szCs w:val="16"/>
      </w:rPr>
      <w:fldChar w:fldCharType="begin"/>
    </w:r>
    <w:r w:rsidRPr="00932443">
      <w:rPr>
        <w:szCs w:val="16"/>
      </w:rPr>
      <w:instrText>PAGE   \* MERGEFORMAT</w:instrText>
    </w:r>
    <w:r w:rsidRPr="00932443">
      <w:rPr>
        <w:szCs w:val="16"/>
      </w:rPr>
      <w:fldChar w:fldCharType="separate"/>
    </w:r>
    <w:r w:rsidR="00F03FDE">
      <w:rPr>
        <w:szCs w:val="16"/>
      </w:rPr>
      <w:t>44</w:t>
    </w:r>
    <w:r w:rsidRPr="00932443">
      <w:rPr>
        <w:szCs w:val="16"/>
      </w:rPr>
      <w:fldChar w:fldCharType="end"/>
    </w:r>
    <w:r w:rsidRPr="00932443">
      <w:rPr>
        <w:szCs w:val="16"/>
      </w:rPr>
      <w:tab/>
    </w:r>
    <w:r>
      <w:rPr>
        <w:szCs w:val="16"/>
      </w:rPr>
      <w:t>2019</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C86E2E" w14:textId="20C00AD3" w:rsidR="004E684C" w:rsidRPr="00932443" w:rsidRDefault="004E684C" w:rsidP="00A418BC">
    <w:pPr>
      <w:pStyle w:val="Zpat"/>
      <w:rPr>
        <w:szCs w:val="16"/>
      </w:rPr>
    </w:pPr>
    <w:r>
      <w:rPr>
        <w:szCs w:val="16"/>
        <w:lang w:eastAsia="cs-CZ"/>
      </w:rPr>
      <w:drawing>
        <wp:anchor distT="0" distB="0" distL="114300" distR="114300" simplePos="0" relativeHeight="251657216" behindDoc="0" locked="0" layoutInCell="1" allowOverlap="1" wp14:anchorId="250DD71D" wp14:editId="1F023121">
          <wp:simplePos x="0" y="0"/>
          <wp:positionH relativeFrom="column">
            <wp:align>left</wp:align>
          </wp:positionH>
          <wp:positionV relativeFrom="paragraph">
            <wp:posOffset>-122555</wp:posOffset>
          </wp:positionV>
          <wp:extent cx="510540" cy="272415"/>
          <wp:effectExtent l="0" t="0" r="0" b="6985"/>
          <wp:wrapNone/>
          <wp:docPr id="114" name="Picture 16" descr="CSU RGB CZ logo-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SU RGB CZ logo-0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10540" cy="272415"/>
                  </a:xfrm>
                  <a:prstGeom prst="rect">
                    <a:avLst/>
                  </a:prstGeom>
                  <a:noFill/>
                  <a:ln>
                    <a:noFill/>
                  </a:ln>
                </pic:spPr>
              </pic:pic>
            </a:graphicData>
          </a:graphic>
        </wp:anchor>
      </w:drawing>
    </w:r>
    <w:r w:rsidRPr="00932443">
      <w:rPr>
        <w:szCs w:val="16"/>
      </w:rPr>
      <w:tab/>
    </w:r>
    <w:r>
      <w:rPr>
        <w:rStyle w:val="ZpatChar"/>
        <w:szCs w:val="16"/>
      </w:rPr>
      <w:t>2019</w:t>
    </w:r>
    <w:r w:rsidRPr="00932443">
      <w:rPr>
        <w:szCs w:val="16"/>
      </w:rPr>
      <w:tab/>
    </w:r>
    <w:r w:rsidRPr="00932443">
      <w:rPr>
        <w:rStyle w:val="ZpatChar"/>
        <w:szCs w:val="16"/>
      </w:rPr>
      <w:fldChar w:fldCharType="begin"/>
    </w:r>
    <w:r w:rsidRPr="00932443">
      <w:rPr>
        <w:rStyle w:val="ZpatChar"/>
        <w:szCs w:val="16"/>
      </w:rPr>
      <w:instrText>PAGE   \* MERGEFORMAT</w:instrText>
    </w:r>
    <w:r w:rsidRPr="00932443">
      <w:rPr>
        <w:rStyle w:val="ZpatChar"/>
        <w:szCs w:val="16"/>
      </w:rPr>
      <w:fldChar w:fldCharType="separate"/>
    </w:r>
    <w:r w:rsidR="00F03FDE">
      <w:rPr>
        <w:rStyle w:val="ZpatChar"/>
        <w:szCs w:val="16"/>
      </w:rPr>
      <w:t>45</w:t>
    </w:r>
    <w:r w:rsidRPr="00932443">
      <w:rPr>
        <w:rStyle w:val="ZpatChar"/>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4AD8507" w14:textId="77777777" w:rsidR="007E6AD9" w:rsidRDefault="007E6AD9" w:rsidP="0084727E">
      <w:pPr>
        <w:spacing w:after="0"/>
      </w:pPr>
      <w:r>
        <w:separator/>
      </w:r>
    </w:p>
  </w:footnote>
  <w:footnote w:type="continuationSeparator" w:id="0">
    <w:p w14:paraId="4404E1E4" w14:textId="77777777" w:rsidR="007E6AD9" w:rsidRDefault="007E6AD9" w:rsidP="00E71A58">
      <w:r>
        <w:continuationSeparator/>
      </w:r>
    </w:p>
  </w:footnote>
  <w:footnote w:id="1">
    <w:p w14:paraId="32237E4E" w14:textId="77777777" w:rsidR="004E684C" w:rsidRPr="00E93575" w:rsidRDefault="004E684C" w:rsidP="000A52EF">
      <w:pPr>
        <w:pStyle w:val="Textpoznpodarou"/>
        <w:rPr>
          <w:spacing w:val="-4"/>
          <w:sz w:val="16"/>
          <w:szCs w:val="16"/>
        </w:rPr>
      </w:pPr>
      <w:r w:rsidRPr="00E93575">
        <w:rPr>
          <w:rStyle w:val="Znakapoznpodarou"/>
          <w:spacing w:val="-4"/>
          <w:sz w:val="16"/>
          <w:szCs w:val="16"/>
        </w:rPr>
        <w:footnoteRef/>
      </w:r>
      <w:r>
        <w:rPr>
          <w:spacing w:val="-4"/>
          <w:sz w:val="16"/>
          <w:szCs w:val="16"/>
        </w:rPr>
        <w:t xml:space="preserve"> Zaměstnanost je uvedena v pojetí národních účtů.</w:t>
      </w:r>
    </w:p>
  </w:footnote>
  <w:footnote w:id="2">
    <w:p w14:paraId="16B13C79" w14:textId="3FBCC8ED" w:rsidR="004E684C" w:rsidRPr="00E93575" w:rsidRDefault="004E684C" w:rsidP="00CA4551">
      <w:pPr>
        <w:pStyle w:val="Textpoznpodarou"/>
        <w:rPr>
          <w:spacing w:val="-4"/>
          <w:sz w:val="16"/>
          <w:szCs w:val="16"/>
        </w:rPr>
      </w:pPr>
      <w:r w:rsidRPr="00E93575">
        <w:rPr>
          <w:rStyle w:val="Znakapoznpodarou"/>
          <w:spacing w:val="-4"/>
          <w:sz w:val="16"/>
          <w:szCs w:val="16"/>
        </w:rPr>
        <w:footnoteRef/>
      </w:r>
      <w:r>
        <w:rPr>
          <w:spacing w:val="-4"/>
          <w:sz w:val="16"/>
          <w:szCs w:val="16"/>
        </w:rPr>
        <w:t xml:space="preserve"> </w:t>
      </w:r>
      <w:r>
        <w:rPr>
          <w:iCs/>
          <w:color w:val="0D0D0D" w:themeColor="text1" w:themeTint="F2"/>
          <w:spacing w:val="-4"/>
          <w:sz w:val="16"/>
          <w:szCs w:val="16"/>
        </w:rPr>
        <w:t xml:space="preserve">Průměrná mzda vychází z údajů </w:t>
      </w:r>
      <w:r w:rsidRPr="00E93575">
        <w:rPr>
          <w:spacing w:val="-4"/>
          <w:sz w:val="16"/>
          <w:szCs w:val="16"/>
        </w:rPr>
        <w:t>z</w:t>
      </w:r>
      <w:r>
        <w:rPr>
          <w:spacing w:val="-4"/>
          <w:sz w:val="16"/>
          <w:szCs w:val="16"/>
        </w:rPr>
        <w:t> </w:t>
      </w:r>
      <w:r>
        <w:rPr>
          <w:iCs/>
          <w:color w:val="0D0D0D" w:themeColor="text1" w:themeTint="F2"/>
          <w:spacing w:val="-4"/>
          <w:sz w:val="16"/>
          <w:szCs w:val="16"/>
        </w:rPr>
        <w:t>pravidelných čtvrtletních šetření ČSÚ. Je vyjádřena k přepočtenému stavu zaměstnanců (tj. jsou zohledněny rozdíly v délce úvazků).</w:t>
      </w:r>
    </w:p>
  </w:footnote>
  <w:footnote w:id="3">
    <w:p w14:paraId="2869A209" w14:textId="61F31BA4" w:rsidR="004E684C" w:rsidRPr="00E93575" w:rsidRDefault="004E684C" w:rsidP="009E674A">
      <w:pPr>
        <w:pStyle w:val="Textpoznpodarou"/>
        <w:rPr>
          <w:spacing w:val="-4"/>
          <w:sz w:val="16"/>
          <w:szCs w:val="16"/>
        </w:rPr>
      </w:pPr>
      <w:r w:rsidRPr="00E93575">
        <w:rPr>
          <w:rStyle w:val="Znakapoznpodarou"/>
          <w:spacing w:val="-4"/>
          <w:sz w:val="16"/>
          <w:szCs w:val="16"/>
        </w:rPr>
        <w:footnoteRef/>
      </w:r>
      <w:r>
        <w:rPr>
          <w:spacing w:val="-4"/>
          <w:sz w:val="16"/>
          <w:szCs w:val="16"/>
        </w:rPr>
        <w:t xml:space="preserve"> Počet ekonomicky aktivních obyvatel se v Česku zvyšoval dlouhodoběji. V letech 2000 až 2010 byl ale tažen téměř výhradně vlivem početního růstu celkového obyvatelstva v produktivním věku.</w:t>
      </w:r>
    </w:p>
  </w:footnote>
  <w:footnote w:id="4">
    <w:p w14:paraId="7779EFF5" w14:textId="11CEB736" w:rsidR="004E684C" w:rsidRPr="00E93575" w:rsidRDefault="004E684C" w:rsidP="009E674A">
      <w:pPr>
        <w:pStyle w:val="Textpoznpodarou"/>
        <w:rPr>
          <w:spacing w:val="-4"/>
          <w:sz w:val="16"/>
          <w:szCs w:val="16"/>
        </w:rPr>
      </w:pPr>
      <w:r w:rsidRPr="00E93575">
        <w:rPr>
          <w:rStyle w:val="Znakapoznpodarou"/>
          <w:spacing w:val="-4"/>
          <w:sz w:val="16"/>
          <w:szCs w:val="16"/>
        </w:rPr>
        <w:footnoteRef/>
      </w:r>
      <w:r>
        <w:rPr>
          <w:spacing w:val="-4"/>
          <w:sz w:val="16"/>
          <w:szCs w:val="16"/>
        </w:rPr>
        <w:t xml:space="preserve"> Dle propočtu autora pro účely této analýzy by při zachování měr ekonomické aktivity v pětiletých věkových skupinách na úrovni roku 2010 a zohlednění reálného vývoje počtu i věkové skladby obyvatel byl hypotetický počet ekonomicky aktivních v produktivním věku v roce 2018 oproti skutečně dosaženému nižší o 273 tis. (o 4,0 %).</w:t>
      </w:r>
    </w:p>
  </w:footnote>
  <w:footnote w:id="5">
    <w:p w14:paraId="1BF78F27" w14:textId="24F81FD3" w:rsidR="004E684C" w:rsidRPr="00E93575" w:rsidRDefault="004E684C" w:rsidP="009E674A">
      <w:pPr>
        <w:pStyle w:val="Textpoznpodarou"/>
        <w:rPr>
          <w:spacing w:val="-4"/>
          <w:sz w:val="16"/>
          <w:szCs w:val="16"/>
        </w:rPr>
      </w:pPr>
      <w:r w:rsidRPr="00E93575">
        <w:rPr>
          <w:rStyle w:val="Znakapoznpodarou"/>
          <w:spacing w:val="-4"/>
          <w:sz w:val="16"/>
          <w:szCs w:val="16"/>
        </w:rPr>
        <w:footnoteRef/>
      </w:r>
      <w:r>
        <w:rPr>
          <w:spacing w:val="-4"/>
          <w:sz w:val="16"/>
          <w:szCs w:val="16"/>
        </w:rPr>
        <w:t xml:space="preserve"> Dle propočtu autora pro účely této analýzy by při zachování věkové skladby obyvatel (dle pětiletých věkových skupin) na úrovni roku 2010 a zohlednění reálného (klesajícího) celkového počtu obyvatel v produktivním věku i reálné (rostoucí) míry jejich participace ve věkových skupinách byl hypotetický počet ekonomicky aktivních v produktivním věku v r. 2018 proti skutečně dosaženému nižší o 155 tis. osob (o 2,9 %).</w:t>
      </w:r>
    </w:p>
  </w:footnote>
  <w:footnote w:id="6">
    <w:p w14:paraId="033B9C78" w14:textId="4CBB0CCD" w:rsidR="004E684C" w:rsidRPr="00E93575" w:rsidRDefault="004E684C" w:rsidP="009E674A">
      <w:pPr>
        <w:pStyle w:val="Textpoznpodarou"/>
        <w:rPr>
          <w:spacing w:val="-4"/>
          <w:sz w:val="16"/>
          <w:szCs w:val="16"/>
        </w:rPr>
      </w:pPr>
      <w:r w:rsidRPr="00E93575">
        <w:rPr>
          <w:rStyle w:val="Znakapoznpodarou"/>
          <w:spacing w:val="-4"/>
          <w:sz w:val="16"/>
          <w:szCs w:val="16"/>
        </w:rPr>
        <w:footnoteRef/>
      </w:r>
      <w:r>
        <w:rPr>
          <w:spacing w:val="-4"/>
          <w:sz w:val="16"/>
          <w:szCs w:val="16"/>
        </w:rPr>
        <w:t xml:space="preserve"> Vývojové trendy u osob s nejnižším stupněm vzdělání je třeba interpretovat s obezřetností s ohledem na jejich nižší (a stále klesající) četnost mezi lidmi v produktivním věku.</w:t>
      </w:r>
    </w:p>
  </w:footnote>
  <w:footnote w:id="7">
    <w:p w14:paraId="20EE5E25" w14:textId="770F1347" w:rsidR="004E684C" w:rsidRPr="00E93575" w:rsidRDefault="004E684C" w:rsidP="009E674A">
      <w:pPr>
        <w:pStyle w:val="Textpoznpodarou"/>
        <w:rPr>
          <w:spacing w:val="-4"/>
          <w:sz w:val="16"/>
          <w:szCs w:val="16"/>
        </w:rPr>
      </w:pPr>
      <w:r w:rsidRPr="00E93575">
        <w:rPr>
          <w:rStyle w:val="Znakapoznpodarou"/>
          <w:spacing w:val="-4"/>
          <w:sz w:val="16"/>
          <w:szCs w:val="16"/>
        </w:rPr>
        <w:footnoteRef/>
      </w:r>
      <w:r>
        <w:rPr>
          <w:spacing w:val="-4"/>
          <w:sz w:val="16"/>
          <w:szCs w:val="16"/>
        </w:rPr>
        <w:t xml:space="preserve"> Dle údajů MPSV tvořili na konci loňského roku příjemci trvale krácených (předčasných) důchodů na celkovém počtu osob pobírajících starobní důchod u mužů 28,6 % a u žen 24,8 %. Mezi kraji měli nejnižší zastoupení v Praze (13,7 %, za obě pohlaví) a ve Středočeském kraji (22,7 %). Na opačném pólu figurovaly kraje Vysočina (33,1 %), Pardubický (31,2 %) a Moravskoslezský (30,8 %). Ve čtveřici okresů (Znojmo, Třebíč, Jihlava a Jeseník) dosahoval podíl dokonce okolo 40 %.</w:t>
      </w:r>
    </w:p>
  </w:footnote>
  <w:footnote w:id="8">
    <w:p w14:paraId="739E6DE8" w14:textId="3C0C3F14" w:rsidR="004E684C" w:rsidRPr="00E93575" w:rsidRDefault="004E684C" w:rsidP="009E674A">
      <w:pPr>
        <w:pStyle w:val="Textpoznpodarou"/>
        <w:rPr>
          <w:spacing w:val="-4"/>
          <w:sz w:val="16"/>
          <w:szCs w:val="16"/>
        </w:rPr>
      </w:pPr>
      <w:r w:rsidRPr="00E93575">
        <w:rPr>
          <w:rStyle w:val="Znakapoznpodarou"/>
          <w:spacing w:val="-4"/>
          <w:sz w:val="16"/>
          <w:szCs w:val="16"/>
        </w:rPr>
        <w:footnoteRef/>
      </w:r>
      <w:r>
        <w:rPr>
          <w:spacing w:val="-4"/>
          <w:sz w:val="16"/>
          <w:szCs w:val="16"/>
        </w:rPr>
        <w:t xml:space="preserve"> Čerpání rodičovského příspěvku bylo možné rozložit ve třech variantách, a to na dvouleté, tříleté či čtyřleté období.</w:t>
      </w:r>
    </w:p>
  </w:footnote>
  <w:footnote w:id="9">
    <w:p w14:paraId="1FEB6487" w14:textId="6B1FAB8D" w:rsidR="004E684C" w:rsidRPr="00E93575" w:rsidRDefault="004E684C" w:rsidP="009E674A">
      <w:pPr>
        <w:pStyle w:val="Textpoznpodarou"/>
        <w:rPr>
          <w:spacing w:val="-4"/>
          <w:sz w:val="16"/>
          <w:szCs w:val="16"/>
        </w:rPr>
      </w:pPr>
      <w:r w:rsidRPr="00E93575">
        <w:rPr>
          <w:rStyle w:val="Znakapoznpodarou"/>
          <w:spacing w:val="-4"/>
          <w:sz w:val="16"/>
          <w:szCs w:val="16"/>
        </w:rPr>
        <w:footnoteRef/>
      </w:r>
      <w:r>
        <w:rPr>
          <w:spacing w:val="-4"/>
          <w:sz w:val="16"/>
          <w:szCs w:val="16"/>
        </w:rPr>
        <w:t xml:space="preserve"> Není-li uvedeno jinak, vycházejí veškeré údaje v této podkapitole z národních účtů.</w:t>
      </w:r>
    </w:p>
  </w:footnote>
  <w:footnote w:id="10">
    <w:p w14:paraId="247C63A4" w14:textId="32B9FB7F" w:rsidR="004E684C" w:rsidRPr="00E93575" w:rsidRDefault="004E684C" w:rsidP="009E674A">
      <w:pPr>
        <w:pStyle w:val="Textpoznpodarou"/>
        <w:rPr>
          <w:spacing w:val="-4"/>
          <w:sz w:val="16"/>
          <w:szCs w:val="16"/>
        </w:rPr>
      </w:pPr>
      <w:r w:rsidRPr="00E93575">
        <w:rPr>
          <w:rStyle w:val="Znakapoznpodarou"/>
          <w:spacing w:val="-4"/>
          <w:sz w:val="16"/>
          <w:szCs w:val="16"/>
        </w:rPr>
        <w:footnoteRef/>
      </w:r>
      <w:r>
        <w:rPr>
          <w:spacing w:val="-4"/>
          <w:sz w:val="16"/>
          <w:szCs w:val="16"/>
        </w:rPr>
        <w:t xml:space="preserve"> Celková zaměstnanost se nacházela o 3,9 % (resp. 200 tis. osob) nad úrovní vrcholu konjunktury na pracovním trhu v minulé dekádě (4. čtvrtletí 2008).</w:t>
      </w:r>
    </w:p>
  </w:footnote>
  <w:footnote w:id="11">
    <w:p w14:paraId="530740D3" w14:textId="34CF84AC" w:rsidR="004E684C" w:rsidRPr="00E93575" w:rsidRDefault="004E684C" w:rsidP="009E674A">
      <w:pPr>
        <w:pStyle w:val="Textpoznpodarou"/>
        <w:rPr>
          <w:spacing w:val="-4"/>
          <w:sz w:val="16"/>
          <w:szCs w:val="16"/>
        </w:rPr>
      </w:pPr>
      <w:r w:rsidRPr="00E93575">
        <w:rPr>
          <w:rStyle w:val="Znakapoznpodarou"/>
          <w:spacing w:val="-4"/>
          <w:sz w:val="16"/>
          <w:szCs w:val="16"/>
        </w:rPr>
        <w:footnoteRef/>
      </w:r>
      <w:r>
        <w:rPr>
          <w:spacing w:val="-4"/>
          <w:sz w:val="16"/>
          <w:szCs w:val="16"/>
        </w:rPr>
        <w:t xml:space="preserve"> Jde o osoby </w:t>
      </w:r>
      <w:r w:rsidRPr="000F518F">
        <w:rPr>
          <w:spacing w:val="-4"/>
          <w:sz w:val="16"/>
          <w:szCs w:val="16"/>
        </w:rPr>
        <w:t xml:space="preserve">samostatně výdělečně </w:t>
      </w:r>
      <w:r>
        <w:rPr>
          <w:spacing w:val="-4"/>
          <w:sz w:val="16"/>
          <w:szCs w:val="16"/>
        </w:rPr>
        <w:t>činné, pro které toto podnikání představuje hlavní činnost (z hlediska pracovních příjmů, eventuálně odpracované doby). Jak pracující majitelé firem (zaměstnavatelé), tak pracovníci, pro které je podnikání pouze vedlejší činností, se řadí do kategorie zaměstnanců.</w:t>
      </w:r>
    </w:p>
  </w:footnote>
  <w:footnote w:id="12">
    <w:p w14:paraId="584ECBF9" w14:textId="77777777" w:rsidR="004E684C" w:rsidRPr="00E93575" w:rsidRDefault="004E684C" w:rsidP="009E674A">
      <w:pPr>
        <w:pStyle w:val="Textpoznpodarou"/>
        <w:rPr>
          <w:spacing w:val="-4"/>
          <w:sz w:val="16"/>
          <w:szCs w:val="16"/>
        </w:rPr>
      </w:pPr>
      <w:r w:rsidRPr="00E93575">
        <w:rPr>
          <w:rStyle w:val="Znakapoznpodarou"/>
          <w:spacing w:val="-4"/>
          <w:sz w:val="16"/>
          <w:szCs w:val="16"/>
        </w:rPr>
        <w:footnoteRef/>
      </w:r>
      <w:r>
        <w:rPr>
          <w:spacing w:val="-4"/>
          <w:sz w:val="16"/>
          <w:szCs w:val="16"/>
        </w:rPr>
        <w:t xml:space="preserve"> Zahrnuje všechna odvětví služeb vyjma odvětvových sekcí s převahou veřejného sektoru (</w:t>
      </w:r>
      <w:r w:rsidRPr="00C474FE">
        <w:rPr>
          <w:spacing w:val="-4"/>
          <w:sz w:val="16"/>
          <w:szCs w:val="16"/>
        </w:rPr>
        <w:t>Veřejná správa a</w:t>
      </w:r>
      <w:r>
        <w:rPr>
          <w:spacing w:val="-4"/>
          <w:sz w:val="16"/>
          <w:szCs w:val="16"/>
        </w:rPr>
        <w:t> </w:t>
      </w:r>
      <w:r w:rsidRPr="00C474FE">
        <w:rPr>
          <w:spacing w:val="-4"/>
          <w:sz w:val="16"/>
          <w:szCs w:val="16"/>
        </w:rPr>
        <w:t>obrana; povinné sociální zabezpečení; Vzdělávání; Zdravotní a</w:t>
      </w:r>
      <w:r>
        <w:rPr>
          <w:spacing w:val="-4"/>
          <w:sz w:val="16"/>
          <w:szCs w:val="16"/>
        </w:rPr>
        <w:t> </w:t>
      </w:r>
      <w:r w:rsidRPr="00C474FE">
        <w:rPr>
          <w:spacing w:val="-4"/>
          <w:sz w:val="16"/>
          <w:szCs w:val="16"/>
        </w:rPr>
        <w:t>sociální péče; Kulturní, zábavní a</w:t>
      </w:r>
      <w:r>
        <w:rPr>
          <w:spacing w:val="-4"/>
          <w:sz w:val="16"/>
          <w:szCs w:val="16"/>
        </w:rPr>
        <w:t> </w:t>
      </w:r>
      <w:r w:rsidRPr="00C474FE">
        <w:rPr>
          <w:spacing w:val="-4"/>
          <w:sz w:val="16"/>
          <w:szCs w:val="16"/>
        </w:rPr>
        <w:t>rekreační činnosti).</w:t>
      </w:r>
    </w:p>
  </w:footnote>
  <w:footnote w:id="13">
    <w:p w14:paraId="61F3E9D2" w14:textId="77777777" w:rsidR="004E684C" w:rsidRPr="00E93575" w:rsidRDefault="004E684C" w:rsidP="009E674A">
      <w:pPr>
        <w:pStyle w:val="Textpoznpodarou"/>
        <w:rPr>
          <w:spacing w:val="-4"/>
          <w:sz w:val="16"/>
          <w:szCs w:val="16"/>
        </w:rPr>
      </w:pPr>
      <w:r w:rsidRPr="00E93575">
        <w:rPr>
          <w:rStyle w:val="Znakapoznpodarou"/>
          <w:spacing w:val="-4"/>
          <w:sz w:val="16"/>
          <w:szCs w:val="16"/>
        </w:rPr>
        <w:footnoteRef/>
      </w:r>
      <w:r>
        <w:rPr>
          <w:spacing w:val="-4"/>
          <w:sz w:val="16"/>
          <w:szCs w:val="16"/>
        </w:rPr>
        <w:t xml:space="preserve"> Vyjadřuje skutečnost po zohlednění rozdílné délky pracovních úvazků.</w:t>
      </w:r>
    </w:p>
  </w:footnote>
  <w:footnote w:id="14">
    <w:p w14:paraId="655DF960" w14:textId="77777777" w:rsidR="004E684C" w:rsidRPr="00EE40CC" w:rsidRDefault="004E684C" w:rsidP="009E674A">
      <w:pPr>
        <w:pStyle w:val="Textpoznpodarou"/>
        <w:rPr>
          <w:spacing w:val="-2"/>
          <w:sz w:val="16"/>
          <w:szCs w:val="16"/>
        </w:rPr>
      </w:pPr>
      <w:r w:rsidRPr="00EE40CC">
        <w:rPr>
          <w:rStyle w:val="Znakapoznpodarou"/>
          <w:spacing w:val="-2"/>
          <w:sz w:val="16"/>
          <w:szCs w:val="16"/>
        </w:rPr>
        <w:footnoteRef/>
      </w:r>
      <w:r w:rsidRPr="00EE40CC">
        <w:rPr>
          <w:spacing w:val="-2"/>
          <w:sz w:val="16"/>
          <w:szCs w:val="16"/>
        </w:rPr>
        <w:t xml:space="preserve"> V odvětví výroby motorových vozidel působil loni každý osmý pracovník v průmyslu. Spolu s nejbližšími návaznými obory (ostatní dopravní prostředky, výroba elektrických zařízení, gumárenství) šlo o</w:t>
      </w:r>
      <w:r>
        <w:rPr>
          <w:spacing w:val="-2"/>
          <w:sz w:val="16"/>
          <w:szCs w:val="16"/>
        </w:rPr>
        <w:t> </w:t>
      </w:r>
      <w:r w:rsidRPr="00EE40CC">
        <w:rPr>
          <w:spacing w:val="-2"/>
          <w:sz w:val="16"/>
          <w:szCs w:val="16"/>
        </w:rPr>
        <w:t>28,5</w:t>
      </w:r>
      <w:r>
        <w:rPr>
          <w:spacing w:val="-2"/>
          <w:sz w:val="16"/>
          <w:szCs w:val="16"/>
        </w:rPr>
        <w:t> %</w:t>
      </w:r>
      <w:r w:rsidRPr="00EE40CC">
        <w:rPr>
          <w:spacing w:val="-2"/>
          <w:sz w:val="16"/>
          <w:szCs w:val="16"/>
        </w:rPr>
        <w:t>. Váha celého uskupení navíc v čase roste, v roce 2008 činil obdobný podíl 24,4</w:t>
      </w:r>
      <w:r>
        <w:rPr>
          <w:spacing w:val="-2"/>
          <w:sz w:val="16"/>
          <w:szCs w:val="16"/>
        </w:rPr>
        <w:t> %</w:t>
      </w:r>
      <w:r w:rsidRPr="00EE40CC">
        <w:rPr>
          <w:spacing w:val="-2"/>
          <w:sz w:val="16"/>
          <w:szCs w:val="16"/>
        </w:rPr>
        <w:t>.</w:t>
      </w:r>
    </w:p>
  </w:footnote>
  <w:footnote w:id="15">
    <w:p w14:paraId="6134BAC7" w14:textId="77777777" w:rsidR="004E684C" w:rsidRPr="00E93575" w:rsidRDefault="004E684C" w:rsidP="009E674A">
      <w:pPr>
        <w:pStyle w:val="Textpoznpodarou"/>
        <w:rPr>
          <w:spacing w:val="-4"/>
          <w:sz w:val="16"/>
          <w:szCs w:val="16"/>
        </w:rPr>
      </w:pPr>
      <w:r w:rsidRPr="00E93575">
        <w:rPr>
          <w:rStyle w:val="Znakapoznpodarou"/>
          <w:spacing w:val="-4"/>
          <w:sz w:val="16"/>
          <w:szCs w:val="16"/>
        </w:rPr>
        <w:footnoteRef/>
      </w:r>
      <w:r>
        <w:rPr>
          <w:spacing w:val="-4"/>
          <w:sz w:val="16"/>
          <w:szCs w:val="16"/>
        </w:rPr>
        <w:t xml:space="preserve"> Zahrnuje hlavně výrobu sportovních potřeb, her, hraček, hudebních nástrojů, </w:t>
      </w:r>
      <w:r w:rsidRPr="00DE13D5">
        <w:rPr>
          <w:spacing w:val="-4"/>
          <w:sz w:val="16"/>
          <w:szCs w:val="16"/>
        </w:rPr>
        <w:t>lékařských a</w:t>
      </w:r>
      <w:r>
        <w:rPr>
          <w:spacing w:val="-4"/>
          <w:sz w:val="16"/>
          <w:szCs w:val="16"/>
        </w:rPr>
        <w:t> </w:t>
      </w:r>
      <w:r w:rsidRPr="00DE13D5">
        <w:rPr>
          <w:spacing w:val="-4"/>
          <w:sz w:val="16"/>
          <w:szCs w:val="16"/>
        </w:rPr>
        <w:t>dentálních nástrojů</w:t>
      </w:r>
      <w:r>
        <w:rPr>
          <w:spacing w:val="-4"/>
          <w:sz w:val="16"/>
          <w:szCs w:val="16"/>
        </w:rPr>
        <w:t xml:space="preserve"> či výrobu klenotů a </w:t>
      </w:r>
      <w:r w:rsidRPr="00DE13D5">
        <w:rPr>
          <w:spacing w:val="-4"/>
          <w:sz w:val="16"/>
          <w:szCs w:val="16"/>
        </w:rPr>
        <w:t>bižuterie</w:t>
      </w:r>
      <w:r>
        <w:rPr>
          <w:spacing w:val="-4"/>
          <w:sz w:val="16"/>
          <w:szCs w:val="16"/>
        </w:rPr>
        <w:t>.</w:t>
      </w:r>
    </w:p>
  </w:footnote>
  <w:footnote w:id="16">
    <w:p w14:paraId="3EEE5B81" w14:textId="0A72DE48" w:rsidR="004E684C" w:rsidRPr="00E93575" w:rsidRDefault="004E684C" w:rsidP="009E674A">
      <w:pPr>
        <w:pStyle w:val="Textpoznpodarou"/>
        <w:rPr>
          <w:spacing w:val="-4"/>
          <w:sz w:val="16"/>
          <w:szCs w:val="16"/>
        </w:rPr>
      </w:pPr>
      <w:r w:rsidRPr="00E93575">
        <w:rPr>
          <w:rStyle w:val="Znakapoznpodarou"/>
          <w:spacing w:val="-4"/>
          <w:sz w:val="16"/>
          <w:szCs w:val="16"/>
        </w:rPr>
        <w:footnoteRef/>
      </w:r>
      <w:r>
        <w:rPr>
          <w:spacing w:val="-4"/>
          <w:sz w:val="16"/>
          <w:szCs w:val="16"/>
        </w:rPr>
        <w:t xml:space="preserve"> V tomto směru je zajímavé srovnání s konjunkturním obdobím 2005 až 2008, v němž při relativně svižném růstu zaměstnanosti podstatná část (zejména menších) průmyslových oborů pracovní místa výrazněji ztrácela (potravinářství, nápojový, textilní, oděvní, kožedělný, dřevozpracující, petrochemický průmysl, výroba stavebních hmot či energetika). Tyto výrazné pohyby vypovídaly o dosud neukončené transformaci tuzemského průmyslu, v němž sehrál důležitou roli příliv zahraničního kapitálu i zostření konkurenčního prostředí na jednotném evropském trhu po vstupu do EU (např. v oblasti zemědělské prvovýroby a s dopadem do potravinářského průmyslu).</w:t>
      </w:r>
    </w:p>
  </w:footnote>
  <w:footnote w:id="17">
    <w:p w14:paraId="59393D54" w14:textId="0D20F900" w:rsidR="004E684C" w:rsidRPr="00E93575" w:rsidRDefault="004E684C" w:rsidP="009E674A">
      <w:pPr>
        <w:pStyle w:val="Textpoznpodarou"/>
        <w:rPr>
          <w:spacing w:val="-4"/>
          <w:sz w:val="16"/>
          <w:szCs w:val="16"/>
        </w:rPr>
      </w:pPr>
      <w:r w:rsidRPr="00E93575">
        <w:rPr>
          <w:rStyle w:val="Znakapoznpodarou"/>
          <w:spacing w:val="-4"/>
          <w:sz w:val="16"/>
          <w:szCs w:val="16"/>
        </w:rPr>
        <w:footnoteRef/>
      </w:r>
      <w:r>
        <w:rPr>
          <w:spacing w:val="-4"/>
          <w:sz w:val="16"/>
          <w:szCs w:val="16"/>
        </w:rPr>
        <w:t xml:space="preserve"> Toto zvolnění bylo ovlivněno také specifickým vývojem v odvětví kulturních, zábavních a rekreačních činností, v němž celková zaměstnanost poprvé od roku 2010 poklesla (–4 %). K tomuto úbytku ale nedošlo v segmentech financových z veřejných rozpočtů a patrně souvisel s přísnější regulací hazardu na národní i místní úrovni.</w:t>
      </w:r>
    </w:p>
  </w:footnote>
  <w:footnote w:id="18">
    <w:p w14:paraId="03F294B7" w14:textId="77777777" w:rsidR="004E684C" w:rsidRPr="00AB5C0C" w:rsidRDefault="004E684C" w:rsidP="009E674A">
      <w:pPr>
        <w:pStyle w:val="Textpoznpodarou"/>
        <w:rPr>
          <w:spacing w:val="-4"/>
          <w:sz w:val="16"/>
          <w:szCs w:val="16"/>
        </w:rPr>
      </w:pPr>
      <w:r w:rsidRPr="00AB5C0C">
        <w:rPr>
          <w:rStyle w:val="Znakapoznpodarou"/>
          <w:spacing w:val="-4"/>
          <w:sz w:val="16"/>
          <w:szCs w:val="16"/>
        </w:rPr>
        <w:footnoteRef/>
      </w:r>
      <w:r w:rsidRPr="00AB5C0C">
        <w:rPr>
          <w:spacing w:val="-4"/>
          <w:sz w:val="16"/>
          <w:szCs w:val="16"/>
        </w:rPr>
        <w:t xml:space="preserve"> </w:t>
      </w:r>
      <w:r w:rsidRPr="00AB5C0C">
        <w:rPr>
          <w:rFonts w:cs="Arial"/>
          <w:sz w:val="16"/>
          <w:szCs w:val="16"/>
        </w:rPr>
        <w:t>Reálná produktivita práce vyjadřuje poměr HDP na zaměstnanou osobu. HDP je</w:t>
      </w:r>
      <w:r>
        <w:rPr>
          <w:rFonts w:cs="Arial"/>
          <w:sz w:val="16"/>
          <w:szCs w:val="16"/>
        </w:rPr>
        <w:t xml:space="preserve"> uved</w:t>
      </w:r>
      <w:r w:rsidRPr="00AB5C0C">
        <w:rPr>
          <w:rFonts w:cs="Arial"/>
          <w:sz w:val="16"/>
          <w:szCs w:val="16"/>
        </w:rPr>
        <w:t>en v cenách roku 2010, pracovníci pak ve fyzických osobách.</w:t>
      </w:r>
    </w:p>
  </w:footnote>
  <w:footnote w:id="19">
    <w:p w14:paraId="3B244E9A" w14:textId="77777777" w:rsidR="00744D09" w:rsidRPr="00E93575" w:rsidRDefault="00744D09" w:rsidP="00744D09">
      <w:pPr>
        <w:pStyle w:val="Textpoznpodarou"/>
        <w:rPr>
          <w:spacing w:val="-4"/>
          <w:sz w:val="16"/>
          <w:szCs w:val="16"/>
        </w:rPr>
      </w:pPr>
      <w:r w:rsidRPr="00E93575">
        <w:rPr>
          <w:rStyle w:val="Znakapoznpodarou"/>
          <w:spacing w:val="-4"/>
          <w:sz w:val="16"/>
          <w:szCs w:val="16"/>
        </w:rPr>
        <w:footnoteRef/>
      </w:r>
      <w:r>
        <w:rPr>
          <w:spacing w:val="-4"/>
          <w:sz w:val="16"/>
          <w:szCs w:val="16"/>
        </w:rPr>
        <w:t xml:space="preserve"> Výše zmíněná </w:t>
      </w:r>
      <w:r w:rsidRPr="00430C2B">
        <w:rPr>
          <w:spacing w:val="-4"/>
          <w:sz w:val="16"/>
          <w:szCs w:val="16"/>
        </w:rPr>
        <w:t xml:space="preserve">anomálie souvisela s nepravidelností v čerpání prostředků </w:t>
      </w:r>
      <w:r>
        <w:rPr>
          <w:spacing w:val="-4"/>
          <w:sz w:val="16"/>
          <w:szCs w:val="16"/>
        </w:rPr>
        <w:t>z </w:t>
      </w:r>
      <w:r w:rsidRPr="00430C2B">
        <w:rPr>
          <w:spacing w:val="-4"/>
          <w:sz w:val="16"/>
          <w:szCs w:val="16"/>
        </w:rPr>
        <w:t>rozpočtu EU, která</w:t>
      </w:r>
      <w:r>
        <w:rPr>
          <w:spacing w:val="-4"/>
          <w:sz w:val="16"/>
          <w:szCs w:val="16"/>
        </w:rPr>
        <w:t xml:space="preserve"> se obzvláště</w:t>
      </w:r>
      <w:r w:rsidRPr="00430C2B">
        <w:rPr>
          <w:spacing w:val="-4"/>
          <w:sz w:val="16"/>
          <w:szCs w:val="16"/>
        </w:rPr>
        <w:t xml:space="preserve"> viditelně projevila ve srovnání let </w:t>
      </w:r>
      <w:r>
        <w:rPr>
          <w:spacing w:val="-4"/>
          <w:sz w:val="16"/>
          <w:szCs w:val="16"/>
        </w:rPr>
        <w:t>2015 (intenzivní dočerpávání na konci programového období 2007 až 2013) a 2016 (pomalý rozběh na počátku nového období).</w:t>
      </w:r>
    </w:p>
  </w:footnote>
  <w:footnote w:id="20">
    <w:p w14:paraId="075E7F1B" w14:textId="72EF21EF" w:rsidR="004E684C" w:rsidRPr="00AB5C0C" w:rsidRDefault="004E684C" w:rsidP="009E674A">
      <w:pPr>
        <w:pStyle w:val="Textpoznpodarou"/>
        <w:rPr>
          <w:spacing w:val="-4"/>
          <w:sz w:val="16"/>
          <w:szCs w:val="16"/>
        </w:rPr>
      </w:pPr>
      <w:r w:rsidRPr="00AB5C0C">
        <w:rPr>
          <w:rStyle w:val="Znakapoznpodarou"/>
          <w:spacing w:val="-4"/>
          <w:sz w:val="16"/>
          <w:szCs w:val="16"/>
        </w:rPr>
        <w:footnoteRef/>
      </w:r>
      <w:r w:rsidRPr="00AB5C0C">
        <w:rPr>
          <w:spacing w:val="-4"/>
          <w:sz w:val="16"/>
          <w:szCs w:val="16"/>
        </w:rPr>
        <w:t xml:space="preserve"> </w:t>
      </w:r>
      <w:r>
        <w:rPr>
          <w:rFonts w:cs="Arial"/>
          <w:sz w:val="16"/>
          <w:szCs w:val="16"/>
        </w:rPr>
        <w:t>V</w:t>
      </w:r>
      <w:r w:rsidRPr="00AB5C0C">
        <w:rPr>
          <w:rFonts w:cs="Arial"/>
          <w:sz w:val="16"/>
          <w:szCs w:val="16"/>
        </w:rPr>
        <w:t xml:space="preserve">yjadřuje poměr HDP (na úrovni </w:t>
      </w:r>
      <w:r>
        <w:rPr>
          <w:rFonts w:cs="Arial"/>
          <w:sz w:val="16"/>
          <w:szCs w:val="16"/>
        </w:rPr>
        <w:t xml:space="preserve">jednotlivých </w:t>
      </w:r>
      <w:r w:rsidRPr="00AB5C0C">
        <w:rPr>
          <w:rFonts w:cs="Arial"/>
          <w:sz w:val="16"/>
          <w:szCs w:val="16"/>
        </w:rPr>
        <w:t>odvětví hrubé přidané hodnoty</w:t>
      </w:r>
      <w:r>
        <w:rPr>
          <w:rFonts w:cs="Arial"/>
          <w:sz w:val="16"/>
          <w:szCs w:val="16"/>
        </w:rPr>
        <w:t xml:space="preserve"> – </w:t>
      </w:r>
      <w:r w:rsidRPr="00AB5C0C">
        <w:rPr>
          <w:rFonts w:cs="Arial"/>
          <w:sz w:val="16"/>
          <w:szCs w:val="16"/>
        </w:rPr>
        <w:t>HPH) na odpracovanou hodinu. HDP</w:t>
      </w:r>
      <w:r>
        <w:rPr>
          <w:rFonts w:cs="Arial"/>
          <w:sz w:val="16"/>
          <w:szCs w:val="16"/>
        </w:rPr>
        <w:t xml:space="preserve"> (resp. HPH) jsou uved</w:t>
      </w:r>
      <w:r w:rsidRPr="00AB5C0C">
        <w:rPr>
          <w:rFonts w:cs="Arial"/>
          <w:sz w:val="16"/>
          <w:szCs w:val="16"/>
        </w:rPr>
        <w:t>en</w:t>
      </w:r>
      <w:r>
        <w:rPr>
          <w:rFonts w:cs="Arial"/>
          <w:sz w:val="16"/>
          <w:szCs w:val="16"/>
        </w:rPr>
        <w:t>y</w:t>
      </w:r>
      <w:r w:rsidRPr="00AB5C0C">
        <w:rPr>
          <w:rFonts w:cs="Arial"/>
          <w:sz w:val="16"/>
          <w:szCs w:val="16"/>
        </w:rPr>
        <w:t xml:space="preserve"> v cenách roku 2010.</w:t>
      </w:r>
    </w:p>
  </w:footnote>
  <w:footnote w:id="21">
    <w:p w14:paraId="4F3EE5CE" w14:textId="19D67C2D" w:rsidR="004E684C" w:rsidRPr="00E93575" w:rsidRDefault="004E684C" w:rsidP="009E674A">
      <w:pPr>
        <w:pStyle w:val="Textpoznpodarou"/>
        <w:rPr>
          <w:spacing w:val="-4"/>
          <w:sz w:val="16"/>
          <w:szCs w:val="16"/>
        </w:rPr>
      </w:pPr>
      <w:r w:rsidRPr="00E93575">
        <w:rPr>
          <w:rStyle w:val="Znakapoznpodarou"/>
          <w:spacing w:val="-4"/>
          <w:sz w:val="16"/>
          <w:szCs w:val="16"/>
        </w:rPr>
        <w:footnoteRef/>
      </w:r>
      <w:r>
        <w:rPr>
          <w:spacing w:val="-4"/>
          <w:sz w:val="16"/>
          <w:szCs w:val="16"/>
        </w:rPr>
        <w:t xml:space="preserve"> </w:t>
      </w:r>
      <w:r w:rsidRPr="00385C8C">
        <w:rPr>
          <w:spacing w:val="-4"/>
          <w:sz w:val="16"/>
          <w:szCs w:val="16"/>
        </w:rPr>
        <w:t>Odvětví za</w:t>
      </w:r>
      <w:r>
        <w:rPr>
          <w:spacing w:val="-4"/>
          <w:sz w:val="16"/>
          <w:szCs w:val="16"/>
        </w:rPr>
        <w:t>hrnuje zejména o</w:t>
      </w:r>
      <w:r w:rsidRPr="00385C8C">
        <w:rPr>
          <w:spacing w:val="-4"/>
          <w:sz w:val="16"/>
          <w:szCs w:val="16"/>
        </w:rPr>
        <w:t>pravy počítačů a</w:t>
      </w:r>
      <w:r>
        <w:rPr>
          <w:spacing w:val="-4"/>
          <w:sz w:val="16"/>
          <w:szCs w:val="16"/>
        </w:rPr>
        <w:t> </w:t>
      </w:r>
      <w:r w:rsidRPr="00385C8C">
        <w:rPr>
          <w:spacing w:val="-4"/>
          <w:sz w:val="16"/>
          <w:szCs w:val="16"/>
        </w:rPr>
        <w:t>výrobků pro osobní potřebu a převážně pro</w:t>
      </w:r>
      <w:r>
        <w:rPr>
          <w:spacing w:val="-4"/>
          <w:sz w:val="16"/>
          <w:szCs w:val="16"/>
        </w:rPr>
        <w:t xml:space="preserve"> </w:t>
      </w:r>
      <w:r w:rsidRPr="00385C8C">
        <w:rPr>
          <w:spacing w:val="-4"/>
          <w:sz w:val="16"/>
          <w:szCs w:val="16"/>
        </w:rPr>
        <w:t>domácnost</w:t>
      </w:r>
      <w:r>
        <w:rPr>
          <w:spacing w:val="-4"/>
          <w:sz w:val="16"/>
          <w:szCs w:val="16"/>
        </w:rPr>
        <w:t xml:space="preserve"> (např. elektroniky, obuvi), p</w:t>
      </w:r>
      <w:r w:rsidRPr="00385C8C">
        <w:rPr>
          <w:spacing w:val="-4"/>
          <w:sz w:val="16"/>
          <w:szCs w:val="16"/>
        </w:rPr>
        <w:t>oskytování ostatních osobních služeb</w:t>
      </w:r>
      <w:r>
        <w:rPr>
          <w:spacing w:val="-4"/>
          <w:sz w:val="16"/>
          <w:szCs w:val="16"/>
        </w:rPr>
        <w:t xml:space="preserve"> (praní a čištění, kadeřnické i </w:t>
      </w:r>
      <w:r w:rsidRPr="00385C8C">
        <w:rPr>
          <w:spacing w:val="-4"/>
          <w:sz w:val="16"/>
          <w:szCs w:val="16"/>
        </w:rPr>
        <w:t>kosmetické</w:t>
      </w:r>
      <w:r>
        <w:rPr>
          <w:spacing w:val="-4"/>
          <w:sz w:val="16"/>
          <w:szCs w:val="16"/>
        </w:rPr>
        <w:t xml:space="preserve"> činnosti). Náležejí sem i aktivity </w:t>
      </w:r>
      <w:r w:rsidRPr="00385C8C">
        <w:rPr>
          <w:spacing w:val="-4"/>
          <w:sz w:val="16"/>
          <w:szCs w:val="16"/>
        </w:rPr>
        <w:t>podnikatelských, zaměstnavatelských a profesních organizací</w:t>
      </w:r>
      <w:r>
        <w:rPr>
          <w:spacing w:val="-4"/>
          <w:sz w:val="16"/>
          <w:szCs w:val="16"/>
        </w:rPr>
        <w:t>, odborových svazů či politických stran.</w:t>
      </w:r>
    </w:p>
  </w:footnote>
  <w:footnote w:id="22">
    <w:p w14:paraId="3B02F61D" w14:textId="1F32376C" w:rsidR="004E684C" w:rsidRPr="00E9776B" w:rsidRDefault="004E684C" w:rsidP="009E674A">
      <w:pPr>
        <w:spacing w:after="0" w:line="240" w:lineRule="auto"/>
        <w:rPr>
          <w:spacing w:val="-2"/>
        </w:rPr>
      </w:pPr>
      <w:r w:rsidRPr="00E93575">
        <w:rPr>
          <w:rStyle w:val="Znakapoznpodarou"/>
          <w:spacing w:val="-4"/>
          <w:sz w:val="16"/>
          <w:szCs w:val="16"/>
        </w:rPr>
        <w:footnoteRef/>
      </w:r>
      <w:r>
        <w:rPr>
          <w:spacing w:val="-4"/>
          <w:sz w:val="16"/>
          <w:szCs w:val="16"/>
        </w:rPr>
        <w:t xml:space="preserve"> </w:t>
      </w:r>
      <w:r w:rsidRPr="00E9776B">
        <w:rPr>
          <w:spacing w:val="-2"/>
          <w:sz w:val="16"/>
          <w:szCs w:val="16"/>
        </w:rPr>
        <w:t>Mzdy a</w:t>
      </w:r>
      <w:r>
        <w:rPr>
          <w:spacing w:val="-2"/>
          <w:sz w:val="16"/>
          <w:szCs w:val="16"/>
        </w:rPr>
        <w:t> </w:t>
      </w:r>
      <w:r w:rsidRPr="00E9776B">
        <w:rPr>
          <w:spacing w:val="-2"/>
          <w:sz w:val="16"/>
          <w:szCs w:val="16"/>
        </w:rPr>
        <w:t>platy jsou v pojetí národních účtů cháp</w:t>
      </w:r>
      <w:r>
        <w:rPr>
          <w:spacing w:val="-2"/>
          <w:sz w:val="16"/>
          <w:szCs w:val="16"/>
        </w:rPr>
        <w:t>á</w:t>
      </w:r>
      <w:r w:rsidRPr="00E9776B">
        <w:rPr>
          <w:spacing w:val="-2"/>
          <w:sz w:val="16"/>
          <w:szCs w:val="16"/>
        </w:rPr>
        <w:t>ny šířeji než v běžně používaných podnikových statistikách. Zahrnují vedle peněžních důchodů (kromě základního platu, příplatků, prémií, náhrad za dovolené obsahují i</w:t>
      </w:r>
      <w:r>
        <w:rPr>
          <w:spacing w:val="-2"/>
          <w:sz w:val="16"/>
          <w:szCs w:val="16"/>
        </w:rPr>
        <w:t> </w:t>
      </w:r>
      <w:r w:rsidRPr="00E9776B">
        <w:rPr>
          <w:spacing w:val="-2"/>
          <w:sz w:val="16"/>
          <w:szCs w:val="16"/>
        </w:rPr>
        <w:t>příspěvky na dopravu, bydlení či v rámci programů spoření) také nepeněžní, resp.</w:t>
      </w:r>
      <w:r>
        <w:rPr>
          <w:spacing w:val="-2"/>
          <w:sz w:val="16"/>
          <w:szCs w:val="16"/>
        </w:rPr>
        <w:t> </w:t>
      </w:r>
      <w:r w:rsidRPr="00E9776B">
        <w:rPr>
          <w:spacing w:val="-2"/>
          <w:sz w:val="16"/>
          <w:szCs w:val="16"/>
        </w:rPr>
        <w:t>naturální důchody (zejména závod</w:t>
      </w:r>
      <w:r>
        <w:rPr>
          <w:spacing w:val="-2"/>
          <w:sz w:val="16"/>
          <w:szCs w:val="16"/>
        </w:rPr>
        <w:t>ní stravování, stravenky, služební</w:t>
      </w:r>
      <w:r w:rsidRPr="00E9776B">
        <w:rPr>
          <w:spacing w:val="-2"/>
          <w:sz w:val="16"/>
          <w:szCs w:val="16"/>
        </w:rPr>
        <w:t xml:space="preserve"> automobily</w:t>
      </w:r>
      <w:r>
        <w:rPr>
          <w:spacing w:val="-2"/>
          <w:sz w:val="16"/>
          <w:szCs w:val="16"/>
        </w:rPr>
        <w:t xml:space="preserve"> i pro soukromé užití</w:t>
      </w:r>
      <w:r w:rsidRPr="00E9776B">
        <w:rPr>
          <w:spacing w:val="-2"/>
          <w:sz w:val="16"/>
          <w:szCs w:val="16"/>
        </w:rPr>
        <w:t>, možnost užívání sportovních a</w:t>
      </w:r>
      <w:r>
        <w:rPr>
          <w:spacing w:val="-2"/>
          <w:sz w:val="16"/>
          <w:szCs w:val="16"/>
        </w:rPr>
        <w:t> </w:t>
      </w:r>
      <w:r w:rsidRPr="00E9776B">
        <w:rPr>
          <w:spacing w:val="-2"/>
          <w:sz w:val="16"/>
          <w:szCs w:val="16"/>
        </w:rPr>
        <w:t>rekreačních zařízení, péče o</w:t>
      </w:r>
      <w:r>
        <w:rPr>
          <w:spacing w:val="-2"/>
          <w:sz w:val="16"/>
          <w:szCs w:val="16"/>
        </w:rPr>
        <w:t> </w:t>
      </w:r>
      <w:r w:rsidRPr="00E9776B">
        <w:rPr>
          <w:spacing w:val="-2"/>
          <w:sz w:val="16"/>
          <w:szCs w:val="16"/>
        </w:rPr>
        <w:t>děti zaměstnanců, pracovní oděvy, podnikové půjčky či prémiové akcie rozdělované zaměstnancům). Oproti podnikovým statistikám zahrnují údaje o</w:t>
      </w:r>
      <w:r>
        <w:rPr>
          <w:spacing w:val="-2"/>
          <w:sz w:val="16"/>
          <w:szCs w:val="16"/>
        </w:rPr>
        <w:t> </w:t>
      </w:r>
      <w:r w:rsidRPr="00E9776B">
        <w:rPr>
          <w:spacing w:val="-2"/>
          <w:sz w:val="16"/>
          <w:szCs w:val="16"/>
        </w:rPr>
        <w:t>mzdách i</w:t>
      </w:r>
      <w:r>
        <w:rPr>
          <w:spacing w:val="-2"/>
          <w:sz w:val="16"/>
          <w:szCs w:val="16"/>
        </w:rPr>
        <w:t> </w:t>
      </w:r>
      <w:r w:rsidRPr="00E9776B">
        <w:rPr>
          <w:spacing w:val="-2"/>
          <w:sz w:val="16"/>
          <w:szCs w:val="16"/>
        </w:rPr>
        <w:t>odhad za nezjištěnou (šedou) ekonomiku. Mzdy a</w:t>
      </w:r>
      <w:r>
        <w:rPr>
          <w:spacing w:val="-2"/>
          <w:sz w:val="16"/>
          <w:szCs w:val="16"/>
        </w:rPr>
        <w:t> </w:t>
      </w:r>
      <w:r w:rsidRPr="00E9776B">
        <w:rPr>
          <w:spacing w:val="-2"/>
          <w:sz w:val="16"/>
          <w:szCs w:val="16"/>
        </w:rPr>
        <w:t>platy obsahují daň z příjmu i</w:t>
      </w:r>
      <w:r>
        <w:rPr>
          <w:spacing w:val="-2"/>
          <w:sz w:val="16"/>
          <w:szCs w:val="16"/>
        </w:rPr>
        <w:t> </w:t>
      </w:r>
      <w:r w:rsidRPr="00E9776B">
        <w:rPr>
          <w:spacing w:val="-2"/>
          <w:sz w:val="16"/>
          <w:szCs w:val="16"/>
        </w:rPr>
        <w:t>sociální příspěvky placené zaměstnancem, lze je tedy chápat jako podstatně šířeji pojaté hrubé zaměstnanecké výdělky.</w:t>
      </w:r>
    </w:p>
  </w:footnote>
  <w:footnote w:id="23">
    <w:p w14:paraId="7BA88E0C" w14:textId="4562BA9F" w:rsidR="004E684C" w:rsidRPr="00E93575" w:rsidRDefault="004E684C" w:rsidP="009E674A">
      <w:pPr>
        <w:pStyle w:val="Textpoznpodarou"/>
        <w:rPr>
          <w:spacing w:val="-4"/>
          <w:sz w:val="16"/>
          <w:szCs w:val="16"/>
        </w:rPr>
      </w:pPr>
      <w:r w:rsidRPr="00E93575">
        <w:rPr>
          <w:rStyle w:val="Znakapoznpodarou"/>
          <w:spacing w:val="-4"/>
          <w:sz w:val="16"/>
          <w:szCs w:val="16"/>
        </w:rPr>
        <w:footnoteRef/>
      </w:r>
      <w:r>
        <w:rPr>
          <w:spacing w:val="-4"/>
          <w:sz w:val="16"/>
          <w:szCs w:val="16"/>
        </w:rPr>
        <w:t xml:space="preserve"> Nefinanční podniky vytvářely loni 61,7 % hrubé přidané hodnoty (HPH) národního hospodářství, poskytovaly obživu 3 237 tis. zaměstnanců (po zohlednění různé délky úvazků) a na celkovém objemu vyplacených mezd v ekonomice se podílely 69,7 %. Disproporce mezi HPH a mzdami je způsobena tím, že část odměn za vykonanou práci v ekonomice inkasují drobní podnikatelé nikoliv ve formě mezd, ale smíšeného důchodu.</w:t>
      </w:r>
    </w:p>
  </w:footnote>
  <w:footnote w:id="24">
    <w:p w14:paraId="294D8D20" w14:textId="77777777" w:rsidR="00744D09" w:rsidRPr="00EE200F" w:rsidRDefault="00744D09" w:rsidP="00744D09">
      <w:pPr>
        <w:pStyle w:val="Textpoznpodarou"/>
        <w:rPr>
          <w:rFonts w:cs="Arial"/>
          <w:spacing w:val="-2"/>
          <w:sz w:val="16"/>
          <w:szCs w:val="16"/>
        </w:rPr>
      </w:pPr>
      <w:r w:rsidRPr="00EE200F">
        <w:rPr>
          <w:rStyle w:val="Znakapoznpodarou"/>
          <w:rFonts w:cs="Arial"/>
          <w:spacing w:val="-2"/>
          <w:sz w:val="16"/>
          <w:szCs w:val="16"/>
        </w:rPr>
        <w:footnoteRef/>
      </w:r>
      <w:r>
        <w:rPr>
          <w:rFonts w:cs="Arial"/>
          <w:spacing w:val="-2"/>
          <w:sz w:val="16"/>
          <w:szCs w:val="16"/>
        </w:rPr>
        <w:t xml:space="preserve"> Dokládají to obecná míra nezaměstnanosti i počet ekonomicky neaktivních osob, které chtějí pracovat. Oba ukazatele v průběhu roku 2018 dále přepisovaly svá historická minima.</w:t>
      </w:r>
    </w:p>
  </w:footnote>
  <w:footnote w:id="25">
    <w:p w14:paraId="1F2BD194" w14:textId="77777777" w:rsidR="00744D09" w:rsidRPr="00EE200F" w:rsidRDefault="00744D09" w:rsidP="00744D09">
      <w:pPr>
        <w:pStyle w:val="Textpoznpodarou"/>
        <w:rPr>
          <w:rFonts w:cs="Arial"/>
          <w:spacing w:val="-2"/>
          <w:sz w:val="16"/>
          <w:szCs w:val="16"/>
        </w:rPr>
      </w:pPr>
      <w:r w:rsidRPr="00EE200F">
        <w:rPr>
          <w:rStyle w:val="Znakapoznpodarou"/>
          <w:rFonts w:cs="Arial"/>
          <w:spacing w:val="-2"/>
          <w:sz w:val="16"/>
          <w:szCs w:val="16"/>
        </w:rPr>
        <w:footnoteRef/>
      </w:r>
      <w:r>
        <w:rPr>
          <w:rFonts w:cs="Arial"/>
          <w:spacing w:val="-2"/>
          <w:sz w:val="16"/>
          <w:szCs w:val="16"/>
        </w:rPr>
        <w:t xml:space="preserve"> V průběhu roku 2018 došlo např. k navýšení kvóty pro kvalifikované pracovníky z Ukrajiny (z 9,6 tis. ročně na 19,6 tis.). Rozšířil se i okruh zemí, jejichž občané se mohou do režimů i projektů cílených na kvalifikované pracovníky zapojit (o Indii, Filipíny, Mongolsko a Srbsko).</w:t>
      </w:r>
    </w:p>
  </w:footnote>
  <w:footnote w:id="26">
    <w:p w14:paraId="6F13E325" w14:textId="77777777" w:rsidR="00744D09" w:rsidRPr="00EE200F" w:rsidRDefault="00744D09" w:rsidP="00744D09">
      <w:pPr>
        <w:pStyle w:val="Textpoznpodarou"/>
        <w:rPr>
          <w:rFonts w:cs="Arial"/>
          <w:spacing w:val="-2"/>
          <w:sz w:val="16"/>
          <w:szCs w:val="16"/>
        </w:rPr>
      </w:pPr>
      <w:r w:rsidRPr="001111FC">
        <w:rPr>
          <w:rStyle w:val="Znakapoznpodarou"/>
          <w:rFonts w:cs="Arial"/>
          <w:spacing w:val="-2"/>
          <w:sz w:val="16"/>
          <w:szCs w:val="16"/>
        </w:rPr>
        <w:footnoteRef/>
      </w:r>
      <w:r w:rsidRPr="001111FC">
        <w:rPr>
          <w:rFonts w:cs="Arial"/>
          <w:spacing w:val="-2"/>
          <w:sz w:val="16"/>
          <w:szCs w:val="16"/>
        </w:rPr>
        <w:t xml:space="preserve"> Tu</w:t>
      </w:r>
      <w:r>
        <w:rPr>
          <w:rFonts w:cs="Arial"/>
          <w:spacing w:val="-2"/>
          <w:sz w:val="16"/>
          <w:szCs w:val="16"/>
        </w:rPr>
        <w:t>to roli posilovaly i přetrvávající, byť nikterak vysoké rozdíly v průměrných výdělcích. Dle údajů národních účtů byla výše vyplacených mezd a platů (vyjádřených v eurech) připadající v průměru na jednoho zaměstnance v roce 2018 v Česku zhruba dvojnásobná než ve státě EU s nejhorším postavením (Bulharsko). Po přepočtu do srovnatelné cenové hladiny (dle parity kupní síly) se rozdíly snížily. Hrubé výdělky v Bulharsku vystoupaly na 73 % úrovně ČR, v Maďarsku na 90 % a např. na Slovensku na 93 %.</w:t>
      </w:r>
    </w:p>
  </w:footnote>
  <w:footnote w:id="27">
    <w:p w14:paraId="43D52286" w14:textId="3463F558" w:rsidR="004E684C" w:rsidRPr="00EE200F" w:rsidRDefault="004E684C" w:rsidP="009E674A">
      <w:pPr>
        <w:pStyle w:val="Textpoznpodarou"/>
        <w:rPr>
          <w:rFonts w:cs="Arial"/>
          <w:spacing w:val="-2"/>
          <w:sz w:val="16"/>
          <w:szCs w:val="16"/>
        </w:rPr>
      </w:pPr>
      <w:r w:rsidRPr="00EE200F">
        <w:rPr>
          <w:rStyle w:val="Znakapoznpodarou"/>
          <w:rFonts w:cs="Arial"/>
          <w:spacing w:val="-2"/>
          <w:sz w:val="16"/>
          <w:szCs w:val="16"/>
        </w:rPr>
        <w:footnoteRef/>
      </w:r>
      <w:r>
        <w:rPr>
          <w:rFonts w:cs="Arial"/>
          <w:spacing w:val="-2"/>
          <w:sz w:val="16"/>
          <w:szCs w:val="16"/>
        </w:rPr>
        <w:t xml:space="preserve"> Není bez zajímavosti, že tento přírůstek odpovídá počtu volných pracovních míst v evidenci úřadů práce ČR, která byla na konci roku 2017 klasifikována jako vhodná pro cizince (</w:t>
      </w:r>
      <w:r w:rsidRPr="00AA5EA1">
        <w:rPr>
          <w:sz w:val="16"/>
          <w:szCs w:val="16"/>
        </w:rPr>
        <w:t>103</w:t>
      </w:r>
      <w:r>
        <w:rPr>
          <w:sz w:val="16"/>
          <w:szCs w:val="16"/>
        </w:rPr>
        <w:t> tis. míst, v drtivé většině určených</w:t>
      </w:r>
      <w:r w:rsidRPr="00AA5EA1">
        <w:rPr>
          <w:sz w:val="16"/>
          <w:szCs w:val="16"/>
        </w:rPr>
        <w:t xml:space="preserve"> pro nízkokvalifikované</w:t>
      </w:r>
      <w:r>
        <w:rPr>
          <w:sz w:val="16"/>
          <w:szCs w:val="16"/>
        </w:rPr>
        <w:t xml:space="preserve"> zaměstnance: </w:t>
      </w:r>
      <w:r w:rsidRPr="00AA5EA1">
        <w:rPr>
          <w:sz w:val="16"/>
          <w:szCs w:val="16"/>
        </w:rPr>
        <w:t>55</w:t>
      </w:r>
      <w:r>
        <w:rPr>
          <w:sz w:val="16"/>
          <w:szCs w:val="16"/>
        </w:rPr>
        <w:t> %</w:t>
      </w:r>
      <w:r w:rsidRPr="00AA5EA1">
        <w:rPr>
          <w:sz w:val="16"/>
          <w:szCs w:val="16"/>
        </w:rPr>
        <w:t xml:space="preserve"> spadalo do kategorie </w:t>
      </w:r>
      <w:r w:rsidRPr="00AA5EA1">
        <w:rPr>
          <w:rFonts w:eastAsia="Times New Roman" w:cs="Arial"/>
          <w:color w:val="000000"/>
          <w:sz w:val="16"/>
          <w:szCs w:val="16"/>
        </w:rPr>
        <w:t>obsluhy strojů a</w:t>
      </w:r>
      <w:r>
        <w:rPr>
          <w:rFonts w:eastAsia="Times New Roman" w:cs="Arial"/>
          <w:color w:val="000000"/>
          <w:sz w:val="16"/>
          <w:szCs w:val="16"/>
        </w:rPr>
        <w:t> </w:t>
      </w:r>
      <w:r w:rsidRPr="00AA5EA1">
        <w:rPr>
          <w:rFonts w:eastAsia="Times New Roman" w:cs="Arial"/>
          <w:color w:val="000000"/>
          <w:sz w:val="16"/>
          <w:szCs w:val="16"/>
        </w:rPr>
        <w:t>zařízen</w:t>
      </w:r>
      <w:r>
        <w:rPr>
          <w:rFonts w:eastAsia="Times New Roman" w:cs="Arial"/>
          <w:color w:val="000000"/>
          <w:sz w:val="16"/>
          <w:szCs w:val="16"/>
        </w:rPr>
        <w:t>í</w:t>
      </w:r>
      <w:r w:rsidRPr="00AA5EA1">
        <w:rPr>
          <w:rFonts w:eastAsia="Times New Roman" w:cs="Arial"/>
          <w:color w:val="000000"/>
          <w:sz w:val="16"/>
          <w:szCs w:val="16"/>
        </w:rPr>
        <w:t xml:space="preserve"> či pomocn</w:t>
      </w:r>
      <w:r>
        <w:rPr>
          <w:rFonts w:eastAsia="Times New Roman" w:cs="Arial"/>
          <w:color w:val="000000"/>
          <w:sz w:val="16"/>
          <w:szCs w:val="16"/>
        </w:rPr>
        <w:t>ých</w:t>
      </w:r>
      <w:r w:rsidRPr="00AA5EA1">
        <w:rPr>
          <w:rFonts w:eastAsia="Times New Roman" w:cs="Arial"/>
          <w:color w:val="000000"/>
          <w:sz w:val="16"/>
          <w:szCs w:val="16"/>
        </w:rPr>
        <w:t xml:space="preserve"> a</w:t>
      </w:r>
      <w:r>
        <w:rPr>
          <w:rFonts w:eastAsia="Times New Roman" w:cs="Arial"/>
          <w:color w:val="000000"/>
          <w:sz w:val="16"/>
          <w:szCs w:val="16"/>
        </w:rPr>
        <w:t> </w:t>
      </w:r>
      <w:r w:rsidRPr="00AA5EA1">
        <w:rPr>
          <w:rFonts w:eastAsia="Times New Roman" w:cs="Arial"/>
          <w:color w:val="000000"/>
          <w:sz w:val="16"/>
          <w:szCs w:val="16"/>
        </w:rPr>
        <w:t>nekvalifikovan</w:t>
      </w:r>
      <w:r>
        <w:rPr>
          <w:rFonts w:eastAsia="Times New Roman" w:cs="Arial"/>
          <w:color w:val="000000"/>
          <w:sz w:val="16"/>
          <w:szCs w:val="16"/>
        </w:rPr>
        <w:t>ých</w:t>
      </w:r>
      <w:r w:rsidRPr="00AA5EA1">
        <w:rPr>
          <w:rFonts w:eastAsia="Times New Roman" w:cs="Arial"/>
          <w:color w:val="000000"/>
          <w:sz w:val="16"/>
          <w:szCs w:val="16"/>
        </w:rPr>
        <w:t xml:space="preserve"> pracovník</w:t>
      </w:r>
      <w:r>
        <w:rPr>
          <w:rFonts w:eastAsia="Times New Roman" w:cs="Arial"/>
          <w:color w:val="000000"/>
          <w:sz w:val="16"/>
          <w:szCs w:val="16"/>
        </w:rPr>
        <w:t>ů</w:t>
      </w:r>
      <w:r w:rsidRPr="00AA5EA1">
        <w:rPr>
          <w:rFonts w:eastAsia="Times New Roman" w:cs="Arial"/>
          <w:color w:val="000000"/>
          <w:sz w:val="16"/>
          <w:szCs w:val="16"/>
        </w:rPr>
        <w:t>, dalších 22</w:t>
      </w:r>
      <w:r>
        <w:rPr>
          <w:rFonts w:eastAsia="Times New Roman" w:cs="Arial"/>
          <w:color w:val="000000"/>
          <w:sz w:val="16"/>
          <w:szCs w:val="16"/>
        </w:rPr>
        <w:t> %</w:t>
      </w:r>
      <w:r w:rsidRPr="00AA5EA1">
        <w:rPr>
          <w:rFonts w:eastAsia="Times New Roman" w:cs="Arial"/>
          <w:color w:val="000000"/>
          <w:sz w:val="16"/>
          <w:szCs w:val="16"/>
        </w:rPr>
        <w:t xml:space="preserve"> do skupiny řemeslníci a</w:t>
      </w:r>
      <w:r>
        <w:rPr>
          <w:rFonts w:eastAsia="Times New Roman" w:cs="Arial"/>
          <w:color w:val="000000"/>
          <w:sz w:val="16"/>
          <w:szCs w:val="16"/>
        </w:rPr>
        <w:t> </w:t>
      </w:r>
      <w:r w:rsidRPr="00AA5EA1">
        <w:rPr>
          <w:rFonts w:eastAsia="Times New Roman" w:cs="Arial"/>
          <w:color w:val="000000"/>
          <w:sz w:val="16"/>
          <w:szCs w:val="16"/>
        </w:rPr>
        <w:t>opraváři</w:t>
      </w:r>
      <w:r>
        <w:rPr>
          <w:rFonts w:eastAsia="Times New Roman" w:cs="Arial"/>
          <w:color w:val="000000"/>
          <w:sz w:val="16"/>
          <w:szCs w:val="16"/>
        </w:rPr>
        <w:t>)</w:t>
      </w:r>
      <w:r w:rsidRPr="00AA5EA1">
        <w:rPr>
          <w:rFonts w:eastAsia="Times New Roman" w:cs="Arial"/>
          <w:color w:val="000000"/>
          <w:sz w:val="16"/>
          <w:szCs w:val="16"/>
        </w:rPr>
        <w:t>.</w:t>
      </w:r>
    </w:p>
  </w:footnote>
  <w:footnote w:id="28">
    <w:p w14:paraId="629A53FB" w14:textId="5776DA17" w:rsidR="004E684C" w:rsidRPr="00EE200F" w:rsidRDefault="004E684C" w:rsidP="009E674A">
      <w:pPr>
        <w:pStyle w:val="Textpoznpodarou"/>
        <w:rPr>
          <w:rFonts w:cs="Arial"/>
          <w:spacing w:val="-2"/>
          <w:sz w:val="16"/>
          <w:szCs w:val="16"/>
        </w:rPr>
      </w:pPr>
      <w:r w:rsidRPr="00EE200F">
        <w:rPr>
          <w:rStyle w:val="Znakapoznpodarou"/>
          <w:rFonts w:cs="Arial"/>
          <w:spacing w:val="-2"/>
          <w:sz w:val="16"/>
          <w:szCs w:val="16"/>
        </w:rPr>
        <w:footnoteRef/>
      </w:r>
      <w:r>
        <w:rPr>
          <w:rFonts w:cs="Arial"/>
          <w:spacing w:val="-2"/>
          <w:sz w:val="16"/>
          <w:szCs w:val="16"/>
        </w:rPr>
        <w:t xml:space="preserve"> Zrychlení růstu objemu ekonomické migrace v letech 2017 a 2018 dokládá i sílící počet žádostí o dlouhodobá pobytová oprávnění (vízum k pobytu nad 90 dní a povolení k pobytu) podaných na zastupitelských úřadech ČR.</w:t>
      </w:r>
      <w:r w:rsidRPr="00067741">
        <w:rPr>
          <w:rFonts w:cs="Arial"/>
          <w:spacing w:val="-2"/>
          <w:sz w:val="16"/>
          <w:szCs w:val="16"/>
        </w:rPr>
        <w:t xml:space="preserve"> </w:t>
      </w:r>
      <w:r>
        <w:rPr>
          <w:rFonts w:cs="Arial"/>
          <w:spacing w:val="-2"/>
          <w:sz w:val="16"/>
          <w:szCs w:val="16"/>
        </w:rPr>
        <w:t>Z celkových 55,9 tis. loňských žádostí jich plných 60 % bylo podáno za účelem výdělečných aktivit (zaměstnání či podnikání), o rok dříve necelá polovina. Výdělečné aktivity tak byly již druhým rokem nejčastěji žádaným účelem při příchodu do ČR (v předchozích letech tuto roli plnily vzdělávací aktivity).</w:t>
      </w:r>
    </w:p>
  </w:footnote>
  <w:footnote w:id="29">
    <w:p w14:paraId="5594B433" w14:textId="79C7F1C7" w:rsidR="004E684C" w:rsidRPr="00EE200F" w:rsidRDefault="004E684C" w:rsidP="009E674A">
      <w:pPr>
        <w:pStyle w:val="Textpoznpodarou"/>
        <w:rPr>
          <w:rFonts w:cs="Arial"/>
          <w:spacing w:val="-2"/>
          <w:sz w:val="16"/>
          <w:szCs w:val="16"/>
        </w:rPr>
      </w:pPr>
      <w:r w:rsidRPr="00EE200F">
        <w:rPr>
          <w:rStyle w:val="Znakapoznpodarou"/>
          <w:rFonts w:cs="Arial"/>
          <w:spacing w:val="-2"/>
          <w:sz w:val="16"/>
          <w:szCs w:val="16"/>
        </w:rPr>
        <w:footnoteRef/>
      </w:r>
      <w:r>
        <w:rPr>
          <w:rFonts w:cs="Arial"/>
          <w:spacing w:val="-2"/>
          <w:sz w:val="16"/>
          <w:szCs w:val="16"/>
        </w:rPr>
        <w:t xml:space="preserve"> Náležejí sem vedle občanů států EU a jejich rodinných příslušníků i občané Švýcarska, Lichtenštejnska, Norska a Islandu (včetně jejich rodinných příslušníků).</w:t>
      </w:r>
    </w:p>
  </w:footnote>
  <w:footnote w:id="30">
    <w:p w14:paraId="44D1F792" w14:textId="5F6C4E8B" w:rsidR="004E684C" w:rsidRPr="00EE200F" w:rsidRDefault="004E684C" w:rsidP="009E674A">
      <w:pPr>
        <w:pStyle w:val="Textpoznpodarou"/>
        <w:rPr>
          <w:rFonts w:cs="Arial"/>
          <w:spacing w:val="-2"/>
          <w:sz w:val="16"/>
          <w:szCs w:val="16"/>
        </w:rPr>
      </w:pPr>
      <w:r w:rsidRPr="00EE200F">
        <w:rPr>
          <w:rStyle w:val="Znakapoznpodarou"/>
          <w:rFonts w:cs="Arial"/>
          <w:spacing w:val="-2"/>
          <w:sz w:val="16"/>
          <w:szCs w:val="16"/>
        </w:rPr>
        <w:footnoteRef/>
      </w:r>
      <w:r>
        <w:rPr>
          <w:rFonts w:cs="Arial"/>
          <w:spacing w:val="-2"/>
          <w:sz w:val="16"/>
          <w:szCs w:val="16"/>
        </w:rPr>
        <w:t xml:space="preserve"> Do této kategorie patří zejména cizinci s povolením k trvalému pobytu na území ČR, azylanti či osoby, jimž byla udělena doplňková ochrana, pedagogičtí, akademičtí a vědečtí pracovníci, sportovci, osoby studující na území ČR a dále také lidé, kteří pobývají na území ČR na základě povolení k dlouhodobému pobytu za účelem společného soužití rodiny.</w:t>
      </w:r>
    </w:p>
  </w:footnote>
  <w:footnote w:id="31">
    <w:p w14:paraId="46137D39" w14:textId="4EEE3AE2" w:rsidR="004E684C" w:rsidRPr="00EE200F" w:rsidRDefault="004E684C" w:rsidP="009E674A">
      <w:pPr>
        <w:pStyle w:val="Textpoznpodarou"/>
        <w:rPr>
          <w:rFonts w:cs="Arial"/>
          <w:spacing w:val="-2"/>
          <w:sz w:val="16"/>
          <w:szCs w:val="16"/>
        </w:rPr>
      </w:pPr>
      <w:r w:rsidRPr="00EE200F">
        <w:rPr>
          <w:rStyle w:val="Znakapoznpodarou"/>
          <w:rFonts w:cs="Arial"/>
          <w:spacing w:val="-2"/>
          <w:sz w:val="16"/>
          <w:szCs w:val="16"/>
        </w:rPr>
        <w:footnoteRef/>
      </w:r>
      <w:r>
        <w:rPr>
          <w:rFonts w:cs="Arial"/>
          <w:spacing w:val="-2"/>
          <w:sz w:val="16"/>
          <w:szCs w:val="16"/>
        </w:rPr>
        <w:t xml:space="preserve"> Tato kategorie zahrnuje platná povolení k zaměstnání (např. pro krátkodobá zaměstnání do tří měsíců či sezónní práce), zaměstnanecké karty (vydávané zastupitelskými úřady ČR v zahraniční na déle neobsazená volná místa evidovaná na úřadech práce v ČR), modré karty (na déle neobsazená volná místa evidovaná na úřadech práce v ČR vyžadující vzdělání na terciárním stupni) či karty vnitropodnikově převedených zaměstnanců.</w:t>
      </w:r>
    </w:p>
  </w:footnote>
  <w:footnote w:id="32">
    <w:p w14:paraId="74B7BDBC" w14:textId="77777777" w:rsidR="004E684C" w:rsidRPr="00EE200F" w:rsidRDefault="004E684C" w:rsidP="009E674A">
      <w:pPr>
        <w:pStyle w:val="Textpoznpodarou"/>
        <w:rPr>
          <w:rFonts w:cs="Arial"/>
          <w:spacing w:val="-2"/>
          <w:sz w:val="16"/>
          <w:szCs w:val="16"/>
        </w:rPr>
      </w:pPr>
      <w:r w:rsidRPr="00EE200F">
        <w:rPr>
          <w:rStyle w:val="Znakapoznpodarou"/>
          <w:rFonts w:cs="Arial"/>
          <w:spacing w:val="-2"/>
          <w:sz w:val="16"/>
          <w:szCs w:val="16"/>
        </w:rPr>
        <w:footnoteRef/>
      </w:r>
      <w:r>
        <w:rPr>
          <w:rFonts w:cs="Arial"/>
          <w:spacing w:val="-2"/>
          <w:sz w:val="16"/>
          <w:szCs w:val="16"/>
        </w:rPr>
        <w:t xml:space="preserve"> Jde o srovnání v rámci dvaceti nejčetnějších skupin pracujících cizinců v ČR.</w:t>
      </w:r>
    </w:p>
  </w:footnote>
  <w:footnote w:id="33">
    <w:p w14:paraId="47F6C0D2" w14:textId="77777777" w:rsidR="004E684C" w:rsidRPr="00EE200F" w:rsidRDefault="004E684C" w:rsidP="009E674A">
      <w:pPr>
        <w:pStyle w:val="Textpoznpodarou"/>
        <w:rPr>
          <w:rFonts w:cs="Arial"/>
          <w:spacing w:val="-2"/>
          <w:sz w:val="16"/>
          <w:szCs w:val="16"/>
        </w:rPr>
      </w:pPr>
      <w:r w:rsidRPr="00EE200F">
        <w:rPr>
          <w:rStyle w:val="Znakapoznpodarou"/>
          <w:rFonts w:cs="Arial"/>
          <w:spacing w:val="-2"/>
          <w:sz w:val="16"/>
          <w:szCs w:val="16"/>
        </w:rPr>
        <w:footnoteRef/>
      </w:r>
      <w:r>
        <w:rPr>
          <w:rFonts w:cs="Arial"/>
          <w:spacing w:val="-2"/>
          <w:sz w:val="16"/>
          <w:szCs w:val="16"/>
        </w:rPr>
        <w:t xml:space="preserve"> Občané Vietnamu tak loni ztratili pozici nejčetněji zastoupené skupiny cizinců s platným živnostenským oprávněním, neboť je těsně předčili Ukrajinci. I tak ale představovali Vietnamci bezmála čtvrtinu všech podnikajících cizinců v ČR.</w:t>
      </w:r>
    </w:p>
  </w:footnote>
  <w:footnote w:id="34">
    <w:p w14:paraId="12814F50" w14:textId="77777777" w:rsidR="00744D09" w:rsidRPr="00EE200F" w:rsidRDefault="00744D09" w:rsidP="009E674A">
      <w:pPr>
        <w:pStyle w:val="Textpoznpodarou"/>
        <w:rPr>
          <w:rFonts w:cs="Arial"/>
          <w:spacing w:val="-2"/>
          <w:sz w:val="16"/>
          <w:szCs w:val="16"/>
        </w:rPr>
      </w:pPr>
      <w:r w:rsidRPr="00EE200F">
        <w:rPr>
          <w:rStyle w:val="Znakapoznpodarou"/>
          <w:rFonts w:cs="Arial"/>
          <w:spacing w:val="-2"/>
          <w:sz w:val="16"/>
          <w:szCs w:val="16"/>
        </w:rPr>
        <w:footnoteRef/>
      </w:r>
      <w:r>
        <w:rPr>
          <w:rFonts w:cs="Arial"/>
          <w:spacing w:val="-2"/>
          <w:sz w:val="16"/>
          <w:szCs w:val="16"/>
        </w:rPr>
        <w:t xml:space="preserve"> Dle údajů MPSV bylo v roce 2018 evidováno 161,6 tis. cizinců v postavení zaměstnanců agentur práce, kteří byli dočasně přiděleni k výkonu práce u zaměstnavatele. Ze států EU pocházelo 62 % těchto pracovníků, zbylá část připadala na občany „třetích zemí“.</w:t>
      </w:r>
    </w:p>
  </w:footnote>
  <w:footnote w:id="35">
    <w:p w14:paraId="05CC58C1" w14:textId="77777777" w:rsidR="00744D09" w:rsidRPr="00EE200F" w:rsidRDefault="00744D09" w:rsidP="009E674A">
      <w:pPr>
        <w:pStyle w:val="Textpoznpodarou"/>
        <w:rPr>
          <w:rFonts w:cs="Arial"/>
          <w:spacing w:val="-2"/>
          <w:sz w:val="16"/>
          <w:szCs w:val="16"/>
        </w:rPr>
      </w:pPr>
      <w:r w:rsidRPr="00EE200F">
        <w:rPr>
          <w:rStyle w:val="Znakapoznpodarou"/>
          <w:rFonts w:cs="Arial"/>
          <w:spacing w:val="-2"/>
          <w:sz w:val="16"/>
          <w:szCs w:val="16"/>
        </w:rPr>
        <w:footnoteRef/>
      </w:r>
      <w:r>
        <w:rPr>
          <w:rFonts w:cs="Arial"/>
          <w:spacing w:val="-2"/>
          <w:sz w:val="16"/>
          <w:szCs w:val="16"/>
        </w:rPr>
        <w:t xml:space="preserve"> Např. mezi muži v zaměstnaneckých pozicích v celé ekonomice jich působilo v odvětví dopravy a skladování (dle údajů VŠPS za rok 2018) 9,1 %, u cizinců ale jen 5,9 %. Obdobně u žen v odvětví ubytování, stravování a pohostinství dosahoval podíl zaměstnanců jen 4,7 % (v případě celé ekonomiky), ale 6,8 % mezi všemi cizinci, a dokonce 10,5 % u žen ze zemí mimo EU.</w:t>
      </w:r>
    </w:p>
  </w:footnote>
  <w:footnote w:id="36">
    <w:p w14:paraId="6D4B5906" w14:textId="5F72B4EB" w:rsidR="00744D09" w:rsidRDefault="00744D09" w:rsidP="009E674A">
      <w:pPr>
        <w:pStyle w:val="Textpoznpodarou"/>
        <w:rPr>
          <w:rFonts w:cs="Arial"/>
          <w:spacing w:val="-4"/>
          <w:sz w:val="16"/>
          <w:szCs w:val="16"/>
        </w:rPr>
      </w:pPr>
      <w:r w:rsidRPr="006706AD">
        <w:rPr>
          <w:rStyle w:val="Znakapoznpodarou"/>
          <w:rFonts w:cs="Arial"/>
          <w:spacing w:val="-4"/>
          <w:sz w:val="16"/>
          <w:szCs w:val="16"/>
        </w:rPr>
        <w:footnoteRef/>
      </w:r>
      <w:r w:rsidRPr="006706AD">
        <w:rPr>
          <w:rFonts w:cs="Arial"/>
          <w:spacing w:val="-4"/>
          <w:sz w:val="16"/>
          <w:szCs w:val="16"/>
        </w:rPr>
        <w:t xml:space="preserve"> Následující údaje vycház</w:t>
      </w:r>
      <w:r>
        <w:rPr>
          <w:rFonts w:cs="Arial"/>
          <w:spacing w:val="-4"/>
          <w:sz w:val="16"/>
          <w:szCs w:val="16"/>
        </w:rPr>
        <w:t>ej</w:t>
      </w:r>
      <w:r w:rsidRPr="006706AD">
        <w:rPr>
          <w:rFonts w:cs="Arial"/>
          <w:spacing w:val="-4"/>
          <w:sz w:val="16"/>
          <w:szCs w:val="16"/>
        </w:rPr>
        <w:t>í z 21 nejčetněji zastoupených států (dle občanství pracujícího cizince k 31.</w:t>
      </w:r>
      <w:r>
        <w:rPr>
          <w:rFonts w:cs="Arial"/>
          <w:spacing w:val="-4"/>
          <w:sz w:val="16"/>
          <w:szCs w:val="16"/>
        </w:rPr>
        <w:t> </w:t>
      </w:r>
      <w:r w:rsidRPr="006706AD">
        <w:rPr>
          <w:rFonts w:cs="Arial"/>
          <w:spacing w:val="-4"/>
          <w:sz w:val="16"/>
          <w:szCs w:val="16"/>
        </w:rPr>
        <w:t>12.</w:t>
      </w:r>
      <w:r>
        <w:rPr>
          <w:rFonts w:cs="Arial"/>
          <w:spacing w:val="-4"/>
          <w:sz w:val="16"/>
          <w:szCs w:val="16"/>
        </w:rPr>
        <w:t> </w:t>
      </w:r>
      <w:r w:rsidRPr="006706AD">
        <w:rPr>
          <w:rFonts w:cs="Arial"/>
          <w:spacing w:val="-4"/>
          <w:sz w:val="16"/>
          <w:szCs w:val="16"/>
        </w:rPr>
        <w:t>2018). Tyto státy zahrnují 95</w:t>
      </w:r>
      <w:r>
        <w:rPr>
          <w:rFonts w:cs="Arial"/>
          <w:spacing w:val="-4"/>
          <w:sz w:val="16"/>
          <w:szCs w:val="16"/>
        </w:rPr>
        <w:t> %</w:t>
      </w:r>
      <w:r w:rsidRPr="006706AD">
        <w:rPr>
          <w:rFonts w:cs="Arial"/>
          <w:spacing w:val="-4"/>
          <w:sz w:val="16"/>
          <w:szCs w:val="16"/>
        </w:rPr>
        <w:t xml:space="preserve"> všech cizinců v postavení zaměstnanců v ČR. Pro cizince z</w:t>
      </w:r>
      <w:r>
        <w:rPr>
          <w:rFonts w:cs="Arial"/>
          <w:spacing w:val="-4"/>
          <w:sz w:val="16"/>
          <w:szCs w:val="16"/>
        </w:rPr>
        <w:t> </w:t>
      </w:r>
      <w:r w:rsidRPr="006706AD">
        <w:rPr>
          <w:rFonts w:cs="Arial"/>
          <w:spacing w:val="-4"/>
          <w:sz w:val="16"/>
          <w:szCs w:val="16"/>
        </w:rPr>
        <w:t>většiny států představoval v Česku nejvýznamnější odvětví zpracovatelský průmysl. Dominoval hlavně u</w:t>
      </w:r>
      <w:r>
        <w:rPr>
          <w:rFonts w:cs="Arial"/>
          <w:spacing w:val="-4"/>
          <w:sz w:val="16"/>
          <w:szCs w:val="16"/>
        </w:rPr>
        <w:t> </w:t>
      </w:r>
      <w:r w:rsidRPr="006706AD">
        <w:rPr>
          <w:rFonts w:cs="Arial"/>
          <w:spacing w:val="-4"/>
          <w:sz w:val="16"/>
          <w:szCs w:val="16"/>
        </w:rPr>
        <w:t>Mongolů (působilo zde 76</w:t>
      </w:r>
      <w:r>
        <w:rPr>
          <w:rFonts w:cs="Arial"/>
          <w:spacing w:val="-4"/>
          <w:sz w:val="16"/>
          <w:szCs w:val="16"/>
        </w:rPr>
        <w:t> %</w:t>
      </w:r>
      <w:r w:rsidRPr="006706AD">
        <w:rPr>
          <w:rFonts w:cs="Arial"/>
          <w:spacing w:val="-4"/>
          <w:sz w:val="16"/>
          <w:szCs w:val="16"/>
        </w:rPr>
        <w:t xml:space="preserve"> všech zaměstnanců s tímto občanstvím)</w:t>
      </w:r>
      <w:r>
        <w:rPr>
          <w:rFonts w:cs="Arial"/>
          <w:spacing w:val="-4"/>
          <w:sz w:val="16"/>
          <w:szCs w:val="16"/>
        </w:rPr>
        <w:t>, Poláků (45 %) a Rumunů (44 %)</w:t>
      </w:r>
      <w:r w:rsidRPr="006706AD">
        <w:rPr>
          <w:rFonts w:cs="Arial"/>
          <w:spacing w:val="-4"/>
          <w:sz w:val="16"/>
          <w:szCs w:val="16"/>
        </w:rPr>
        <w:t>. Naopak méně než desetinou se podílel na zaměstnanosti u</w:t>
      </w:r>
      <w:r>
        <w:rPr>
          <w:rFonts w:cs="Arial"/>
          <w:spacing w:val="-4"/>
          <w:sz w:val="16"/>
          <w:szCs w:val="16"/>
        </w:rPr>
        <w:t> </w:t>
      </w:r>
      <w:r w:rsidRPr="006706AD">
        <w:rPr>
          <w:rFonts w:cs="Arial"/>
          <w:spacing w:val="-4"/>
          <w:sz w:val="16"/>
          <w:szCs w:val="16"/>
        </w:rPr>
        <w:t>občanů Číny (kteří „vynikali</w:t>
      </w:r>
      <w:r>
        <w:rPr>
          <w:rFonts w:cs="Arial"/>
          <w:spacing w:val="-4"/>
          <w:sz w:val="16"/>
          <w:szCs w:val="16"/>
        </w:rPr>
        <w:t>“</w:t>
      </w:r>
      <w:r w:rsidRPr="006706AD">
        <w:rPr>
          <w:rFonts w:cs="Arial"/>
          <w:spacing w:val="-4"/>
          <w:sz w:val="16"/>
          <w:szCs w:val="16"/>
        </w:rPr>
        <w:t xml:space="preserve"> v</w:t>
      </w:r>
      <w:r>
        <w:rPr>
          <w:rFonts w:cs="Arial"/>
          <w:spacing w:val="-4"/>
          <w:sz w:val="16"/>
          <w:szCs w:val="16"/>
        </w:rPr>
        <w:t> </w:t>
      </w:r>
      <w:r w:rsidRPr="006706AD">
        <w:rPr>
          <w:rFonts w:cs="Arial"/>
          <w:spacing w:val="-4"/>
          <w:sz w:val="16"/>
          <w:szCs w:val="16"/>
        </w:rPr>
        <w:t>ubytování, stravování a</w:t>
      </w:r>
      <w:r>
        <w:rPr>
          <w:rFonts w:cs="Arial"/>
          <w:spacing w:val="-4"/>
          <w:sz w:val="16"/>
          <w:szCs w:val="16"/>
        </w:rPr>
        <w:t> </w:t>
      </w:r>
      <w:r w:rsidRPr="006706AD">
        <w:rPr>
          <w:rFonts w:cs="Arial"/>
          <w:spacing w:val="-4"/>
          <w:sz w:val="16"/>
          <w:szCs w:val="16"/>
        </w:rPr>
        <w:t>pohostinství</w:t>
      </w:r>
      <w:r>
        <w:rPr>
          <w:rFonts w:cs="Arial"/>
          <w:spacing w:val="-4"/>
          <w:sz w:val="16"/>
          <w:szCs w:val="16"/>
        </w:rPr>
        <w:t xml:space="preserve"> – </w:t>
      </w:r>
      <w:r w:rsidRPr="006706AD">
        <w:rPr>
          <w:rFonts w:cs="Arial"/>
          <w:spacing w:val="-4"/>
          <w:sz w:val="16"/>
          <w:szCs w:val="16"/>
        </w:rPr>
        <w:t>63</w:t>
      </w:r>
      <w:r>
        <w:rPr>
          <w:rFonts w:cs="Arial"/>
          <w:spacing w:val="-4"/>
          <w:sz w:val="16"/>
          <w:szCs w:val="16"/>
        </w:rPr>
        <w:t> %</w:t>
      </w:r>
      <w:r w:rsidRPr="006706AD">
        <w:rPr>
          <w:rFonts w:cs="Arial"/>
          <w:spacing w:val="-4"/>
          <w:sz w:val="16"/>
          <w:szCs w:val="16"/>
        </w:rPr>
        <w:t>), Ruska (obchod</w:t>
      </w:r>
      <w:r>
        <w:rPr>
          <w:rFonts w:cs="Arial"/>
          <w:spacing w:val="-4"/>
          <w:sz w:val="16"/>
          <w:szCs w:val="16"/>
        </w:rPr>
        <w:t xml:space="preserve"> a</w:t>
      </w:r>
      <w:r w:rsidRPr="006706AD">
        <w:rPr>
          <w:rFonts w:cs="Arial"/>
          <w:spacing w:val="-4"/>
          <w:sz w:val="16"/>
          <w:szCs w:val="16"/>
        </w:rPr>
        <w:t> adm</w:t>
      </w:r>
      <w:r>
        <w:rPr>
          <w:rFonts w:cs="Arial"/>
          <w:spacing w:val="-4"/>
          <w:sz w:val="16"/>
          <w:szCs w:val="16"/>
        </w:rPr>
        <w:t>inistrativní a podpůrné činnosti – </w:t>
      </w:r>
      <w:r w:rsidRPr="006706AD">
        <w:rPr>
          <w:rFonts w:cs="Arial"/>
          <w:spacing w:val="-4"/>
          <w:sz w:val="16"/>
          <w:szCs w:val="16"/>
        </w:rPr>
        <w:t xml:space="preserve">obě </w:t>
      </w:r>
      <w:r>
        <w:rPr>
          <w:rFonts w:cs="Arial"/>
          <w:spacing w:val="-4"/>
          <w:sz w:val="16"/>
          <w:szCs w:val="16"/>
        </w:rPr>
        <w:t xml:space="preserve">odvětví </w:t>
      </w:r>
      <w:r w:rsidRPr="006706AD">
        <w:rPr>
          <w:rFonts w:cs="Arial"/>
          <w:spacing w:val="-4"/>
          <w:sz w:val="16"/>
          <w:szCs w:val="16"/>
        </w:rPr>
        <w:t>shodně 16</w:t>
      </w:r>
      <w:r>
        <w:rPr>
          <w:rFonts w:cs="Arial"/>
          <w:spacing w:val="-4"/>
          <w:sz w:val="16"/>
          <w:szCs w:val="16"/>
        </w:rPr>
        <w:t> %</w:t>
      </w:r>
      <w:r w:rsidRPr="006706AD">
        <w:rPr>
          <w:rFonts w:cs="Arial"/>
          <w:spacing w:val="-4"/>
          <w:sz w:val="16"/>
          <w:szCs w:val="16"/>
        </w:rPr>
        <w:t xml:space="preserve">), </w:t>
      </w:r>
      <w:r>
        <w:rPr>
          <w:rFonts w:cs="Arial"/>
          <w:spacing w:val="-4"/>
          <w:sz w:val="16"/>
          <w:szCs w:val="16"/>
        </w:rPr>
        <w:t>V</w:t>
      </w:r>
      <w:r w:rsidRPr="006706AD">
        <w:rPr>
          <w:rFonts w:cs="Arial"/>
          <w:spacing w:val="-4"/>
          <w:sz w:val="16"/>
          <w:szCs w:val="16"/>
        </w:rPr>
        <w:t>elké Británie (vzdělávání</w:t>
      </w:r>
      <w:r>
        <w:rPr>
          <w:rFonts w:cs="Arial"/>
          <w:spacing w:val="-4"/>
          <w:sz w:val="16"/>
          <w:szCs w:val="16"/>
        </w:rPr>
        <w:t xml:space="preserve"> – </w:t>
      </w:r>
      <w:r w:rsidRPr="006706AD">
        <w:rPr>
          <w:rFonts w:cs="Arial"/>
          <w:spacing w:val="-4"/>
          <w:sz w:val="16"/>
          <w:szCs w:val="16"/>
        </w:rPr>
        <w:t>24</w:t>
      </w:r>
      <w:r>
        <w:rPr>
          <w:rFonts w:cs="Arial"/>
          <w:spacing w:val="-4"/>
          <w:sz w:val="16"/>
          <w:szCs w:val="16"/>
        </w:rPr>
        <w:t> %</w:t>
      </w:r>
      <w:r w:rsidRPr="006706AD">
        <w:rPr>
          <w:rFonts w:cs="Arial"/>
          <w:spacing w:val="-4"/>
          <w:sz w:val="16"/>
          <w:szCs w:val="16"/>
        </w:rPr>
        <w:t>)</w:t>
      </w:r>
      <w:r>
        <w:rPr>
          <w:rFonts w:cs="Arial"/>
          <w:spacing w:val="-4"/>
          <w:sz w:val="16"/>
          <w:szCs w:val="16"/>
        </w:rPr>
        <w:t xml:space="preserve"> a USA (</w:t>
      </w:r>
      <w:r w:rsidRPr="006706AD">
        <w:rPr>
          <w:rFonts w:cs="Arial"/>
          <w:spacing w:val="-4"/>
          <w:sz w:val="16"/>
          <w:szCs w:val="16"/>
        </w:rPr>
        <w:t>vzdělávání</w:t>
      </w:r>
      <w:r>
        <w:rPr>
          <w:rFonts w:cs="Arial"/>
          <w:spacing w:val="-4"/>
          <w:sz w:val="16"/>
          <w:szCs w:val="16"/>
        </w:rPr>
        <w:t xml:space="preserve"> – 31 %</w:t>
      </w:r>
      <w:r w:rsidRPr="006706AD">
        <w:rPr>
          <w:rFonts w:cs="Arial"/>
          <w:spacing w:val="-4"/>
          <w:sz w:val="16"/>
          <w:szCs w:val="16"/>
        </w:rPr>
        <w:t>)</w:t>
      </w:r>
      <w:r>
        <w:rPr>
          <w:rFonts w:cs="Arial"/>
          <w:spacing w:val="-4"/>
          <w:sz w:val="16"/>
          <w:szCs w:val="16"/>
        </w:rPr>
        <w:t>. Klíčovým odvětvím nebyl zpracovatelský průmysl ani pro občany Vietnamu (</w:t>
      </w:r>
      <w:r w:rsidRPr="006706AD">
        <w:rPr>
          <w:rFonts w:cs="Arial"/>
          <w:spacing w:val="-4"/>
          <w:sz w:val="16"/>
          <w:szCs w:val="16"/>
        </w:rPr>
        <w:t>obchod</w:t>
      </w:r>
      <w:r>
        <w:rPr>
          <w:rFonts w:cs="Arial"/>
          <w:spacing w:val="-4"/>
          <w:sz w:val="16"/>
          <w:szCs w:val="16"/>
        </w:rPr>
        <w:t xml:space="preserve"> – 31 %), Itálie (informační a komunikační činnosti – 16 %), Francie a Španělska (obě země a</w:t>
      </w:r>
      <w:r w:rsidRPr="00C6244C">
        <w:rPr>
          <w:rFonts w:cs="Arial"/>
          <w:spacing w:val="-4"/>
          <w:sz w:val="16"/>
          <w:szCs w:val="16"/>
        </w:rPr>
        <w:t>dm</w:t>
      </w:r>
      <w:r>
        <w:rPr>
          <w:rFonts w:cs="Arial"/>
          <w:spacing w:val="-4"/>
          <w:sz w:val="16"/>
          <w:szCs w:val="16"/>
        </w:rPr>
        <w:t>inistrativní a podpůrné činnosti – 19 %, těsně následované i</w:t>
      </w:r>
      <w:r w:rsidRPr="00C6244C">
        <w:rPr>
          <w:rFonts w:cs="Arial"/>
          <w:spacing w:val="-4"/>
          <w:sz w:val="16"/>
          <w:szCs w:val="16"/>
        </w:rPr>
        <w:t>nformační</w:t>
      </w:r>
      <w:r>
        <w:rPr>
          <w:rFonts w:cs="Arial"/>
          <w:spacing w:val="-4"/>
          <w:sz w:val="16"/>
          <w:szCs w:val="16"/>
        </w:rPr>
        <w:t>mi</w:t>
      </w:r>
      <w:r w:rsidRPr="00C6244C">
        <w:rPr>
          <w:rFonts w:cs="Arial"/>
          <w:spacing w:val="-4"/>
          <w:sz w:val="16"/>
          <w:szCs w:val="16"/>
        </w:rPr>
        <w:t xml:space="preserve"> a</w:t>
      </w:r>
      <w:r>
        <w:rPr>
          <w:rFonts w:cs="Arial"/>
          <w:spacing w:val="-4"/>
          <w:sz w:val="16"/>
          <w:szCs w:val="16"/>
        </w:rPr>
        <w:t> </w:t>
      </w:r>
      <w:r w:rsidRPr="00C6244C">
        <w:rPr>
          <w:rFonts w:cs="Arial"/>
          <w:spacing w:val="-4"/>
          <w:sz w:val="16"/>
          <w:szCs w:val="16"/>
        </w:rPr>
        <w:t>komunikační</w:t>
      </w:r>
      <w:r>
        <w:rPr>
          <w:rFonts w:cs="Arial"/>
          <w:spacing w:val="-4"/>
          <w:sz w:val="16"/>
          <w:szCs w:val="16"/>
        </w:rPr>
        <w:t xml:space="preserve">mi činnostmi), </w:t>
      </w:r>
      <w:r w:rsidRPr="00AB29F1">
        <w:rPr>
          <w:rFonts w:cs="Arial"/>
          <w:spacing w:val="-4"/>
          <w:sz w:val="16"/>
          <w:szCs w:val="16"/>
        </w:rPr>
        <w:t>Kazachstán</w:t>
      </w:r>
      <w:r>
        <w:rPr>
          <w:rFonts w:cs="Arial"/>
          <w:spacing w:val="-4"/>
          <w:sz w:val="16"/>
          <w:szCs w:val="16"/>
        </w:rPr>
        <w:t>u (a</w:t>
      </w:r>
      <w:r w:rsidRPr="00C6244C">
        <w:rPr>
          <w:rFonts w:cs="Arial"/>
          <w:spacing w:val="-4"/>
          <w:sz w:val="16"/>
          <w:szCs w:val="16"/>
        </w:rPr>
        <w:t>dm</w:t>
      </w:r>
      <w:r>
        <w:rPr>
          <w:rFonts w:cs="Arial"/>
          <w:spacing w:val="-4"/>
          <w:sz w:val="16"/>
          <w:szCs w:val="16"/>
        </w:rPr>
        <w:t>inistrativní a podpůrné činnosti – 21 %) a Indie (informační a</w:t>
      </w:r>
      <w:r w:rsidRPr="006706AD">
        <w:rPr>
          <w:rFonts w:cs="Arial"/>
          <w:spacing w:val="-4"/>
          <w:sz w:val="16"/>
          <w:szCs w:val="16"/>
        </w:rPr>
        <w:t> </w:t>
      </w:r>
      <w:r>
        <w:rPr>
          <w:rFonts w:cs="Arial"/>
          <w:spacing w:val="-4"/>
          <w:sz w:val="16"/>
          <w:szCs w:val="16"/>
        </w:rPr>
        <w:t>komunikační činnosti – 27 %).</w:t>
      </w:r>
    </w:p>
    <w:p w14:paraId="7EA33AA1" w14:textId="0C856D74" w:rsidR="00744D09" w:rsidRPr="006706AD" w:rsidRDefault="00744D09" w:rsidP="009E674A">
      <w:pPr>
        <w:pStyle w:val="Textpoznpodarou"/>
        <w:rPr>
          <w:rFonts w:cs="Arial"/>
          <w:spacing w:val="-4"/>
          <w:sz w:val="16"/>
          <w:szCs w:val="16"/>
        </w:rPr>
      </w:pPr>
      <w:r>
        <w:rPr>
          <w:rFonts w:cs="Arial"/>
          <w:spacing w:val="-4"/>
          <w:sz w:val="16"/>
          <w:szCs w:val="16"/>
        </w:rPr>
        <w:t>Odvětví z</w:t>
      </w:r>
      <w:r w:rsidRPr="001C4B1D">
        <w:rPr>
          <w:rFonts w:cs="Arial"/>
          <w:spacing w:val="-4"/>
          <w:sz w:val="16"/>
          <w:szCs w:val="16"/>
        </w:rPr>
        <w:t>emědělství, lesnictví a</w:t>
      </w:r>
      <w:r>
        <w:rPr>
          <w:rFonts w:cs="Arial"/>
          <w:spacing w:val="-4"/>
          <w:sz w:val="16"/>
          <w:szCs w:val="16"/>
        </w:rPr>
        <w:t> </w:t>
      </w:r>
      <w:r w:rsidRPr="001C4B1D">
        <w:rPr>
          <w:rFonts w:cs="Arial"/>
          <w:spacing w:val="-4"/>
          <w:sz w:val="16"/>
          <w:szCs w:val="16"/>
        </w:rPr>
        <w:t>rybářství</w:t>
      </w:r>
      <w:r>
        <w:rPr>
          <w:rFonts w:cs="Arial"/>
          <w:spacing w:val="-4"/>
          <w:sz w:val="16"/>
          <w:szCs w:val="16"/>
        </w:rPr>
        <w:t xml:space="preserve"> dosahovalo nejvyššího podílu na celkové zaměstnanosti mezi Rumuny (5</w:t>
      </w:r>
      <w:r w:rsidRPr="006706AD">
        <w:rPr>
          <w:rFonts w:cs="Arial"/>
          <w:spacing w:val="-4"/>
          <w:sz w:val="16"/>
          <w:szCs w:val="16"/>
        </w:rPr>
        <w:t> </w:t>
      </w:r>
      <w:r>
        <w:rPr>
          <w:rFonts w:cs="Arial"/>
          <w:spacing w:val="-4"/>
          <w:sz w:val="16"/>
          <w:szCs w:val="16"/>
        </w:rPr>
        <w:t>%), těžba a dobývání u Poláků (4 %), stavebnictví u Ukrajinců (17 %), obchod u Vietnamců (31 %), d</w:t>
      </w:r>
      <w:r w:rsidRPr="00374C8A">
        <w:rPr>
          <w:rFonts w:cs="Arial"/>
          <w:spacing w:val="-4"/>
          <w:sz w:val="16"/>
          <w:szCs w:val="16"/>
        </w:rPr>
        <w:t>oprava a</w:t>
      </w:r>
      <w:r>
        <w:rPr>
          <w:rFonts w:cs="Arial"/>
          <w:spacing w:val="-4"/>
          <w:sz w:val="16"/>
          <w:szCs w:val="16"/>
        </w:rPr>
        <w:t> </w:t>
      </w:r>
      <w:r w:rsidRPr="00374C8A">
        <w:rPr>
          <w:rFonts w:cs="Arial"/>
          <w:spacing w:val="-4"/>
          <w:sz w:val="16"/>
          <w:szCs w:val="16"/>
        </w:rPr>
        <w:t>skladování</w:t>
      </w:r>
      <w:r>
        <w:rPr>
          <w:rFonts w:cs="Arial"/>
          <w:spacing w:val="-4"/>
          <w:sz w:val="16"/>
          <w:szCs w:val="16"/>
        </w:rPr>
        <w:t xml:space="preserve"> u Bělorusů (10 %), ub</w:t>
      </w:r>
      <w:r w:rsidRPr="00374C8A">
        <w:rPr>
          <w:rFonts w:cs="Arial"/>
          <w:spacing w:val="-4"/>
          <w:sz w:val="16"/>
          <w:szCs w:val="16"/>
        </w:rPr>
        <w:t>ytování, stravování a</w:t>
      </w:r>
      <w:r>
        <w:rPr>
          <w:rFonts w:cs="Arial"/>
          <w:spacing w:val="-4"/>
          <w:sz w:val="16"/>
          <w:szCs w:val="16"/>
        </w:rPr>
        <w:t> </w:t>
      </w:r>
      <w:r w:rsidRPr="00374C8A">
        <w:rPr>
          <w:rFonts w:cs="Arial"/>
          <w:spacing w:val="-4"/>
          <w:sz w:val="16"/>
          <w:szCs w:val="16"/>
        </w:rPr>
        <w:t>pohostinství</w:t>
      </w:r>
      <w:r>
        <w:rPr>
          <w:rFonts w:cs="Arial"/>
          <w:spacing w:val="-4"/>
          <w:sz w:val="16"/>
          <w:szCs w:val="16"/>
        </w:rPr>
        <w:t xml:space="preserve"> u Číňanů (63 %), inf</w:t>
      </w:r>
      <w:r w:rsidRPr="003B1037">
        <w:rPr>
          <w:rFonts w:cs="Arial"/>
          <w:spacing w:val="-4"/>
          <w:sz w:val="16"/>
          <w:szCs w:val="16"/>
        </w:rPr>
        <w:t>ormační a</w:t>
      </w:r>
      <w:r>
        <w:rPr>
          <w:rFonts w:cs="Arial"/>
          <w:spacing w:val="-4"/>
          <w:sz w:val="16"/>
          <w:szCs w:val="16"/>
        </w:rPr>
        <w:t> </w:t>
      </w:r>
      <w:r w:rsidRPr="003B1037">
        <w:rPr>
          <w:rFonts w:cs="Arial"/>
          <w:spacing w:val="-4"/>
          <w:sz w:val="16"/>
          <w:szCs w:val="16"/>
        </w:rPr>
        <w:t>komunikační činnosti</w:t>
      </w:r>
      <w:r>
        <w:rPr>
          <w:rFonts w:cs="Arial"/>
          <w:spacing w:val="-4"/>
          <w:sz w:val="16"/>
          <w:szCs w:val="16"/>
        </w:rPr>
        <w:t xml:space="preserve"> u Indů (27 %), p</w:t>
      </w:r>
      <w:r w:rsidRPr="003B1037">
        <w:rPr>
          <w:rFonts w:cs="Arial"/>
          <w:spacing w:val="-4"/>
          <w:sz w:val="16"/>
          <w:szCs w:val="16"/>
        </w:rPr>
        <w:t>eněžnictví a</w:t>
      </w:r>
      <w:r>
        <w:rPr>
          <w:rFonts w:cs="Arial"/>
          <w:spacing w:val="-4"/>
          <w:sz w:val="16"/>
          <w:szCs w:val="16"/>
        </w:rPr>
        <w:t> </w:t>
      </w:r>
      <w:r w:rsidRPr="003B1037">
        <w:rPr>
          <w:rFonts w:cs="Arial"/>
          <w:spacing w:val="-4"/>
          <w:sz w:val="16"/>
          <w:szCs w:val="16"/>
        </w:rPr>
        <w:t>pojišťovnictví</w:t>
      </w:r>
      <w:r>
        <w:rPr>
          <w:rFonts w:cs="Arial"/>
          <w:spacing w:val="-4"/>
          <w:sz w:val="16"/>
          <w:szCs w:val="16"/>
        </w:rPr>
        <w:t xml:space="preserve"> u Francouzů (5 %), č</w:t>
      </w:r>
      <w:r w:rsidRPr="003B1037">
        <w:rPr>
          <w:rFonts w:cs="Arial"/>
          <w:spacing w:val="-4"/>
          <w:sz w:val="16"/>
          <w:szCs w:val="16"/>
        </w:rPr>
        <w:t>innosti v</w:t>
      </w:r>
      <w:r>
        <w:rPr>
          <w:rFonts w:cs="Arial"/>
          <w:spacing w:val="-4"/>
          <w:sz w:val="16"/>
          <w:szCs w:val="16"/>
        </w:rPr>
        <w:t> </w:t>
      </w:r>
      <w:r w:rsidRPr="003B1037">
        <w:rPr>
          <w:rFonts w:cs="Arial"/>
          <w:spacing w:val="-4"/>
          <w:sz w:val="16"/>
          <w:szCs w:val="16"/>
        </w:rPr>
        <w:t>oblasti nemovitostí</w:t>
      </w:r>
      <w:r>
        <w:rPr>
          <w:rFonts w:cs="Arial"/>
          <w:spacing w:val="-4"/>
          <w:sz w:val="16"/>
          <w:szCs w:val="16"/>
        </w:rPr>
        <w:t xml:space="preserve"> a také p</w:t>
      </w:r>
      <w:r w:rsidRPr="003B1037">
        <w:rPr>
          <w:rFonts w:cs="Arial"/>
          <w:spacing w:val="-4"/>
          <w:sz w:val="16"/>
          <w:szCs w:val="16"/>
        </w:rPr>
        <w:t>rofesní, vědecké a</w:t>
      </w:r>
      <w:r>
        <w:rPr>
          <w:rFonts w:cs="Arial"/>
          <w:spacing w:val="-4"/>
          <w:sz w:val="16"/>
          <w:szCs w:val="16"/>
        </w:rPr>
        <w:t> </w:t>
      </w:r>
      <w:r w:rsidRPr="003B1037">
        <w:rPr>
          <w:rFonts w:cs="Arial"/>
          <w:spacing w:val="-4"/>
          <w:sz w:val="16"/>
          <w:szCs w:val="16"/>
        </w:rPr>
        <w:t xml:space="preserve">technické činnosti </w:t>
      </w:r>
      <w:r>
        <w:rPr>
          <w:rFonts w:cs="Arial"/>
          <w:spacing w:val="-4"/>
          <w:sz w:val="16"/>
          <w:szCs w:val="16"/>
        </w:rPr>
        <w:t>u občanů Velké Británie (4 %, resp. 16 %), administrativní a</w:t>
      </w:r>
      <w:r w:rsidRPr="006706AD">
        <w:rPr>
          <w:rFonts w:cs="Arial"/>
          <w:spacing w:val="-4"/>
          <w:sz w:val="16"/>
          <w:szCs w:val="16"/>
        </w:rPr>
        <w:t> </w:t>
      </w:r>
      <w:r w:rsidRPr="003B1037">
        <w:rPr>
          <w:rFonts w:cs="Arial"/>
          <w:spacing w:val="-4"/>
          <w:sz w:val="16"/>
          <w:szCs w:val="16"/>
        </w:rPr>
        <w:t>podpůrné činnosti</w:t>
      </w:r>
      <w:r>
        <w:rPr>
          <w:rFonts w:cs="Arial"/>
          <w:spacing w:val="-4"/>
          <w:sz w:val="16"/>
          <w:szCs w:val="16"/>
        </w:rPr>
        <w:t xml:space="preserve"> u Bulharů (28 %), veřejná správa, obrana a </w:t>
      </w:r>
      <w:r w:rsidRPr="003B1037">
        <w:rPr>
          <w:rFonts w:cs="Arial"/>
          <w:spacing w:val="-4"/>
          <w:sz w:val="16"/>
          <w:szCs w:val="16"/>
        </w:rPr>
        <w:t>sociální zabezpečení</w:t>
      </w:r>
      <w:r>
        <w:rPr>
          <w:rFonts w:cs="Arial"/>
          <w:spacing w:val="-4"/>
          <w:sz w:val="16"/>
          <w:szCs w:val="16"/>
        </w:rPr>
        <w:t xml:space="preserve"> u Slováků (0,4 %), vzdělávání u Američanů (31</w:t>
      </w:r>
      <w:r w:rsidRPr="006706AD">
        <w:rPr>
          <w:rFonts w:cs="Arial"/>
          <w:spacing w:val="-4"/>
          <w:sz w:val="16"/>
          <w:szCs w:val="16"/>
        </w:rPr>
        <w:t> </w:t>
      </w:r>
      <w:r>
        <w:rPr>
          <w:rFonts w:cs="Arial"/>
          <w:spacing w:val="-4"/>
          <w:sz w:val="16"/>
          <w:szCs w:val="16"/>
        </w:rPr>
        <w:t>%), z</w:t>
      </w:r>
      <w:r w:rsidRPr="005664B1">
        <w:rPr>
          <w:rFonts w:cs="Arial"/>
          <w:spacing w:val="-4"/>
          <w:sz w:val="16"/>
          <w:szCs w:val="16"/>
        </w:rPr>
        <w:t>dravotní a</w:t>
      </w:r>
      <w:r>
        <w:rPr>
          <w:rFonts w:cs="Arial"/>
          <w:spacing w:val="-4"/>
          <w:sz w:val="16"/>
          <w:szCs w:val="16"/>
        </w:rPr>
        <w:t> </w:t>
      </w:r>
      <w:r w:rsidRPr="005664B1">
        <w:rPr>
          <w:rFonts w:cs="Arial"/>
          <w:spacing w:val="-4"/>
          <w:sz w:val="16"/>
          <w:szCs w:val="16"/>
        </w:rPr>
        <w:t>sociální péče</w:t>
      </w:r>
      <w:r>
        <w:rPr>
          <w:rFonts w:cs="Arial"/>
          <w:spacing w:val="-4"/>
          <w:sz w:val="16"/>
          <w:szCs w:val="16"/>
        </w:rPr>
        <w:t xml:space="preserve"> u Slováků (4,7 %), k</w:t>
      </w:r>
      <w:r w:rsidRPr="00D07AAB">
        <w:rPr>
          <w:rFonts w:cs="Arial"/>
          <w:spacing w:val="-4"/>
          <w:sz w:val="16"/>
          <w:szCs w:val="16"/>
        </w:rPr>
        <w:t>ulturní, zábavní a</w:t>
      </w:r>
      <w:r>
        <w:rPr>
          <w:rFonts w:cs="Arial"/>
          <w:spacing w:val="-4"/>
          <w:sz w:val="16"/>
          <w:szCs w:val="16"/>
        </w:rPr>
        <w:t> </w:t>
      </w:r>
      <w:r w:rsidRPr="00D07AAB">
        <w:rPr>
          <w:rFonts w:cs="Arial"/>
          <w:spacing w:val="-4"/>
          <w:sz w:val="16"/>
          <w:szCs w:val="16"/>
        </w:rPr>
        <w:t>rekreační činnosti</w:t>
      </w:r>
      <w:r>
        <w:rPr>
          <w:rFonts w:cs="Arial"/>
          <w:spacing w:val="-4"/>
          <w:sz w:val="16"/>
          <w:szCs w:val="16"/>
        </w:rPr>
        <w:t xml:space="preserve"> u Američanů (1,8 %) a ostatní činnosti služeb, kam patří například kosmetické činnosti, u Vietnamců (5,6 %).</w:t>
      </w:r>
    </w:p>
  </w:footnote>
  <w:footnote w:id="37">
    <w:p w14:paraId="617573F5" w14:textId="77777777" w:rsidR="00F36104" w:rsidRPr="00EE200F" w:rsidRDefault="00F36104" w:rsidP="009E674A">
      <w:pPr>
        <w:pStyle w:val="Textpoznpodarou"/>
        <w:rPr>
          <w:rFonts w:cs="Arial"/>
          <w:spacing w:val="-2"/>
          <w:sz w:val="16"/>
          <w:szCs w:val="16"/>
        </w:rPr>
      </w:pPr>
      <w:r w:rsidRPr="00EE200F">
        <w:rPr>
          <w:rStyle w:val="Znakapoznpodarou"/>
          <w:rFonts w:cs="Arial"/>
          <w:spacing w:val="-2"/>
          <w:sz w:val="16"/>
          <w:szCs w:val="16"/>
        </w:rPr>
        <w:footnoteRef/>
      </w:r>
      <w:r>
        <w:rPr>
          <w:rFonts w:cs="Arial"/>
          <w:spacing w:val="-2"/>
          <w:sz w:val="16"/>
          <w:szCs w:val="16"/>
        </w:rPr>
        <w:t xml:space="preserve"> Počet všech pracujících cizinců registrovaných v okresech Ostrava</w:t>
      </w:r>
      <w:r>
        <w:rPr>
          <w:rFonts w:cs="Arial"/>
          <w:spacing w:val="-2"/>
          <w:sz w:val="16"/>
          <w:szCs w:val="16"/>
        </w:rPr>
        <w:noBreakHyphen/>
        <w:t>město, Karviná, Frýdek</w:t>
      </w:r>
      <w:r>
        <w:rPr>
          <w:rFonts w:cs="Arial"/>
          <w:spacing w:val="-2"/>
          <w:sz w:val="16"/>
          <w:szCs w:val="16"/>
        </w:rPr>
        <w:noBreakHyphen/>
        <w:t xml:space="preserve">Místek se proti roku 2011 zvýšil jen mírně nad třetinu (ze 16,8 tis. na 23,2 tis.). Tento vývoj souvisel s prudkým rozvojem automobilového průmyslu v nedaleké Žilině a také s pokračující transformací těžkého průmyslu v ostravské aglomeraci. </w:t>
      </w:r>
    </w:p>
  </w:footnote>
  <w:footnote w:id="38">
    <w:p w14:paraId="303643DC" w14:textId="0B6222BF" w:rsidR="00F36104" w:rsidRPr="00EE200F" w:rsidRDefault="00F36104" w:rsidP="009E674A">
      <w:pPr>
        <w:pStyle w:val="Textpoznpodarou"/>
        <w:rPr>
          <w:rFonts w:cs="Arial"/>
          <w:spacing w:val="-2"/>
          <w:sz w:val="16"/>
          <w:szCs w:val="16"/>
        </w:rPr>
      </w:pPr>
      <w:r w:rsidRPr="00EE200F">
        <w:rPr>
          <w:rStyle w:val="Znakapoznpodarou"/>
          <w:rFonts w:cs="Arial"/>
          <w:spacing w:val="-2"/>
          <w:sz w:val="16"/>
          <w:szCs w:val="16"/>
        </w:rPr>
        <w:footnoteRef/>
      </w:r>
      <w:r>
        <w:rPr>
          <w:rFonts w:cs="Arial"/>
          <w:spacing w:val="-2"/>
          <w:sz w:val="16"/>
          <w:szCs w:val="16"/>
        </w:rPr>
        <w:t xml:space="preserve"> Včetně cizinců (a jejich rodinných příslušníků), kteří jsou občany zemí Evropského hospodářského prostoru.</w:t>
      </w:r>
    </w:p>
  </w:footnote>
  <w:footnote w:id="39">
    <w:p w14:paraId="2CD61C40" w14:textId="6F992969" w:rsidR="004E684C" w:rsidRPr="00347C5D" w:rsidRDefault="004E684C" w:rsidP="009E674A">
      <w:pPr>
        <w:pStyle w:val="Textpoznpodarou"/>
        <w:rPr>
          <w:rFonts w:cs="Arial"/>
          <w:color w:val="0D0D0D" w:themeColor="text1" w:themeTint="F2"/>
          <w:spacing w:val="-4"/>
          <w:sz w:val="16"/>
          <w:szCs w:val="16"/>
        </w:rPr>
      </w:pPr>
      <w:r w:rsidRPr="00347C5D">
        <w:rPr>
          <w:rStyle w:val="Znakapoznpodarou"/>
          <w:rFonts w:cs="Arial"/>
          <w:color w:val="0D0D0D" w:themeColor="text1" w:themeTint="F2"/>
          <w:spacing w:val="-4"/>
          <w:sz w:val="16"/>
          <w:szCs w:val="16"/>
        </w:rPr>
        <w:footnoteRef/>
      </w:r>
      <w:r w:rsidRPr="00347C5D">
        <w:rPr>
          <w:rFonts w:cs="Arial"/>
          <w:color w:val="0D0D0D" w:themeColor="text1" w:themeTint="F2"/>
          <w:spacing w:val="-4"/>
          <w:sz w:val="16"/>
          <w:szCs w:val="16"/>
        </w:rPr>
        <w:t xml:space="preserve"> </w:t>
      </w:r>
      <w:r w:rsidRPr="00347C5D">
        <w:rPr>
          <w:rFonts w:cs="Arial"/>
          <w:color w:val="0D0D0D" w:themeColor="text1" w:themeTint="F2"/>
          <w:sz w:val="16"/>
          <w:szCs w:val="16"/>
        </w:rPr>
        <w:t>Detailní aktuální údaje o</w:t>
      </w:r>
      <w:r>
        <w:rPr>
          <w:rFonts w:cs="Arial"/>
          <w:color w:val="0D0D0D" w:themeColor="text1" w:themeTint="F2"/>
          <w:sz w:val="16"/>
          <w:szCs w:val="16"/>
        </w:rPr>
        <w:t> </w:t>
      </w:r>
      <w:r w:rsidRPr="00347C5D">
        <w:rPr>
          <w:rFonts w:cs="Arial"/>
          <w:color w:val="0D0D0D" w:themeColor="text1" w:themeTint="F2"/>
          <w:sz w:val="16"/>
          <w:szCs w:val="16"/>
        </w:rPr>
        <w:t>úrovni a</w:t>
      </w:r>
      <w:r>
        <w:rPr>
          <w:rFonts w:cs="Arial"/>
          <w:color w:val="0D0D0D" w:themeColor="text1" w:themeTint="F2"/>
          <w:sz w:val="16"/>
          <w:szCs w:val="16"/>
        </w:rPr>
        <w:t> </w:t>
      </w:r>
      <w:r w:rsidRPr="00347C5D">
        <w:rPr>
          <w:rFonts w:cs="Arial"/>
          <w:color w:val="0D0D0D" w:themeColor="text1" w:themeTint="F2"/>
          <w:sz w:val="16"/>
          <w:szCs w:val="16"/>
        </w:rPr>
        <w:t>struktuře úplných nákladů práce (představující</w:t>
      </w:r>
      <w:r>
        <w:rPr>
          <w:rFonts w:cs="Arial"/>
          <w:color w:val="0D0D0D" w:themeColor="text1" w:themeTint="F2"/>
          <w:sz w:val="16"/>
          <w:szCs w:val="16"/>
        </w:rPr>
        <w:t>ch</w:t>
      </w:r>
      <w:r w:rsidRPr="00347C5D">
        <w:rPr>
          <w:rFonts w:cs="Arial"/>
          <w:color w:val="0D0D0D" w:themeColor="text1" w:themeTint="F2"/>
          <w:sz w:val="16"/>
          <w:szCs w:val="16"/>
        </w:rPr>
        <w:t xml:space="preserve"> celkové náklady zaměstnavatele, které musí vynaložit k</w:t>
      </w:r>
      <w:r w:rsidRPr="00347C5D">
        <w:rPr>
          <w:color w:val="0D0D0D" w:themeColor="text1" w:themeTint="F2"/>
          <w:spacing w:val="-4"/>
          <w:sz w:val="16"/>
          <w:szCs w:val="16"/>
        </w:rPr>
        <w:t> </w:t>
      </w:r>
      <w:r w:rsidRPr="00347C5D">
        <w:rPr>
          <w:rFonts w:cs="Arial"/>
          <w:color w:val="0D0D0D" w:themeColor="text1" w:themeTint="F2"/>
          <w:sz w:val="16"/>
          <w:szCs w:val="16"/>
        </w:rPr>
        <w:t>získání a</w:t>
      </w:r>
      <w:r>
        <w:rPr>
          <w:rFonts w:cs="Arial"/>
          <w:color w:val="0D0D0D" w:themeColor="text1" w:themeTint="F2"/>
          <w:sz w:val="16"/>
          <w:szCs w:val="16"/>
        </w:rPr>
        <w:t> </w:t>
      </w:r>
      <w:r w:rsidRPr="00347C5D">
        <w:rPr>
          <w:rFonts w:cs="Arial"/>
          <w:color w:val="0D0D0D" w:themeColor="text1" w:themeTint="F2"/>
          <w:sz w:val="16"/>
          <w:szCs w:val="16"/>
        </w:rPr>
        <w:t>výchově zaměstnanců, k</w:t>
      </w:r>
      <w:r>
        <w:rPr>
          <w:rFonts w:cs="Arial"/>
          <w:color w:val="0D0D0D" w:themeColor="text1" w:themeTint="F2"/>
          <w:sz w:val="16"/>
          <w:szCs w:val="16"/>
        </w:rPr>
        <w:t> </w:t>
      </w:r>
      <w:r w:rsidRPr="00347C5D">
        <w:rPr>
          <w:rFonts w:cs="Arial"/>
          <w:color w:val="0D0D0D" w:themeColor="text1" w:themeTint="F2"/>
          <w:sz w:val="16"/>
          <w:szCs w:val="16"/>
        </w:rPr>
        <w:t>odměňování za práci a</w:t>
      </w:r>
      <w:r>
        <w:rPr>
          <w:rFonts w:cs="Arial"/>
          <w:color w:val="0D0D0D" w:themeColor="text1" w:themeTint="F2"/>
          <w:sz w:val="16"/>
          <w:szCs w:val="16"/>
        </w:rPr>
        <w:t> </w:t>
      </w:r>
      <w:r w:rsidRPr="00347C5D">
        <w:rPr>
          <w:rFonts w:cs="Arial"/>
          <w:color w:val="0D0D0D" w:themeColor="text1" w:themeTint="F2"/>
          <w:sz w:val="16"/>
          <w:szCs w:val="16"/>
        </w:rPr>
        <w:t>k</w:t>
      </w:r>
      <w:r>
        <w:rPr>
          <w:rFonts w:cs="Arial"/>
          <w:color w:val="0D0D0D" w:themeColor="text1" w:themeTint="F2"/>
          <w:sz w:val="16"/>
          <w:szCs w:val="16"/>
        </w:rPr>
        <w:t> </w:t>
      </w:r>
      <w:r w:rsidRPr="00347C5D">
        <w:rPr>
          <w:rFonts w:cs="Arial"/>
          <w:color w:val="0D0D0D" w:themeColor="text1" w:themeTint="F2"/>
          <w:sz w:val="16"/>
          <w:szCs w:val="16"/>
        </w:rPr>
        <w:t>zabezpečení sociálních potřeb zaměstnanců) za rok 2018 nebyly v době zpracování tohoto rozboru k dispozici (jejich vydání je plánováno na 20.</w:t>
      </w:r>
      <w:r>
        <w:rPr>
          <w:rFonts w:cs="Arial"/>
          <w:color w:val="0D0D0D" w:themeColor="text1" w:themeTint="F2"/>
          <w:sz w:val="16"/>
          <w:szCs w:val="16"/>
        </w:rPr>
        <w:t> </w:t>
      </w:r>
      <w:r w:rsidRPr="00347C5D">
        <w:rPr>
          <w:rFonts w:cs="Arial"/>
          <w:color w:val="0D0D0D" w:themeColor="text1" w:themeTint="F2"/>
          <w:sz w:val="16"/>
          <w:szCs w:val="16"/>
        </w:rPr>
        <w:t>listopad 2018).</w:t>
      </w:r>
    </w:p>
  </w:footnote>
  <w:footnote w:id="40">
    <w:p w14:paraId="2D06881C" w14:textId="5D743762" w:rsidR="004E684C" w:rsidRPr="00EE200F" w:rsidRDefault="004E684C" w:rsidP="009E674A">
      <w:pPr>
        <w:pStyle w:val="Textpoznpodarou"/>
        <w:rPr>
          <w:rFonts w:cs="Arial"/>
          <w:spacing w:val="-2"/>
          <w:sz w:val="16"/>
          <w:szCs w:val="16"/>
        </w:rPr>
      </w:pPr>
      <w:r w:rsidRPr="00EE200F">
        <w:rPr>
          <w:rStyle w:val="Znakapoznpodarou"/>
          <w:rFonts w:cs="Arial"/>
          <w:spacing w:val="-2"/>
          <w:sz w:val="16"/>
          <w:szCs w:val="16"/>
        </w:rPr>
        <w:footnoteRef/>
      </w:r>
      <w:r>
        <w:rPr>
          <w:rFonts w:cs="Arial"/>
          <w:spacing w:val="-2"/>
          <w:sz w:val="16"/>
          <w:szCs w:val="16"/>
        </w:rPr>
        <w:t xml:space="preserve"> I mezi ženami, kde je vy</w:t>
      </w:r>
      <w:r w:rsidRPr="00EE200F">
        <w:rPr>
          <w:rFonts w:cs="Arial"/>
          <w:spacing w:val="-2"/>
          <w:sz w:val="16"/>
          <w:szCs w:val="16"/>
        </w:rPr>
        <w:t xml:space="preserve">užívání těchto úvazků tradičně silnější, </w:t>
      </w:r>
      <w:r>
        <w:rPr>
          <w:rFonts w:cs="Arial"/>
          <w:spacing w:val="-2"/>
          <w:sz w:val="16"/>
          <w:szCs w:val="16"/>
        </w:rPr>
        <w:t>jich loni</w:t>
      </w:r>
      <w:r w:rsidRPr="00EE200F">
        <w:rPr>
          <w:rFonts w:cs="Arial"/>
          <w:spacing w:val="-2"/>
          <w:sz w:val="16"/>
          <w:szCs w:val="16"/>
        </w:rPr>
        <w:t xml:space="preserve"> v primárním i</w:t>
      </w:r>
      <w:r>
        <w:rPr>
          <w:rFonts w:cs="Arial"/>
          <w:spacing w:val="-2"/>
          <w:sz w:val="16"/>
          <w:szCs w:val="16"/>
        </w:rPr>
        <w:t> </w:t>
      </w:r>
      <w:r w:rsidRPr="00EE200F">
        <w:rPr>
          <w:rFonts w:cs="Arial"/>
          <w:spacing w:val="-2"/>
          <w:sz w:val="16"/>
          <w:szCs w:val="16"/>
        </w:rPr>
        <w:t>sekundárním sektoru</w:t>
      </w:r>
      <w:r>
        <w:rPr>
          <w:rFonts w:cs="Arial"/>
          <w:spacing w:val="-2"/>
          <w:sz w:val="16"/>
          <w:szCs w:val="16"/>
        </w:rPr>
        <w:t xml:space="preserve"> takto </w:t>
      </w:r>
      <w:r w:rsidRPr="00EE200F">
        <w:rPr>
          <w:rFonts w:cs="Arial"/>
          <w:spacing w:val="-2"/>
          <w:sz w:val="16"/>
          <w:szCs w:val="16"/>
        </w:rPr>
        <w:t>pracovalo  jen</w:t>
      </w:r>
      <w:r>
        <w:rPr>
          <w:rFonts w:cs="Arial"/>
          <w:spacing w:val="-2"/>
          <w:sz w:val="16"/>
          <w:szCs w:val="16"/>
        </w:rPr>
        <w:t xml:space="preserve"> 5 až 7</w:t>
      </w:r>
      <w:r w:rsidRPr="00EE200F">
        <w:rPr>
          <w:rFonts w:cs="Arial"/>
          <w:spacing w:val="-2"/>
          <w:sz w:val="16"/>
          <w:szCs w:val="16"/>
        </w:rPr>
        <w:t> %</w:t>
      </w:r>
      <w:r>
        <w:rPr>
          <w:rFonts w:cs="Arial"/>
          <w:spacing w:val="-2"/>
          <w:sz w:val="16"/>
          <w:szCs w:val="16"/>
        </w:rPr>
        <w:t>.</w:t>
      </w:r>
    </w:p>
  </w:footnote>
  <w:footnote w:id="41">
    <w:p w14:paraId="6EA0713C" w14:textId="77777777" w:rsidR="004E684C" w:rsidRPr="00EE200F" w:rsidRDefault="004E684C" w:rsidP="009E674A">
      <w:pPr>
        <w:pStyle w:val="Textpoznpodarou"/>
        <w:rPr>
          <w:rFonts w:cs="Arial"/>
          <w:spacing w:val="-2"/>
          <w:sz w:val="16"/>
          <w:szCs w:val="16"/>
        </w:rPr>
      </w:pPr>
      <w:r w:rsidRPr="00EE200F">
        <w:rPr>
          <w:rStyle w:val="Znakapoznpodarou"/>
          <w:rFonts w:cs="Arial"/>
          <w:spacing w:val="-2"/>
          <w:sz w:val="16"/>
          <w:szCs w:val="16"/>
        </w:rPr>
        <w:footnoteRef/>
      </w:r>
      <w:r>
        <w:rPr>
          <w:rFonts w:cs="Arial"/>
          <w:spacing w:val="-2"/>
          <w:sz w:val="16"/>
          <w:szCs w:val="16"/>
        </w:rPr>
        <w:t xml:space="preserve"> Vyjma odvětví veřejné správy, obrany a sociálního zabezpečení, kde podíl takto zaměstnaných dlouhodobě stagnuje mírně pod 5 %.</w:t>
      </w:r>
    </w:p>
  </w:footnote>
  <w:footnote w:id="42">
    <w:p w14:paraId="1C250D8D" w14:textId="00870B32" w:rsidR="004E684C" w:rsidRPr="00EE200F" w:rsidRDefault="004E684C" w:rsidP="009E674A">
      <w:pPr>
        <w:pStyle w:val="Textpoznpodarou"/>
        <w:rPr>
          <w:rFonts w:cs="Arial"/>
          <w:spacing w:val="-2"/>
          <w:sz w:val="16"/>
          <w:szCs w:val="16"/>
        </w:rPr>
      </w:pPr>
      <w:r w:rsidRPr="00EE200F">
        <w:rPr>
          <w:rStyle w:val="Znakapoznpodarou"/>
          <w:rFonts w:cs="Arial"/>
          <w:spacing w:val="-2"/>
          <w:sz w:val="16"/>
          <w:szCs w:val="16"/>
        </w:rPr>
        <w:footnoteRef/>
      </w:r>
      <w:r>
        <w:rPr>
          <w:rFonts w:cs="Arial"/>
          <w:spacing w:val="-2"/>
          <w:sz w:val="16"/>
          <w:szCs w:val="16"/>
        </w:rPr>
        <w:t xml:space="preserve"> K významnějšímu poklesu četnosti práce z domova mezi lety 2003 až 2007 došlo zejména vlivem snížení v kategorii „občas“. Naopak podíl osob, které uvedly, že touto formou pracují obvykle, se zredukoval jen mírně.</w:t>
      </w:r>
    </w:p>
  </w:footnote>
  <w:footnote w:id="43">
    <w:p w14:paraId="54858C59" w14:textId="77777777" w:rsidR="004E684C" w:rsidRPr="00EE200F" w:rsidRDefault="004E684C" w:rsidP="009E674A">
      <w:pPr>
        <w:pStyle w:val="Textpoznpodarou"/>
        <w:rPr>
          <w:rFonts w:cs="Arial"/>
          <w:spacing w:val="-2"/>
          <w:sz w:val="16"/>
          <w:szCs w:val="16"/>
        </w:rPr>
      </w:pPr>
      <w:r w:rsidRPr="00EE200F">
        <w:rPr>
          <w:rStyle w:val="Znakapoznpodarou"/>
          <w:rFonts w:cs="Arial"/>
          <w:spacing w:val="-2"/>
          <w:sz w:val="16"/>
          <w:szCs w:val="16"/>
        </w:rPr>
        <w:footnoteRef/>
      </w:r>
      <w:r>
        <w:rPr>
          <w:rFonts w:cs="Arial"/>
          <w:spacing w:val="-2"/>
          <w:sz w:val="16"/>
          <w:szCs w:val="16"/>
        </w:rPr>
        <w:t xml:space="preserve"> Jestliže v roce 2008 tvořily z celkového počtu osob podnikajících na vlastní účet ženy 28 %, v roce 2018 již 33 %. Podíl žen v rámci kategorie podnikatelů se zaměstnanci se přitom za stejné období prakticky nezměnil (osciloval okolo 23 %).</w:t>
      </w:r>
    </w:p>
  </w:footnote>
  <w:footnote w:id="44">
    <w:p w14:paraId="22662007" w14:textId="75C4AFE3" w:rsidR="004E684C" w:rsidRPr="00EE200F" w:rsidRDefault="004E684C" w:rsidP="009E674A">
      <w:pPr>
        <w:pStyle w:val="Textpoznpodarou"/>
        <w:rPr>
          <w:rFonts w:cs="Arial"/>
          <w:spacing w:val="-2"/>
          <w:sz w:val="16"/>
          <w:szCs w:val="16"/>
        </w:rPr>
      </w:pPr>
      <w:r w:rsidRPr="00EE200F">
        <w:rPr>
          <w:rStyle w:val="Znakapoznpodarou"/>
          <w:rFonts w:cs="Arial"/>
          <w:spacing w:val="-2"/>
          <w:sz w:val="16"/>
          <w:szCs w:val="16"/>
        </w:rPr>
        <w:footnoteRef/>
      </w:r>
      <w:r>
        <w:rPr>
          <w:rFonts w:cs="Arial"/>
          <w:spacing w:val="-2"/>
          <w:sz w:val="16"/>
          <w:szCs w:val="16"/>
        </w:rPr>
        <w:t xml:space="preserve"> Nebývale vysoký podíl byl způsoben tím, že trh práce v roce 2015 postupně vstřebával v té době ještě vysoký počet nezaměstnaných. Nová pracovní místa vytvářel především průmysl, kam se také soustřeďovala velká část agenturních pracovníků.</w:t>
      </w:r>
    </w:p>
  </w:footnote>
  <w:footnote w:id="45">
    <w:p w14:paraId="42E78363" w14:textId="77777777" w:rsidR="004E684C" w:rsidRPr="00EE200F" w:rsidRDefault="004E684C" w:rsidP="009E674A">
      <w:pPr>
        <w:pStyle w:val="Textpoznpodarou"/>
        <w:rPr>
          <w:rFonts w:cs="Arial"/>
          <w:spacing w:val="-2"/>
          <w:sz w:val="16"/>
          <w:szCs w:val="16"/>
        </w:rPr>
      </w:pPr>
      <w:r w:rsidRPr="00EE200F">
        <w:rPr>
          <w:rStyle w:val="Znakapoznpodarou"/>
          <w:rFonts w:cs="Arial"/>
          <w:spacing w:val="-2"/>
          <w:sz w:val="16"/>
          <w:szCs w:val="16"/>
        </w:rPr>
        <w:footnoteRef/>
      </w:r>
      <w:r>
        <w:rPr>
          <w:rFonts w:cs="Arial"/>
          <w:spacing w:val="-2"/>
          <w:sz w:val="16"/>
          <w:szCs w:val="16"/>
        </w:rPr>
        <w:t xml:space="preserve"> V roce 2018 tvořily 57 % všech zaměstnaných na dobu určitou (v roce 2015 pak 80 %). Skoro 30 % tvořily osoby, které takto pracovaly dobrovolně (vč. studentů), a 13 % lidé, kteří byli ve standardní zkušební lhůtě. Tyto podíly se mezi muži a ženami</w:t>
      </w:r>
      <w:r w:rsidRPr="00306042">
        <w:rPr>
          <w:rFonts w:cs="Arial"/>
          <w:spacing w:val="-2"/>
          <w:sz w:val="16"/>
          <w:szCs w:val="16"/>
        </w:rPr>
        <w:t xml:space="preserve"> </w:t>
      </w:r>
      <w:r>
        <w:rPr>
          <w:rFonts w:cs="Arial"/>
          <w:spacing w:val="-2"/>
          <w:sz w:val="16"/>
          <w:szCs w:val="16"/>
        </w:rPr>
        <w:t>téměř nelišily.</w:t>
      </w:r>
    </w:p>
  </w:footnote>
  <w:footnote w:id="46">
    <w:p w14:paraId="46A83472" w14:textId="725D0B35" w:rsidR="004E684C" w:rsidRPr="00E97456" w:rsidRDefault="004E684C" w:rsidP="009E674A">
      <w:pPr>
        <w:pStyle w:val="Textpoznpodarou"/>
        <w:rPr>
          <w:rFonts w:cs="Arial"/>
          <w:spacing w:val="-3"/>
          <w:sz w:val="16"/>
          <w:szCs w:val="16"/>
        </w:rPr>
      </w:pPr>
      <w:r w:rsidRPr="00E97456">
        <w:rPr>
          <w:rStyle w:val="Znakapoznpodarou"/>
          <w:rFonts w:cs="Arial"/>
          <w:spacing w:val="-3"/>
          <w:sz w:val="16"/>
          <w:szCs w:val="16"/>
        </w:rPr>
        <w:footnoteRef/>
      </w:r>
      <w:r w:rsidRPr="00E97456">
        <w:rPr>
          <w:rFonts w:cs="Arial"/>
          <w:spacing w:val="-3"/>
          <w:sz w:val="16"/>
          <w:szCs w:val="16"/>
        </w:rPr>
        <w:t xml:space="preserve"> Mezi pracovníky do 25 let jich pracovalo loni obvykle v sobotu 22</w:t>
      </w:r>
      <w:r>
        <w:rPr>
          <w:rFonts w:cs="Arial"/>
          <w:spacing w:val="-3"/>
          <w:sz w:val="16"/>
          <w:szCs w:val="16"/>
        </w:rPr>
        <w:t> %</w:t>
      </w:r>
      <w:r w:rsidRPr="00E97456">
        <w:rPr>
          <w:rFonts w:cs="Arial"/>
          <w:spacing w:val="-3"/>
          <w:sz w:val="16"/>
          <w:szCs w:val="16"/>
        </w:rPr>
        <w:t>, v neděli 18</w:t>
      </w:r>
      <w:r>
        <w:rPr>
          <w:rFonts w:cs="Arial"/>
          <w:spacing w:val="-3"/>
          <w:sz w:val="16"/>
          <w:szCs w:val="16"/>
        </w:rPr>
        <w:t> %</w:t>
      </w:r>
      <w:r w:rsidRPr="00E97456">
        <w:rPr>
          <w:rFonts w:cs="Arial"/>
          <w:spacing w:val="-3"/>
          <w:sz w:val="16"/>
          <w:szCs w:val="16"/>
        </w:rPr>
        <w:t>, u</w:t>
      </w:r>
      <w:r>
        <w:rPr>
          <w:rFonts w:cs="Arial"/>
          <w:spacing w:val="-3"/>
          <w:sz w:val="16"/>
          <w:szCs w:val="16"/>
        </w:rPr>
        <w:t> </w:t>
      </w:r>
      <w:r w:rsidRPr="00E97456">
        <w:rPr>
          <w:rFonts w:cs="Arial"/>
          <w:spacing w:val="-3"/>
          <w:sz w:val="16"/>
          <w:szCs w:val="16"/>
        </w:rPr>
        <w:t>pracujících seniorů (nad 64</w:t>
      </w:r>
      <w:r>
        <w:rPr>
          <w:rFonts w:cs="Arial"/>
          <w:spacing w:val="-3"/>
          <w:sz w:val="16"/>
          <w:szCs w:val="16"/>
        </w:rPr>
        <w:t> </w:t>
      </w:r>
      <w:r w:rsidRPr="00E97456">
        <w:rPr>
          <w:rFonts w:cs="Arial"/>
          <w:spacing w:val="-3"/>
          <w:sz w:val="16"/>
          <w:szCs w:val="16"/>
        </w:rPr>
        <w:t>let) pak 12</w:t>
      </w:r>
      <w:r>
        <w:rPr>
          <w:rFonts w:cs="Arial"/>
          <w:spacing w:val="-3"/>
          <w:sz w:val="16"/>
          <w:szCs w:val="16"/>
        </w:rPr>
        <w:t> %</w:t>
      </w:r>
      <w:r w:rsidRPr="00E97456">
        <w:rPr>
          <w:rFonts w:cs="Arial"/>
          <w:spacing w:val="-3"/>
          <w:sz w:val="16"/>
          <w:szCs w:val="16"/>
        </w:rPr>
        <w:t>, resp.</w:t>
      </w:r>
      <w:r>
        <w:rPr>
          <w:rFonts w:cs="Arial"/>
          <w:spacing w:val="-3"/>
          <w:sz w:val="16"/>
          <w:szCs w:val="16"/>
        </w:rPr>
        <w:t> </w:t>
      </w:r>
      <w:r w:rsidRPr="00E97456">
        <w:rPr>
          <w:rFonts w:cs="Arial"/>
          <w:spacing w:val="-3"/>
          <w:sz w:val="16"/>
          <w:szCs w:val="16"/>
        </w:rPr>
        <w:t>9</w:t>
      </w:r>
      <w:r>
        <w:rPr>
          <w:rFonts w:cs="Arial"/>
          <w:spacing w:val="-3"/>
          <w:sz w:val="16"/>
          <w:szCs w:val="16"/>
        </w:rPr>
        <w:t> %</w:t>
      </w:r>
      <w:r w:rsidRPr="00E97456">
        <w:rPr>
          <w:rFonts w:cs="Arial"/>
          <w:spacing w:val="-3"/>
          <w:sz w:val="16"/>
          <w:szCs w:val="16"/>
        </w:rPr>
        <w:t>.</w:t>
      </w:r>
    </w:p>
  </w:footnote>
  <w:footnote w:id="47">
    <w:p w14:paraId="3DF0DE31" w14:textId="77777777" w:rsidR="004E684C" w:rsidRPr="00E97456" w:rsidRDefault="004E684C" w:rsidP="009E674A">
      <w:pPr>
        <w:pStyle w:val="Textpoznpodarou"/>
        <w:rPr>
          <w:rFonts w:cs="Arial"/>
          <w:spacing w:val="-3"/>
          <w:sz w:val="16"/>
          <w:szCs w:val="16"/>
        </w:rPr>
      </w:pPr>
      <w:r w:rsidRPr="00E97456">
        <w:rPr>
          <w:rStyle w:val="Znakapoznpodarou"/>
          <w:rFonts w:cs="Arial"/>
          <w:spacing w:val="-3"/>
          <w:sz w:val="16"/>
          <w:szCs w:val="16"/>
        </w:rPr>
        <w:footnoteRef/>
      </w:r>
      <w:r>
        <w:rPr>
          <w:rFonts w:cs="Arial"/>
          <w:spacing w:val="-3"/>
          <w:sz w:val="16"/>
          <w:szCs w:val="16"/>
        </w:rPr>
        <w:t xml:space="preserve"> Výjimkou byli podnikatelé pracující jako vedoucí a řídící pracovníci, u nichž obvykle o víkendu pracovala čtvrtina z nich.</w:t>
      </w:r>
    </w:p>
  </w:footnote>
  <w:footnote w:id="48">
    <w:p w14:paraId="5C88E367" w14:textId="159C92E0" w:rsidR="004E684C" w:rsidRPr="00BB4A5B" w:rsidRDefault="004E684C" w:rsidP="00EF0FC4">
      <w:pPr>
        <w:pStyle w:val="Textpoznpodarou"/>
        <w:rPr>
          <w:spacing w:val="-2"/>
          <w:sz w:val="16"/>
          <w:szCs w:val="16"/>
        </w:rPr>
      </w:pPr>
      <w:r w:rsidRPr="00BB4A5B">
        <w:rPr>
          <w:rStyle w:val="Znakapoznpodarou"/>
          <w:spacing w:val="-2"/>
          <w:sz w:val="16"/>
          <w:szCs w:val="16"/>
        </w:rPr>
        <w:footnoteRef/>
      </w:r>
      <w:r w:rsidRPr="00BB4A5B">
        <w:rPr>
          <w:spacing w:val="-2"/>
          <w:sz w:val="16"/>
          <w:szCs w:val="16"/>
        </w:rPr>
        <w:t xml:space="preserve"> Krátkodobá očekávání zaměstnanosti (na období nejbližších tř</w:t>
      </w:r>
      <w:r>
        <w:rPr>
          <w:spacing w:val="-2"/>
          <w:sz w:val="16"/>
          <w:szCs w:val="16"/>
        </w:rPr>
        <w:t>í</w:t>
      </w:r>
      <w:r w:rsidRPr="00BB4A5B">
        <w:rPr>
          <w:spacing w:val="-2"/>
          <w:sz w:val="16"/>
          <w:szCs w:val="16"/>
        </w:rPr>
        <w:t xml:space="preserve"> měsíců) byla ještě na počátku loňského roku ve většině klíčových odvětví ekonomiky vysoká. Např</w:t>
      </w:r>
      <w:r>
        <w:rPr>
          <w:spacing w:val="-2"/>
          <w:sz w:val="16"/>
          <w:szCs w:val="16"/>
        </w:rPr>
        <w:t>íklad</w:t>
      </w:r>
      <w:r w:rsidRPr="00BB4A5B">
        <w:rPr>
          <w:spacing w:val="-2"/>
          <w:sz w:val="16"/>
          <w:szCs w:val="16"/>
        </w:rPr>
        <w:t xml:space="preserve"> v průmyslu činilo sezón</w:t>
      </w:r>
      <w:r>
        <w:rPr>
          <w:spacing w:val="-2"/>
          <w:sz w:val="16"/>
          <w:szCs w:val="16"/>
        </w:rPr>
        <w:t>n</w:t>
      </w:r>
      <w:r w:rsidRPr="00BB4A5B">
        <w:rPr>
          <w:spacing w:val="-2"/>
          <w:sz w:val="16"/>
          <w:szCs w:val="16"/>
        </w:rPr>
        <w:t>ě očištěné saldo očekávání +13</w:t>
      </w:r>
      <w:r>
        <w:rPr>
          <w:spacing w:val="-2"/>
          <w:sz w:val="16"/>
          <w:szCs w:val="16"/>
        </w:rPr>
        <w:t> bodů</w:t>
      </w:r>
      <w:r w:rsidRPr="00BB4A5B">
        <w:rPr>
          <w:spacing w:val="-2"/>
          <w:sz w:val="16"/>
          <w:szCs w:val="16"/>
        </w:rPr>
        <w:t xml:space="preserve"> (tj.</w:t>
      </w:r>
      <w:r>
        <w:rPr>
          <w:spacing w:val="-2"/>
          <w:sz w:val="16"/>
          <w:szCs w:val="16"/>
        </w:rPr>
        <w:t> </w:t>
      </w:r>
      <w:r w:rsidRPr="00BB4A5B">
        <w:rPr>
          <w:spacing w:val="-2"/>
          <w:sz w:val="16"/>
          <w:szCs w:val="16"/>
        </w:rPr>
        <w:t>rozdíl v procentních bodech mezi podílem podniků očekávajících navýšení zaměstnanosti a</w:t>
      </w:r>
      <w:r>
        <w:rPr>
          <w:spacing w:val="-2"/>
          <w:sz w:val="16"/>
          <w:szCs w:val="16"/>
        </w:rPr>
        <w:t> </w:t>
      </w:r>
      <w:r w:rsidRPr="00BB4A5B">
        <w:rPr>
          <w:spacing w:val="-2"/>
          <w:sz w:val="16"/>
          <w:szCs w:val="16"/>
        </w:rPr>
        <w:t xml:space="preserve">těch, které přepokládají snížení). V obchodu </w:t>
      </w:r>
      <w:r>
        <w:rPr>
          <w:spacing w:val="-2"/>
          <w:sz w:val="16"/>
          <w:szCs w:val="16"/>
        </w:rPr>
        <w:t xml:space="preserve">a ostatních službách bylo </w:t>
      </w:r>
      <w:r w:rsidRPr="00BB4A5B">
        <w:rPr>
          <w:spacing w:val="-2"/>
          <w:sz w:val="16"/>
          <w:szCs w:val="16"/>
        </w:rPr>
        <w:t xml:space="preserve">saldo dokonce </w:t>
      </w:r>
      <w:r>
        <w:rPr>
          <w:spacing w:val="-2"/>
          <w:sz w:val="16"/>
          <w:szCs w:val="16"/>
        </w:rPr>
        <w:t xml:space="preserve">ještě </w:t>
      </w:r>
      <w:r w:rsidRPr="00BB4A5B">
        <w:rPr>
          <w:spacing w:val="-2"/>
          <w:sz w:val="16"/>
          <w:szCs w:val="16"/>
        </w:rPr>
        <w:t>nep</w:t>
      </w:r>
      <w:r>
        <w:rPr>
          <w:spacing w:val="-2"/>
          <w:sz w:val="16"/>
          <w:szCs w:val="16"/>
        </w:rPr>
        <w:t>atrně vyšší. V prosinci 2018</w:t>
      </w:r>
      <w:r w:rsidRPr="00BB4A5B">
        <w:rPr>
          <w:spacing w:val="-2"/>
          <w:sz w:val="16"/>
          <w:szCs w:val="16"/>
        </w:rPr>
        <w:t xml:space="preserve"> čítalo </w:t>
      </w:r>
      <w:r>
        <w:rPr>
          <w:spacing w:val="-2"/>
          <w:sz w:val="16"/>
          <w:szCs w:val="16"/>
        </w:rPr>
        <w:t xml:space="preserve">saldo </w:t>
      </w:r>
      <w:r w:rsidRPr="00BB4A5B">
        <w:rPr>
          <w:spacing w:val="-2"/>
          <w:sz w:val="16"/>
          <w:szCs w:val="16"/>
        </w:rPr>
        <w:t>v průmyslu jen +6</w:t>
      </w:r>
      <w:r>
        <w:rPr>
          <w:spacing w:val="-2"/>
          <w:sz w:val="16"/>
          <w:szCs w:val="16"/>
        </w:rPr>
        <w:t> </w:t>
      </w:r>
      <w:r w:rsidRPr="00BB4A5B">
        <w:rPr>
          <w:spacing w:val="-2"/>
          <w:sz w:val="16"/>
          <w:szCs w:val="16"/>
        </w:rPr>
        <w:t>bodů a</w:t>
      </w:r>
      <w:r>
        <w:rPr>
          <w:spacing w:val="-2"/>
          <w:sz w:val="16"/>
          <w:szCs w:val="16"/>
        </w:rPr>
        <w:t> </w:t>
      </w:r>
      <w:r w:rsidRPr="00BB4A5B">
        <w:rPr>
          <w:spacing w:val="-2"/>
          <w:sz w:val="16"/>
          <w:szCs w:val="16"/>
        </w:rPr>
        <w:t xml:space="preserve">v kategorii ostatních </w:t>
      </w:r>
      <w:r>
        <w:rPr>
          <w:spacing w:val="-2"/>
          <w:sz w:val="16"/>
          <w:szCs w:val="16"/>
        </w:rPr>
        <w:t xml:space="preserve">tržních </w:t>
      </w:r>
      <w:r w:rsidRPr="00BB4A5B">
        <w:rPr>
          <w:spacing w:val="-2"/>
          <w:sz w:val="16"/>
          <w:szCs w:val="16"/>
        </w:rPr>
        <w:t xml:space="preserve">služeb dokonce </w:t>
      </w:r>
      <w:r>
        <w:rPr>
          <w:spacing w:val="-2"/>
          <w:sz w:val="16"/>
          <w:szCs w:val="16"/>
        </w:rPr>
        <w:t>–</w:t>
      </w:r>
      <w:r w:rsidRPr="00BB4A5B">
        <w:rPr>
          <w:spacing w:val="-2"/>
          <w:sz w:val="16"/>
          <w:szCs w:val="16"/>
        </w:rPr>
        <w:t>11 bodů. V rámci služeb se očekávání výrazněji snižovala zejména ve finančnictví, telekomunikacích, v poštovních a</w:t>
      </w:r>
      <w:r>
        <w:rPr>
          <w:spacing w:val="-2"/>
          <w:sz w:val="16"/>
          <w:szCs w:val="16"/>
        </w:rPr>
        <w:t> </w:t>
      </w:r>
      <w:r w:rsidRPr="00BB4A5B">
        <w:rPr>
          <w:spacing w:val="-2"/>
          <w:sz w:val="16"/>
          <w:szCs w:val="16"/>
        </w:rPr>
        <w:t>kurýrních činnostech, ve stravování a</w:t>
      </w:r>
      <w:r>
        <w:rPr>
          <w:spacing w:val="-2"/>
          <w:sz w:val="16"/>
          <w:szCs w:val="16"/>
        </w:rPr>
        <w:t> </w:t>
      </w:r>
      <w:r w:rsidRPr="00BB4A5B">
        <w:rPr>
          <w:spacing w:val="-2"/>
          <w:sz w:val="16"/>
          <w:szCs w:val="16"/>
        </w:rPr>
        <w:t>pohostinství, v reklamě či u</w:t>
      </w:r>
      <w:r>
        <w:rPr>
          <w:spacing w:val="-2"/>
          <w:sz w:val="16"/>
          <w:szCs w:val="16"/>
        </w:rPr>
        <w:t> </w:t>
      </w:r>
      <w:r w:rsidRPr="00BB4A5B">
        <w:rPr>
          <w:spacing w:val="-2"/>
          <w:sz w:val="16"/>
          <w:szCs w:val="16"/>
        </w:rPr>
        <w:t xml:space="preserve">cestovních kanceláří. Na </w:t>
      </w:r>
      <w:r>
        <w:rPr>
          <w:spacing w:val="-2"/>
          <w:sz w:val="16"/>
          <w:szCs w:val="16"/>
        </w:rPr>
        <w:t>druhé straně</w:t>
      </w:r>
      <w:r w:rsidRPr="00BB4A5B">
        <w:rPr>
          <w:spacing w:val="-2"/>
          <w:sz w:val="16"/>
          <w:szCs w:val="16"/>
        </w:rPr>
        <w:t xml:space="preserve"> vysoké kladné saldo přetrvalo v obchodě a</w:t>
      </w:r>
      <w:r>
        <w:rPr>
          <w:spacing w:val="-2"/>
          <w:sz w:val="16"/>
          <w:szCs w:val="16"/>
        </w:rPr>
        <w:t> </w:t>
      </w:r>
      <w:r w:rsidRPr="00BB4A5B">
        <w:rPr>
          <w:spacing w:val="-2"/>
          <w:sz w:val="16"/>
          <w:szCs w:val="16"/>
        </w:rPr>
        <w:t xml:space="preserve">také ve stavebnictví (kde v průběhu roku </w:t>
      </w:r>
      <w:r>
        <w:rPr>
          <w:spacing w:val="-2"/>
          <w:sz w:val="16"/>
          <w:szCs w:val="16"/>
        </w:rPr>
        <w:t xml:space="preserve">navíc </w:t>
      </w:r>
      <w:r w:rsidRPr="00BB4A5B">
        <w:rPr>
          <w:spacing w:val="-2"/>
          <w:sz w:val="16"/>
          <w:szCs w:val="16"/>
        </w:rPr>
        <w:t>sílilo).</w:t>
      </w:r>
    </w:p>
  </w:footnote>
  <w:footnote w:id="49">
    <w:p w14:paraId="0A88CBF3" w14:textId="57BE4801" w:rsidR="004E684C" w:rsidRPr="004634A9" w:rsidRDefault="004E684C" w:rsidP="00EF0FC4">
      <w:pPr>
        <w:pStyle w:val="Textpoznpodarou"/>
        <w:rPr>
          <w:sz w:val="16"/>
          <w:szCs w:val="16"/>
        </w:rPr>
      </w:pPr>
      <w:r w:rsidRPr="00BB4A5B">
        <w:rPr>
          <w:rStyle w:val="Znakapoznpodarou"/>
          <w:spacing w:val="-2"/>
          <w:sz w:val="16"/>
          <w:szCs w:val="16"/>
        </w:rPr>
        <w:footnoteRef/>
      </w:r>
      <w:r w:rsidRPr="00BB4A5B">
        <w:rPr>
          <w:spacing w:val="-2"/>
          <w:sz w:val="16"/>
          <w:szCs w:val="16"/>
        </w:rPr>
        <w:t xml:space="preserve"> Dle údajů VŠPS tvořili ve 4.</w:t>
      </w:r>
      <w:r>
        <w:rPr>
          <w:spacing w:val="-2"/>
          <w:sz w:val="16"/>
          <w:szCs w:val="16"/>
        </w:rPr>
        <w:t> </w:t>
      </w:r>
      <w:r w:rsidRPr="00BB4A5B">
        <w:rPr>
          <w:spacing w:val="-2"/>
          <w:sz w:val="16"/>
          <w:szCs w:val="16"/>
        </w:rPr>
        <w:t>čtvrtletí 2018 více než třetinu všech nezaměstnaných lidé, kteří byli bez práce méně než dva měsíce (více než polovinu pak lidé bez práce méně než pět měsíců). Dlouhodobě nezaměstnaných (nad 1</w:t>
      </w:r>
      <w:r>
        <w:rPr>
          <w:spacing w:val="-2"/>
          <w:sz w:val="16"/>
          <w:szCs w:val="16"/>
        </w:rPr>
        <w:t> </w:t>
      </w:r>
      <w:r w:rsidRPr="00BB4A5B">
        <w:rPr>
          <w:spacing w:val="-2"/>
          <w:sz w:val="16"/>
          <w:szCs w:val="16"/>
        </w:rPr>
        <w:t>rok) byla ale také bezmála třetina a</w:t>
      </w:r>
      <w:r>
        <w:rPr>
          <w:spacing w:val="-2"/>
          <w:sz w:val="16"/>
          <w:szCs w:val="16"/>
        </w:rPr>
        <w:t> </w:t>
      </w:r>
      <w:r w:rsidRPr="00BB4A5B">
        <w:rPr>
          <w:spacing w:val="-2"/>
          <w:sz w:val="16"/>
          <w:szCs w:val="16"/>
        </w:rPr>
        <w:t>počet osob, které neměly práci déle než dva roky, čítal téměř 20</w:t>
      </w:r>
      <w:r>
        <w:rPr>
          <w:spacing w:val="-2"/>
          <w:sz w:val="16"/>
          <w:szCs w:val="16"/>
        </w:rPr>
        <w:t> </w:t>
      </w:r>
      <w:r w:rsidRPr="00BB4A5B">
        <w:rPr>
          <w:spacing w:val="-2"/>
          <w:sz w:val="16"/>
          <w:szCs w:val="16"/>
        </w:rPr>
        <w:t>tis. (tj.</w:t>
      </w:r>
      <w:r>
        <w:rPr>
          <w:spacing w:val="-2"/>
          <w:sz w:val="16"/>
          <w:szCs w:val="16"/>
        </w:rPr>
        <w:t> </w:t>
      </w:r>
      <w:r w:rsidRPr="00BB4A5B">
        <w:rPr>
          <w:spacing w:val="-2"/>
          <w:sz w:val="16"/>
          <w:szCs w:val="16"/>
        </w:rPr>
        <w:t>šestinu všech nezaměstnaných).</w:t>
      </w:r>
    </w:p>
  </w:footnote>
  <w:footnote w:id="50">
    <w:p w14:paraId="353C5992" w14:textId="77777777" w:rsidR="007A4167" w:rsidRPr="00BB4A5B" w:rsidRDefault="007A4167" w:rsidP="00CC0F9A">
      <w:pPr>
        <w:pStyle w:val="Textpoznpodarou"/>
        <w:jc w:val="both"/>
        <w:rPr>
          <w:spacing w:val="-2"/>
          <w:sz w:val="16"/>
          <w:szCs w:val="16"/>
        </w:rPr>
      </w:pPr>
      <w:r w:rsidRPr="000D0BB2">
        <w:rPr>
          <w:rStyle w:val="Znakapoznpodarou"/>
          <w:spacing w:val="-4"/>
          <w:sz w:val="16"/>
          <w:szCs w:val="16"/>
        </w:rPr>
        <w:footnoteRef/>
      </w:r>
      <w:r w:rsidRPr="000D0BB2">
        <w:rPr>
          <w:spacing w:val="-4"/>
          <w:sz w:val="16"/>
          <w:szCs w:val="16"/>
        </w:rPr>
        <w:t xml:space="preserve"> </w:t>
      </w:r>
      <w:r>
        <w:rPr>
          <w:spacing w:val="-2"/>
          <w:sz w:val="16"/>
          <w:szCs w:val="16"/>
        </w:rPr>
        <w:t>Počet nezaměstnaných v těchto skupinách je tradičně velmi nízký (na celkové četnosti osob hledajících práci se tyto skupiny loni podílely pouze jednou dvanáctinou). Většina lidí v nich je ekonomicky neaktivních. Příznivější postavení žen (oproti mužům) zde souvisí s jejich intenzivnějším zapojením do terciárního vzdělávání a dále také s nižším zákonným důchodovým věkem.</w:t>
      </w:r>
    </w:p>
  </w:footnote>
  <w:footnote w:id="51">
    <w:p w14:paraId="7F4AC1A2" w14:textId="1BD615F8" w:rsidR="007A4167" w:rsidRPr="003A2A1C" w:rsidRDefault="007A4167" w:rsidP="00CC0F9A">
      <w:pPr>
        <w:pStyle w:val="Textpoznpodarou"/>
        <w:jc w:val="both"/>
        <w:rPr>
          <w:spacing w:val="-2"/>
          <w:sz w:val="16"/>
          <w:szCs w:val="16"/>
        </w:rPr>
      </w:pPr>
      <w:r w:rsidRPr="003A2A1C">
        <w:rPr>
          <w:rStyle w:val="Znakapoznpodarou"/>
          <w:spacing w:val="-2"/>
          <w:sz w:val="16"/>
          <w:szCs w:val="16"/>
        </w:rPr>
        <w:footnoteRef/>
      </w:r>
      <w:r w:rsidRPr="003A2A1C">
        <w:rPr>
          <w:spacing w:val="-2"/>
          <w:sz w:val="16"/>
          <w:szCs w:val="16"/>
        </w:rPr>
        <w:t xml:space="preserve"> </w:t>
      </w:r>
      <w:r w:rsidRPr="000D0BB2">
        <w:rPr>
          <w:spacing w:val="-4"/>
          <w:sz w:val="16"/>
          <w:szCs w:val="16"/>
        </w:rPr>
        <w:t>Tuto skutečnost názorně přibližují např. údaje ze 4.</w:t>
      </w:r>
      <w:r>
        <w:rPr>
          <w:spacing w:val="-4"/>
          <w:sz w:val="16"/>
          <w:szCs w:val="16"/>
        </w:rPr>
        <w:t> </w:t>
      </w:r>
      <w:r w:rsidRPr="000D0BB2">
        <w:rPr>
          <w:spacing w:val="-4"/>
          <w:sz w:val="16"/>
          <w:szCs w:val="16"/>
        </w:rPr>
        <w:t>čtvrtletí 2018. Ze všech nezaměstnaných ve 3.</w:t>
      </w:r>
      <w:r>
        <w:rPr>
          <w:spacing w:val="-4"/>
          <w:sz w:val="16"/>
          <w:szCs w:val="16"/>
        </w:rPr>
        <w:t> </w:t>
      </w:r>
      <w:r w:rsidRPr="000D0BB2">
        <w:rPr>
          <w:spacing w:val="-4"/>
          <w:sz w:val="16"/>
          <w:szCs w:val="16"/>
        </w:rPr>
        <w:t>čtvrtletí jich v následujícím čtvrtletí 38</w:t>
      </w:r>
      <w:r>
        <w:rPr>
          <w:spacing w:val="-4"/>
          <w:sz w:val="16"/>
          <w:szCs w:val="16"/>
        </w:rPr>
        <w:t> </w:t>
      </w:r>
      <w:r w:rsidRPr="000D0BB2">
        <w:rPr>
          <w:spacing w:val="-4"/>
          <w:sz w:val="16"/>
          <w:szCs w:val="16"/>
        </w:rPr>
        <w:t>tis. již patřilo mezi zaměstnané. Opačný tok (15</w:t>
      </w:r>
      <w:r>
        <w:rPr>
          <w:spacing w:val="-4"/>
          <w:sz w:val="16"/>
          <w:szCs w:val="16"/>
        </w:rPr>
        <w:t> </w:t>
      </w:r>
      <w:r w:rsidRPr="000D0BB2">
        <w:rPr>
          <w:spacing w:val="-4"/>
          <w:sz w:val="16"/>
          <w:szCs w:val="16"/>
        </w:rPr>
        <w:t>tis.) reprezentoval</w:t>
      </w:r>
      <w:r>
        <w:rPr>
          <w:spacing w:val="-4"/>
          <w:sz w:val="16"/>
          <w:szCs w:val="16"/>
        </w:rPr>
        <w:t>y</w:t>
      </w:r>
      <w:r w:rsidRPr="000D0BB2">
        <w:rPr>
          <w:spacing w:val="-4"/>
          <w:sz w:val="16"/>
          <w:szCs w:val="16"/>
        </w:rPr>
        <w:t xml:space="preserve"> osoby, které mezi 3. a</w:t>
      </w:r>
      <w:r>
        <w:rPr>
          <w:spacing w:val="-4"/>
          <w:sz w:val="16"/>
          <w:szCs w:val="16"/>
        </w:rPr>
        <w:t> </w:t>
      </w:r>
      <w:r w:rsidRPr="000D0BB2">
        <w:rPr>
          <w:spacing w:val="-4"/>
          <w:sz w:val="16"/>
          <w:szCs w:val="16"/>
        </w:rPr>
        <w:t>4.</w:t>
      </w:r>
      <w:r>
        <w:rPr>
          <w:spacing w:val="-4"/>
          <w:sz w:val="16"/>
          <w:szCs w:val="16"/>
        </w:rPr>
        <w:t> </w:t>
      </w:r>
      <w:r w:rsidRPr="000D0BB2">
        <w:rPr>
          <w:spacing w:val="-4"/>
          <w:sz w:val="16"/>
          <w:szCs w:val="16"/>
        </w:rPr>
        <w:t>čtvrtletím naopak o</w:t>
      </w:r>
      <w:r>
        <w:rPr>
          <w:spacing w:val="-4"/>
          <w:sz w:val="16"/>
          <w:szCs w:val="16"/>
        </w:rPr>
        <w:t> </w:t>
      </w:r>
      <w:r w:rsidRPr="000D0BB2">
        <w:rPr>
          <w:spacing w:val="-4"/>
          <w:sz w:val="16"/>
          <w:szCs w:val="16"/>
        </w:rPr>
        <w:t>práci přišly. Ve stejném období přešlo 25</w:t>
      </w:r>
      <w:r>
        <w:rPr>
          <w:spacing w:val="-4"/>
          <w:sz w:val="16"/>
          <w:szCs w:val="16"/>
        </w:rPr>
        <w:t> </w:t>
      </w:r>
      <w:r w:rsidRPr="000D0BB2">
        <w:rPr>
          <w:spacing w:val="-4"/>
          <w:sz w:val="16"/>
          <w:szCs w:val="16"/>
        </w:rPr>
        <w:t>tis. nezaměstnaných do stavu ekonomicky neaktivních, opačným směrem ale putovalo 32</w:t>
      </w:r>
      <w:r>
        <w:rPr>
          <w:spacing w:val="-4"/>
          <w:sz w:val="16"/>
          <w:szCs w:val="16"/>
        </w:rPr>
        <w:t> </w:t>
      </w:r>
      <w:r w:rsidRPr="000D0BB2">
        <w:rPr>
          <w:spacing w:val="-4"/>
          <w:sz w:val="16"/>
          <w:szCs w:val="16"/>
        </w:rPr>
        <w:t>tis. osob.</w:t>
      </w:r>
    </w:p>
  </w:footnote>
  <w:footnote w:id="52">
    <w:p w14:paraId="71F36C85" w14:textId="19B998D8" w:rsidR="007A4167" w:rsidRPr="00A039DF" w:rsidRDefault="007A4167" w:rsidP="00CC0F9A">
      <w:pPr>
        <w:pStyle w:val="Textpoznpodarou"/>
        <w:jc w:val="both"/>
        <w:rPr>
          <w:sz w:val="16"/>
          <w:szCs w:val="16"/>
        </w:rPr>
      </w:pPr>
      <w:r w:rsidRPr="00A039DF">
        <w:rPr>
          <w:rStyle w:val="Znakapoznpodarou"/>
          <w:sz w:val="16"/>
          <w:szCs w:val="16"/>
        </w:rPr>
        <w:footnoteRef/>
      </w:r>
      <w:r w:rsidRPr="00A039DF">
        <w:rPr>
          <w:sz w:val="16"/>
          <w:szCs w:val="16"/>
        </w:rPr>
        <w:t xml:space="preserve"> Sezónní vliv se do roku 2015 projevoval mezikvartálním nárůstem počtu nezaměstnaných v 1.</w:t>
      </w:r>
      <w:r>
        <w:rPr>
          <w:sz w:val="16"/>
          <w:szCs w:val="16"/>
        </w:rPr>
        <w:t> </w:t>
      </w:r>
      <w:r w:rsidRPr="00A039DF">
        <w:rPr>
          <w:sz w:val="16"/>
          <w:szCs w:val="16"/>
        </w:rPr>
        <w:t>čtvrtletí a</w:t>
      </w:r>
      <w:r>
        <w:rPr>
          <w:sz w:val="16"/>
          <w:szCs w:val="16"/>
        </w:rPr>
        <w:t> </w:t>
      </w:r>
      <w:r w:rsidRPr="00A039DF">
        <w:rPr>
          <w:sz w:val="16"/>
          <w:szCs w:val="16"/>
        </w:rPr>
        <w:t>následnou korekcí (poklesem) ve 2.</w:t>
      </w:r>
      <w:r>
        <w:rPr>
          <w:sz w:val="16"/>
          <w:szCs w:val="16"/>
        </w:rPr>
        <w:t> </w:t>
      </w:r>
      <w:r w:rsidRPr="00A039DF">
        <w:rPr>
          <w:sz w:val="16"/>
          <w:szCs w:val="16"/>
        </w:rPr>
        <w:t>čtvrtletí.</w:t>
      </w:r>
    </w:p>
  </w:footnote>
  <w:footnote w:id="53">
    <w:p w14:paraId="22971025" w14:textId="33D2FC8F" w:rsidR="007A4167" w:rsidRPr="00A039DF" w:rsidRDefault="007A4167" w:rsidP="006169F2">
      <w:pPr>
        <w:pStyle w:val="Textpoznpodarou"/>
        <w:jc w:val="both"/>
        <w:rPr>
          <w:spacing w:val="-2"/>
          <w:sz w:val="16"/>
          <w:szCs w:val="16"/>
        </w:rPr>
      </w:pPr>
      <w:r w:rsidRPr="00A039DF">
        <w:rPr>
          <w:rStyle w:val="Znakapoznpodarou"/>
          <w:sz w:val="16"/>
          <w:szCs w:val="16"/>
        </w:rPr>
        <w:footnoteRef/>
      </w:r>
      <w:r w:rsidRPr="00A039DF">
        <w:rPr>
          <w:sz w:val="16"/>
          <w:szCs w:val="16"/>
        </w:rPr>
        <w:t xml:space="preserve"> Zatímco ve 4.</w:t>
      </w:r>
      <w:r>
        <w:rPr>
          <w:sz w:val="16"/>
          <w:szCs w:val="16"/>
        </w:rPr>
        <w:t> </w:t>
      </w:r>
      <w:r w:rsidRPr="00A039DF">
        <w:rPr>
          <w:sz w:val="16"/>
          <w:szCs w:val="16"/>
        </w:rPr>
        <w:t>čtvrtletí 2016 pracovalo touto formou 9,9</w:t>
      </w:r>
      <w:r>
        <w:rPr>
          <w:sz w:val="16"/>
          <w:szCs w:val="16"/>
        </w:rPr>
        <w:t> %</w:t>
      </w:r>
      <w:r w:rsidRPr="00A039DF">
        <w:rPr>
          <w:sz w:val="16"/>
          <w:szCs w:val="16"/>
        </w:rPr>
        <w:t xml:space="preserve"> zaměstnanců, o</w:t>
      </w:r>
      <w:r>
        <w:rPr>
          <w:sz w:val="16"/>
          <w:szCs w:val="16"/>
        </w:rPr>
        <w:t> </w:t>
      </w:r>
      <w:r w:rsidRPr="00A039DF">
        <w:rPr>
          <w:sz w:val="16"/>
          <w:szCs w:val="16"/>
        </w:rPr>
        <w:t>dva roky později se</w:t>
      </w:r>
      <w:r>
        <w:rPr>
          <w:sz w:val="16"/>
          <w:szCs w:val="16"/>
        </w:rPr>
        <w:t xml:space="preserve"> tento podíl snížil na 8,1 % a</w:t>
      </w:r>
      <w:r w:rsidRPr="00A039DF">
        <w:rPr>
          <w:sz w:val="16"/>
          <w:szCs w:val="16"/>
        </w:rPr>
        <w:t> přiblížil se úrovni z období konjunktury minulé dekády. Tempo poklesu bylo v posledních letech u</w:t>
      </w:r>
      <w:r>
        <w:rPr>
          <w:sz w:val="16"/>
          <w:szCs w:val="16"/>
        </w:rPr>
        <w:t> </w:t>
      </w:r>
      <w:r w:rsidRPr="00A039DF">
        <w:rPr>
          <w:sz w:val="16"/>
          <w:szCs w:val="16"/>
        </w:rPr>
        <w:t>mužů mírně vyšší než u</w:t>
      </w:r>
      <w:r>
        <w:rPr>
          <w:sz w:val="16"/>
          <w:szCs w:val="16"/>
        </w:rPr>
        <w:t> </w:t>
      </w:r>
      <w:r w:rsidRPr="00A039DF">
        <w:rPr>
          <w:sz w:val="16"/>
          <w:szCs w:val="16"/>
        </w:rPr>
        <w:t>žen.</w:t>
      </w:r>
    </w:p>
  </w:footnote>
  <w:footnote w:id="54">
    <w:p w14:paraId="18532F97" w14:textId="39DD26DB" w:rsidR="004E684C" w:rsidRPr="00AA5EA1" w:rsidRDefault="004E684C" w:rsidP="006169F2">
      <w:pPr>
        <w:pStyle w:val="Textpoznpodarou"/>
        <w:rPr>
          <w:sz w:val="16"/>
          <w:szCs w:val="16"/>
        </w:rPr>
      </w:pPr>
      <w:r w:rsidRPr="00AA5EA1">
        <w:rPr>
          <w:rStyle w:val="Znakapoznpodarou"/>
          <w:sz w:val="16"/>
          <w:szCs w:val="16"/>
        </w:rPr>
        <w:footnoteRef/>
      </w:r>
      <w:r>
        <w:rPr>
          <w:sz w:val="16"/>
          <w:szCs w:val="16"/>
        </w:rPr>
        <w:t xml:space="preserve"> Dle pravidelného šetření MSPV (strukturální mzdová statistika) mělo v roce 2017 v kvalifikační třídě „o</w:t>
      </w:r>
      <w:r w:rsidRPr="00ED7CDA">
        <w:rPr>
          <w:sz w:val="16"/>
          <w:szCs w:val="16"/>
        </w:rPr>
        <w:t>bsluha strojů a</w:t>
      </w:r>
      <w:r>
        <w:rPr>
          <w:sz w:val="16"/>
          <w:szCs w:val="16"/>
        </w:rPr>
        <w:t> </w:t>
      </w:r>
      <w:r w:rsidRPr="00ED7CDA">
        <w:rPr>
          <w:sz w:val="16"/>
          <w:szCs w:val="16"/>
        </w:rPr>
        <w:t>zařízení, montéři</w:t>
      </w:r>
      <w:r>
        <w:rPr>
          <w:sz w:val="16"/>
          <w:szCs w:val="16"/>
        </w:rPr>
        <w:t>“ 61 % zaměstnanců učňovské vzdělání a pouze 12 % dosáhlo jen maximálně základního vzdělání (v obou případech šlo o dvakrát vyšší podíly než u všech zaměstnanců v ekonomice). Maturitní úrovní disponovalo v této třídě 22 % zaměstnanců.</w:t>
      </w:r>
    </w:p>
  </w:footnote>
  <w:footnote w:id="55">
    <w:p w14:paraId="4A5566A8" w14:textId="1C551F8C" w:rsidR="004E684C" w:rsidRPr="00AA5EA1" w:rsidRDefault="004E684C" w:rsidP="006169F2">
      <w:pPr>
        <w:pStyle w:val="Textpoznpodarou"/>
        <w:rPr>
          <w:sz w:val="16"/>
          <w:szCs w:val="16"/>
        </w:rPr>
      </w:pPr>
      <w:r w:rsidRPr="00AA5EA1">
        <w:rPr>
          <w:rStyle w:val="Znakapoznpodarou"/>
          <w:sz w:val="16"/>
          <w:szCs w:val="16"/>
        </w:rPr>
        <w:footnoteRef/>
      </w:r>
      <w:r w:rsidRPr="00AA5EA1">
        <w:rPr>
          <w:sz w:val="16"/>
          <w:szCs w:val="16"/>
        </w:rPr>
        <w:t xml:space="preserve"> </w:t>
      </w:r>
      <w:r>
        <w:rPr>
          <w:sz w:val="16"/>
          <w:szCs w:val="16"/>
        </w:rPr>
        <w:t xml:space="preserve">Dle posledního dostupného údaje (z konce roku 2017) bylo z celkové nabídky ÚP </w:t>
      </w:r>
      <w:r w:rsidRPr="00AA5EA1">
        <w:rPr>
          <w:sz w:val="16"/>
          <w:szCs w:val="16"/>
        </w:rPr>
        <w:t>103</w:t>
      </w:r>
      <w:r>
        <w:rPr>
          <w:sz w:val="16"/>
          <w:szCs w:val="16"/>
        </w:rPr>
        <w:t> </w:t>
      </w:r>
      <w:r w:rsidRPr="00AA5EA1">
        <w:rPr>
          <w:sz w:val="16"/>
          <w:szCs w:val="16"/>
        </w:rPr>
        <w:t>tis. míst</w:t>
      </w:r>
      <w:r>
        <w:rPr>
          <w:sz w:val="16"/>
          <w:szCs w:val="16"/>
        </w:rPr>
        <w:t xml:space="preserve"> klasifikováno jako „vhodných pro cizince“. V</w:t>
      </w:r>
      <w:r w:rsidRPr="00AA5EA1">
        <w:rPr>
          <w:sz w:val="16"/>
          <w:szCs w:val="16"/>
        </w:rPr>
        <w:t> drtivé většině byl</w:t>
      </w:r>
      <w:r>
        <w:rPr>
          <w:sz w:val="16"/>
          <w:szCs w:val="16"/>
        </w:rPr>
        <w:t>a</w:t>
      </w:r>
      <w:r w:rsidRPr="00AA5EA1">
        <w:rPr>
          <w:sz w:val="16"/>
          <w:szCs w:val="16"/>
        </w:rPr>
        <w:t xml:space="preserve"> určen</w:t>
      </w:r>
      <w:r>
        <w:rPr>
          <w:sz w:val="16"/>
          <w:szCs w:val="16"/>
        </w:rPr>
        <w:t>a</w:t>
      </w:r>
      <w:r w:rsidRPr="00AA5EA1">
        <w:rPr>
          <w:sz w:val="16"/>
          <w:szCs w:val="16"/>
        </w:rPr>
        <w:t xml:space="preserve"> pro nízkokvalifikované zaměstnance (55</w:t>
      </w:r>
      <w:r>
        <w:rPr>
          <w:sz w:val="16"/>
          <w:szCs w:val="16"/>
        </w:rPr>
        <w:t> %</w:t>
      </w:r>
      <w:r w:rsidRPr="00AA5EA1">
        <w:rPr>
          <w:sz w:val="16"/>
          <w:szCs w:val="16"/>
        </w:rPr>
        <w:t xml:space="preserve"> spadalo do kategorie </w:t>
      </w:r>
      <w:r>
        <w:rPr>
          <w:rFonts w:eastAsia="Times New Roman" w:cs="Arial"/>
          <w:color w:val="000000"/>
          <w:sz w:val="16"/>
          <w:szCs w:val="16"/>
        </w:rPr>
        <w:t>obsluhy strojů a</w:t>
      </w:r>
      <w:r w:rsidRPr="00AA5EA1">
        <w:rPr>
          <w:sz w:val="16"/>
          <w:szCs w:val="16"/>
        </w:rPr>
        <w:t> </w:t>
      </w:r>
      <w:r w:rsidRPr="00AA5EA1">
        <w:rPr>
          <w:rFonts w:eastAsia="Times New Roman" w:cs="Arial"/>
          <w:color w:val="000000"/>
          <w:sz w:val="16"/>
          <w:szCs w:val="16"/>
        </w:rPr>
        <w:t>zařízen</w:t>
      </w:r>
      <w:r>
        <w:rPr>
          <w:rFonts w:eastAsia="Times New Roman" w:cs="Arial"/>
          <w:color w:val="000000"/>
          <w:sz w:val="16"/>
          <w:szCs w:val="16"/>
        </w:rPr>
        <w:t>í</w:t>
      </w:r>
      <w:r w:rsidRPr="00AA5EA1">
        <w:rPr>
          <w:rFonts w:eastAsia="Times New Roman" w:cs="Arial"/>
          <w:color w:val="000000"/>
          <w:sz w:val="16"/>
          <w:szCs w:val="16"/>
        </w:rPr>
        <w:t xml:space="preserve"> či pomocn</w:t>
      </w:r>
      <w:r>
        <w:rPr>
          <w:rFonts w:eastAsia="Times New Roman" w:cs="Arial"/>
          <w:color w:val="000000"/>
          <w:sz w:val="16"/>
          <w:szCs w:val="16"/>
        </w:rPr>
        <w:t>ých</w:t>
      </w:r>
      <w:r w:rsidRPr="00AA5EA1">
        <w:rPr>
          <w:rFonts w:eastAsia="Times New Roman" w:cs="Arial"/>
          <w:color w:val="000000"/>
          <w:sz w:val="16"/>
          <w:szCs w:val="16"/>
        </w:rPr>
        <w:t xml:space="preserve"> a</w:t>
      </w:r>
      <w:r>
        <w:rPr>
          <w:rFonts w:eastAsia="Times New Roman" w:cs="Arial"/>
          <w:color w:val="000000"/>
          <w:sz w:val="16"/>
          <w:szCs w:val="16"/>
        </w:rPr>
        <w:t> </w:t>
      </w:r>
      <w:r w:rsidRPr="00AA5EA1">
        <w:rPr>
          <w:rFonts w:eastAsia="Times New Roman" w:cs="Arial"/>
          <w:color w:val="000000"/>
          <w:sz w:val="16"/>
          <w:szCs w:val="16"/>
        </w:rPr>
        <w:t>nekvalifikovan</w:t>
      </w:r>
      <w:r>
        <w:rPr>
          <w:rFonts w:eastAsia="Times New Roman" w:cs="Arial"/>
          <w:color w:val="000000"/>
          <w:sz w:val="16"/>
          <w:szCs w:val="16"/>
        </w:rPr>
        <w:t>ých</w:t>
      </w:r>
      <w:r w:rsidRPr="00AA5EA1">
        <w:rPr>
          <w:rFonts w:eastAsia="Times New Roman" w:cs="Arial"/>
          <w:color w:val="000000"/>
          <w:sz w:val="16"/>
          <w:szCs w:val="16"/>
        </w:rPr>
        <w:t xml:space="preserve"> pracovník</w:t>
      </w:r>
      <w:r>
        <w:rPr>
          <w:rFonts w:eastAsia="Times New Roman" w:cs="Arial"/>
          <w:color w:val="000000"/>
          <w:sz w:val="16"/>
          <w:szCs w:val="16"/>
        </w:rPr>
        <w:t>ů</w:t>
      </w:r>
      <w:r w:rsidRPr="00AA5EA1">
        <w:rPr>
          <w:rFonts w:eastAsia="Times New Roman" w:cs="Arial"/>
          <w:color w:val="000000"/>
          <w:sz w:val="16"/>
          <w:szCs w:val="16"/>
        </w:rPr>
        <w:t>, dalších 22</w:t>
      </w:r>
      <w:r>
        <w:rPr>
          <w:rFonts w:eastAsia="Times New Roman" w:cs="Arial"/>
          <w:color w:val="000000"/>
          <w:sz w:val="16"/>
          <w:szCs w:val="16"/>
        </w:rPr>
        <w:t> %</w:t>
      </w:r>
      <w:r w:rsidRPr="00AA5EA1">
        <w:rPr>
          <w:rFonts w:eastAsia="Times New Roman" w:cs="Arial"/>
          <w:color w:val="000000"/>
          <w:sz w:val="16"/>
          <w:szCs w:val="16"/>
        </w:rPr>
        <w:t xml:space="preserve"> do skupiny řemeslníci a</w:t>
      </w:r>
      <w:r>
        <w:rPr>
          <w:rFonts w:eastAsia="Times New Roman" w:cs="Arial"/>
          <w:color w:val="000000"/>
          <w:sz w:val="16"/>
          <w:szCs w:val="16"/>
        </w:rPr>
        <w:t> </w:t>
      </w:r>
      <w:r w:rsidRPr="00AA5EA1">
        <w:rPr>
          <w:rFonts w:eastAsia="Times New Roman" w:cs="Arial"/>
          <w:color w:val="000000"/>
          <w:sz w:val="16"/>
          <w:szCs w:val="16"/>
        </w:rPr>
        <w:t>opraváři</w:t>
      </w:r>
      <w:r>
        <w:rPr>
          <w:rFonts w:eastAsia="Times New Roman" w:cs="Arial"/>
          <w:color w:val="000000"/>
          <w:sz w:val="16"/>
          <w:szCs w:val="16"/>
        </w:rPr>
        <w:t>)</w:t>
      </w:r>
      <w:r w:rsidRPr="00AA5EA1">
        <w:rPr>
          <w:rFonts w:eastAsia="Times New Roman" w:cs="Arial"/>
          <w:color w:val="000000"/>
          <w:sz w:val="16"/>
          <w:szCs w:val="16"/>
        </w:rPr>
        <w:t xml:space="preserve">. </w:t>
      </w:r>
      <w:r>
        <w:rPr>
          <w:rFonts w:eastAsia="Times New Roman" w:cs="Arial"/>
          <w:color w:val="000000"/>
          <w:sz w:val="16"/>
          <w:szCs w:val="16"/>
        </w:rPr>
        <w:t>Lze předpokládat, že v průběhu roku 2018 tento typ pracovních míst nadále nabýval na významu.</w:t>
      </w:r>
    </w:p>
  </w:footnote>
  <w:footnote w:id="56">
    <w:p w14:paraId="49501AB7" w14:textId="751FED47" w:rsidR="004E684C" w:rsidRPr="00AA5EA1" w:rsidRDefault="004E684C" w:rsidP="006169F2">
      <w:pPr>
        <w:pStyle w:val="Textpoznpodarou"/>
        <w:rPr>
          <w:sz w:val="16"/>
          <w:szCs w:val="16"/>
        </w:rPr>
      </w:pPr>
      <w:r w:rsidRPr="00AA5EA1">
        <w:rPr>
          <w:rStyle w:val="Znakapoznpodarou"/>
          <w:sz w:val="16"/>
          <w:szCs w:val="16"/>
        </w:rPr>
        <w:footnoteRef/>
      </w:r>
      <w:r w:rsidRPr="00AA5EA1">
        <w:rPr>
          <w:sz w:val="16"/>
          <w:szCs w:val="16"/>
        </w:rPr>
        <w:t xml:space="preserve"> </w:t>
      </w:r>
      <w:r>
        <w:rPr>
          <w:sz w:val="16"/>
          <w:szCs w:val="16"/>
        </w:rPr>
        <w:t>Na konci roku 2018 zůstalo ze všech nabízených míst ÚP neobsazeno déle než rok 26,1 %, v rozmezí šesti až dvanácti měsíců pak 18,7 %. Odpovídající podíly na sklonku roku 2017 byly 22,5 % a 15,1 %.</w:t>
      </w:r>
    </w:p>
  </w:footnote>
  <w:footnote w:id="57">
    <w:p w14:paraId="51E8B373" w14:textId="77777777" w:rsidR="00723859" w:rsidRPr="00CC0F9A" w:rsidRDefault="00723859" w:rsidP="006169F2">
      <w:pPr>
        <w:pStyle w:val="Textpoznpodarou"/>
        <w:rPr>
          <w:spacing w:val="-3"/>
          <w:sz w:val="16"/>
          <w:szCs w:val="16"/>
        </w:rPr>
      </w:pPr>
      <w:r w:rsidRPr="00CC0F9A">
        <w:rPr>
          <w:rStyle w:val="Znakapoznpodarou"/>
          <w:spacing w:val="-3"/>
          <w:sz w:val="16"/>
          <w:szCs w:val="16"/>
        </w:rPr>
        <w:footnoteRef/>
      </w:r>
      <w:r w:rsidRPr="00CC0F9A">
        <w:rPr>
          <w:spacing w:val="-3"/>
          <w:sz w:val="16"/>
          <w:szCs w:val="16"/>
        </w:rPr>
        <w:t xml:space="preserve"> Nepřímo to dokládají údaje z</w:t>
      </w:r>
      <w:r>
        <w:rPr>
          <w:spacing w:val="-3"/>
          <w:sz w:val="16"/>
          <w:szCs w:val="16"/>
        </w:rPr>
        <w:t> </w:t>
      </w:r>
      <w:r w:rsidRPr="00CC0F9A">
        <w:rPr>
          <w:spacing w:val="-3"/>
          <w:sz w:val="16"/>
          <w:szCs w:val="16"/>
        </w:rPr>
        <w:t xml:space="preserve">VŠPS za rok 2018. </w:t>
      </w:r>
      <w:r>
        <w:rPr>
          <w:spacing w:val="-3"/>
          <w:sz w:val="16"/>
          <w:szCs w:val="16"/>
        </w:rPr>
        <w:t>Nezaměstnaní s vysokoškolským vzděláním zmiňují úřady práce jako nejčastější způsob hledání nového zaměstnání (v posledních čtyřech týdnech)</w:t>
      </w:r>
      <w:r w:rsidRPr="00CC0F9A">
        <w:rPr>
          <w:spacing w:val="-3"/>
          <w:sz w:val="16"/>
          <w:szCs w:val="16"/>
        </w:rPr>
        <w:t xml:space="preserve"> v 69</w:t>
      </w:r>
      <w:r>
        <w:rPr>
          <w:spacing w:val="-3"/>
          <w:sz w:val="16"/>
          <w:szCs w:val="16"/>
        </w:rPr>
        <w:t> %</w:t>
      </w:r>
      <w:r w:rsidRPr="00CC0F9A">
        <w:rPr>
          <w:spacing w:val="-3"/>
          <w:sz w:val="16"/>
          <w:szCs w:val="16"/>
        </w:rPr>
        <w:t xml:space="preserve"> případů (lidé se základním vzděláním a</w:t>
      </w:r>
      <w:r>
        <w:rPr>
          <w:spacing w:val="-3"/>
          <w:sz w:val="16"/>
          <w:szCs w:val="16"/>
        </w:rPr>
        <w:t> </w:t>
      </w:r>
      <w:r w:rsidRPr="00CC0F9A">
        <w:rPr>
          <w:spacing w:val="-3"/>
          <w:sz w:val="16"/>
          <w:szCs w:val="16"/>
        </w:rPr>
        <w:t>vyučení shodně v</w:t>
      </w:r>
      <w:r>
        <w:rPr>
          <w:spacing w:val="-3"/>
          <w:sz w:val="16"/>
          <w:szCs w:val="16"/>
        </w:rPr>
        <w:t> </w:t>
      </w:r>
      <w:r w:rsidRPr="00CC0F9A">
        <w:rPr>
          <w:spacing w:val="-3"/>
          <w:sz w:val="16"/>
          <w:szCs w:val="16"/>
        </w:rPr>
        <w:t>86</w:t>
      </w:r>
      <w:r>
        <w:rPr>
          <w:spacing w:val="-3"/>
          <w:sz w:val="16"/>
          <w:szCs w:val="16"/>
        </w:rPr>
        <w:t> %</w:t>
      </w:r>
      <w:r w:rsidRPr="00CC0F9A">
        <w:rPr>
          <w:spacing w:val="-3"/>
          <w:sz w:val="16"/>
          <w:szCs w:val="16"/>
        </w:rPr>
        <w:t>). Účast na testech, pohovorech či zkouškách uvádí rovněž 69</w:t>
      </w:r>
      <w:r>
        <w:rPr>
          <w:spacing w:val="-3"/>
          <w:sz w:val="16"/>
          <w:szCs w:val="16"/>
        </w:rPr>
        <w:t> %</w:t>
      </w:r>
      <w:r w:rsidRPr="00CC0F9A">
        <w:rPr>
          <w:spacing w:val="-3"/>
          <w:sz w:val="16"/>
          <w:szCs w:val="16"/>
        </w:rPr>
        <w:t xml:space="preserve"> (proti 42</w:t>
      </w:r>
      <w:r>
        <w:rPr>
          <w:spacing w:val="-3"/>
          <w:sz w:val="16"/>
          <w:szCs w:val="16"/>
        </w:rPr>
        <w:t> %</w:t>
      </w:r>
      <w:r w:rsidRPr="00CC0F9A">
        <w:rPr>
          <w:spacing w:val="-3"/>
          <w:sz w:val="16"/>
          <w:szCs w:val="16"/>
        </w:rPr>
        <w:t>, resp.</w:t>
      </w:r>
      <w:r>
        <w:rPr>
          <w:spacing w:val="-3"/>
          <w:sz w:val="16"/>
          <w:szCs w:val="16"/>
        </w:rPr>
        <w:t> </w:t>
      </w:r>
      <w:r w:rsidRPr="00CC0F9A">
        <w:rPr>
          <w:spacing w:val="-3"/>
          <w:sz w:val="16"/>
          <w:szCs w:val="16"/>
        </w:rPr>
        <w:t>41</w:t>
      </w:r>
      <w:r>
        <w:rPr>
          <w:spacing w:val="-3"/>
          <w:sz w:val="16"/>
          <w:szCs w:val="16"/>
        </w:rPr>
        <w:t> %</w:t>
      </w:r>
      <w:r w:rsidRPr="00CC0F9A">
        <w:rPr>
          <w:spacing w:val="-3"/>
          <w:sz w:val="16"/>
          <w:szCs w:val="16"/>
        </w:rPr>
        <w:t>), návštěvy podniků a</w:t>
      </w:r>
      <w:r>
        <w:rPr>
          <w:spacing w:val="-3"/>
          <w:sz w:val="16"/>
          <w:szCs w:val="16"/>
        </w:rPr>
        <w:t> </w:t>
      </w:r>
      <w:r w:rsidRPr="00CC0F9A">
        <w:rPr>
          <w:spacing w:val="-3"/>
          <w:sz w:val="16"/>
          <w:szCs w:val="16"/>
        </w:rPr>
        <w:t>firem zmiňuje 76</w:t>
      </w:r>
      <w:r>
        <w:rPr>
          <w:spacing w:val="-3"/>
          <w:sz w:val="16"/>
          <w:szCs w:val="16"/>
        </w:rPr>
        <w:t> %</w:t>
      </w:r>
      <w:r w:rsidRPr="00CC0F9A">
        <w:rPr>
          <w:spacing w:val="-3"/>
          <w:sz w:val="16"/>
          <w:szCs w:val="16"/>
        </w:rPr>
        <w:t xml:space="preserve"> (oproti 70</w:t>
      </w:r>
      <w:r>
        <w:rPr>
          <w:spacing w:val="-3"/>
          <w:sz w:val="16"/>
          <w:szCs w:val="16"/>
        </w:rPr>
        <w:t> %</w:t>
      </w:r>
      <w:r w:rsidRPr="00CC0F9A">
        <w:rPr>
          <w:spacing w:val="-3"/>
          <w:sz w:val="16"/>
          <w:szCs w:val="16"/>
        </w:rPr>
        <w:t>).</w:t>
      </w:r>
    </w:p>
  </w:footnote>
  <w:footnote w:id="58">
    <w:p w14:paraId="0BF2D670" w14:textId="6242C861" w:rsidR="00723859" w:rsidRPr="00E93575" w:rsidRDefault="00723859" w:rsidP="006169F2">
      <w:pPr>
        <w:pStyle w:val="Textpoznpodarou"/>
        <w:rPr>
          <w:spacing w:val="-2"/>
          <w:sz w:val="16"/>
          <w:szCs w:val="16"/>
        </w:rPr>
      </w:pPr>
      <w:r w:rsidRPr="00E93575">
        <w:rPr>
          <w:rStyle w:val="Znakapoznpodarou"/>
          <w:spacing w:val="-2"/>
          <w:sz w:val="16"/>
          <w:szCs w:val="16"/>
        </w:rPr>
        <w:footnoteRef/>
      </w:r>
      <w:r w:rsidRPr="00E93575">
        <w:rPr>
          <w:spacing w:val="-2"/>
          <w:sz w:val="16"/>
          <w:szCs w:val="16"/>
        </w:rPr>
        <w:t xml:space="preserve"> Míra nezaměstnanosti je zde z důvodu datové </w:t>
      </w:r>
      <w:r>
        <w:rPr>
          <w:spacing w:val="-2"/>
          <w:sz w:val="16"/>
          <w:szCs w:val="16"/>
        </w:rPr>
        <w:t>ne</w:t>
      </w:r>
      <w:r w:rsidRPr="00E93575">
        <w:rPr>
          <w:spacing w:val="-2"/>
          <w:sz w:val="16"/>
          <w:szCs w:val="16"/>
        </w:rPr>
        <w:t>dosažitelnosti nahrazena ukazatelem „podíl registrovaných uchazečů o</w:t>
      </w:r>
      <w:r>
        <w:rPr>
          <w:spacing w:val="-2"/>
          <w:sz w:val="16"/>
          <w:szCs w:val="16"/>
        </w:rPr>
        <w:t> </w:t>
      </w:r>
      <w:r w:rsidRPr="00E93575">
        <w:rPr>
          <w:spacing w:val="-2"/>
          <w:sz w:val="16"/>
          <w:szCs w:val="16"/>
        </w:rPr>
        <w:t>práci na bydlícím obyvatelstvu ve věku 15</w:t>
      </w:r>
      <w:r>
        <w:rPr>
          <w:spacing w:val="-2"/>
          <w:sz w:val="16"/>
          <w:szCs w:val="16"/>
        </w:rPr>
        <w:t>–</w:t>
      </w:r>
      <w:r w:rsidRPr="00E93575">
        <w:rPr>
          <w:spacing w:val="-2"/>
          <w:sz w:val="16"/>
          <w:szCs w:val="16"/>
        </w:rPr>
        <w:t>64</w:t>
      </w:r>
      <w:r>
        <w:rPr>
          <w:spacing w:val="-2"/>
          <w:sz w:val="16"/>
          <w:szCs w:val="16"/>
        </w:rPr>
        <w:t> </w:t>
      </w:r>
      <w:r w:rsidRPr="00E93575">
        <w:rPr>
          <w:spacing w:val="-2"/>
          <w:sz w:val="16"/>
          <w:szCs w:val="16"/>
        </w:rPr>
        <w:t xml:space="preserve">let“. Z hodnocených území obvodů pověřených obecních úřadů </w:t>
      </w:r>
      <w:r>
        <w:rPr>
          <w:spacing w:val="-2"/>
          <w:sz w:val="16"/>
          <w:szCs w:val="16"/>
        </w:rPr>
        <w:t xml:space="preserve">(POÚ) </w:t>
      </w:r>
      <w:r w:rsidRPr="00E93575">
        <w:rPr>
          <w:spacing w:val="-2"/>
          <w:sz w:val="16"/>
          <w:szCs w:val="16"/>
        </w:rPr>
        <w:t xml:space="preserve">jich </w:t>
      </w:r>
      <w:r>
        <w:rPr>
          <w:spacing w:val="-2"/>
          <w:sz w:val="16"/>
          <w:szCs w:val="16"/>
        </w:rPr>
        <w:t xml:space="preserve">alespoň mírný </w:t>
      </w:r>
      <w:r w:rsidRPr="00E93575">
        <w:rPr>
          <w:spacing w:val="-2"/>
          <w:sz w:val="16"/>
          <w:szCs w:val="16"/>
        </w:rPr>
        <w:t>mez</w:t>
      </w:r>
      <w:r>
        <w:rPr>
          <w:spacing w:val="-2"/>
          <w:sz w:val="16"/>
          <w:szCs w:val="16"/>
        </w:rPr>
        <w:t>iroční pokles nezaměstnanosti</w:t>
      </w:r>
      <w:r w:rsidRPr="00E93575">
        <w:rPr>
          <w:spacing w:val="-2"/>
          <w:sz w:val="16"/>
          <w:szCs w:val="16"/>
        </w:rPr>
        <w:t xml:space="preserve"> zaznamenalo 95</w:t>
      </w:r>
      <w:r>
        <w:rPr>
          <w:spacing w:val="-2"/>
          <w:sz w:val="16"/>
          <w:szCs w:val="16"/>
        </w:rPr>
        <w:t> %</w:t>
      </w:r>
      <w:r w:rsidRPr="00E93575">
        <w:rPr>
          <w:spacing w:val="-2"/>
          <w:sz w:val="16"/>
          <w:szCs w:val="16"/>
        </w:rPr>
        <w:t>.</w:t>
      </w:r>
      <w:r>
        <w:rPr>
          <w:spacing w:val="-2"/>
          <w:sz w:val="16"/>
          <w:szCs w:val="16"/>
        </w:rPr>
        <w:t xml:space="preserve"> Významnější navýšení podílu nezaměstnaných se odehrálo pouze v části okresu Bruntál (na Osoblažsku: z 10,9 % na 11,7 %). Nezaměstnanost na konci loňského roku dosáhla ve srovnání se stejným obdobím let 2000 až 2018 absolutního minima již v 90 % všech územních obvodů POÚ.</w:t>
      </w:r>
    </w:p>
  </w:footnote>
  <w:footnote w:id="59">
    <w:p w14:paraId="7E194BC5" w14:textId="40E739C8" w:rsidR="004E684C" w:rsidRPr="00E93575" w:rsidRDefault="004E684C" w:rsidP="008B4CC2">
      <w:pPr>
        <w:pStyle w:val="Textpoznpodarou"/>
        <w:rPr>
          <w:spacing w:val="-4"/>
          <w:sz w:val="16"/>
          <w:szCs w:val="16"/>
        </w:rPr>
      </w:pPr>
      <w:r w:rsidRPr="00E93575">
        <w:rPr>
          <w:rStyle w:val="Znakapoznpodarou"/>
          <w:spacing w:val="-4"/>
          <w:sz w:val="16"/>
          <w:szCs w:val="16"/>
        </w:rPr>
        <w:footnoteRef/>
      </w:r>
      <w:r w:rsidRPr="00E93575">
        <w:rPr>
          <w:spacing w:val="-4"/>
          <w:sz w:val="16"/>
          <w:szCs w:val="16"/>
        </w:rPr>
        <w:t xml:space="preserve"> Nen</w:t>
      </w:r>
      <w:r>
        <w:rPr>
          <w:spacing w:val="-4"/>
          <w:sz w:val="16"/>
          <w:szCs w:val="16"/>
        </w:rPr>
        <w:t xml:space="preserve">í-li uvedeno jinak, pocházejí následující údaje </w:t>
      </w:r>
      <w:r w:rsidRPr="00E93575">
        <w:rPr>
          <w:spacing w:val="-4"/>
          <w:sz w:val="16"/>
          <w:szCs w:val="16"/>
        </w:rPr>
        <w:t>o</w:t>
      </w:r>
      <w:r>
        <w:rPr>
          <w:spacing w:val="-4"/>
          <w:sz w:val="16"/>
          <w:szCs w:val="16"/>
        </w:rPr>
        <w:t> </w:t>
      </w:r>
      <w:r w:rsidRPr="00E93575">
        <w:rPr>
          <w:spacing w:val="-4"/>
          <w:sz w:val="16"/>
          <w:szCs w:val="16"/>
        </w:rPr>
        <w:t>mzdách v této kapitole z</w:t>
      </w:r>
      <w:r>
        <w:rPr>
          <w:spacing w:val="-4"/>
          <w:sz w:val="16"/>
          <w:szCs w:val="16"/>
        </w:rPr>
        <w:t> </w:t>
      </w:r>
      <w:r>
        <w:rPr>
          <w:iCs/>
          <w:color w:val="0D0D0D" w:themeColor="text1" w:themeTint="F2"/>
          <w:spacing w:val="-4"/>
          <w:sz w:val="16"/>
          <w:szCs w:val="16"/>
        </w:rPr>
        <w:t>pravidelných čtvrtletních šetření ČSÚ v podnicích. Průměrná mzda je vyjádřena k přepočtenému stavu zaměstnanců (tj. jsou zohledněny rozdíly v délce úvazků).</w:t>
      </w:r>
    </w:p>
  </w:footnote>
  <w:footnote w:id="60">
    <w:p w14:paraId="2B7CB08A" w14:textId="41E60633" w:rsidR="004E684C" w:rsidRPr="00E93575" w:rsidRDefault="004E684C" w:rsidP="008B4CC2">
      <w:pPr>
        <w:pStyle w:val="Textpoznpodarou"/>
        <w:rPr>
          <w:spacing w:val="-4"/>
          <w:sz w:val="16"/>
          <w:szCs w:val="16"/>
        </w:rPr>
      </w:pPr>
      <w:r w:rsidRPr="00E93575">
        <w:rPr>
          <w:rStyle w:val="Znakapoznpodarou"/>
          <w:spacing w:val="-4"/>
          <w:sz w:val="16"/>
          <w:szCs w:val="16"/>
        </w:rPr>
        <w:footnoteRef/>
      </w:r>
      <w:r>
        <w:rPr>
          <w:spacing w:val="-4"/>
          <w:sz w:val="16"/>
          <w:szCs w:val="16"/>
        </w:rPr>
        <w:t xml:space="preserve"> Zatímco v prvních třech čtvrtletích roku 2018 se mezikvartální růst průměrných mezd pohyboval v rozpětí 2,0 až 2,2 %, na sklonku roku činil jen 1,5 %. Ve 4. čtvrtletí oslabilo i meziroční tempo – na 6,5 %, v předchozí části roku činilo v průměru 7,9 %. Zčásti to bylo způsobeno specifickou situací v odvětví vzdělávání (vysoká srovnávací základna vlivem svižného navýšení platů na konci roku 2017 a současně posunutím plánovaného loňského navýšení platů pedagogů až na počátek roku 2019). Meziroční tempo ale mírně zvolnilo i v některých významných tržních odvětvích ekonomiky (např. v obchodu či ve zpracovatelském průmyslu), kde není mzdový vývoj krátkodobě narušen nepravidelnými zásahy státu.</w:t>
      </w:r>
    </w:p>
  </w:footnote>
  <w:footnote w:id="61">
    <w:p w14:paraId="698D6E3B" w14:textId="77777777" w:rsidR="004E684C" w:rsidRPr="00E93575" w:rsidRDefault="004E684C" w:rsidP="008B4CC2">
      <w:pPr>
        <w:pStyle w:val="Textpoznpodarou"/>
        <w:rPr>
          <w:spacing w:val="-4"/>
          <w:sz w:val="16"/>
          <w:szCs w:val="16"/>
        </w:rPr>
      </w:pPr>
      <w:r w:rsidRPr="00E93575">
        <w:rPr>
          <w:rStyle w:val="Znakapoznpodarou"/>
          <w:spacing w:val="-4"/>
          <w:sz w:val="16"/>
          <w:szCs w:val="16"/>
        </w:rPr>
        <w:footnoteRef/>
      </w:r>
      <w:r>
        <w:rPr>
          <w:spacing w:val="-4"/>
          <w:sz w:val="16"/>
          <w:szCs w:val="16"/>
        </w:rPr>
        <w:t xml:space="preserve"> V těchto odvětvích zároveň v posledních letech rychleji rostl podíl zkrácených pracovních úvazků.</w:t>
      </w:r>
    </w:p>
  </w:footnote>
  <w:footnote w:id="62">
    <w:p w14:paraId="71CAADF0" w14:textId="25DAF899" w:rsidR="004E684C" w:rsidRPr="00D9678D" w:rsidRDefault="004E684C" w:rsidP="008B4CC2">
      <w:pPr>
        <w:pStyle w:val="Textpoznpodarou"/>
        <w:rPr>
          <w:sz w:val="16"/>
          <w:szCs w:val="16"/>
          <w:highlight w:val="yellow"/>
        </w:rPr>
      </w:pPr>
      <w:r w:rsidRPr="00E93575">
        <w:rPr>
          <w:rStyle w:val="Znakapoznpodarou"/>
          <w:spacing w:val="-4"/>
          <w:sz w:val="16"/>
          <w:szCs w:val="16"/>
        </w:rPr>
        <w:footnoteRef/>
      </w:r>
      <w:r>
        <w:rPr>
          <w:spacing w:val="-4"/>
          <w:sz w:val="16"/>
          <w:szCs w:val="16"/>
        </w:rPr>
        <w:t xml:space="preserve"> Tato skutečnost je částečně kompenzována tradičně vyšší rolí zaměstnaneckých benefitů, tj. různých </w:t>
      </w:r>
      <w:r>
        <w:rPr>
          <w:sz w:val="16"/>
          <w:szCs w:val="16"/>
        </w:rPr>
        <w:t xml:space="preserve">sociálních požitků, ale i dalších nepřímých nákladů práce, z nichž zaměstnanci profitují (náklady na školení, ošatné, </w:t>
      </w:r>
      <w:r w:rsidRPr="0010367D">
        <w:rPr>
          <w:sz w:val="16"/>
          <w:szCs w:val="16"/>
        </w:rPr>
        <w:t>nadstandardní programy sociálního zabezpečení</w:t>
      </w:r>
      <w:r>
        <w:rPr>
          <w:sz w:val="16"/>
          <w:szCs w:val="16"/>
        </w:rPr>
        <w:t xml:space="preserve"> či odstupné). Jejich poměr (vztažený k přímým nákladům práce – tedy mzdám a platům, vč. náhrad za neodpracovanou dobu) dosáhl v roce 2017 v </w:t>
      </w:r>
      <w:r w:rsidRPr="00D9678D">
        <w:rPr>
          <w:sz w:val="16"/>
          <w:szCs w:val="16"/>
        </w:rPr>
        <w:t>peněžnictví a</w:t>
      </w:r>
      <w:r>
        <w:rPr>
          <w:sz w:val="16"/>
          <w:szCs w:val="16"/>
        </w:rPr>
        <w:t> </w:t>
      </w:r>
      <w:r w:rsidRPr="00D9678D">
        <w:rPr>
          <w:sz w:val="16"/>
          <w:szCs w:val="16"/>
        </w:rPr>
        <w:t>pojišťovnictví 6,4</w:t>
      </w:r>
      <w:r>
        <w:rPr>
          <w:sz w:val="16"/>
          <w:szCs w:val="16"/>
        </w:rPr>
        <w:t> %</w:t>
      </w:r>
      <w:r w:rsidRPr="00D9678D">
        <w:rPr>
          <w:sz w:val="16"/>
          <w:szCs w:val="16"/>
        </w:rPr>
        <w:t xml:space="preserve"> a</w:t>
      </w:r>
      <w:r>
        <w:rPr>
          <w:sz w:val="16"/>
          <w:szCs w:val="16"/>
        </w:rPr>
        <w:t> </w:t>
      </w:r>
      <w:r w:rsidRPr="00D9678D">
        <w:rPr>
          <w:sz w:val="16"/>
          <w:szCs w:val="16"/>
        </w:rPr>
        <w:t>patřil k</w:t>
      </w:r>
      <w:r>
        <w:rPr>
          <w:sz w:val="16"/>
          <w:szCs w:val="16"/>
        </w:rPr>
        <w:t> </w:t>
      </w:r>
      <w:r w:rsidRPr="00D9678D">
        <w:rPr>
          <w:sz w:val="16"/>
          <w:szCs w:val="16"/>
        </w:rPr>
        <w:t>nejvyšším mezi hlavními odvětvími (po odvětví energetiky a</w:t>
      </w:r>
      <w:r>
        <w:rPr>
          <w:sz w:val="16"/>
          <w:szCs w:val="16"/>
        </w:rPr>
        <w:t> </w:t>
      </w:r>
      <w:r w:rsidRPr="00D9678D">
        <w:rPr>
          <w:sz w:val="16"/>
          <w:szCs w:val="16"/>
        </w:rPr>
        <w:t>těžby, kde se pohyboval okolo 10</w:t>
      </w:r>
      <w:r>
        <w:rPr>
          <w:sz w:val="16"/>
          <w:szCs w:val="16"/>
        </w:rPr>
        <w:t> %</w:t>
      </w:r>
      <w:r w:rsidRPr="00D9678D">
        <w:rPr>
          <w:sz w:val="16"/>
          <w:szCs w:val="16"/>
        </w:rPr>
        <w:t>).</w:t>
      </w:r>
    </w:p>
  </w:footnote>
  <w:footnote w:id="63">
    <w:p w14:paraId="077FCE98" w14:textId="307A261B" w:rsidR="004E684C" w:rsidRPr="008E2BD6" w:rsidRDefault="004E684C" w:rsidP="008E0EB6">
      <w:pPr>
        <w:pStyle w:val="Normlnweb"/>
        <w:spacing w:before="120" w:beforeAutospacing="0" w:after="0" w:afterAutospacing="0"/>
        <w:jc w:val="both"/>
        <w:rPr>
          <w:rFonts w:ascii="Arial" w:hAnsi="Arial" w:cs="Arial"/>
          <w:spacing w:val="-2"/>
          <w:sz w:val="16"/>
          <w:szCs w:val="16"/>
        </w:rPr>
      </w:pPr>
      <w:r w:rsidRPr="008E2BD6">
        <w:rPr>
          <w:rStyle w:val="Znakapoznpodarou"/>
          <w:rFonts w:ascii="Arial" w:hAnsi="Arial" w:cs="Arial"/>
          <w:spacing w:val="-2"/>
          <w:sz w:val="16"/>
          <w:szCs w:val="16"/>
        </w:rPr>
        <w:footnoteRef/>
      </w:r>
      <w:r w:rsidRPr="008E2BD6">
        <w:rPr>
          <w:rFonts w:ascii="Arial" w:hAnsi="Arial" w:cs="Arial"/>
          <w:spacing w:val="-2"/>
          <w:sz w:val="16"/>
          <w:szCs w:val="16"/>
        </w:rPr>
        <w:t xml:space="preserve"> </w:t>
      </w:r>
      <w:r w:rsidRPr="008E2BD6">
        <w:rPr>
          <w:rFonts w:ascii="Arial" w:hAnsi="Arial" w:cs="Arial"/>
          <w:color w:val="0D0D0D" w:themeColor="text1" w:themeTint="F2"/>
          <w:spacing w:val="-2"/>
          <w:sz w:val="16"/>
          <w:szCs w:val="16"/>
        </w:rPr>
        <w:t xml:space="preserve">Uvedené postavení vyplývá z oficiálně deklarovaných mezd </w:t>
      </w:r>
      <w:r>
        <w:rPr>
          <w:rFonts w:ascii="Arial" w:hAnsi="Arial" w:cs="Arial"/>
          <w:color w:val="0D0D0D" w:themeColor="text1" w:themeTint="F2"/>
          <w:spacing w:val="-2"/>
          <w:sz w:val="16"/>
          <w:szCs w:val="16"/>
        </w:rPr>
        <w:t xml:space="preserve">za </w:t>
      </w:r>
      <w:r w:rsidRPr="008E2BD6">
        <w:rPr>
          <w:rFonts w:ascii="Arial" w:hAnsi="Arial" w:cs="Arial"/>
          <w:color w:val="0D0D0D" w:themeColor="text1" w:themeTint="F2"/>
          <w:spacing w:val="-2"/>
          <w:sz w:val="16"/>
          <w:szCs w:val="16"/>
        </w:rPr>
        <w:t>osob</w:t>
      </w:r>
      <w:r>
        <w:rPr>
          <w:rFonts w:ascii="Arial" w:hAnsi="Arial" w:cs="Arial"/>
          <w:color w:val="0D0D0D" w:themeColor="text1" w:themeTint="F2"/>
          <w:spacing w:val="-2"/>
          <w:sz w:val="16"/>
          <w:szCs w:val="16"/>
        </w:rPr>
        <w:t>y pracující</w:t>
      </w:r>
      <w:r w:rsidRPr="008E2BD6">
        <w:rPr>
          <w:rFonts w:ascii="Arial" w:hAnsi="Arial" w:cs="Arial"/>
          <w:color w:val="0D0D0D" w:themeColor="text1" w:themeTint="F2"/>
          <w:spacing w:val="-2"/>
          <w:sz w:val="16"/>
          <w:szCs w:val="16"/>
        </w:rPr>
        <w:t xml:space="preserve"> v tomto kraji. Příjmová pozice domácností žijících v Karlovarském kraji je oproti tomu příznivější, mj.</w:t>
      </w:r>
      <w:r>
        <w:rPr>
          <w:rFonts w:ascii="Arial" w:hAnsi="Arial" w:cs="Arial"/>
          <w:color w:val="0D0D0D" w:themeColor="text1" w:themeTint="F2"/>
          <w:spacing w:val="-2"/>
          <w:sz w:val="16"/>
          <w:szCs w:val="16"/>
        </w:rPr>
        <w:t> </w:t>
      </w:r>
      <w:r w:rsidRPr="008E2BD6">
        <w:rPr>
          <w:rFonts w:ascii="Arial" w:hAnsi="Arial" w:cs="Arial"/>
          <w:color w:val="0D0D0D" w:themeColor="text1" w:themeTint="F2"/>
          <w:spacing w:val="-2"/>
          <w:sz w:val="16"/>
          <w:szCs w:val="16"/>
        </w:rPr>
        <w:t>možnostmi zaměstnání mimo kraj (zejména v Německu) či vlivem šedé ekonomiky.</w:t>
      </w:r>
    </w:p>
  </w:footnote>
  <w:footnote w:id="64">
    <w:p w14:paraId="4D25612E" w14:textId="606EAA94" w:rsidR="004E684C" w:rsidRPr="00960B76" w:rsidRDefault="004E684C" w:rsidP="008E0EB6">
      <w:pPr>
        <w:pStyle w:val="Normlnweb"/>
        <w:spacing w:before="0" w:beforeAutospacing="0" w:after="0" w:afterAutospacing="0"/>
        <w:jc w:val="both"/>
        <w:rPr>
          <w:rFonts w:ascii="Arial" w:hAnsi="Arial" w:cs="Arial"/>
          <w:sz w:val="16"/>
          <w:szCs w:val="16"/>
        </w:rPr>
      </w:pPr>
      <w:r w:rsidRPr="003B03BB">
        <w:rPr>
          <w:rStyle w:val="Znakapoznpodarou"/>
          <w:rFonts w:ascii="Arial" w:hAnsi="Arial" w:cs="Arial"/>
          <w:sz w:val="16"/>
          <w:szCs w:val="16"/>
        </w:rPr>
        <w:footnoteRef/>
      </w:r>
      <w:r w:rsidRPr="003B03BB">
        <w:rPr>
          <w:rFonts w:ascii="Arial" w:hAnsi="Arial" w:cs="Arial"/>
          <w:sz w:val="16"/>
          <w:szCs w:val="16"/>
        </w:rPr>
        <w:t xml:space="preserve"> </w:t>
      </w:r>
      <w:r>
        <w:rPr>
          <w:rFonts w:ascii="Arial" w:hAnsi="Arial" w:cs="Arial"/>
          <w:color w:val="0D0D0D" w:themeColor="text1" w:themeTint="F2"/>
          <w:spacing w:val="-2"/>
          <w:sz w:val="16"/>
          <w:szCs w:val="16"/>
        </w:rPr>
        <w:t>Např. v roce 2018 zde vzrostl jejich počet meziročně o 4,4 %, nejvíce ze všech krajů (tempo v celé ČR činilo jen 1,3 %). Nadprůměrný růst zaměstnanosti je zároveň dlouhodobě typický a souvisí s vysokou atraktivitou metropole pro pracovníky z tuzemska i zahraničí.</w:t>
      </w:r>
    </w:p>
  </w:footnote>
  <w:footnote w:id="65">
    <w:p w14:paraId="2E0DF1E3" w14:textId="370E12B9" w:rsidR="004E684C" w:rsidRPr="00960B76" w:rsidRDefault="004E684C" w:rsidP="008E0EB6">
      <w:pPr>
        <w:pStyle w:val="Normlnweb"/>
        <w:spacing w:before="0" w:beforeAutospacing="0" w:after="0" w:afterAutospacing="0"/>
        <w:jc w:val="both"/>
        <w:rPr>
          <w:rFonts w:ascii="Arial" w:hAnsi="Arial" w:cs="Arial"/>
          <w:sz w:val="16"/>
          <w:szCs w:val="16"/>
        </w:rPr>
      </w:pPr>
      <w:r w:rsidRPr="003B03BB">
        <w:rPr>
          <w:rStyle w:val="Znakapoznpodarou"/>
          <w:rFonts w:ascii="Arial" w:hAnsi="Arial" w:cs="Arial"/>
          <w:sz w:val="16"/>
          <w:szCs w:val="16"/>
        </w:rPr>
        <w:footnoteRef/>
      </w:r>
      <w:r w:rsidRPr="003B03BB">
        <w:rPr>
          <w:rFonts w:ascii="Arial" w:hAnsi="Arial" w:cs="Arial"/>
          <w:sz w:val="16"/>
          <w:szCs w:val="16"/>
        </w:rPr>
        <w:t xml:space="preserve"> </w:t>
      </w:r>
      <w:r w:rsidRPr="00257FB1">
        <w:rPr>
          <w:rFonts w:ascii="Arial" w:hAnsi="Arial" w:cs="Arial"/>
          <w:color w:val="0D0D0D" w:themeColor="text1" w:themeTint="F2"/>
          <w:spacing w:val="-4"/>
          <w:sz w:val="16"/>
          <w:szCs w:val="16"/>
        </w:rPr>
        <w:t>Šlo především o</w:t>
      </w:r>
      <w:r>
        <w:rPr>
          <w:rFonts w:ascii="Arial" w:hAnsi="Arial" w:cs="Arial"/>
          <w:color w:val="0D0D0D" w:themeColor="text1" w:themeTint="F2"/>
          <w:spacing w:val="-4"/>
          <w:sz w:val="16"/>
          <w:szCs w:val="16"/>
        </w:rPr>
        <w:t> </w:t>
      </w:r>
      <w:r w:rsidRPr="00257FB1">
        <w:rPr>
          <w:rFonts w:ascii="Arial" w:hAnsi="Arial" w:cs="Arial"/>
          <w:color w:val="0D0D0D" w:themeColor="text1" w:themeTint="F2"/>
          <w:spacing w:val="-4"/>
          <w:sz w:val="16"/>
          <w:szCs w:val="16"/>
        </w:rPr>
        <w:t>administrativní a</w:t>
      </w:r>
      <w:r>
        <w:rPr>
          <w:rFonts w:ascii="Arial" w:hAnsi="Arial" w:cs="Arial"/>
          <w:color w:val="0D0D0D" w:themeColor="text1" w:themeTint="F2"/>
          <w:spacing w:val="-4"/>
          <w:sz w:val="16"/>
          <w:szCs w:val="16"/>
        </w:rPr>
        <w:t> </w:t>
      </w:r>
      <w:r w:rsidRPr="00257FB1">
        <w:rPr>
          <w:rFonts w:ascii="Arial" w:hAnsi="Arial" w:cs="Arial"/>
          <w:color w:val="0D0D0D" w:themeColor="text1" w:themeTint="F2"/>
          <w:spacing w:val="-4"/>
          <w:sz w:val="16"/>
          <w:szCs w:val="16"/>
        </w:rPr>
        <w:t>podpůrné činnosti, kam jsou v</w:t>
      </w:r>
      <w:r>
        <w:rPr>
          <w:rFonts w:ascii="Arial" w:hAnsi="Arial" w:cs="Arial"/>
          <w:color w:val="0D0D0D" w:themeColor="text1" w:themeTint="F2"/>
          <w:spacing w:val="-4"/>
          <w:sz w:val="16"/>
          <w:szCs w:val="16"/>
        </w:rPr>
        <w:t> </w:t>
      </w:r>
      <w:r w:rsidRPr="00257FB1">
        <w:rPr>
          <w:rFonts w:ascii="Arial" w:hAnsi="Arial" w:cs="Arial"/>
          <w:color w:val="0D0D0D" w:themeColor="text1" w:themeTint="F2"/>
          <w:spacing w:val="-4"/>
          <w:sz w:val="16"/>
          <w:szCs w:val="16"/>
        </w:rPr>
        <w:t>podnikovém výkaznictví řazeni i</w:t>
      </w:r>
      <w:r>
        <w:rPr>
          <w:rFonts w:ascii="Arial" w:hAnsi="Arial" w:cs="Arial"/>
          <w:color w:val="0D0D0D" w:themeColor="text1" w:themeTint="F2"/>
          <w:spacing w:val="-4"/>
          <w:sz w:val="16"/>
          <w:szCs w:val="16"/>
        </w:rPr>
        <w:t> </w:t>
      </w:r>
      <w:r w:rsidRPr="00257FB1">
        <w:rPr>
          <w:rFonts w:ascii="Arial" w:hAnsi="Arial" w:cs="Arial"/>
          <w:color w:val="0D0D0D" w:themeColor="text1" w:themeTint="F2"/>
          <w:spacing w:val="-4"/>
          <w:sz w:val="16"/>
          <w:szCs w:val="16"/>
        </w:rPr>
        <w:t>agenturní pracovníci</w:t>
      </w:r>
      <w:r>
        <w:rPr>
          <w:rFonts w:ascii="Arial" w:hAnsi="Arial" w:cs="Arial"/>
          <w:color w:val="0D0D0D" w:themeColor="text1" w:themeTint="F2"/>
          <w:spacing w:val="-4"/>
          <w:sz w:val="16"/>
          <w:szCs w:val="16"/>
        </w:rPr>
        <w:t>,</w:t>
      </w:r>
      <w:r w:rsidRPr="00257FB1">
        <w:rPr>
          <w:rFonts w:ascii="Arial" w:hAnsi="Arial" w:cs="Arial"/>
          <w:color w:val="0D0D0D" w:themeColor="text1" w:themeTint="F2"/>
          <w:spacing w:val="-4"/>
          <w:sz w:val="16"/>
          <w:szCs w:val="16"/>
        </w:rPr>
        <w:t xml:space="preserve"> a</w:t>
      </w:r>
      <w:r>
        <w:rPr>
          <w:rFonts w:ascii="Arial" w:hAnsi="Arial" w:cs="Arial"/>
          <w:color w:val="0D0D0D" w:themeColor="text1" w:themeTint="F2"/>
          <w:spacing w:val="-4"/>
          <w:sz w:val="16"/>
          <w:szCs w:val="16"/>
        </w:rPr>
        <w:t> </w:t>
      </w:r>
      <w:r w:rsidRPr="00257FB1">
        <w:rPr>
          <w:rFonts w:ascii="Arial" w:hAnsi="Arial" w:cs="Arial"/>
          <w:color w:val="0D0D0D" w:themeColor="text1" w:themeTint="F2"/>
          <w:spacing w:val="-4"/>
          <w:sz w:val="16"/>
          <w:szCs w:val="16"/>
        </w:rPr>
        <w:t>aktivity spojené s cestovním ruchem. Průměrné mzdy v těchto odvětví</w:t>
      </w:r>
      <w:r>
        <w:rPr>
          <w:rFonts w:ascii="Arial" w:hAnsi="Arial" w:cs="Arial"/>
          <w:color w:val="0D0D0D" w:themeColor="text1" w:themeTint="F2"/>
          <w:spacing w:val="-4"/>
          <w:sz w:val="16"/>
          <w:szCs w:val="16"/>
        </w:rPr>
        <w:t>ch</w:t>
      </w:r>
      <w:r w:rsidRPr="00257FB1">
        <w:rPr>
          <w:rFonts w:ascii="Arial" w:hAnsi="Arial" w:cs="Arial"/>
          <w:color w:val="0D0D0D" w:themeColor="text1" w:themeTint="F2"/>
          <w:spacing w:val="-4"/>
          <w:sz w:val="16"/>
          <w:szCs w:val="16"/>
        </w:rPr>
        <w:t xml:space="preserve"> se v poslední dekádě </w:t>
      </w:r>
      <w:r>
        <w:rPr>
          <w:rFonts w:ascii="Arial" w:hAnsi="Arial" w:cs="Arial"/>
          <w:color w:val="0D0D0D" w:themeColor="text1" w:themeTint="F2"/>
          <w:spacing w:val="-4"/>
          <w:sz w:val="16"/>
          <w:szCs w:val="16"/>
        </w:rPr>
        <w:t>v </w:t>
      </w:r>
      <w:r w:rsidRPr="00257FB1">
        <w:rPr>
          <w:rFonts w:ascii="Arial" w:hAnsi="Arial" w:cs="Arial"/>
          <w:color w:val="0D0D0D" w:themeColor="text1" w:themeTint="F2"/>
          <w:spacing w:val="-4"/>
          <w:sz w:val="16"/>
          <w:szCs w:val="16"/>
        </w:rPr>
        <w:t xml:space="preserve">Praze navíc zvyšovaly relativně </w:t>
      </w:r>
      <w:r>
        <w:rPr>
          <w:rFonts w:ascii="Arial" w:hAnsi="Arial" w:cs="Arial"/>
          <w:color w:val="0D0D0D" w:themeColor="text1" w:themeTint="F2"/>
          <w:spacing w:val="-4"/>
          <w:sz w:val="16"/>
          <w:szCs w:val="16"/>
        </w:rPr>
        <w:t>pomalejším</w:t>
      </w:r>
      <w:r w:rsidRPr="00257FB1">
        <w:rPr>
          <w:rFonts w:ascii="Arial" w:hAnsi="Arial" w:cs="Arial"/>
          <w:color w:val="0D0D0D" w:themeColor="text1" w:themeTint="F2"/>
          <w:spacing w:val="-4"/>
          <w:sz w:val="16"/>
          <w:szCs w:val="16"/>
        </w:rPr>
        <w:t xml:space="preserve"> tempem než v</w:t>
      </w:r>
      <w:r>
        <w:rPr>
          <w:rFonts w:ascii="Arial" w:hAnsi="Arial" w:cs="Arial"/>
          <w:color w:val="0D0D0D" w:themeColor="text1" w:themeTint="F2"/>
          <w:spacing w:val="-4"/>
          <w:sz w:val="16"/>
          <w:szCs w:val="16"/>
        </w:rPr>
        <w:t> </w:t>
      </w:r>
      <w:r w:rsidRPr="00257FB1">
        <w:rPr>
          <w:rFonts w:ascii="Arial" w:hAnsi="Arial" w:cs="Arial"/>
          <w:color w:val="0D0D0D" w:themeColor="text1" w:themeTint="F2"/>
          <w:spacing w:val="-4"/>
          <w:sz w:val="16"/>
          <w:szCs w:val="16"/>
        </w:rPr>
        <w:t>celé</w:t>
      </w:r>
      <w:r>
        <w:rPr>
          <w:rFonts w:ascii="Arial" w:hAnsi="Arial" w:cs="Arial"/>
          <w:color w:val="0D0D0D" w:themeColor="text1" w:themeTint="F2"/>
          <w:spacing w:val="-4"/>
          <w:sz w:val="16"/>
          <w:szCs w:val="16"/>
        </w:rPr>
        <w:t> </w:t>
      </w:r>
      <w:r w:rsidRPr="00257FB1">
        <w:rPr>
          <w:rFonts w:ascii="Arial" w:hAnsi="Arial" w:cs="Arial"/>
          <w:color w:val="0D0D0D" w:themeColor="text1" w:themeTint="F2"/>
          <w:spacing w:val="-4"/>
          <w:sz w:val="16"/>
          <w:szCs w:val="16"/>
        </w:rPr>
        <w:t>ČR.</w:t>
      </w:r>
    </w:p>
  </w:footnote>
  <w:footnote w:id="66">
    <w:p w14:paraId="68055293" w14:textId="2B1D41F4" w:rsidR="004E684C" w:rsidRPr="00960B76" w:rsidRDefault="004E684C" w:rsidP="00AA4F0A">
      <w:pPr>
        <w:pStyle w:val="Normlnweb"/>
        <w:spacing w:before="0" w:beforeAutospacing="0" w:after="0" w:afterAutospacing="0"/>
        <w:rPr>
          <w:rFonts w:ascii="Arial" w:hAnsi="Arial" w:cs="Arial"/>
          <w:sz w:val="16"/>
          <w:szCs w:val="16"/>
        </w:rPr>
      </w:pPr>
      <w:r w:rsidRPr="003B03BB">
        <w:rPr>
          <w:rStyle w:val="Znakapoznpodarou"/>
          <w:rFonts w:ascii="Arial" w:hAnsi="Arial" w:cs="Arial"/>
          <w:sz w:val="16"/>
          <w:szCs w:val="16"/>
        </w:rPr>
        <w:footnoteRef/>
      </w:r>
      <w:r w:rsidRPr="003B03BB">
        <w:rPr>
          <w:rFonts w:ascii="Arial" w:hAnsi="Arial" w:cs="Arial"/>
          <w:sz w:val="16"/>
          <w:szCs w:val="16"/>
        </w:rPr>
        <w:t xml:space="preserve"> </w:t>
      </w:r>
      <w:r>
        <w:rPr>
          <w:rFonts w:ascii="Arial" w:hAnsi="Arial" w:cs="Arial"/>
          <w:color w:val="0D0D0D" w:themeColor="text1" w:themeTint="F2"/>
          <w:spacing w:val="-2"/>
          <w:sz w:val="16"/>
          <w:szCs w:val="16"/>
        </w:rPr>
        <w:t>Ta vychází z </w:t>
      </w:r>
      <w:r>
        <w:rPr>
          <w:rFonts w:ascii="Arial" w:hAnsi="Arial" w:cs="Arial"/>
          <w:sz w:val="16"/>
          <w:szCs w:val="16"/>
        </w:rPr>
        <w:t>údajů</w:t>
      </w:r>
      <w:r w:rsidRPr="003B03BB">
        <w:rPr>
          <w:rFonts w:ascii="Arial" w:hAnsi="Arial" w:cs="Arial"/>
          <w:sz w:val="16"/>
          <w:szCs w:val="16"/>
        </w:rPr>
        <w:t xml:space="preserve"> o</w:t>
      </w:r>
      <w:r>
        <w:rPr>
          <w:rFonts w:ascii="Arial" w:hAnsi="Arial" w:cs="Arial"/>
          <w:sz w:val="16"/>
          <w:szCs w:val="16"/>
        </w:rPr>
        <w:t> výdělcích (doplněných dalšími sociodemografickými charakteristikami) jednotlivých zaměstnanců</w:t>
      </w:r>
      <w:r w:rsidRPr="003B03BB">
        <w:rPr>
          <w:rFonts w:ascii="Arial" w:hAnsi="Arial" w:cs="Arial"/>
          <w:sz w:val="16"/>
          <w:szCs w:val="16"/>
        </w:rPr>
        <w:t xml:space="preserve">. </w:t>
      </w:r>
      <w:r>
        <w:rPr>
          <w:rFonts w:ascii="Arial" w:hAnsi="Arial" w:cs="Arial"/>
          <w:sz w:val="16"/>
          <w:szCs w:val="16"/>
        </w:rPr>
        <w:t>Průměrná mzda ze strukturálního šetření</w:t>
      </w:r>
      <w:r w:rsidRPr="003B03BB">
        <w:rPr>
          <w:rFonts w:ascii="Arial" w:hAnsi="Arial" w:cs="Arial"/>
          <w:sz w:val="16"/>
          <w:szCs w:val="16"/>
        </w:rPr>
        <w:t xml:space="preserve"> je vypočtena poměřením s placenou dobou zaměstnance (nezahrnuje se neplacená nepřítomnos</w:t>
      </w:r>
      <w:r>
        <w:rPr>
          <w:rFonts w:ascii="Arial" w:hAnsi="Arial" w:cs="Arial"/>
          <w:sz w:val="16"/>
          <w:szCs w:val="16"/>
        </w:rPr>
        <w:t>t v práci, např. pro nemoc), nezapočítávají</w:t>
      </w:r>
      <w:r w:rsidRPr="003B03BB">
        <w:rPr>
          <w:rFonts w:ascii="Arial" w:hAnsi="Arial" w:cs="Arial"/>
          <w:sz w:val="16"/>
          <w:szCs w:val="16"/>
        </w:rPr>
        <w:t xml:space="preserve"> se ale zaměstnanci s týdenním úvazkem kratším než 30 hodin</w:t>
      </w:r>
      <w:r>
        <w:rPr>
          <w:rFonts w:ascii="Arial" w:hAnsi="Arial" w:cs="Arial"/>
          <w:sz w:val="16"/>
          <w:szCs w:val="16"/>
        </w:rPr>
        <w:t>. Oproti tomu v podnikových zjišťováních</w:t>
      </w:r>
      <w:r w:rsidRPr="003B03BB">
        <w:rPr>
          <w:rFonts w:ascii="Arial" w:hAnsi="Arial" w:cs="Arial"/>
          <w:sz w:val="16"/>
          <w:szCs w:val="16"/>
        </w:rPr>
        <w:t xml:space="preserve"> je </w:t>
      </w:r>
      <w:r>
        <w:rPr>
          <w:rFonts w:ascii="Arial" w:hAnsi="Arial" w:cs="Arial"/>
          <w:sz w:val="16"/>
          <w:szCs w:val="16"/>
        </w:rPr>
        <w:t xml:space="preserve">mzda </w:t>
      </w:r>
      <w:r w:rsidRPr="003B03BB">
        <w:rPr>
          <w:rFonts w:ascii="Arial" w:hAnsi="Arial" w:cs="Arial"/>
          <w:sz w:val="16"/>
          <w:szCs w:val="16"/>
        </w:rPr>
        <w:t xml:space="preserve">vypočtena poměřením s evidenčním počtem zaměstnanců </w:t>
      </w:r>
      <w:r>
        <w:rPr>
          <w:rFonts w:ascii="Arial" w:hAnsi="Arial" w:cs="Arial"/>
          <w:sz w:val="16"/>
          <w:szCs w:val="16"/>
        </w:rPr>
        <w:t xml:space="preserve">za celý ekonomický subjekt </w:t>
      </w:r>
      <w:r w:rsidRPr="003B03BB">
        <w:rPr>
          <w:rFonts w:ascii="Arial" w:hAnsi="Arial" w:cs="Arial"/>
          <w:sz w:val="16"/>
          <w:szCs w:val="16"/>
        </w:rPr>
        <w:t>(zaměstnanci s krátkodobou neplacenou nepřítomností jsou zahrnuti) bez ohledu na délku jejich týdenního úvazku.</w:t>
      </w:r>
    </w:p>
  </w:footnote>
  <w:footnote w:id="67">
    <w:p w14:paraId="2F3DCBB0" w14:textId="31F102BF" w:rsidR="004E684C" w:rsidRPr="00327A33" w:rsidRDefault="004E684C" w:rsidP="00AA4F0A">
      <w:pPr>
        <w:pStyle w:val="Normlnweb"/>
        <w:spacing w:before="0" w:beforeAutospacing="0" w:after="0" w:afterAutospacing="0"/>
        <w:rPr>
          <w:rFonts w:ascii="Arial" w:hAnsi="Arial" w:cs="Arial"/>
          <w:i/>
          <w:sz w:val="20"/>
        </w:rPr>
      </w:pPr>
      <w:r w:rsidRPr="003B03BB">
        <w:rPr>
          <w:rStyle w:val="Znakapoznpodarou"/>
          <w:rFonts w:ascii="Arial" w:hAnsi="Arial" w:cs="Arial"/>
          <w:sz w:val="16"/>
          <w:szCs w:val="16"/>
        </w:rPr>
        <w:footnoteRef/>
      </w:r>
      <w:r w:rsidRPr="003B03BB">
        <w:rPr>
          <w:rFonts w:ascii="Arial" w:hAnsi="Arial" w:cs="Arial"/>
          <w:sz w:val="16"/>
          <w:szCs w:val="16"/>
        </w:rPr>
        <w:t xml:space="preserve"> </w:t>
      </w:r>
      <w:r>
        <w:rPr>
          <w:rFonts w:ascii="Arial" w:hAnsi="Arial" w:cs="Arial"/>
          <w:sz w:val="16"/>
          <w:szCs w:val="16"/>
        </w:rPr>
        <w:t>Přímé srovnání v dlouhodobější časové řadě však není z důvodu významnějších metodických změn ve výše uvedeném šetření možné. Poslední podstatnou změnu přinesl rok 2011, od něhož</w:t>
      </w:r>
      <w:r w:rsidRPr="00327A33">
        <w:rPr>
          <w:rFonts w:ascii="Arial" w:hAnsi="Arial" w:cs="Arial"/>
          <w:sz w:val="16"/>
          <w:szCs w:val="16"/>
        </w:rPr>
        <w:t xml:space="preserve"> výsledky výběrově pokrývají celou zaměstnaneckou populaci v ČR (nově </w:t>
      </w:r>
      <w:r>
        <w:rPr>
          <w:rFonts w:ascii="Arial" w:hAnsi="Arial" w:cs="Arial"/>
          <w:sz w:val="16"/>
          <w:szCs w:val="16"/>
        </w:rPr>
        <w:t xml:space="preserve">byli </w:t>
      </w:r>
      <w:r w:rsidRPr="00327A33">
        <w:rPr>
          <w:rFonts w:ascii="Arial" w:hAnsi="Arial" w:cs="Arial"/>
          <w:sz w:val="16"/>
          <w:szCs w:val="16"/>
        </w:rPr>
        <w:t>zahrnuti dříve nesledovaní zaměstnanci z podniků s méně než 10</w:t>
      </w:r>
      <w:r>
        <w:rPr>
          <w:rFonts w:ascii="Arial" w:hAnsi="Arial" w:cs="Arial"/>
          <w:sz w:val="16"/>
          <w:szCs w:val="16"/>
        </w:rPr>
        <w:t> </w:t>
      </w:r>
      <w:r w:rsidRPr="00327A33">
        <w:rPr>
          <w:rFonts w:ascii="Arial" w:hAnsi="Arial" w:cs="Arial"/>
          <w:sz w:val="16"/>
          <w:szCs w:val="16"/>
        </w:rPr>
        <w:t>zaměstnanci a</w:t>
      </w:r>
      <w:r>
        <w:rPr>
          <w:rFonts w:ascii="Arial" w:hAnsi="Arial" w:cs="Arial"/>
          <w:sz w:val="16"/>
          <w:szCs w:val="16"/>
        </w:rPr>
        <w:t> </w:t>
      </w:r>
      <w:r w:rsidRPr="00327A33">
        <w:rPr>
          <w:rFonts w:ascii="Arial" w:hAnsi="Arial" w:cs="Arial"/>
          <w:sz w:val="16"/>
          <w:szCs w:val="16"/>
        </w:rPr>
        <w:t>také zamě</w:t>
      </w:r>
      <w:r>
        <w:rPr>
          <w:rFonts w:ascii="Arial" w:hAnsi="Arial" w:cs="Arial"/>
          <w:sz w:val="16"/>
          <w:szCs w:val="16"/>
        </w:rPr>
        <w:t>stnanci neziskových institucí a </w:t>
      </w:r>
      <w:r w:rsidRPr="00327A33">
        <w:rPr>
          <w:rFonts w:ascii="Arial" w:hAnsi="Arial" w:cs="Arial"/>
          <w:sz w:val="16"/>
          <w:szCs w:val="16"/>
        </w:rPr>
        <w:t>podnikatelů</w:t>
      </w:r>
      <w:r>
        <w:rPr>
          <w:rFonts w:ascii="Arial" w:hAnsi="Arial" w:cs="Arial"/>
          <w:sz w:val="16"/>
          <w:szCs w:val="16"/>
        </w:rPr>
        <w:t xml:space="preserve"> – </w:t>
      </w:r>
      <w:r w:rsidRPr="00327A33">
        <w:rPr>
          <w:rFonts w:ascii="Arial" w:hAnsi="Arial" w:cs="Arial"/>
          <w:sz w:val="16"/>
          <w:szCs w:val="16"/>
        </w:rPr>
        <w:t>fyzických osob).</w:t>
      </w:r>
    </w:p>
  </w:footnote>
  <w:footnote w:id="68">
    <w:p w14:paraId="70BBE332" w14:textId="63FA0709" w:rsidR="004E684C" w:rsidRPr="00327A33" w:rsidRDefault="004E684C" w:rsidP="00AA4F0A">
      <w:pPr>
        <w:pStyle w:val="Normlnweb"/>
        <w:spacing w:before="0" w:beforeAutospacing="0" w:after="0" w:afterAutospacing="0"/>
        <w:rPr>
          <w:rFonts w:ascii="Arial" w:hAnsi="Arial" w:cs="Arial"/>
          <w:i/>
          <w:sz w:val="20"/>
        </w:rPr>
      </w:pPr>
      <w:r w:rsidRPr="003B03BB">
        <w:rPr>
          <w:rStyle w:val="Znakapoznpodarou"/>
          <w:rFonts w:ascii="Arial" w:hAnsi="Arial" w:cs="Arial"/>
          <w:sz w:val="16"/>
          <w:szCs w:val="16"/>
        </w:rPr>
        <w:footnoteRef/>
      </w:r>
      <w:r w:rsidRPr="003B03BB">
        <w:rPr>
          <w:rFonts w:ascii="Arial" w:hAnsi="Arial" w:cs="Arial"/>
          <w:sz w:val="16"/>
          <w:szCs w:val="16"/>
        </w:rPr>
        <w:t xml:space="preserve"> </w:t>
      </w:r>
      <w:r>
        <w:rPr>
          <w:rFonts w:ascii="Arial" w:hAnsi="Arial" w:cs="Arial"/>
          <w:sz w:val="16"/>
          <w:szCs w:val="16"/>
        </w:rPr>
        <w:t>Hranice minimální mzdy se v současné dekádě navýšila již šestkrát. K první změně došlo v srpnu 2013 (z 8 000 na 8 500 korun za měsíc), dosud poslední vstoupila v platnost od 1. ledna 2019 (z 12 200 korun na 13 350 korun).</w:t>
      </w:r>
    </w:p>
  </w:footnote>
  <w:footnote w:id="69">
    <w:p w14:paraId="7307E135" w14:textId="77777777" w:rsidR="004E684C" w:rsidRPr="00981E50" w:rsidRDefault="004E684C" w:rsidP="00AA4F0A">
      <w:pPr>
        <w:pStyle w:val="Normlnweb"/>
        <w:spacing w:before="0" w:beforeAutospacing="0" w:after="0" w:afterAutospacing="0"/>
        <w:rPr>
          <w:rFonts w:ascii="Arial" w:hAnsi="Arial" w:cs="Arial"/>
          <w:spacing w:val="-2"/>
          <w:sz w:val="16"/>
          <w:szCs w:val="16"/>
        </w:rPr>
      </w:pPr>
      <w:r w:rsidRPr="00981E50">
        <w:rPr>
          <w:rStyle w:val="Znakapoznpodarou"/>
          <w:rFonts w:ascii="Arial" w:hAnsi="Arial" w:cs="Arial"/>
          <w:spacing w:val="-2"/>
          <w:sz w:val="16"/>
          <w:szCs w:val="16"/>
        </w:rPr>
        <w:footnoteRef/>
      </w:r>
      <w:r w:rsidRPr="00981E50">
        <w:rPr>
          <w:rFonts w:ascii="Arial" w:hAnsi="Arial" w:cs="Arial"/>
          <w:spacing w:val="-2"/>
          <w:sz w:val="16"/>
          <w:szCs w:val="16"/>
        </w:rPr>
        <w:t xml:space="preserve"> </w:t>
      </w:r>
      <w:r w:rsidRPr="00981E50">
        <w:rPr>
          <w:rFonts w:ascii="Arial" w:hAnsi="Arial" w:cs="Arial"/>
          <w:color w:val="0D0D0D" w:themeColor="text1" w:themeTint="F2"/>
          <w:spacing w:val="-2"/>
          <w:sz w:val="16"/>
          <w:szCs w:val="16"/>
        </w:rPr>
        <w:t>Zahrnuje zaměstnance s vyšším odborným vzděláním a</w:t>
      </w:r>
      <w:r>
        <w:rPr>
          <w:rFonts w:ascii="Arial" w:hAnsi="Arial" w:cs="Arial"/>
          <w:color w:val="0D0D0D" w:themeColor="text1" w:themeTint="F2"/>
          <w:spacing w:val="-2"/>
          <w:sz w:val="16"/>
          <w:szCs w:val="16"/>
        </w:rPr>
        <w:t> </w:t>
      </w:r>
      <w:r w:rsidRPr="00981E50">
        <w:rPr>
          <w:rFonts w:ascii="Arial" w:hAnsi="Arial" w:cs="Arial"/>
          <w:color w:val="0D0D0D" w:themeColor="text1" w:themeTint="F2"/>
          <w:spacing w:val="-2"/>
          <w:sz w:val="16"/>
          <w:szCs w:val="16"/>
        </w:rPr>
        <w:t>dále s</w:t>
      </w:r>
      <w:r>
        <w:rPr>
          <w:rFonts w:ascii="Arial" w:hAnsi="Arial" w:cs="Arial"/>
          <w:color w:val="0D0D0D" w:themeColor="text1" w:themeTint="F2"/>
          <w:spacing w:val="-2"/>
          <w:sz w:val="16"/>
          <w:szCs w:val="16"/>
        </w:rPr>
        <w:t> </w:t>
      </w:r>
      <w:r w:rsidRPr="00981E50">
        <w:rPr>
          <w:rFonts w:ascii="Arial" w:hAnsi="Arial" w:cs="Arial"/>
          <w:color w:val="0D0D0D" w:themeColor="text1" w:themeTint="F2"/>
          <w:spacing w:val="-2"/>
          <w:sz w:val="16"/>
          <w:szCs w:val="16"/>
        </w:rPr>
        <w:t>vysokoškolským vzděláním bakalářského stupně.</w:t>
      </w:r>
    </w:p>
  </w:footnote>
  <w:footnote w:id="70">
    <w:p w14:paraId="1057ABC3" w14:textId="04D2146E" w:rsidR="004E684C" w:rsidRPr="00981E50" w:rsidRDefault="004E684C" w:rsidP="00AA4F0A">
      <w:pPr>
        <w:pStyle w:val="Normlnweb"/>
        <w:spacing w:before="0" w:beforeAutospacing="0" w:after="0" w:afterAutospacing="0"/>
        <w:rPr>
          <w:rFonts w:ascii="Arial" w:hAnsi="Arial" w:cs="Arial"/>
          <w:spacing w:val="-4"/>
          <w:sz w:val="16"/>
          <w:szCs w:val="16"/>
        </w:rPr>
      </w:pPr>
      <w:r w:rsidRPr="00981E50">
        <w:rPr>
          <w:rStyle w:val="Znakapoznpodarou"/>
          <w:rFonts w:ascii="Arial" w:hAnsi="Arial" w:cs="Arial"/>
          <w:spacing w:val="-4"/>
          <w:sz w:val="16"/>
          <w:szCs w:val="16"/>
        </w:rPr>
        <w:footnoteRef/>
      </w:r>
      <w:r w:rsidRPr="00981E50">
        <w:rPr>
          <w:rFonts w:ascii="Arial" w:hAnsi="Arial" w:cs="Arial"/>
          <w:spacing w:val="-4"/>
          <w:sz w:val="16"/>
          <w:szCs w:val="16"/>
        </w:rPr>
        <w:t xml:space="preserve"> </w:t>
      </w:r>
      <w:r w:rsidRPr="00981E50">
        <w:rPr>
          <w:rFonts w:ascii="Arial" w:hAnsi="Arial" w:cs="Arial"/>
          <w:color w:val="0D0D0D" w:themeColor="text1" w:themeTint="F2"/>
          <w:spacing w:val="-4"/>
          <w:sz w:val="16"/>
          <w:szCs w:val="16"/>
        </w:rPr>
        <w:t>Variační koeficient mezd vysokoškoláků klesl mezi roky 2011 a</w:t>
      </w:r>
      <w:r>
        <w:rPr>
          <w:rFonts w:ascii="Arial" w:hAnsi="Arial" w:cs="Arial"/>
          <w:color w:val="0D0D0D" w:themeColor="text1" w:themeTint="F2"/>
          <w:spacing w:val="-4"/>
          <w:sz w:val="16"/>
          <w:szCs w:val="16"/>
        </w:rPr>
        <w:t> </w:t>
      </w:r>
      <w:r w:rsidRPr="00981E50">
        <w:rPr>
          <w:rFonts w:ascii="Arial" w:hAnsi="Arial" w:cs="Arial"/>
          <w:color w:val="0D0D0D" w:themeColor="text1" w:themeTint="F2"/>
          <w:spacing w:val="-4"/>
          <w:sz w:val="16"/>
          <w:szCs w:val="16"/>
        </w:rPr>
        <w:t>2018 z 94</w:t>
      </w:r>
      <w:r>
        <w:rPr>
          <w:rFonts w:ascii="Arial" w:hAnsi="Arial" w:cs="Arial"/>
          <w:color w:val="0D0D0D" w:themeColor="text1" w:themeTint="F2"/>
          <w:spacing w:val="-4"/>
          <w:sz w:val="16"/>
          <w:szCs w:val="16"/>
        </w:rPr>
        <w:t> %</w:t>
      </w:r>
      <w:r w:rsidRPr="00981E50">
        <w:rPr>
          <w:rFonts w:ascii="Arial" w:hAnsi="Arial" w:cs="Arial"/>
          <w:color w:val="0D0D0D" w:themeColor="text1" w:themeTint="F2"/>
          <w:spacing w:val="-4"/>
          <w:sz w:val="16"/>
          <w:szCs w:val="16"/>
        </w:rPr>
        <w:t xml:space="preserve"> na 82</w:t>
      </w:r>
      <w:r>
        <w:rPr>
          <w:rFonts w:ascii="Arial" w:hAnsi="Arial" w:cs="Arial"/>
          <w:color w:val="0D0D0D" w:themeColor="text1" w:themeTint="F2"/>
          <w:spacing w:val="-4"/>
          <w:sz w:val="16"/>
          <w:szCs w:val="16"/>
        </w:rPr>
        <w:t> %</w:t>
      </w:r>
      <w:r w:rsidRPr="00981E50">
        <w:rPr>
          <w:rFonts w:ascii="Arial" w:hAnsi="Arial" w:cs="Arial"/>
          <w:color w:val="0D0D0D" w:themeColor="text1" w:themeTint="F2"/>
          <w:spacing w:val="-4"/>
          <w:sz w:val="16"/>
          <w:szCs w:val="16"/>
        </w:rPr>
        <w:t>. Ten u</w:t>
      </w:r>
      <w:r>
        <w:rPr>
          <w:rFonts w:ascii="Arial" w:hAnsi="Arial" w:cs="Arial"/>
          <w:color w:val="0D0D0D" w:themeColor="text1" w:themeTint="F2"/>
          <w:spacing w:val="-4"/>
          <w:sz w:val="16"/>
          <w:szCs w:val="16"/>
        </w:rPr>
        <w:t> </w:t>
      </w:r>
      <w:r w:rsidRPr="00981E50">
        <w:rPr>
          <w:rFonts w:ascii="Arial" w:hAnsi="Arial" w:cs="Arial"/>
          <w:color w:val="0D0D0D" w:themeColor="text1" w:themeTint="F2"/>
          <w:spacing w:val="-4"/>
          <w:sz w:val="16"/>
          <w:szCs w:val="16"/>
        </w:rPr>
        <w:t>osob se základním i</w:t>
      </w:r>
      <w:r>
        <w:rPr>
          <w:rFonts w:ascii="Arial" w:hAnsi="Arial" w:cs="Arial"/>
          <w:color w:val="0D0D0D" w:themeColor="text1" w:themeTint="F2"/>
          <w:spacing w:val="-4"/>
          <w:sz w:val="16"/>
          <w:szCs w:val="16"/>
        </w:rPr>
        <w:t> </w:t>
      </w:r>
      <w:r w:rsidRPr="00981E50">
        <w:rPr>
          <w:rFonts w:ascii="Arial" w:hAnsi="Arial" w:cs="Arial"/>
          <w:color w:val="0D0D0D" w:themeColor="text1" w:themeTint="F2"/>
          <w:spacing w:val="-4"/>
          <w:sz w:val="16"/>
          <w:szCs w:val="16"/>
        </w:rPr>
        <w:t>středním vzděláním bez maturity loni dosahoval těsně pod 40</w:t>
      </w:r>
      <w:r>
        <w:rPr>
          <w:rFonts w:ascii="Arial" w:hAnsi="Arial" w:cs="Arial"/>
          <w:color w:val="0D0D0D" w:themeColor="text1" w:themeTint="F2"/>
          <w:spacing w:val="-4"/>
          <w:sz w:val="16"/>
          <w:szCs w:val="16"/>
        </w:rPr>
        <w:t> %</w:t>
      </w:r>
      <w:r w:rsidRPr="00981E50">
        <w:rPr>
          <w:rFonts w:ascii="Arial" w:hAnsi="Arial" w:cs="Arial"/>
          <w:color w:val="0D0D0D" w:themeColor="text1" w:themeTint="F2"/>
          <w:spacing w:val="-4"/>
          <w:sz w:val="16"/>
          <w:szCs w:val="16"/>
        </w:rPr>
        <w:t>. Vysoká variabilita mezd vysokoškoláků je odrazem nadprůměrn</w:t>
      </w:r>
      <w:r>
        <w:rPr>
          <w:rFonts w:ascii="Arial" w:hAnsi="Arial" w:cs="Arial"/>
          <w:color w:val="0D0D0D" w:themeColor="text1" w:themeTint="F2"/>
          <w:spacing w:val="-4"/>
          <w:sz w:val="16"/>
          <w:szCs w:val="16"/>
        </w:rPr>
        <w:t>ého zastoupení pozic manažerů a</w:t>
      </w:r>
      <w:r w:rsidRPr="00981E50">
        <w:rPr>
          <w:rFonts w:ascii="Arial" w:hAnsi="Arial" w:cs="Arial"/>
          <w:color w:val="0D0D0D" w:themeColor="text1" w:themeTint="F2"/>
          <w:spacing w:val="-2"/>
          <w:sz w:val="16"/>
          <w:szCs w:val="16"/>
        </w:rPr>
        <w:t> </w:t>
      </w:r>
      <w:r w:rsidRPr="00981E50">
        <w:rPr>
          <w:rFonts w:ascii="Arial" w:hAnsi="Arial" w:cs="Arial"/>
          <w:color w:val="0D0D0D" w:themeColor="text1" w:themeTint="F2"/>
          <w:spacing w:val="-4"/>
          <w:sz w:val="16"/>
          <w:szCs w:val="16"/>
        </w:rPr>
        <w:t>specialistů. V kvalifikační třídě zákonodárců a</w:t>
      </w:r>
      <w:r>
        <w:rPr>
          <w:rFonts w:ascii="Arial" w:hAnsi="Arial" w:cs="Arial"/>
          <w:color w:val="0D0D0D" w:themeColor="text1" w:themeTint="F2"/>
          <w:spacing w:val="-4"/>
          <w:sz w:val="16"/>
          <w:szCs w:val="16"/>
        </w:rPr>
        <w:t> </w:t>
      </w:r>
      <w:r w:rsidRPr="00981E50">
        <w:rPr>
          <w:rFonts w:ascii="Arial" w:hAnsi="Arial" w:cs="Arial"/>
          <w:color w:val="0D0D0D" w:themeColor="text1" w:themeTint="F2"/>
          <w:spacing w:val="-4"/>
          <w:sz w:val="16"/>
          <w:szCs w:val="16"/>
        </w:rPr>
        <w:t>řídících pracovníků tvořili vysokoškoláci polovinu všech pracovníků, u</w:t>
      </w:r>
      <w:r>
        <w:rPr>
          <w:rFonts w:ascii="Arial" w:hAnsi="Arial" w:cs="Arial"/>
          <w:color w:val="0D0D0D" w:themeColor="text1" w:themeTint="F2"/>
          <w:spacing w:val="-4"/>
          <w:sz w:val="16"/>
          <w:szCs w:val="16"/>
        </w:rPr>
        <w:t> </w:t>
      </w:r>
      <w:r w:rsidRPr="00981E50">
        <w:rPr>
          <w:rFonts w:ascii="Arial" w:hAnsi="Arial" w:cs="Arial"/>
          <w:color w:val="0D0D0D" w:themeColor="text1" w:themeTint="F2"/>
          <w:spacing w:val="-4"/>
          <w:sz w:val="16"/>
          <w:szCs w:val="16"/>
        </w:rPr>
        <w:t>specialistů dokonce 60</w:t>
      </w:r>
      <w:r>
        <w:rPr>
          <w:rFonts w:ascii="Arial" w:hAnsi="Arial" w:cs="Arial"/>
          <w:color w:val="0D0D0D" w:themeColor="text1" w:themeTint="F2"/>
          <w:spacing w:val="-4"/>
          <w:sz w:val="16"/>
          <w:szCs w:val="16"/>
        </w:rPr>
        <w:t> %</w:t>
      </w:r>
      <w:r w:rsidRPr="00981E50">
        <w:rPr>
          <w:rFonts w:ascii="Arial" w:hAnsi="Arial" w:cs="Arial"/>
          <w:color w:val="0D0D0D" w:themeColor="text1" w:themeTint="F2"/>
          <w:spacing w:val="-4"/>
          <w:sz w:val="16"/>
          <w:szCs w:val="16"/>
        </w:rPr>
        <w:t>.</w:t>
      </w:r>
    </w:p>
  </w:footnote>
  <w:footnote w:id="71">
    <w:p w14:paraId="0E6514E9" w14:textId="19D58EFB" w:rsidR="004E684C" w:rsidRPr="00960B76" w:rsidRDefault="004E684C" w:rsidP="00AA4F0A">
      <w:pPr>
        <w:pStyle w:val="Normlnweb"/>
        <w:spacing w:before="0" w:beforeAutospacing="0" w:after="0" w:afterAutospacing="0"/>
        <w:rPr>
          <w:rFonts w:ascii="Arial" w:hAnsi="Arial" w:cs="Arial"/>
          <w:sz w:val="16"/>
          <w:szCs w:val="16"/>
        </w:rPr>
      </w:pPr>
      <w:r w:rsidRPr="003B03BB">
        <w:rPr>
          <w:rStyle w:val="Znakapoznpodarou"/>
          <w:rFonts w:ascii="Arial" w:hAnsi="Arial" w:cs="Arial"/>
          <w:sz w:val="16"/>
          <w:szCs w:val="16"/>
        </w:rPr>
        <w:footnoteRef/>
      </w:r>
      <w:r w:rsidRPr="003B03BB">
        <w:rPr>
          <w:rFonts w:ascii="Arial" w:hAnsi="Arial" w:cs="Arial"/>
          <w:sz w:val="16"/>
          <w:szCs w:val="16"/>
        </w:rPr>
        <w:t xml:space="preserve"> </w:t>
      </w:r>
      <w:r>
        <w:rPr>
          <w:rFonts w:ascii="Arial" w:hAnsi="Arial" w:cs="Arial"/>
          <w:color w:val="0D0D0D" w:themeColor="text1" w:themeTint="F2"/>
          <w:spacing w:val="-2"/>
          <w:sz w:val="16"/>
          <w:szCs w:val="16"/>
        </w:rPr>
        <w:t>Tato kategorie zahrnuje pouze příslušníky armády. Nejsou v ní naopak obsaženi policisté, hasiči či příslušníci vězeňské služby. Tito zaměstnanci náležejí v rámci platné klasifikace zaměstnání (CZ ISCO) do podskupiny Pracovníci</w:t>
      </w:r>
      <w:r w:rsidRPr="00644249">
        <w:rPr>
          <w:rFonts w:ascii="Arial" w:hAnsi="Arial" w:cs="Arial"/>
          <w:color w:val="0D0D0D" w:themeColor="text1" w:themeTint="F2"/>
          <w:spacing w:val="-2"/>
          <w:sz w:val="16"/>
          <w:szCs w:val="16"/>
        </w:rPr>
        <w:t xml:space="preserve"> v</w:t>
      </w:r>
      <w:r>
        <w:rPr>
          <w:rFonts w:ascii="Arial" w:hAnsi="Arial" w:cs="Arial"/>
          <w:color w:val="0D0D0D" w:themeColor="text1" w:themeTint="F2"/>
          <w:spacing w:val="-2"/>
          <w:sz w:val="16"/>
          <w:szCs w:val="16"/>
        </w:rPr>
        <w:t> </w:t>
      </w:r>
      <w:r w:rsidRPr="00644249">
        <w:rPr>
          <w:rFonts w:ascii="Arial" w:hAnsi="Arial" w:cs="Arial"/>
          <w:color w:val="0D0D0D" w:themeColor="text1" w:themeTint="F2"/>
          <w:spacing w:val="-2"/>
          <w:sz w:val="16"/>
          <w:szCs w:val="16"/>
        </w:rPr>
        <w:t>oblasti ochrany a</w:t>
      </w:r>
      <w:r>
        <w:rPr>
          <w:rFonts w:ascii="Arial" w:hAnsi="Arial" w:cs="Arial"/>
          <w:color w:val="0D0D0D" w:themeColor="text1" w:themeTint="F2"/>
          <w:spacing w:val="-2"/>
          <w:sz w:val="16"/>
          <w:szCs w:val="16"/>
        </w:rPr>
        <w:t> </w:t>
      </w:r>
      <w:r w:rsidRPr="00644249">
        <w:rPr>
          <w:rFonts w:ascii="Arial" w:hAnsi="Arial" w:cs="Arial"/>
          <w:color w:val="0D0D0D" w:themeColor="text1" w:themeTint="F2"/>
          <w:spacing w:val="-2"/>
          <w:sz w:val="16"/>
          <w:szCs w:val="16"/>
        </w:rPr>
        <w:t>ostrahy</w:t>
      </w:r>
      <w:r>
        <w:rPr>
          <w:rFonts w:ascii="Arial" w:hAnsi="Arial" w:cs="Arial"/>
          <w:color w:val="0D0D0D" w:themeColor="text1" w:themeTint="F2"/>
          <w:spacing w:val="-2"/>
          <w:sz w:val="16"/>
          <w:szCs w:val="16"/>
        </w:rPr>
        <w:t xml:space="preserve"> a dále do hlavní třídy P</w:t>
      </w:r>
      <w:r w:rsidRPr="00644249">
        <w:rPr>
          <w:rFonts w:ascii="Arial" w:hAnsi="Arial" w:cs="Arial"/>
          <w:color w:val="0D0D0D" w:themeColor="text1" w:themeTint="F2"/>
          <w:spacing w:val="-2"/>
          <w:sz w:val="16"/>
          <w:szCs w:val="16"/>
        </w:rPr>
        <w:t>racovníci ve službách a</w:t>
      </w:r>
      <w:r>
        <w:rPr>
          <w:rFonts w:ascii="Arial" w:hAnsi="Arial" w:cs="Arial"/>
          <w:color w:val="0D0D0D" w:themeColor="text1" w:themeTint="F2"/>
          <w:spacing w:val="-2"/>
          <w:sz w:val="16"/>
          <w:szCs w:val="16"/>
        </w:rPr>
        <w:t> </w:t>
      </w:r>
      <w:r w:rsidRPr="00644249">
        <w:rPr>
          <w:rFonts w:ascii="Arial" w:hAnsi="Arial" w:cs="Arial"/>
          <w:color w:val="0D0D0D" w:themeColor="text1" w:themeTint="F2"/>
          <w:spacing w:val="-2"/>
          <w:sz w:val="16"/>
          <w:szCs w:val="16"/>
        </w:rPr>
        <w:t>prodeji</w:t>
      </w:r>
      <w:r>
        <w:rPr>
          <w:rFonts w:ascii="Arial" w:hAnsi="Arial" w:cs="Arial"/>
          <w:color w:val="0D0D0D" w:themeColor="text1" w:themeTint="F2"/>
          <w:spacing w:val="-2"/>
          <w:sz w:val="16"/>
          <w:szCs w:val="16"/>
        </w:rPr>
        <w:t>.</w:t>
      </w:r>
    </w:p>
  </w:footnote>
  <w:footnote w:id="72">
    <w:p w14:paraId="56DFE38B" w14:textId="77777777" w:rsidR="004E684C" w:rsidRPr="00960B76" w:rsidRDefault="004E684C" w:rsidP="00AA4F0A">
      <w:pPr>
        <w:pStyle w:val="Normlnweb"/>
        <w:spacing w:before="0" w:beforeAutospacing="0" w:after="0" w:afterAutospacing="0"/>
        <w:rPr>
          <w:rFonts w:ascii="Arial" w:hAnsi="Arial" w:cs="Arial"/>
          <w:sz w:val="16"/>
          <w:szCs w:val="16"/>
        </w:rPr>
      </w:pPr>
      <w:r w:rsidRPr="003B03BB">
        <w:rPr>
          <w:rStyle w:val="Znakapoznpodarou"/>
          <w:rFonts w:ascii="Arial" w:hAnsi="Arial" w:cs="Arial"/>
          <w:sz w:val="16"/>
          <w:szCs w:val="16"/>
        </w:rPr>
        <w:footnoteRef/>
      </w:r>
      <w:r w:rsidRPr="003B03BB">
        <w:rPr>
          <w:rFonts w:ascii="Arial" w:hAnsi="Arial" w:cs="Arial"/>
          <w:sz w:val="16"/>
          <w:szCs w:val="16"/>
        </w:rPr>
        <w:t xml:space="preserve"> </w:t>
      </w:r>
      <w:r>
        <w:rPr>
          <w:rFonts w:ascii="Arial" w:hAnsi="Arial" w:cs="Arial"/>
          <w:color w:val="0D0D0D" w:themeColor="text1" w:themeTint="F2"/>
          <w:spacing w:val="-2"/>
          <w:sz w:val="16"/>
          <w:szCs w:val="16"/>
        </w:rPr>
        <w:t>Ta se projevuje více u mediánových výdělků (převis u žen o 10,7 % v roce 2018) než u průměrných (o 5,7 %). To odráží skutečnost, že v nejvyšších manažerských pozicích zde (podobně jako v ostatních třídách zaměstnání) výrazně převažují muži.</w:t>
      </w:r>
    </w:p>
  </w:footnote>
  <w:footnote w:id="73">
    <w:p w14:paraId="66292E79" w14:textId="77777777" w:rsidR="004E684C" w:rsidRPr="00960B76" w:rsidRDefault="004E684C" w:rsidP="00AA4F0A">
      <w:pPr>
        <w:pStyle w:val="Normlnweb"/>
        <w:spacing w:before="0" w:beforeAutospacing="0" w:after="0" w:afterAutospacing="0"/>
        <w:rPr>
          <w:rFonts w:ascii="Arial" w:hAnsi="Arial" w:cs="Arial"/>
          <w:sz w:val="16"/>
          <w:szCs w:val="16"/>
        </w:rPr>
      </w:pPr>
      <w:r w:rsidRPr="003B03BB">
        <w:rPr>
          <w:rStyle w:val="Znakapoznpodarou"/>
          <w:rFonts w:ascii="Arial" w:hAnsi="Arial" w:cs="Arial"/>
          <w:sz w:val="16"/>
          <w:szCs w:val="16"/>
        </w:rPr>
        <w:footnoteRef/>
      </w:r>
      <w:r w:rsidRPr="003B03BB">
        <w:rPr>
          <w:rFonts w:ascii="Arial" w:hAnsi="Arial" w:cs="Arial"/>
          <w:sz w:val="16"/>
          <w:szCs w:val="16"/>
        </w:rPr>
        <w:t xml:space="preserve"> </w:t>
      </w:r>
      <w:r w:rsidRPr="00516B3D">
        <w:rPr>
          <w:rFonts w:ascii="Arial" w:hAnsi="Arial" w:cs="Arial"/>
          <w:color w:val="0D0D0D" w:themeColor="text1" w:themeTint="F2"/>
          <w:spacing w:val="-2"/>
          <w:sz w:val="16"/>
          <w:szCs w:val="16"/>
        </w:rPr>
        <w:t>Dle údajů VŠPS se počet zaměstnaných ve třídě záko</w:t>
      </w:r>
      <w:r>
        <w:rPr>
          <w:rFonts w:ascii="Arial" w:hAnsi="Arial" w:cs="Arial"/>
          <w:color w:val="0D0D0D" w:themeColor="text1" w:themeTint="F2"/>
          <w:spacing w:val="-2"/>
          <w:sz w:val="16"/>
          <w:szCs w:val="16"/>
        </w:rPr>
        <w:t>nodárců a řídících pracovníků</w:t>
      </w:r>
      <w:r w:rsidRPr="00516B3D">
        <w:rPr>
          <w:rFonts w:ascii="Arial" w:hAnsi="Arial" w:cs="Arial"/>
          <w:color w:val="0D0D0D" w:themeColor="text1" w:themeTint="F2"/>
          <w:spacing w:val="-2"/>
          <w:sz w:val="16"/>
          <w:szCs w:val="16"/>
        </w:rPr>
        <w:t xml:space="preserve"> od té doby snižuje, samotných zaměstnanců zde za poslední tři roky ubylo o</w:t>
      </w:r>
      <w:r>
        <w:rPr>
          <w:rFonts w:ascii="Arial" w:hAnsi="Arial" w:cs="Arial"/>
          <w:color w:val="0D0D0D" w:themeColor="text1" w:themeTint="F2"/>
          <w:spacing w:val="-2"/>
          <w:sz w:val="16"/>
          <w:szCs w:val="16"/>
        </w:rPr>
        <w:t> </w:t>
      </w:r>
      <w:r w:rsidRPr="00516B3D">
        <w:rPr>
          <w:rFonts w:ascii="Arial" w:hAnsi="Arial" w:cs="Arial"/>
          <w:color w:val="0D0D0D" w:themeColor="text1" w:themeTint="F2"/>
          <w:spacing w:val="-2"/>
          <w:sz w:val="16"/>
          <w:szCs w:val="16"/>
        </w:rPr>
        <w:t>osminu.</w:t>
      </w:r>
    </w:p>
  </w:footnote>
  <w:footnote w:id="74">
    <w:p w14:paraId="54E8D623" w14:textId="76DC4AE4" w:rsidR="004E684C" w:rsidRPr="00960B76" w:rsidRDefault="004E684C" w:rsidP="00AA4F0A">
      <w:pPr>
        <w:pStyle w:val="Normlnweb"/>
        <w:spacing w:before="0" w:beforeAutospacing="0" w:after="0" w:afterAutospacing="0"/>
        <w:rPr>
          <w:rFonts w:ascii="Arial" w:hAnsi="Arial" w:cs="Arial"/>
          <w:sz w:val="16"/>
          <w:szCs w:val="16"/>
        </w:rPr>
      </w:pPr>
      <w:r w:rsidRPr="003B03BB">
        <w:rPr>
          <w:rStyle w:val="Znakapoznpodarou"/>
          <w:rFonts w:ascii="Arial" w:hAnsi="Arial" w:cs="Arial"/>
          <w:sz w:val="16"/>
          <w:szCs w:val="16"/>
        </w:rPr>
        <w:footnoteRef/>
      </w:r>
      <w:r w:rsidRPr="003B03BB">
        <w:rPr>
          <w:rFonts w:ascii="Arial" w:hAnsi="Arial" w:cs="Arial"/>
          <w:sz w:val="16"/>
          <w:szCs w:val="16"/>
        </w:rPr>
        <w:t xml:space="preserve"> </w:t>
      </w:r>
      <w:r w:rsidRPr="00E23D73">
        <w:rPr>
          <w:rFonts w:ascii="Arial" w:hAnsi="Arial" w:cs="Arial"/>
          <w:color w:val="0D0D0D" w:themeColor="text1" w:themeTint="F2"/>
          <w:spacing w:val="-2"/>
          <w:sz w:val="16"/>
          <w:szCs w:val="16"/>
        </w:rPr>
        <w:t>Jednalo se z velké části o</w:t>
      </w:r>
      <w:r>
        <w:rPr>
          <w:rFonts w:ascii="Arial" w:hAnsi="Arial" w:cs="Arial"/>
          <w:color w:val="0D0D0D" w:themeColor="text1" w:themeTint="F2"/>
          <w:spacing w:val="-2"/>
          <w:sz w:val="16"/>
          <w:szCs w:val="16"/>
        </w:rPr>
        <w:t xml:space="preserve"> některé </w:t>
      </w:r>
      <w:r w:rsidRPr="00E23D73">
        <w:rPr>
          <w:rFonts w:ascii="Arial" w:hAnsi="Arial" w:cs="Arial"/>
          <w:color w:val="0D0D0D" w:themeColor="text1" w:themeTint="F2"/>
          <w:spacing w:val="-2"/>
          <w:sz w:val="16"/>
          <w:szCs w:val="16"/>
        </w:rPr>
        <w:t>řídící pracovníky v</w:t>
      </w:r>
      <w:r>
        <w:rPr>
          <w:rFonts w:ascii="Arial" w:hAnsi="Arial" w:cs="Arial"/>
          <w:color w:val="0D0D0D" w:themeColor="text1" w:themeTint="F2"/>
          <w:spacing w:val="-2"/>
          <w:sz w:val="16"/>
          <w:szCs w:val="16"/>
        </w:rPr>
        <w:t> </w:t>
      </w:r>
      <w:r w:rsidRPr="00E23D73">
        <w:rPr>
          <w:rFonts w:ascii="Arial" w:hAnsi="Arial" w:cs="Arial"/>
          <w:color w:val="0D0D0D" w:themeColor="text1" w:themeTint="F2"/>
          <w:spacing w:val="-2"/>
          <w:sz w:val="16"/>
          <w:szCs w:val="16"/>
        </w:rPr>
        <w:t>oblasti ubytovacích a</w:t>
      </w:r>
      <w:r>
        <w:rPr>
          <w:rFonts w:ascii="Arial" w:hAnsi="Arial" w:cs="Arial"/>
          <w:color w:val="0D0D0D" w:themeColor="text1" w:themeTint="F2"/>
          <w:spacing w:val="-2"/>
          <w:sz w:val="16"/>
          <w:szCs w:val="16"/>
        </w:rPr>
        <w:t> </w:t>
      </w:r>
      <w:r w:rsidRPr="00E23D73">
        <w:rPr>
          <w:rFonts w:ascii="Arial" w:hAnsi="Arial" w:cs="Arial"/>
          <w:color w:val="0D0D0D" w:themeColor="text1" w:themeTint="F2"/>
          <w:spacing w:val="-2"/>
          <w:sz w:val="16"/>
          <w:szCs w:val="16"/>
        </w:rPr>
        <w:t>stravovacích služeb, obchodu a</w:t>
      </w:r>
      <w:r>
        <w:rPr>
          <w:rFonts w:ascii="Arial" w:hAnsi="Arial" w:cs="Arial"/>
          <w:color w:val="0D0D0D" w:themeColor="text1" w:themeTint="F2"/>
          <w:spacing w:val="-2"/>
          <w:sz w:val="16"/>
          <w:szCs w:val="16"/>
        </w:rPr>
        <w:t> </w:t>
      </w:r>
      <w:r w:rsidRPr="00E23D73">
        <w:rPr>
          <w:rFonts w:ascii="Arial" w:hAnsi="Arial" w:cs="Arial"/>
          <w:color w:val="0D0D0D" w:themeColor="text1" w:themeTint="F2"/>
          <w:spacing w:val="-2"/>
          <w:sz w:val="16"/>
          <w:szCs w:val="16"/>
        </w:rPr>
        <w:t>ostatní</w:t>
      </w:r>
      <w:r>
        <w:rPr>
          <w:rFonts w:ascii="Arial" w:hAnsi="Arial" w:cs="Arial"/>
          <w:color w:val="0D0D0D" w:themeColor="text1" w:themeTint="F2"/>
          <w:spacing w:val="-2"/>
          <w:sz w:val="16"/>
          <w:szCs w:val="16"/>
        </w:rPr>
        <w:t>ch</w:t>
      </w:r>
      <w:r w:rsidRPr="00E23D73">
        <w:rPr>
          <w:rFonts w:ascii="Arial" w:hAnsi="Arial" w:cs="Arial"/>
          <w:color w:val="0D0D0D" w:themeColor="text1" w:themeTint="F2"/>
          <w:spacing w:val="-2"/>
          <w:sz w:val="16"/>
          <w:szCs w:val="16"/>
        </w:rPr>
        <w:t xml:space="preserve">, jejichž </w:t>
      </w:r>
      <w:r>
        <w:rPr>
          <w:rFonts w:ascii="Arial" w:hAnsi="Arial" w:cs="Arial"/>
          <w:color w:val="0D0D0D" w:themeColor="text1" w:themeTint="F2"/>
          <w:spacing w:val="-2"/>
          <w:sz w:val="16"/>
          <w:szCs w:val="16"/>
        </w:rPr>
        <w:t xml:space="preserve">celková </w:t>
      </w:r>
      <w:r w:rsidRPr="00E23D73">
        <w:rPr>
          <w:rFonts w:ascii="Arial" w:hAnsi="Arial" w:cs="Arial"/>
          <w:color w:val="0D0D0D" w:themeColor="text1" w:themeTint="F2"/>
          <w:spacing w:val="-2"/>
          <w:sz w:val="16"/>
          <w:szCs w:val="16"/>
        </w:rPr>
        <w:t>průměrná mzda v roce 2018 činila 42,5</w:t>
      </w:r>
      <w:r>
        <w:rPr>
          <w:rFonts w:ascii="Arial" w:hAnsi="Arial" w:cs="Arial"/>
          <w:color w:val="0D0D0D" w:themeColor="text1" w:themeTint="F2"/>
          <w:spacing w:val="-2"/>
          <w:sz w:val="16"/>
          <w:szCs w:val="16"/>
        </w:rPr>
        <w:t> </w:t>
      </w:r>
      <w:r w:rsidRPr="00E23D73">
        <w:rPr>
          <w:rFonts w:ascii="Arial" w:hAnsi="Arial" w:cs="Arial"/>
          <w:color w:val="0D0D0D" w:themeColor="text1" w:themeTint="F2"/>
          <w:spacing w:val="-2"/>
          <w:sz w:val="16"/>
          <w:szCs w:val="16"/>
        </w:rPr>
        <w:t>tis. korun</w:t>
      </w:r>
      <w:r>
        <w:rPr>
          <w:rFonts w:ascii="Arial" w:hAnsi="Arial" w:cs="Arial"/>
          <w:color w:val="0D0D0D" w:themeColor="text1" w:themeTint="F2"/>
          <w:spacing w:val="-2"/>
          <w:sz w:val="16"/>
          <w:szCs w:val="16"/>
        </w:rPr>
        <w:t>.</w:t>
      </w:r>
    </w:p>
  </w:footnote>
  <w:footnote w:id="75">
    <w:p w14:paraId="036BD210" w14:textId="4AD38FAD" w:rsidR="004E684C" w:rsidRPr="00960B76" w:rsidRDefault="004E684C" w:rsidP="00AA4F0A">
      <w:pPr>
        <w:pStyle w:val="Normlnweb"/>
        <w:spacing w:before="0" w:beforeAutospacing="0" w:after="0" w:afterAutospacing="0"/>
        <w:rPr>
          <w:rFonts w:ascii="Arial" w:hAnsi="Arial" w:cs="Arial"/>
          <w:sz w:val="16"/>
          <w:szCs w:val="16"/>
        </w:rPr>
      </w:pPr>
      <w:r w:rsidRPr="003B03BB">
        <w:rPr>
          <w:rStyle w:val="Znakapoznpodarou"/>
          <w:rFonts w:ascii="Arial" w:hAnsi="Arial" w:cs="Arial"/>
          <w:sz w:val="16"/>
          <w:szCs w:val="16"/>
        </w:rPr>
        <w:footnoteRef/>
      </w:r>
      <w:r w:rsidRPr="003B03BB">
        <w:rPr>
          <w:rFonts w:ascii="Arial" w:hAnsi="Arial" w:cs="Arial"/>
          <w:sz w:val="16"/>
          <w:szCs w:val="16"/>
        </w:rPr>
        <w:t xml:space="preserve"> </w:t>
      </w:r>
      <w:r>
        <w:rPr>
          <w:rFonts w:ascii="Arial" w:hAnsi="Arial" w:cs="Arial"/>
          <w:sz w:val="16"/>
          <w:szCs w:val="16"/>
        </w:rPr>
        <w:t xml:space="preserve">Termín Úředník jako jedna z deseti hlavních tříd kategorie zaměstnání (ISCO) nelze ztotožňovat s kategorií „úředník“ </w:t>
      </w:r>
      <w:r w:rsidRPr="00177968">
        <w:rPr>
          <w:rFonts w:ascii="Arial" w:hAnsi="Arial" w:cs="Arial"/>
          <w:sz w:val="16"/>
          <w:szCs w:val="16"/>
        </w:rPr>
        <w:t>spada</w:t>
      </w:r>
      <w:r>
        <w:rPr>
          <w:rFonts w:ascii="Arial" w:hAnsi="Arial" w:cs="Arial"/>
          <w:sz w:val="16"/>
          <w:szCs w:val="16"/>
        </w:rPr>
        <w:t>jící pod zákon o státní službě</w:t>
      </w:r>
      <w:r w:rsidRPr="00177968">
        <w:rPr>
          <w:rFonts w:ascii="Arial" w:hAnsi="Arial" w:cs="Arial"/>
          <w:sz w:val="16"/>
          <w:szCs w:val="16"/>
        </w:rPr>
        <w:t xml:space="preserve"> (</w:t>
      </w:r>
      <w:r>
        <w:rPr>
          <w:rFonts w:ascii="Arial" w:hAnsi="Arial" w:cs="Arial"/>
          <w:sz w:val="16"/>
          <w:szCs w:val="16"/>
        </w:rPr>
        <w:t>č. </w:t>
      </w:r>
      <w:r w:rsidRPr="00177968">
        <w:rPr>
          <w:rFonts w:ascii="Arial" w:hAnsi="Arial" w:cs="Arial"/>
          <w:sz w:val="16"/>
          <w:szCs w:val="16"/>
        </w:rPr>
        <w:t>234/2014</w:t>
      </w:r>
      <w:r>
        <w:rPr>
          <w:rFonts w:ascii="Arial" w:hAnsi="Arial" w:cs="Arial"/>
          <w:sz w:val="16"/>
          <w:szCs w:val="16"/>
        </w:rPr>
        <w:t> </w:t>
      </w:r>
      <w:r w:rsidRPr="00177968">
        <w:rPr>
          <w:rFonts w:ascii="Arial" w:hAnsi="Arial" w:cs="Arial"/>
          <w:sz w:val="16"/>
          <w:szCs w:val="16"/>
        </w:rPr>
        <w:t>Sb.</w:t>
      </w:r>
      <w:r>
        <w:rPr>
          <w:rFonts w:ascii="Arial" w:hAnsi="Arial" w:cs="Arial"/>
          <w:sz w:val="16"/>
          <w:szCs w:val="16"/>
        </w:rPr>
        <w:t>), ani obecněji s jednou z kategorií pracovníků náležejících do odvětví veřejná správa, obrana a povinné sociální zabezpečení, popř. s osobami placenými z veřejných rozpočtů. Dle údajů MPSV náležela v roce 2018 do tzv. platové sféry jen osmina úředníků (v rámci klasifikace ISCO). Rozdíl mezi oběma výše uvedenými koncepty je patrný i z odlišné vzdělanostní skladby zaměstnanců. V odvětví veřejné správy, obrany a povinného sociálního zabezpečení mělo v roce 2018 téměř 30 % pracovníků vysokoškolské vzdělání (v úhrnu pak bezmála 42 % terciární vzdělání), 46 % střední vzdělání s maturitou a jen desetina vzdělání na nižším stupni. V rámci třídy zaměstnání Úředníci výrazně převládali zaměstnanci se středním vzděláním s maturitou (61 %), vysokoškolským vzděláním (na magisterském či doktorském stupni) disponovala jen necelá osmina a podíl osob s nižším než maturitním vzděláním (17 %) se příliš nelišil od podílu všech osob s terciárním vzděláním.</w:t>
      </w:r>
    </w:p>
  </w:footnote>
  <w:footnote w:id="76">
    <w:p w14:paraId="5A665F04" w14:textId="404EFCDC" w:rsidR="004E684C" w:rsidRPr="00960B76" w:rsidRDefault="004E684C" w:rsidP="00AA4F0A">
      <w:pPr>
        <w:pStyle w:val="Normlnweb"/>
        <w:spacing w:before="0" w:beforeAutospacing="0" w:after="0" w:afterAutospacing="0"/>
        <w:rPr>
          <w:rFonts w:ascii="Arial" w:hAnsi="Arial" w:cs="Arial"/>
          <w:sz w:val="16"/>
          <w:szCs w:val="16"/>
        </w:rPr>
      </w:pPr>
      <w:r w:rsidRPr="003B03BB">
        <w:rPr>
          <w:rStyle w:val="Znakapoznpodarou"/>
          <w:rFonts w:ascii="Arial" w:hAnsi="Arial" w:cs="Arial"/>
          <w:sz w:val="16"/>
          <w:szCs w:val="16"/>
        </w:rPr>
        <w:footnoteRef/>
      </w:r>
      <w:r w:rsidRPr="003B03BB">
        <w:rPr>
          <w:rFonts w:ascii="Arial" w:hAnsi="Arial" w:cs="Arial"/>
          <w:sz w:val="16"/>
          <w:szCs w:val="16"/>
        </w:rPr>
        <w:t xml:space="preserve"> </w:t>
      </w:r>
      <w:r>
        <w:rPr>
          <w:rFonts w:ascii="Arial" w:hAnsi="Arial" w:cs="Arial"/>
          <w:sz w:val="16"/>
          <w:szCs w:val="16"/>
        </w:rPr>
        <w:t>Dle údajů VŠPS náleželo v roce 2018 do</w:t>
      </w:r>
      <w:r>
        <w:rPr>
          <w:rFonts w:ascii="Arial" w:hAnsi="Arial" w:cs="Arial"/>
          <w:color w:val="0D0D0D" w:themeColor="text1" w:themeTint="F2"/>
          <w:spacing w:val="-2"/>
          <w:sz w:val="16"/>
          <w:szCs w:val="16"/>
        </w:rPr>
        <w:t xml:space="preserve"> této třídy zaměstnání 498 tis. pracovníků (92 % z nich v pozici zaměstnanců). V roce 2008 to bylo 443 tis. a na přelomu tisíciletí 398 tis. Na celkové zaměstnanosti se loni podíleli 9,4 %, o jeden procentní bod více než v roce 2000.</w:t>
      </w:r>
    </w:p>
  </w:footnote>
  <w:footnote w:id="77">
    <w:p w14:paraId="245806EE" w14:textId="11E7CBC3" w:rsidR="004E684C" w:rsidRPr="00960B76" w:rsidRDefault="004E684C" w:rsidP="00AA4F0A">
      <w:pPr>
        <w:pStyle w:val="Normlnweb"/>
        <w:spacing w:before="0" w:beforeAutospacing="0" w:after="0" w:afterAutospacing="0"/>
        <w:rPr>
          <w:rFonts w:ascii="Arial" w:hAnsi="Arial" w:cs="Arial"/>
          <w:sz w:val="16"/>
          <w:szCs w:val="16"/>
        </w:rPr>
      </w:pPr>
      <w:r w:rsidRPr="003B03BB">
        <w:rPr>
          <w:rStyle w:val="Znakapoznpodarou"/>
          <w:rFonts w:ascii="Arial" w:hAnsi="Arial" w:cs="Arial"/>
          <w:sz w:val="16"/>
          <w:szCs w:val="16"/>
        </w:rPr>
        <w:footnoteRef/>
      </w:r>
      <w:r w:rsidRPr="003B03BB">
        <w:rPr>
          <w:rFonts w:ascii="Arial" w:hAnsi="Arial" w:cs="Arial"/>
          <w:sz w:val="16"/>
          <w:szCs w:val="16"/>
        </w:rPr>
        <w:t xml:space="preserve"> </w:t>
      </w:r>
      <w:r w:rsidRPr="006B6BDA">
        <w:rPr>
          <w:rFonts w:ascii="Arial" w:hAnsi="Arial" w:cs="Arial"/>
          <w:sz w:val="16"/>
          <w:szCs w:val="16"/>
        </w:rPr>
        <w:t>Obě třídy soustřeďují více než 30</w:t>
      </w:r>
      <w:r>
        <w:rPr>
          <w:rFonts w:ascii="Arial" w:hAnsi="Arial" w:cs="Arial"/>
          <w:sz w:val="16"/>
          <w:szCs w:val="16"/>
        </w:rPr>
        <w:t> %</w:t>
      </w:r>
      <w:r w:rsidRPr="006B6BDA">
        <w:rPr>
          <w:rFonts w:ascii="Arial" w:hAnsi="Arial" w:cs="Arial"/>
          <w:sz w:val="16"/>
          <w:szCs w:val="16"/>
        </w:rPr>
        <w:t xml:space="preserve"> všech zaměstnanců v celé ekonomice, u mužů dokonce 44</w:t>
      </w:r>
      <w:r>
        <w:rPr>
          <w:rFonts w:ascii="Arial" w:hAnsi="Arial" w:cs="Arial"/>
          <w:sz w:val="16"/>
          <w:szCs w:val="16"/>
        </w:rPr>
        <w:t> %</w:t>
      </w:r>
      <w:r w:rsidRPr="006B6BDA">
        <w:rPr>
          <w:rFonts w:ascii="Arial" w:hAnsi="Arial" w:cs="Arial"/>
          <w:sz w:val="16"/>
          <w:szCs w:val="16"/>
        </w:rPr>
        <w:t>.</w:t>
      </w:r>
      <w:r>
        <w:rPr>
          <w:rFonts w:ascii="Arial" w:hAnsi="Arial" w:cs="Arial"/>
          <w:sz w:val="16"/>
          <w:szCs w:val="16"/>
        </w:rPr>
        <w:t xml:space="preserve"> Více než 60 % tvoří pracovníci se středním vzděláním bez maturity, maturitu měla necelá čtvrtina. Mírně se liší jen zastoupením osob s maximálně základním vzděláním, které je vyšší v kategorii obsluha strojů a zařízení, montéři (14 %).</w:t>
      </w:r>
    </w:p>
  </w:footnote>
  <w:footnote w:id="78">
    <w:p w14:paraId="600E9035" w14:textId="52648010" w:rsidR="004E684C" w:rsidRPr="00960B76" w:rsidRDefault="004E684C" w:rsidP="00AA4F0A">
      <w:pPr>
        <w:pStyle w:val="Normlnweb"/>
        <w:spacing w:before="0" w:beforeAutospacing="0" w:after="0" w:afterAutospacing="0"/>
        <w:rPr>
          <w:rFonts w:ascii="Arial" w:hAnsi="Arial" w:cs="Arial"/>
          <w:sz w:val="16"/>
          <w:szCs w:val="16"/>
        </w:rPr>
      </w:pPr>
      <w:r w:rsidRPr="003B03BB">
        <w:rPr>
          <w:rStyle w:val="Znakapoznpodarou"/>
          <w:rFonts w:ascii="Arial" w:hAnsi="Arial" w:cs="Arial"/>
          <w:sz w:val="16"/>
          <w:szCs w:val="16"/>
        </w:rPr>
        <w:footnoteRef/>
      </w:r>
      <w:r w:rsidRPr="003B03BB">
        <w:rPr>
          <w:rFonts w:ascii="Arial" w:hAnsi="Arial" w:cs="Arial"/>
          <w:sz w:val="16"/>
          <w:szCs w:val="16"/>
        </w:rPr>
        <w:t xml:space="preserve"> </w:t>
      </w:r>
      <w:r>
        <w:rPr>
          <w:rFonts w:ascii="Arial" w:hAnsi="Arial" w:cs="Arial"/>
          <w:sz w:val="16"/>
          <w:szCs w:val="16"/>
        </w:rPr>
        <w:t>Lze předpokládat, že tito cizinci (nezřídka v pozici agenturních pracovníků) tvoří významnou část z celkového počtu 287 tis. osob pracujících v této třídě.</w:t>
      </w:r>
    </w:p>
  </w:footnote>
  <w:footnote w:id="79">
    <w:p w14:paraId="29BF207D" w14:textId="4641FF4E" w:rsidR="004E684C" w:rsidRPr="00960B76" w:rsidRDefault="004E684C" w:rsidP="00AA4F0A">
      <w:pPr>
        <w:pStyle w:val="Normlnweb"/>
        <w:spacing w:before="0" w:beforeAutospacing="0" w:after="0" w:afterAutospacing="0"/>
        <w:rPr>
          <w:rFonts w:ascii="Arial" w:hAnsi="Arial" w:cs="Arial"/>
          <w:sz w:val="16"/>
          <w:szCs w:val="16"/>
        </w:rPr>
      </w:pPr>
      <w:r w:rsidRPr="003B03BB">
        <w:rPr>
          <w:rStyle w:val="Znakapoznpodarou"/>
          <w:rFonts w:ascii="Arial" w:hAnsi="Arial" w:cs="Arial"/>
          <w:sz w:val="16"/>
          <w:szCs w:val="16"/>
        </w:rPr>
        <w:footnoteRef/>
      </w:r>
      <w:r w:rsidRPr="003B03BB">
        <w:rPr>
          <w:rFonts w:ascii="Arial" w:hAnsi="Arial" w:cs="Arial"/>
          <w:sz w:val="16"/>
          <w:szCs w:val="16"/>
        </w:rPr>
        <w:t xml:space="preserve"> </w:t>
      </w:r>
      <w:r>
        <w:rPr>
          <w:rFonts w:ascii="Arial" w:hAnsi="Arial" w:cs="Arial"/>
          <w:sz w:val="16"/>
          <w:szCs w:val="16"/>
        </w:rPr>
        <w:t>Více než čtvrtina pracujících měla jako maximální jen základní vzdělání, 54 % střední vzdělání bez maturity. Mezi všemi zaměstnanými převažovaly mírně ženy (okolo 60 %).</w:t>
      </w:r>
    </w:p>
  </w:footnote>
  <w:footnote w:id="80">
    <w:p w14:paraId="244E3015" w14:textId="5DFE67B3" w:rsidR="004E684C" w:rsidRPr="009603E2" w:rsidRDefault="004E684C" w:rsidP="00AA4F0A">
      <w:pPr>
        <w:pStyle w:val="Normlnweb"/>
        <w:spacing w:before="0" w:beforeAutospacing="0" w:after="0" w:afterAutospacing="0"/>
        <w:rPr>
          <w:rFonts w:ascii="Arial" w:hAnsi="Arial" w:cs="Arial"/>
          <w:sz w:val="16"/>
          <w:szCs w:val="16"/>
        </w:rPr>
      </w:pPr>
      <w:r w:rsidRPr="009603E2">
        <w:rPr>
          <w:rStyle w:val="Znakapoznpodarou"/>
          <w:rFonts w:ascii="Arial" w:hAnsi="Arial" w:cs="Arial"/>
          <w:sz w:val="16"/>
          <w:szCs w:val="16"/>
        </w:rPr>
        <w:footnoteRef/>
      </w:r>
      <w:r w:rsidRPr="009603E2">
        <w:rPr>
          <w:rFonts w:ascii="Arial" w:hAnsi="Arial" w:cs="Arial"/>
          <w:sz w:val="16"/>
          <w:szCs w:val="16"/>
        </w:rPr>
        <w:t xml:space="preserve"> </w:t>
      </w:r>
      <w:r w:rsidRPr="009603E2">
        <w:rPr>
          <w:rFonts w:ascii="Arial" w:hAnsi="Arial" w:cs="Arial"/>
          <w:spacing w:val="-4"/>
          <w:sz w:val="16"/>
          <w:szCs w:val="16"/>
        </w:rPr>
        <w:t xml:space="preserve">Ženy však dlouhodobě tvoří pouze zlomek celkové zaměstnanosti v této třídě. Jejich příznivější </w:t>
      </w:r>
      <w:r>
        <w:rPr>
          <w:rFonts w:ascii="Arial" w:hAnsi="Arial" w:cs="Arial"/>
          <w:spacing w:val="-4"/>
          <w:sz w:val="16"/>
          <w:szCs w:val="16"/>
        </w:rPr>
        <w:t xml:space="preserve">mzdová úroveň </w:t>
      </w:r>
      <w:r w:rsidRPr="009603E2">
        <w:rPr>
          <w:rFonts w:ascii="Arial" w:hAnsi="Arial" w:cs="Arial"/>
          <w:spacing w:val="-4"/>
          <w:sz w:val="16"/>
          <w:szCs w:val="16"/>
        </w:rPr>
        <w:t>patrně souvisí s výrazně odlišnou věkov</w:t>
      </w:r>
      <w:r>
        <w:rPr>
          <w:rFonts w:ascii="Arial" w:hAnsi="Arial" w:cs="Arial"/>
          <w:spacing w:val="-4"/>
          <w:sz w:val="16"/>
          <w:szCs w:val="16"/>
        </w:rPr>
        <w:t>ou</w:t>
      </w:r>
      <w:r w:rsidRPr="009603E2">
        <w:rPr>
          <w:rFonts w:ascii="Arial" w:hAnsi="Arial" w:cs="Arial"/>
          <w:spacing w:val="-4"/>
          <w:sz w:val="16"/>
          <w:szCs w:val="16"/>
        </w:rPr>
        <w:t xml:space="preserve"> i</w:t>
      </w:r>
      <w:r>
        <w:rPr>
          <w:rFonts w:ascii="Arial" w:hAnsi="Arial" w:cs="Arial"/>
          <w:spacing w:val="-4"/>
          <w:sz w:val="16"/>
          <w:szCs w:val="16"/>
        </w:rPr>
        <w:t> </w:t>
      </w:r>
      <w:r w:rsidRPr="009603E2">
        <w:rPr>
          <w:rFonts w:ascii="Arial" w:hAnsi="Arial" w:cs="Arial"/>
          <w:spacing w:val="-4"/>
          <w:sz w:val="16"/>
          <w:szCs w:val="16"/>
        </w:rPr>
        <w:t>kvalifikační skladbou.</w:t>
      </w:r>
    </w:p>
  </w:footnote>
  <w:footnote w:id="81">
    <w:p w14:paraId="669752D8" w14:textId="03DD23EF" w:rsidR="004E684C" w:rsidRPr="00960B76" w:rsidRDefault="004E684C" w:rsidP="00AA4F0A">
      <w:pPr>
        <w:pStyle w:val="Normlnweb"/>
        <w:spacing w:before="0" w:beforeAutospacing="0" w:after="0" w:afterAutospacing="0"/>
        <w:rPr>
          <w:rFonts w:ascii="Arial" w:hAnsi="Arial" w:cs="Arial"/>
          <w:sz w:val="16"/>
          <w:szCs w:val="16"/>
        </w:rPr>
      </w:pPr>
      <w:r w:rsidRPr="003B03BB">
        <w:rPr>
          <w:rStyle w:val="Znakapoznpodarou"/>
          <w:rFonts w:ascii="Arial" w:hAnsi="Arial" w:cs="Arial"/>
          <w:sz w:val="16"/>
          <w:szCs w:val="16"/>
        </w:rPr>
        <w:footnoteRef/>
      </w:r>
      <w:r w:rsidRPr="003B03BB">
        <w:rPr>
          <w:rFonts w:ascii="Arial" w:hAnsi="Arial" w:cs="Arial"/>
          <w:sz w:val="16"/>
          <w:szCs w:val="16"/>
        </w:rPr>
        <w:t xml:space="preserve"> </w:t>
      </w:r>
      <w:r>
        <w:rPr>
          <w:rFonts w:ascii="Arial" w:hAnsi="Arial" w:cs="Arial"/>
          <w:sz w:val="16"/>
          <w:szCs w:val="16"/>
        </w:rPr>
        <w:t>Tento zkrácený a zjednodušený název je zde použit jen pro odvětví výroby elektřiny, tepla a klimatizovaného vzduchu. Standardně se do energetiky řadí také odvětví z</w:t>
      </w:r>
      <w:r w:rsidRPr="00651943">
        <w:rPr>
          <w:rFonts w:ascii="Arial" w:hAnsi="Arial" w:cs="Arial"/>
          <w:sz w:val="16"/>
          <w:szCs w:val="16"/>
        </w:rPr>
        <w:t xml:space="preserve">ásobování vodou </w:t>
      </w:r>
      <w:r>
        <w:rPr>
          <w:rFonts w:ascii="Arial" w:hAnsi="Arial" w:cs="Arial"/>
          <w:sz w:val="16"/>
          <w:szCs w:val="16"/>
        </w:rPr>
        <w:t>a </w:t>
      </w:r>
      <w:r w:rsidRPr="00651943">
        <w:rPr>
          <w:rFonts w:ascii="Arial" w:hAnsi="Arial" w:cs="Arial"/>
          <w:sz w:val="16"/>
          <w:szCs w:val="16"/>
        </w:rPr>
        <w:t>činnosti související s</w:t>
      </w:r>
      <w:r>
        <w:rPr>
          <w:rFonts w:ascii="Arial" w:hAnsi="Arial" w:cs="Arial"/>
          <w:sz w:val="16"/>
          <w:szCs w:val="16"/>
        </w:rPr>
        <w:t> </w:t>
      </w:r>
      <w:r w:rsidRPr="00651943">
        <w:rPr>
          <w:rFonts w:ascii="Arial" w:hAnsi="Arial" w:cs="Arial"/>
          <w:sz w:val="16"/>
          <w:szCs w:val="16"/>
        </w:rPr>
        <w:t>odpady</w:t>
      </w:r>
      <w:r>
        <w:rPr>
          <w:rFonts w:ascii="Arial" w:hAnsi="Arial" w:cs="Arial"/>
          <w:sz w:val="16"/>
          <w:szCs w:val="16"/>
        </w:rPr>
        <w:t>.</w:t>
      </w:r>
    </w:p>
  </w:footnote>
  <w:footnote w:id="82">
    <w:p w14:paraId="565211AB" w14:textId="3DA30D4A" w:rsidR="004E684C" w:rsidRPr="00960B76" w:rsidRDefault="004E684C" w:rsidP="00AA4F0A">
      <w:pPr>
        <w:pStyle w:val="Normlnweb"/>
        <w:spacing w:before="0" w:beforeAutospacing="0" w:after="0" w:afterAutospacing="0"/>
        <w:rPr>
          <w:rFonts w:ascii="Arial" w:hAnsi="Arial" w:cs="Arial"/>
          <w:sz w:val="16"/>
          <w:szCs w:val="16"/>
        </w:rPr>
      </w:pPr>
      <w:r w:rsidRPr="003B03BB">
        <w:rPr>
          <w:rStyle w:val="Znakapoznpodarou"/>
          <w:rFonts w:ascii="Arial" w:hAnsi="Arial" w:cs="Arial"/>
          <w:sz w:val="16"/>
          <w:szCs w:val="16"/>
        </w:rPr>
        <w:footnoteRef/>
      </w:r>
      <w:r w:rsidRPr="003B03BB">
        <w:rPr>
          <w:rFonts w:ascii="Arial" w:hAnsi="Arial" w:cs="Arial"/>
          <w:sz w:val="16"/>
          <w:szCs w:val="16"/>
        </w:rPr>
        <w:t xml:space="preserve"> </w:t>
      </w:r>
      <w:r>
        <w:rPr>
          <w:rFonts w:ascii="Arial" w:hAnsi="Arial" w:cs="Arial"/>
          <w:sz w:val="16"/>
          <w:szCs w:val="16"/>
        </w:rPr>
        <w:t>Ty zahrnují zejména o</w:t>
      </w:r>
      <w:r w:rsidRPr="005072CC">
        <w:rPr>
          <w:rFonts w:ascii="Arial" w:hAnsi="Arial" w:cs="Arial"/>
          <w:sz w:val="16"/>
          <w:szCs w:val="16"/>
        </w:rPr>
        <w:t>pravy počítačů a</w:t>
      </w:r>
      <w:r>
        <w:rPr>
          <w:rFonts w:ascii="Arial" w:hAnsi="Arial" w:cs="Arial"/>
          <w:sz w:val="16"/>
          <w:szCs w:val="16"/>
        </w:rPr>
        <w:t> </w:t>
      </w:r>
      <w:r w:rsidRPr="005072CC">
        <w:rPr>
          <w:rFonts w:ascii="Arial" w:hAnsi="Arial" w:cs="Arial"/>
          <w:sz w:val="16"/>
          <w:szCs w:val="16"/>
        </w:rPr>
        <w:t>výrobků pro osobní potřebu a převážně pro domácnost</w:t>
      </w:r>
      <w:r>
        <w:rPr>
          <w:rFonts w:ascii="Arial" w:hAnsi="Arial" w:cs="Arial"/>
          <w:sz w:val="16"/>
          <w:szCs w:val="16"/>
        </w:rPr>
        <w:t>, ostatní osobní služ</w:t>
      </w:r>
      <w:r w:rsidRPr="005072CC">
        <w:rPr>
          <w:rFonts w:ascii="Arial" w:hAnsi="Arial" w:cs="Arial"/>
          <w:sz w:val="16"/>
          <w:szCs w:val="16"/>
        </w:rPr>
        <w:t>b</w:t>
      </w:r>
      <w:r>
        <w:rPr>
          <w:rFonts w:ascii="Arial" w:hAnsi="Arial" w:cs="Arial"/>
          <w:sz w:val="16"/>
          <w:szCs w:val="16"/>
        </w:rPr>
        <w:t>y (prací, čisticí, kadeřnické a kosmetické činnosti), č</w:t>
      </w:r>
      <w:r w:rsidRPr="005072CC">
        <w:rPr>
          <w:rFonts w:ascii="Arial" w:hAnsi="Arial" w:cs="Arial"/>
          <w:sz w:val="16"/>
          <w:szCs w:val="16"/>
        </w:rPr>
        <w:t>innosti podnik</w:t>
      </w:r>
      <w:r>
        <w:rPr>
          <w:rFonts w:ascii="Arial" w:hAnsi="Arial" w:cs="Arial"/>
          <w:sz w:val="16"/>
          <w:szCs w:val="16"/>
        </w:rPr>
        <w:t xml:space="preserve">atelských, zaměstnavatelských, </w:t>
      </w:r>
      <w:r w:rsidRPr="005072CC">
        <w:rPr>
          <w:rFonts w:ascii="Arial" w:hAnsi="Arial" w:cs="Arial"/>
          <w:sz w:val="16"/>
          <w:szCs w:val="16"/>
        </w:rPr>
        <w:t>profesních organizací</w:t>
      </w:r>
      <w:r>
        <w:rPr>
          <w:rFonts w:ascii="Arial" w:hAnsi="Arial" w:cs="Arial"/>
          <w:sz w:val="16"/>
          <w:szCs w:val="16"/>
        </w:rPr>
        <w:t xml:space="preserve">, </w:t>
      </w:r>
      <w:r w:rsidRPr="005072CC">
        <w:rPr>
          <w:rFonts w:ascii="Arial" w:hAnsi="Arial" w:cs="Arial"/>
          <w:sz w:val="16"/>
          <w:szCs w:val="16"/>
        </w:rPr>
        <w:t>odborových svazů</w:t>
      </w:r>
      <w:r>
        <w:rPr>
          <w:rFonts w:ascii="Arial" w:hAnsi="Arial" w:cs="Arial"/>
          <w:sz w:val="16"/>
          <w:szCs w:val="16"/>
        </w:rPr>
        <w:t xml:space="preserve">, </w:t>
      </w:r>
      <w:r w:rsidRPr="005072CC">
        <w:rPr>
          <w:rFonts w:ascii="Arial" w:hAnsi="Arial" w:cs="Arial"/>
          <w:sz w:val="16"/>
          <w:szCs w:val="16"/>
        </w:rPr>
        <w:t>náboženských organizací</w:t>
      </w:r>
      <w:r>
        <w:rPr>
          <w:rFonts w:ascii="Arial" w:hAnsi="Arial" w:cs="Arial"/>
          <w:sz w:val="16"/>
          <w:szCs w:val="16"/>
        </w:rPr>
        <w:t xml:space="preserve">, </w:t>
      </w:r>
      <w:r w:rsidRPr="005072CC">
        <w:rPr>
          <w:rFonts w:ascii="Arial" w:hAnsi="Arial" w:cs="Arial"/>
          <w:sz w:val="16"/>
          <w:szCs w:val="16"/>
        </w:rPr>
        <w:t>politických stran</w:t>
      </w:r>
      <w:r>
        <w:rPr>
          <w:rFonts w:ascii="Arial" w:hAnsi="Arial" w:cs="Arial"/>
          <w:sz w:val="16"/>
          <w:szCs w:val="16"/>
        </w:rPr>
        <w:t xml:space="preserve">, </w:t>
      </w:r>
      <w:r w:rsidRPr="005072CC">
        <w:rPr>
          <w:rFonts w:ascii="Arial" w:hAnsi="Arial" w:cs="Arial"/>
          <w:sz w:val="16"/>
          <w:szCs w:val="16"/>
        </w:rPr>
        <w:t>spotřebitelských organizací</w:t>
      </w:r>
      <w:r>
        <w:rPr>
          <w:rFonts w:ascii="Arial" w:hAnsi="Arial" w:cs="Arial"/>
          <w:sz w:val="16"/>
          <w:szCs w:val="16"/>
        </w:rPr>
        <w:t>, občanských iniciativ aj.</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AE6EC7" w14:textId="77777777" w:rsidR="004E684C" w:rsidRPr="0060093C" w:rsidRDefault="004E684C" w:rsidP="0060093C">
    <w:pPr>
      <w:pStyle w:val="Zhlav"/>
    </w:pPr>
    <w:r w:rsidRPr="0060093C">
      <w:t>Trendy na trhu práce v</w:t>
    </w:r>
    <w:r>
      <w:t> </w:t>
    </w:r>
    <w:r w:rsidRPr="0060093C">
      <w:t>ČR v</w:t>
    </w:r>
    <w:r>
      <w:t> </w:t>
    </w:r>
    <w:r w:rsidRPr="0060093C">
      <w:t>roce 2018</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A011D9" w14:textId="77777777" w:rsidR="004E684C" w:rsidRPr="006F5416" w:rsidRDefault="004E684C" w:rsidP="00937AE2">
    <w:pPr>
      <w:pStyle w:val="Zhlav"/>
    </w:pPr>
    <w:r w:rsidRPr="0060093C">
      <w:t>Trendy na trhu práce v</w:t>
    </w:r>
    <w:r>
      <w:t> </w:t>
    </w:r>
    <w:r w:rsidRPr="0060093C">
      <w:t>ČR v</w:t>
    </w:r>
    <w:r>
      <w:t> </w:t>
    </w:r>
    <w:r w:rsidRPr="0060093C">
      <w:t>roce 2018</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w14:anchorId="3AC34A16"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7" type="#_x0000_t75" style="width:11.25pt;height:11.25pt" o:bullet="t">
        <v:imagedata r:id="rId1" o:title="msoFAAF"/>
      </v:shape>
    </w:pict>
  </w:numPicBullet>
  <w:abstractNum w:abstractNumId="0" w15:restartNumberingAfterBreak="0">
    <w:nsid w:val="FFFFFF7C"/>
    <w:multiLevelType w:val="singleLevel"/>
    <w:tmpl w:val="49CEEC4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EC69A9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37A1C9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B76230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6965B5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0DE276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C7AED3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68C5BA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7C8EEA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18AD8C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3FC6842"/>
    <w:multiLevelType w:val="multilevel"/>
    <w:tmpl w:val="D102C43A"/>
    <w:lvl w:ilvl="0">
      <w:start w:val="1"/>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1" w15:restartNumberingAfterBreak="0">
    <w:nsid w:val="18B35353"/>
    <w:multiLevelType w:val="multilevel"/>
    <w:tmpl w:val="1C0E9EAE"/>
    <w:name w:val="Analyza"/>
    <w:lvl w:ilvl="0">
      <w:start w:val="1"/>
      <w:numFmt w:val="decimal"/>
      <w:suff w:val="space"/>
      <w:lvlText w:val="%1"/>
      <w:lvlJc w:val="left"/>
      <w:pPr>
        <w:ind w:left="432" w:hanging="432"/>
      </w:pPr>
      <w:rPr>
        <w:rFonts w:hint="default"/>
      </w:rPr>
    </w:lvl>
    <w:lvl w:ilvl="1">
      <w:start w:val="1"/>
      <w:numFmt w:val="decimal"/>
      <w:suff w:val="space"/>
      <w:lvlText w:val="%1.%2"/>
      <w:lvlJc w:val="left"/>
      <w:pPr>
        <w:ind w:left="576" w:hanging="576"/>
      </w:pPr>
      <w:rPr>
        <w:rFonts w:hint="default"/>
        <w:i w:val="0"/>
      </w:rPr>
    </w:lvl>
    <w:lvl w:ilvl="2">
      <w:start w:val="1"/>
      <w:numFmt w:val="decimal"/>
      <w:suff w:val="space"/>
      <w:lvlText w:val="%1.%2.%3"/>
      <w:lvlJc w:val="left"/>
      <w:pPr>
        <w:ind w:left="720" w:hanging="720"/>
      </w:pPr>
      <w:rPr>
        <w:rFonts w:hint="default"/>
      </w:rPr>
    </w:lvl>
    <w:lvl w:ilvl="3">
      <w:start w:val="1"/>
      <w:numFmt w:val="decimal"/>
      <w:suff w:val="space"/>
      <w:lvlText w:val="%1.%2.%3.%4"/>
      <w:lvlJc w:val="left"/>
      <w:pPr>
        <w:ind w:left="864" w:hanging="864"/>
      </w:pPr>
      <w:rPr>
        <w:rFonts w:hint="default"/>
      </w:rPr>
    </w:lvl>
    <w:lvl w:ilvl="4">
      <w:start w:val="1"/>
      <w:numFmt w:val="decimal"/>
      <w:pStyle w:val="Nadpis5"/>
      <w:suff w:val="space"/>
      <w:lvlText w:val="%1.%2.%3.%4.%5"/>
      <w:lvlJc w:val="left"/>
      <w:pPr>
        <w:ind w:left="1008" w:hanging="1008"/>
      </w:pPr>
      <w:rPr>
        <w:rFonts w:hint="default"/>
      </w:rPr>
    </w:lvl>
    <w:lvl w:ilvl="5">
      <w:start w:val="1"/>
      <w:numFmt w:val="decimal"/>
      <w:pStyle w:val="Nadpis6"/>
      <w:suff w:val="space"/>
      <w:lvlText w:val="%1.%2.%3.%4.%5.%6"/>
      <w:lvlJc w:val="left"/>
      <w:pPr>
        <w:ind w:left="1152" w:hanging="1152"/>
      </w:pPr>
      <w:rPr>
        <w:rFonts w:hint="default"/>
      </w:rPr>
    </w:lvl>
    <w:lvl w:ilvl="6">
      <w:start w:val="1"/>
      <w:numFmt w:val="decimal"/>
      <w:pStyle w:val="Nadpis7"/>
      <w:suff w:val="space"/>
      <w:lvlText w:val="%1.%2.%3.%4.%5.%6.%7"/>
      <w:lvlJc w:val="left"/>
      <w:pPr>
        <w:ind w:left="1296" w:hanging="1296"/>
      </w:pPr>
      <w:rPr>
        <w:rFonts w:hint="default"/>
      </w:rPr>
    </w:lvl>
    <w:lvl w:ilvl="7">
      <w:start w:val="1"/>
      <w:numFmt w:val="decimal"/>
      <w:pStyle w:val="Nadpis8"/>
      <w:suff w:val="space"/>
      <w:lvlText w:val="%1.%2.%3.%4.%5.%6.%7.%8"/>
      <w:lvlJc w:val="left"/>
      <w:pPr>
        <w:ind w:left="1440" w:hanging="1440"/>
      </w:pPr>
      <w:rPr>
        <w:rFonts w:hint="default"/>
      </w:rPr>
    </w:lvl>
    <w:lvl w:ilvl="8">
      <w:start w:val="1"/>
      <w:numFmt w:val="decimal"/>
      <w:pStyle w:val="Nadpis9"/>
      <w:suff w:val="space"/>
      <w:lvlText w:val="%1.%2.%3.%4.%5.%6.%7.%8.%9"/>
      <w:lvlJc w:val="left"/>
      <w:pPr>
        <w:ind w:left="1584" w:hanging="1584"/>
      </w:pPr>
      <w:rPr>
        <w:rFonts w:hint="default"/>
      </w:rPr>
    </w:lvl>
  </w:abstractNum>
  <w:abstractNum w:abstractNumId="12" w15:restartNumberingAfterBreak="0">
    <w:nsid w:val="258473A1"/>
    <w:multiLevelType w:val="hybridMultilevel"/>
    <w:tmpl w:val="7984410C"/>
    <w:lvl w:ilvl="0" w:tplc="3712003C">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28352333"/>
    <w:multiLevelType w:val="multilevel"/>
    <w:tmpl w:val="D0ACFA48"/>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i w:val="0"/>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4" w15:restartNumberingAfterBreak="0">
    <w:nsid w:val="2A5A7A87"/>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2C242037"/>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2D106EA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311355C0"/>
    <w:multiLevelType w:val="multilevel"/>
    <w:tmpl w:val="697E8BEA"/>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8" w15:restartNumberingAfterBreak="0">
    <w:nsid w:val="39914012"/>
    <w:multiLevelType w:val="multilevel"/>
    <w:tmpl w:val="F380FB8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48384A27"/>
    <w:multiLevelType w:val="hybridMultilevel"/>
    <w:tmpl w:val="1050503C"/>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0" w15:restartNumberingAfterBreak="0">
    <w:nsid w:val="4ADA4287"/>
    <w:multiLevelType w:val="multilevel"/>
    <w:tmpl w:val="1C0E9EAE"/>
    <w:lvl w:ilvl="0">
      <w:start w:val="1"/>
      <w:numFmt w:val="decimal"/>
      <w:suff w:val="space"/>
      <w:lvlText w:val="%1"/>
      <w:lvlJc w:val="left"/>
      <w:pPr>
        <w:ind w:left="432" w:hanging="432"/>
      </w:pPr>
      <w:rPr>
        <w:rFonts w:hint="default"/>
      </w:rPr>
    </w:lvl>
    <w:lvl w:ilvl="1">
      <w:start w:val="1"/>
      <w:numFmt w:val="decimal"/>
      <w:suff w:val="space"/>
      <w:lvlText w:val="%1.%2"/>
      <w:lvlJc w:val="left"/>
      <w:pPr>
        <w:ind w:left="576" w:hanging="576"/>
      </w:pPr>
      <w:rPr>
        <w:rFonts w:hint="default"/>
        <w:i w:val="0"/>
      </w:rPr>
    </w:lvl>
    <w:lvl w:ilvl="2">
      <w:start w:val="1"/>
      <w:numFmt w:val="decimal"/>
      <w:suff w:val="space"/>
      <w:lvlText w:val="%1.%2.%3"/>
      <w:lvlJc w:val="left"/>
      <w:pPr>
        <w:ind w:left="720" w:hanging="720"/>
      </w:pPr>
      <w:rPr>
        <w:rFonts w:hint="default"/>
      </w:rPr>
    </w:lvl>
    <w:lvl w:ilvl="3">
      <w:start w:val="1"/>
      <w:numFmt w:val="decimal"/>
      <w:suff w:val="space"/>
      <w:lvlText w:val="%1.%2.%3.%4"/>
      <w:lvlJc w:val="left"/>
      <w:pPr>
        <w:ind w:left="864" w:hanging="864"/>
      </w:pPr>
      <w:rPr>
        <w:rFonts w:hint="default"/>
      </w:rPr>
    </w:lvl>
    <w:lvl w:ilvl="4">
      <w:start w:val="1"/>
      <w:numFmt w:val="decimal"/>
      <w:suff w:val="space"/>
      <w:lvlText w:val="%1.%2.%3.%4.%5"/>
      <w:lvlJc w:val="left"/>
      <w:pPr>
        <w:ind w:left="1008" w:hanging="1008"/>
      </w:pPr>
      <w:rPr>
        <w:rFonts w:hint="default"/>
      </w:rPr>
    </w:lvl>
    <w:lvl w:ilvl="5">
      <w:start w:val="1"/>
      <w:numFmt w:val="decimal"/>
      <w:suff w:val="space"/>
      <w:lvlText w:val="%1.%2.%3.%4.%5.%6"/>
      <w:lvlJc w:val="left"/>
      <w:pPr>
        <w:ind w:left="1152" w:hanging="1152"/>
      </w:pPr>
      <w:rPr>
        <w:rFonts w:hint="default"/>
      </w:rPr>
    </w:lvl>
    <w:lvl w:ilvl="6">
      <w:start w:val="1"/>
      <w:numFmt w:val="decimal"/>
      <w:suff w:val="space"/>
      <w:lvlText w:val="%1.%2.%3.%4.%5.%6.%7"/>
      <w:lvlJc w:val="left"/>
      <w:pPr>
        <w:ind w:left="1296" w:hanging="1296"/>
      </w:pPr>
      <w:rPr>
        <w:rFonts w:hint="default"/>
      </w:rPr>
    </w:lvl>
    <w:lvl w:ilvl="7">
      <w:start w:val="1"/>
      <w:numFmt w:val="decimal"/>
      <w:suff w:val="space"/>
      <w:lvlText w:val="%1.%2.%3.%4.%5.%6.%7.%8"/>
      <w:lvlJc w:val="left"/>
      <w:pPr>
        <w:ind w:left="1440" w:hanging="1440"/>
      </w:pPr>
      <w:rPr>
        <w:rFonts w:hint="default"/>
      </w:rPr>
    </w:lvl>
    <w:lvl w:ilvl="8">
      <w:start w:val="1"/>
      <w:numFmt w:val="decimal"/>
      <w:suff w:val="space"/>
      <w:lvlText w:val="%1.%2.%3.%4.%5.%6.%7.%8.%9"/>
      <w:lvlJc w:val="left"/>
      <w:pPr>
        <w:ind w:left="1584" w:hanging="1584"/>
      </w:pPr>
      <w:rPr>
        <w:rFonts w:hint="default"/>
      </w:rPr>
    </w:lvl>
  </w:abstractNum>
  <w:abstractNum w:abstractNumId="21" w15:restartNumberingAfterBreak="0">
    <w:nsid w:val="4C581760"/>
    <w:multiLevelType w:val="hybridMultilevel"/>
    <w:tmpl w:val="CFEE972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15:restartNumberingAfterBreak="0">
    <w:nsid w:val="4D603319"/>
    <w:multiLevelType w:val="multilevel"/>
    <w:tmpl w:val="37F4F338"/>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3" w15:restartNumberingAfterBreak="0">
    <w:nsid w:val="4E490F3B"/>
    <w:multiLevelType w:val="hybridMultilevel"/>
    <w:tmpl w:val="D64CB604"/>
    <w:lvl w:ilvl="0" w:tplc="67AC8A1C">
      <w:start w:val="1"/>
      <w:numFmt w:val="bullet"/>
      <w:lvlText w:val=""/>
      <w:lvlJc w:val="left"/>
      <w:pPr>
        <w:ind w:left="357" w:hanging="357"/>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88771FD"/>
    <w:multiLevelType w:val="hybridMultilevel"/>
    <w:tmpl w:val="4D96FC54"/>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5" w15:restartNumberingAfterBreak="0">
    <w:nsid w:val="58CB210F"/>
    <w:multiLevelType w:val="multilevel"/>
    <w:tmpl w:val="D64CB604"/>
    <w:lvl w:ilvl="0">
      <w:start w:val="1"/>
      <w:numFmt w:val="bullet"/>
      <w:lvlText w:val=""/>
      <w:lvlJc w:val="left"/>
      <w:pPr>
        <w:ind w:left="357" w:hanging="357"/>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5A70320B"/>
    <w:multiLevelType w:val="hybridMultilevel"/>
    <w:tmpl w:val="AAB203D0"/>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7" w15:restartNumberingAfterBreak="0">
    <w:nsid w:val="6C234F43"/>
    <w:multiLevelType w:val="hybridMultilevel"/>
    <w:tmpl w:val="0468458A"/>
    <w:lvl w:ilvl="0" w:tplc="A7BC4150">
      <w:numFmt w:val="bullet"/>
      <w:lvlText w:val=""/>
      <w:lvlJc w:val="left"/>
      <w:pPr>
        <w:ind w:left="720" w:hanging="360"/>
      </w:pPr>
      <w:rPr>
        <w:rFonts w:ascii="Symbol" w:eastAsia="Times New Roman" w:hAnsi="Symbo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 w15:restartNumberingAfterBreak="0">
    <w:nsid w:val="7B651B2D"/>
    <w:multiLevelType w:val="hybridMultilevel"/>
    <w:tmpl w:val="4C1C2D78"/>
    <w:lvl w:ilvl="0" w:tplc="B01A5632">
      <w:start w:val="1"/>
      <w:numFmt w:val="bullet"/>
      <w:pStyle w:val="Normalodrka"/>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9"/>
  </w:num>
  <w:num w:numId="2">
    <w:abstractNumId w:val="8"/>
  </w:num>
  <w:num w:numId="3">
    <w:abstractNumId w:val="3"/>
  </w:num>
  <w:num w:numId="4">
    <w:abstractNumId w:val="2"/>
  </w:num>
  <w:num w:numId="5">
    <w:abstractNumId w:val="1"/>
  </w:num>
  <w:num w:numId="6">
    <w:abstractNumId w:val="0"/>
  </w:num>
  <w:num w:numId="7">
    <w:abstractNumId w:val="9"/>
  </w:num>
  <w:num w:numId="8">
    <w:abstractNumId w:val="7"/>
  </w:num>
  <w:num w:numId="9">
    <w:abstractNumId w:val="6"/>
  </w:num>
  <w:num w:numId="10">
    <w:abstractNumId w:val="5"/>
  </w:num>
  <w:num w:numId="11">
    <w:abstractNumId w:val="4"/>
  </w:num>
  <w:num w:numId="12">
    <w:abstractNumId w:val="12"/>
  </w:num>
  <w:num w:numId="13">
    <w:abstractNumId w:val="21"/>
  </w:num>
  <w:num w:numId="14">
    <w:abstractNumId w:val="11"/>
  </w:num>
  <w:num w:numId="15">
    <w:abstractNumId w:val="17"/>
  </w:num>
  <w:num w:numId="16">
    <w:abstractNumId w:val="13"/>
  </w:num>
  <w:num w:numId="17">
    <w:abstractNumId w:val="23"/>
  </w:num>
  <w:num w:numId="18">
    <w:abstractNumId w:val="18"/>
  </w:num>
  <w:num w:numId="19">
    <w:abstractNumId w:val="25"/>
  </w:num>
  <w:num w:numId="20">
    <w:abstractNumId w:val="28"/>
  </w:num>
  <w:num w:numId="21">
    <w:abstractNumId w:val="20"/>
  </w:num>
  <w:num w:numId="22">
    <w:abstractNumId w:val="16"/>
  </w:num>
  <w:num w:numId="23">
    <w:abstractNumId w:val="14"/>
  </w:num>
  <w:num w:numId="24">
    <w:abstractNumId w:val="15"/>
  </w:num>
  <w:num w:numId="25">
    <w:abstractNumId w:val="27"/>
  </w:num>
  <w:num w:numId="26">
    <w:abstractNumId w:val="10"/>
  </w:num>
  <w:num w:numId="27">
    <w:abstractNumId w:val="24"/>
  </w:num>
  <w:num w:numId="28">
    <w:abstractNumId w:val="22"/>
  </w:num>
  <w:num w:numId="29">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4"/>
  <w:defaultTabStop w:val="708"/>
  <w:hyphenationZone w:val="425"/>
  <w:evenAndOddHeaders/>
  <w:drawingGridHorizontalSpacing w:val="110"/>
  <w:displayHorizontalDrawingGridEvery w:val="2"/>
  <w:characterSpacingControl w:val="doNotCompress"/>
  <w:hdrShapeDefaults>
    <o:shapedefaults v:ext="edit" spidmax="2049">
      <o:colormru v:ext="edit" colors="#ecf4dd,#eaecee,#fcec0a,#fcecdb,#f1daf5"/>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6502"/>
    <w:rsid w:val="0000209D"/>
    <w:rsid w:val="00002937"/>
    <w:rsid w:val="00002FED"/>
    <w:rsid w:val="00004D5A"/>
    <w:rsid w:val="000056D5"/>
    <w:rsid w:val="00006ABD"/>
    <w:rsid w:val="0000767A"/>
    <w:rsid w:val="00007BEF"/>
    <w:rsid w:val="00010256"/>
    <w:rsid w:val="00010702"/>
    <w:rsid w:val="00011912"/>
    <w:rsid w:val="00012408"/>
    <w:rsid w:val="00014537"/>
    <w:rsid w:val="000157D5"/>
    <w:rsid w:val="00017762"/>
    <w:rsid w:val="0002195D"/>
    <w:rsid w:val="00023162"/>
    <w:rsid w:val="000234D6"/>
    <w:rsid w:val="00023D29"/>
    <w:rsid w:val="00026389"/>
    <w:rsid w:val="00031AE0"/>
    <w:rsid w:val="000322EF"/>
    <w:rsid w:val="000333B9"/>
    <w:rsid w:val="00033F92"/>
    <w:rsid w:val="00033FCD"/>
    <w:rsid w:val="000402E5"/>
    <w:rsid w:val="0004062C"/>
    <w:rsid w:val="00041CEC"/>
    <w:rsid w:val="0004694F"/>
    <w:rsid w:val="000500AB"/>
    <w:rsid w:val="000522E4"/>
    <w:rsid w:val="00052501"/>
    <w:rsid w:val="00054BC9"/>
    <w:rsid w:val="000610E1"/>
    <w:rsid w:val="00061F73"/>
    <w:rsid w:val="00062EC5"/>
    <w:rsid w:val="00062F22"/>
    <w:rsid w:val="00067A82"/>
    <w:rsid w:val="000712B3"/>
    <w:rsid w:val="0008263E"/>
    <w:rsid w:val="00082A55"/>
    <w:rsid w:val="00082C19"/>
    <w:rsid w:val="00083234"/>
    <w:rsid w:val="00085395"/>
    <w:rsid w:val="00087634"/>
    <w:rsid w:val="00087F2B"/>
    <w:rsid w:val="00090C18"/>
    <w:rsid w:val="00093E3F"/>
    <w:rsid w:val="00093E53"/>
    <w:rsid w:val="00095135"/>
    <w:rsid w:val="00096085"/>
    <w:rsid w:val="000974D1"/>
    <w:rsid w:val="0009799E"/>
    <w:rsid w:val="000A1183"/>
    <w:rsid w:val="000A256D"/>
    <w:rsid w:val="000A3A2C"/>
    <w:rsid w:val="000A52EF"/>
    <w:rsid w:val="000B305D"/>
    <w:rsid w:val="000B525B"/>
    <w:rsid w:val="000B7AC5"/>
    <w:rsid w:val="000C1D78"/>
    <w:rsid w:val="000C3408"/>
    <w:rsid w:val="000C517B"/>
    <w:rsid w:val="000C6AFD"/>
    <w:rsid w:val="000D17A1"/>
    <w:rsid w:val="000D5637"/>
    <w:rsid w:val="000E6C04"/>
    <w:rsid w:val="000E6FBD"/>
    <w:rsid w:val="000F6340"/>
    <w:rsid w:val="000F7663"/>
    <w:rsid w:val="00100F5C"/>
    <w:rsid w:val="0010106F"/>
    <w:rsid w:val="00101CDA"/>
    <w:rsid w:val="0010418A"/>
    <w:rsid w:val="00104C4C"/>
    <w:rsid w:val="00110555"/>
    <w:rsid w:val="00117623"/>
    <w:rsid w:val="00120BC1"/>
    <w:rsid w:val="0012192F"/>
    <w:rsid w:val="00125A9C"/>
    <w:rsid w:val="00125D69"/>
    <w:rsid w:val="00136371"/>
    <w:rsid w:val="00137548"/>
    <w:rsid w:val="001405FA"/>
    <w:rsid w:val="00141782"/>
    <w:rsid w:val="001425C3"/>
    <w:rsid w:val="001435B3"/>
    <w:rsid w:val="0015045D"/>
    <w:rsid w:val="001528B9"/>
    <w:rsid w:val="001612F4"/>
    <w:rsid w:val="00162312"/>
    <w:rsid w:val="0016256B"/>
    <w:rsid w:val="00163793"/>
    <w:rsid w:val="001671FF"/>
    <w:rsid w:val="001706D6"/>
    <w:rsid w:val="001714F2"/>
    <w:rsid w:val="00175B9F"/>
    <w:rsid w:val="00176A60"/>
    <w:rsid w:val="00181BBC"/>
    <w:rsid w:val="00182799"/>
    <w:rsid w:val="00184B08"/>
    <w:rsid w:val="00185010"/>
    <w:rsid w:val="00186919"/>
    <w:rsid w:val="001916DB"/>
    <w:rsid w:val="0019361E"/>
    <w:rsid w:val="00193818"/>
    <w:rsid w:val="001A0487"/>
    <w:rsid w:val="001A0D6B"/>
    <w:rsid w:val="001A5387"/>
    <w:rsid w:val="001A552F"/>
    <w:rsid w:val="001A6DB4"/>
    <w:rsid w:val="001B11D8"/>
    <w:rsid w:val="001B28D3"/>
    <w:rsid w:val="001B2CA9"/>
    <w:rsid w:val="001B3110"/>
    <w:rsid w:val="001B4729"/>
    <w:rsid w:val="001B6310"/>
    <w:rsid w:val="001B6C09"/>
    <w:rsid w:val="001C04EF"/>
    <w:rsid w:val="001C05CD"/>
    <w:rsid w:val="001C1B66"/>
    <w:rsid w:val="001D198A"/>
    <w:rsid w:val="001D37E6"/>
    <w:rsid w:val="001D463E"/>
    <w:rsid w:val="001D68B2"/>
    <w:rsid w:val="001D70E9"/>
    <w:rsid w:val="001E23AF"/>
    <w:rsid w:val="001E504C"/>
    <w:rsid w:val="001F4597"/>
    <w:rsid w:val="00203390"/>
    <w:rsid w:val="00203DA4"/>
    <w:rsid w:val="002052C6"/>
    <w:rsid w:val="002118B9"/>
    <w:rsid w:val="00212D83"/>
    <w:rsid w:val="00217C5B"/>
    <w:rsid w:val="0022069C"/>
    <w:rsid w:val="0022139E"/>
    <w:rsid w:val="00222729"/>
    <w:rsid w:val="00222FFB"/>
    <w:rsid w:val="002252E0"/>
    <w:rsid w:val="002255F6"/>
    <w:rsid w:val="00227850"/>
    <w:rsid w:val="00227A53"/>
    <w:rsid w:val="00230C6E"/>
    <w:rsid w:val="00236443"/>
    <w:rsid w:val="00241B06"/>
    <w:rsid w:val="002436BA"/>
    <w:rsid w:val="00244A15"/>
    <w:rsid w:val="00247319"/>
    <w:rsid w:val="0024799E"/>
    <w:rsid w:val="00253487"/>
    <w:rsid w:val="00253C0F"/>
    <w:rsid w:val="002558C1"/>
    <w:rsid w:val="002634D9"/>
    <w:rsid w:val="002660F5"/>
    <w:rsid w:val="002672CB"/>
    <w:rsid w:val="002677BC"/>
    <w:rsid w:val="00271465"/>
    <w:rsid w:val="00274008"/>
    <w:rsid w:val="00274037"/>
    <w:rsid w:val="00276B4C"/>
    <w:rsid w:val="002823F7"/>
    <w:rsid w:val="00285412"/>
    <w:rsid w:val="0028610D"/>
    <w:rsid w:val="00290156"/>
    <w:rsid w:val="00291640"/>
    <w:rsid w:val="002A16D4"/>
    <w:rsid w:val="002A230C"/>
    <w:rsid w:val="002A5D97"/>
    <w:rsid w:val="002B2127"/>
    <w:rsid w:val="002B213A"/>
    <w:rsid w:val="002B4845"/>
    <w:rsid w:val="002B6B06"/>
    <w:rsid w:val="002C2A89"/>
    <w:rsid w:val="002C43BD"/>
    <w:rsid w:val="002C4CD2"/>
    <w:rsid w:val="002D0A4D"/>
    <w:rsid w:val="002D0E59"/>
    <w:rsid w:val="002D4854"/>
    <w:rsid w:val="002E02A1"/>
    <w:rsid w:val="002E4E4C"/>
    <w:rsid w:val="00302262"/>
    <w:rsid w:val="00303533"/>
    <w:rsid w:val="00304771"/>
    <w:rsid w:val="003052D4"/>
    <w:rsid w:val="00306AD7"/>
    <w:rsid w:val="00306C5B"/>
    <w:rsid w:val="00307BEA"/>
    <w:rsid w:val="00310579"/>
    <w:rsid w:val="00313C7F"/>
    <w:rsid w:val="003209D6"/>
    <w:rsid w:val="00321924"/>
    <w:rsid w:val="0032656E"/>
    <w:rsid w:val="003279BA"/>
    <w:rsid w:val="00327B04"/>
    <w:rsid w:val="00330060"/>
    <w:rsid w:val="00332190"/>
    <w:rsid w:val="0033250B"/>
    <w:rsid w:val="00333BE7"/>
    <w:rsid w:val="0034335E"/>
    <w:rsid w:val="00344668"/>
    <w:rsid w:val="003462D9"/>
    <w:rsid w:val="00347378"/>
    <w:rsid w:val="0034748B"/>
    <w:rsid w:val="003557D2"/>
    <w:rsid w:val="003601D9"/>
    <w:rsid w:val="00360C86"/>
    <w:rsid w:val="00360DE3"/>
    <w:rsid w:val="00360FBC"/>
    <w:rsid w:val="00362E90"/>
    <w:rsid w:val="00364C32"/>
    <w:rsid w:val="00364FA0"/>
    <w:rsid w:val="003657F3"/>
    <w:rsid w:val="00372620"/>
    <w:rsid w:val="0037734D"/>
    <w:rsid w:val="0037785F"/>
    <w:rsid w:val="003818DC"/>
    <w:rsid w:val="00381A3E"/>
    <w:rsid w:val="00384327"/>
    <w:rsid w:val="00385D98"/>
    <w:rsid w:val="003870EE"/>
    <w:rsid w:val="00392364"/>
    <w:rsid w:val="003A2B4D"/>
    <w:rsid w:val="003A2D12"/>
    <w:rsid w:val="003A478C"/>
    <w:rsid w:val="003A5473"/>
    <w:rsid w:val="003A5525"/>
    <w:rsid w:val="003A69A0"/>
    <w:rsid w:val="003A6B38"/>
    <w:rsid w:val="003B307A"/>
    <w:rsid w:val="003B461F"/>
    <w:rsid w:val="003B5A32"/>
    <w:rsid w:val="003C3490"/>
    <w:rsid w:val="003C3D7F"/>
    <w:rsid w:val="003C4BE8"/>
    <w:rsid w:val="003C7E62"/>
    <w:rsid w:val="003D6920"/>
    <w:rsid w:val="003E38BA"/>
    <w:rsid w:val="003E4C91"/>
    <w:rsid w:val="003F313C"/>
    <w:rsid w:val="003F366D"/>
    <w:rsid w:val="003F37FC"/>
    <w:rsid w:val="003F3890"/>
    <w:rsid w:val="003F4B2C"/>
    <w:rsid w:val="003F551C"/>
    <w:rsid w:val="003F72ED"/>
    <w:rsid w:val="003F7D23"/>
    <w:rsid w:val="00400C29"/>
    <w:rsid w:val="0040200B"/>
    <w:rsid w:val="00407C13"/>
    <w:rsid w:val="00410638"/>
    <w:rsid w:val="0041501E"/>
    <w:rsid w:val="004159C3"/>
    <w:rsid w:val="00425F45"/>
    <w:rsid w:val="00432A58"/>
    <w:rsid w:val="00433C0C"/>
    <w:rsid w:val="00434617"/>
    <w:rsid w:val="00436778"/>
    <w:rsid w:val="00440900"/>
    <w:rsid w:val="00441BF6"/>
    <w:rsid w:val="004441A0"/>
    <w:rsid w:val="0045078A"/>
    <w:rsid w:val="0045086D"/>
    <w:rsid w:val="00460FB3"/>
    <w:rsid w:val="0046496B"/>
    <w:rsid w:val="00476240"/>
    <w:rsid w:val="00476439"/>
    <w:rsid w:val="0047735C"/>
    <w:rsid w:val="00477581"/>
    <w:rsid w:val="004776BC"/>
    <w:rsid w:val="0048139F"/>
    <w:rsid w:val="00481E40"/>
    <w:rsid w:val="00483AD8"/>
    <w:rsid w:val="00484ECE"/>
    <w:rsid w:val="004915CB"/>
    <w:rsid w:val="004924DC"/>
    <w:rsid w:val="004966B2"/>
    <w:rsid w:val="004A1423"/>
    <w:rsid w:val="004A14E4"/>
    <w:rsid w:val="004A3212"/>
    <w:rsid w:val="004A5494"/>
    <w:rsid w:val="004A61C5"/>
    <w:rsid w:val="004A77DF"/>
    <w:rsid w:val="004B1417"/>
    <w:rsid w:val="004B48DF"/>
    <w:rsid w:val="004B55B7"/>
    <w:rsid w:val="004B6468"/>
    <w:rsid w:val="004B7125"/>
    <w:rsid w:val="004C26B0"/>
    <w:rsid w:val="004C384C"/>
    <w:rsid w:val="004C3867"/>
    <w:rsid w:val="004C4CD0"/>
    <w:rsid w:val="004C5FBF"/>
    <w:rsid w:val="004C70DC"/>
    <w:rsid w:val="004D0211"/>
    <w:rsid w:val="004D0794"/>
    <w:rsid w:val="004D3177"/>
    <w:rsid w:val="004E1A7F"/>
    <w:rsid w:val="004E326C"/>
    <w:rsid w:val="004E684C"/>
    <w:rsid w:val="004F06F5"/>
    <w:rsid w:val="004F16F7"/>
    <w:rsid w:val="004F33A0"/>
    <w:rsid w:val="004F534A"/>
    <w:rsid w:val="0050689D"/>
    <w:rsid w:val="0051062C"/>
    <w:rsid w:val="005108C0"/>
    <w:rsid w:val="00511873"/>
    <w:rsid w:val="005123B5"/>
    <w:rsid w:val="005127B1"/>
    <w:rsid w:val="00512A2F"/>
    <w:rsid w:val="00513B7E"/>
    <w:rsid w:val="00514207"/>
    <w:rsid w:val="005152D9"/>
    <w:rsid w:val="00515C74"/>
    <w:rsid w:val="00515E0F"/>
    <w:rsid w:val="00515FFA"/>
    <w:rsid w:val="005173AF"/>
    <w:rsid w:val="0052007E"/>
    <w:rsid w:val="0052337A"/>
    <w:rsid w:val="00525137"/>
    <w:rsid w:val="005251DD"/>
    <w:rsid w:val="00525824"/>
    <w:rsid w:val="005329A1"/>
    <w:rsid w:val="00532CE7"/>
    <w:rsid w:val="0053324C"/>
    <w:rsid w:val="00534A28"/>
    <w:rsid w:val="00537E4B"/>
    <w:rsid w:val="005406DD"/>
    <w:rsid w:val="00541508"/>
    <w:rsid w:val="00541E53"/>
    <w:rsid w:val="0054270C"/>
    <w:rsid w:val="00543498"/>
    <w:rsid w:val="00551238"/>
    <w:rsid w:val="00552CBA"/>
    <w:rsid w:val="0055599F"/>
    <w:rsid w:val="00556D68"/>
    <w:rsid w:val="00563EB8"/>
    <w:rsid w:val="005647BF"/>
    <w:rsid w:val="00564AF1"/>
    <w:rsid w:val="0057364B"/>
    <w:rsid w:val="00574773"/>
    <w:rsid w:val="00581AC8"/>
    <w:rsid w:val="00583FFD"/>
    <w:rsid w:val="00590429"/>
    <w:rsid w:val="005911BE"/>
    <w:rsid w:val="00591887"/>
    <w:rsid w:val="0059286B"/>
    <w:rsid w:val="00593152"/>
    <w:rsid w:val="00596F92"/>
    <w:rsid w:val="005A10F2"/>
    <w:rsid w:val="005A21E0"/>
    <w:rsid w:val="005A28FF"/>
    <w:rsid w:val="005A2A19"/>
    <w:rsid w:val="005A2C7B"/>
    <w:rsid w:val="005A3DF8"/>
    <w:rsid w:val="005A5549"/>
    <w:rsid w:val="005A655B"/>
    <w:rsid w:val="005A673F"/>
    <w:rsid w:val="005A7666"/>
    <w:rsid w:val="005B121D"/>
    <w:rsid w:val="005C06ED"/>
    <w:rsid w:val="005C2609"/>
    <w:rsid w:val="005C35A1"/>
    <w:rsid w:val="005C6D7F"/>
    <w:rsid w:val="005D0DB2"/>
    <w:rsid w:val="005D3386"/>
    <w:rsid w:val="005D5802"/>
    <w:rsid w:val="005D7119"/>
    <w:rsid w:val="005D7890"/>
    <w:rsid w:val="005E2A7C"/>
    <w:rsid w:val="005E619A"/>
    <w:rsid w:val="005E7C78"/>
    <w:rsid w:val="005F18C5"/>
    <w:rsid w:val="005F21D8"/>
    <w:rsid w:val="005F3C03"/>
    <w:rsid w:val="005F3EB1"/>
    <w:rsid w:val="005F46D8"/>
    <w:rsid w:val="005F5469"/>
    <w:rsid w:val="00600079"/>
    <w:rsid w:val="006003D1"/>
    <w:rsid w:val="0060093C"/>
    <w:rsid w:val="00601A2E"/>
    <w:rsid w:val="00601AFA"/>
    <w:rsid w:val="00603030"/>
    <w:rsid w:val="0060404F"/>
    <w:rsid w:val="00604307"/>
    <w:rsid w:val="0060487F"/>
    <w:rsid w:val="00604EAD"/>
    <w:rsid w:val="006104FB"/>
    <w:rsid w:val="0061249B"/>
    <w:rsid w:val="00612A2F"/>
    <w:rsid w:val="006169F2"/>
    <w:rsid w:val="00616E05"/>
    <w:rsid w:val="006220C1"/>
    <w:rsid w:val="00624093"/>
    <w:rsid w:val="006254CB"/>
    <w:rsid w:val="00626D21"/>
    <w:rsid w:val="00630D9E"/>
    <w:rsid w:val="0063201A"/>
    <w:rsid w:val="006350D5"/>
    <w:rsid w:val="006404A7"/>
    <w:rsid w:val="0064464B"/>
    <w:rsid w:val="006451E4"/>
    <w:rsid w:val="006454CC"/>
    <w:rsid w:val="00645B33"/>
    <w:rsid w:val="00650330"/>
    <w:rsid w:val="006516CB"/>
    <w:rsid w:val="006558BD"/>
    <w:rsid w:val="00657E87"/>
    <w:rsid w:val="00664803"/>
    <w:rsid w:val="00665BA4"/>
    <w:rsid w:val="00666D91"/>
    <w:rsid w:val="00667AF2"/>
    <w:rsid w:val="006710C9"/>
    <w:rsid w:val="00674D89"/>
    <w:rsid w:val="00675E37"/>
    <w:rsid w:val="00680001"/>
    <w:rsid w:val="0068174E"/>
    <w:rsid w:val="00681DCE"/>
    <w:rsid w:val="0068260E"/>
    <w:rsid w:val="006863B2"/>
    <w:rsid w:val="006901FF"/>
    <w:rsid w:val="00695BEF"/>
    <w:rsid w:val="006977F6"/>
    <w:rsid w:val="00697A13"/>
    <w:rsid w:val="006A109C"/>
    <w:rsid w:val="006A3E08"/>
    <w:rsid w:val="006A73A6"/>
    <w:rsid w:val="006B0F92"/>
    <w:rsid w:val="006B344A"/>
    <w:rsid w:val="006B4B7B"/>
    <w:rsid w:val="006B5F4A"/>
    <w:rsid w:val="006B78D8"/>
    <w:rsid w:val="006C113F"/>
    <w:rsid w:val="006C123E"/>
    <w:rsid w:val="006C1752"/>
    <w:rsid w:val="006C33B2"/>
    <w:rsid w:val="006C56D4"/>
    <w:rsid w:val="006C6924"/>
    <w:rsid w:val="006C7CA6"/>
    <w:rsid w:val="006D3E8A"/>
    <w:rsid w:val="006D61F6"/>
    <w:rsid w:val="006D64C2"/>
    <w:rsid w:val="006E1673"/>
    <w:rsid w:val="006E279A"/>
    <w:rsid w:val="006E313B"/>
    <w:rsid w:val="006E7227"/>
    <w:rsid w:val="006F0603"/>
    <w:rsid w:val="006F14C9"/>
    <w:rsid w:val="006F2595"/>
    <w:rsid w:val="006F438E"/>
    <w:rsid w:val="006F4BFC"/>
    <w:rsid w:val="006F5416"/>
    <w:rsid w:val="006F668F"/>
    <w:rsid w:val="00701199"/>
    <w:rsid w:val="00705242"/>
    <w:rsid w:val="00706AD4"/>
    <w:rsid w:val="00707150"/>
    <w:rsid w:val="007079A6"/>
    <w:rsid w:val="007140BE"/>
    <w:rsid w:val="00716E3F"/>
    <w:rsid w:val="00720499"/>
    <w:rsid w:val="007211F5"/>
    <w:rsid w:val="00723859"/>
    <w:rsid w:val="007240E2"/>
    <w:rsid w:val="00725BB5"/>
    <w:rsid w:val="00730AE8"/>
    <w:rsid w:val="00730F1B"/>
    <w:rsid w:val="00741493"/>
    <w:rsid w:val="0074369B"/>
    <w:rsid w:val="00744D09"/>
    <w:rsid w:val="00744EE6"/>
    <w:rsid w:val="00745062"/>
    <w:rsid w:val="00746484"/>
    <w:rsid w:val="00750EF8"/>
    <w:rsid w:val="00752180"/>
    <w:rsid w:val="00753CAB"/>
    <w:rsid w:val="00755202"/>
    <w:rsid w:val="00755D3A"/>
    <w:rsid w:val="007578D3"/>
    <w:rsid w:val="007609C6"/>
    <w:rsid w:val="0076175D"/>
    <w:rsid w:val="00763B85"/>
    <w:rsid w:val="0076521E"/>
    <w:rsid w:val="00765565"/>
    <w:rsid w:val="007661E9"/>
    <w:rsid w:val="00772DA9"/>
    <w:rsid w:val="00775417"/>
    <w:rsid w:val="00775F45"/>
    <w:rsid w:val="00776169"/>
    <w:rsid w:val="00776527"/>
    <w:rsid w:val="00780EF1"/>
    <w:rsid w:val="00785232"/>
    <w:rsid w:val="00790764"/>
    <w:rsid w:val="0079453C"/>
    <w:rsid w:val="00794677"/>
    <w:rsid w:val="007A4167"/>
    <w:rsid w:val="007A4761"/>
    <w:rsid w:val="007A516D"/>
    <w:rsid w:val="007B1C79"/>
    <w:rsid w:val="007B6689"/>
    <w:rsid w:val="007C13A4"/>
    <w:rsid w:val="007C6BBD"/>
    <w:rsid w:val="007C7BAE"/>
    <w:rsid w:val="007D0C24"/>
    <w:rsid w:val="007D40DF"/>
    <w:rsid w:val="007E29B4"/>
    <w:rsid w:val="007E2E62"/>
    <w:rsid w:val="007E435A"/>
    <w:rsid w:val="007E6AD9"/>
    <w:rsid w:val="007E7E61"/>
    <w:rsid w:val="007F0845"/>
    <w:rsid w:val="007F4B7E"/>
    <w:rsid w:val="007F554F"/>
    <w:rsid w:val="007F661C"/>
    <w:rsid w:val="007F708D"/>
    <w:rsid w:val="00800B3F"/>
    <w:rsid w:val="008018FD"/>
    <w:rsid w:val="00801E13"/>
    <w:rsid w:val="00802137"/>
    <w:rsid w:val="00807204"/>
    <w:rsid w:val="00807C82"/>
    <w:rsid w:val="008103DB"/>
    <w:rsid w:val="008115FD"/>
    <w:rsid w:val="00816905"/>
    <w:rsid w:val="008173F8"/>
    <w:rsid w:val="00821FF6"/>
    <w:rsid w:val="00822574"/>
    <w:rsid w:val="00825C4D"/>
    <w:rsid w:val="00826E60"/>
    <w:rsid w:val="0083143E"/>
    <w:rsid w:val="00831CDE"/>
    <w:rsid w:val="008329A1"/>
    <w:rsid w:val="00833BF2"/>
    <w:rsid w:val="00834304"/>
    <w:rsid w:val="00834FAA"/>
    <w:rsid w:val="00836086"/>
    <w:rsid w:val="00846121"/>
    <w:rsid w:val="0084708F"/>
    <w:rsid w:val="0084727E"/>
    <w:rsid w:val="008477C8"/>
    <w:rsid w:val="00847931"/>
    <w:rsid w:val="0085114D"/>
    <w:rsid w:val="00852217"/>
    <w:rsid w:val="00855408"/>
    <w:rsid w:val="00856D65"/>
    <w:rsid w:val="00861B41"/>
    <w:rsid w:val="00861BE3"/>
    <w:rsid w:val="00863434"/>
    <w:rsid w:val="008637A2"/>
    <w:rsid w:val="0086457A"/>
    <w:rsid w:val="00865E4C"/>
    <w:rsid w:val="00865ED7"/>
    <w:rsid w:val="008701E4"/>
    <w:rsid w:val="00875A32"/>
    <w:rsid w:val="00876086"/>
    <w:rsid w:val="008832E3"/>
    <w:rsid w:val="008849B4"/>
    <w:rsid w:val="00884A6F"/>
    <w:rsid w:val="008856A3"/>
    <w:rsid w:val="008873D4"/>
    <w:rsid w:val="0089296D"/>
    <w:rsid w:val="00893E85"/>
    <w:rsid w:val="00894031"/>
    <w:rsid w:val="00895508"/>
    <w:rsid w:val="00896990"/>
    <w:rsid w:val="008A4C18"/>
    <w:rsid w:val="008B0AE2"/>
    <w:rsid w:val="008B4CC2"/>
    <w:rsid w:val="008B685F"/>
    <w:rsid w:val="008B7C02"/>
    <w:rsid w:val="008B7D2B"/>
    <w:rsid w:val="008C0049"/>
    <w:rsid w:val="008C0E88"/>
    <w:rsid w:val="008C6124"/>
    <w:rsid w:val="008C72C8"/>
    <w:rsid w:val="008D0DBD"/>
    <w:rsid w:val="008D1E6A"/>
    <w:rsid w:val="008D2A16"/>
    <w:rsid w:val="008E01D1"/>
    <w:rsid w:val="008E0DC9"/>
    <w:rsid w:val="008E0EB6"/>
    <w:rsid w:val="008E1DA4"/>
    <w:rsid w:val="008E1F66"/>
    <w:rsid w:val="008E2C57"/>
    <w:rsid w:val="008E31FF"/>
    <w:rsid w:val="008E69C0"/>
    <w:rsid w:val="008E6F06"/>
    <w:rsid w:val="008E7FC9"/>
    <w:rsid w:val="008F029B"/>
    <w:rsid w:val="008F3BB8"/>
    <w:rsid w:val="008F3FC9"/>
    <w:rsid w:val="008F585B"/>
    <w:rsid w:val="008F75E8"/>
    <w:rsid w:val="009003A8"/>
    <w:rsid w:val="00901B0D"/>
    <w:rsid w:val="00902500"/>
    <w:rsid w:val="00902EFF"/>
    <w:rsid w:val="009055BC"/>
    <w:rsid w:val="00906401"/>
    <w:rsid w:val="0091155E"/>
    <w:rsid w:val="00912A92"/>
    <w:rsid w:val="00915CF4"/>
    <w:rsid w:val="0091728D"/>
    <w:rsid w:val="0092180B"/>
    <w:rsid w:val="00921F14"/>
    <w:rsid w:val="00924AC8"/>
    <w:rsid w:val="0092597A"/>
    <w:rsid w:val="00930FB1"/>
    <w:rsid w:val="0093139F"/>
    <w:rsid w:val="00932443"/>
    <w:rsid w:val="00935F39"/>
    <w:rsid w:val="00937AE2"/>
    <w:rsid w:val="00942C19"/>
    <w:rsid w:val="0094427A"/>
    <w:rsid w:val="00945245"/>
    <w:rsid w:val="00947BA9"/>
    <w:rsid w:val="00953F28"/>
    <w:rsid w:val="009540B7"/>
    <w:rsid w:val="0095759C"/>
    <w:rsid w:val="0096154D"/>
    <w:rsid w:val="0096221A"/>
    <w:rsid w:val="009675EE"/>
    <w:rsid w:val="00971612"/>
    <w:rsid w:val="00972309"/>
    <w:rsid w:val="00974923"/>
    <w:rsid w:val="00980D3D"/>
    <w:rsid w:val="00987A30"/>
    <w:rsid w:val="00992CF3"/>
    <w:rsid w:val="00992F70"/>
    <w:rsid w:val="00993148"/>
    <w:rsid w:val="00993D73"/>
    <w:rsid w:val="009942B6"/>
    <w:rsid w:val="00994868"/>
    <w:rsid w:val="009968D6"/>
    <w:rsid w:val="009A1CAB"/>
    <w:rsid w:val="009A4901"/>
    <w:rsid w:val="009A4F91"/>
    <w:rsid w:val="009A60D1"/>
    <w:rsid w:val="009B654B"/>
    <w:rsid w:val="009B6FD3"/>
    <w:rsid w:val="009C03C8"/>
    <w:rsid w:val="009C1750"/>
    <w:rsid w:val="009C1EEA"/>
    <w:rsid w:val="009C2E29"/>
    <w:rsid w:val="009C554B"/>
    <w:rsid w:val="009C719E"/>
    <w:rsid w:val="009D3ACD"/>
    <w:rsid w:val="009D3F3E"/>
    <w:rsid w:val="009D78F8"/>
    <w:rsid w:val="009E5273"/>
    <w:rsid w:val="009E5DDB"/>
    <w:rsid w:val="009E674A"/>
    <w:rsid w:val="009F46EA"/>
    <w:rsid w:val="009F47E7"/>
    <w:rsid w:val="009F4CA7"/>
    <w:rsid w:val="00A10D66"/>
    <w:rsid w:val="00A14114"/>
    <w:rsid w:val="00A16413"/>
    <w:rsid w:val="00A16E1D"/>
    <w:rsid w:val="00A17969"/>
    <w:rsid w:val="00A17D5B"/>
    <w:rsid w:val="00A20028"/>
    <w:rsid w:val="00A230A8"/>
    <w:rsid w:val="00A23E43"/>
    <w:rsid w:val="00A25216"/>
    <w:rsid w:val="00A27420"/>
    <w:rsid w:val="00A27C85"/>
    <w:rsid w:val="00A30F65"/>
    <w:rsid w:val="00A329DF"/>
    <w:rsid w:val="00A34FB5"/>
    <w:rsid w:val="00A35142"/>
    <w:rsid w:val="00A35EA6"/>
    <w:rsid w:val="00A365AC"/>
    <w:rsid w:val="00A36682"/>
    <w:rsid w:val="00A3694E"/>
    <w:rsid w:val="00A40EAC"/>
    <w:rsid w:val="00A418BC"/>
    <w:rsid w:val="00A46DE0"/>
    <w:rsid w:val="00A4750C"/>
    <w:rsid w:val="00A479A4"/>
    <w:rsid w:val="00A500A7"/>
    <w:rsid w:val="00A50D73"/>
    <w:rsid w:val="00A51F19"/>
    <w:rsid w:val="00A52CAD"/>
    <w:rsid w:val="00A537F0"/>
    <w:rsid w:val="00A53FC7"/>
    <w:rsid w:val="00A54250"/>
    <w:rsid w:val="00A55161"/>
    <w:rsid w:val="00A55593"/>
    <w:rsid w:val="00A62B23"/>
    <w:rsid w:val="00A62CE1"/>
    <w:rsid w:val="00A6741E"/>
    <w:rsid w:val="00A67D62"/>
    <w:rsid w:val="00A67EA4"/>
    <w:rsid w:val="00A75E40"/>
    <w:rsid w:val="00A77D1D"/>
    <w:rsid w:val="00A83DE7"/>
    <w:rsid w:val="00A84923"/>
    <w:rsid w:val="00A857C0"/>
    <w:rsid w:val="00A90FED"/>
    <w:rsid w:val="00AA1FBF"/>
    <w:rsid w:val="00AA2996"/>
    <w:rsid w:val="00AA4A77"/>
    <w:rsid w:val="00AA4F0A"/>
    <w:rsid w:val="00AA52BF"/>
    <w:rsid w:val="00AA559A"/>
    <w:rsid w:val="00AA6B9B"/>
    <w:rsid w:val="00AB2AF1"/>
    <w:rsid w:val="00AB5421"/>
    <w:rsid w:val="00AC0FD3"/>
    <w:rsid w:val="00AC45BD"/>
    <w:rsid w:val="00AC6433"/>
    <w:rsid w:val="00AC7A05"/>
    <w:rsid w:val="00AC7F4D"/>
    <w:rsid w:val="00AD168E"/>
    <w:rsid w:val="00AD306C"/>
    <w:rsid w:val="00AD68C4"/>
    <w:rsid w:val="00AE09B3"/>
    <w:rsid w:val="00AE1A83"/>
    <w:rsid w:val="00AE538C"/>
    <w:rsid w:val="00AE7FB2"/>
    <w:rsid w:val="00AF0063"/>
    <w:rsid w:val="00AF7180"/>
    <w:rsid w:val="00B00913"/>
    <w:rsid w:val="00B01593"/>
    <w:rsid w:val="00B02051"/>
    <w:rsid w:val="00B023F2"/>
    <w:rsid w:val="00B10A4D"/>
    <w:rsid w:val="00B120A1"/>
    <w:rsid w:val="00B14BC1"/>
    <w:rsid w:val="00B17E71"/>
    <w:rsid w:val="00B17FDE"/>
    <w:rsid w:val="00B20632"/>
    <w:rsid w:val="00B23055"/>
    <w:rsid w:val="00B2379C"/>
    <w:rsid w:val="00B2687D"/>
    <w:rsid w:val="00B32DDB"/>
    <w:rsid w:val="00B336D6"/>
    <w:rsid w:val="00B34528"/>
    <w:rsid w:val="00B34CC9"/>
    <w:rsid w:val="00B37579"/>
    <w:rsid w:val="00B37A30"/>
    <w:rsid w:val="00B402FC"/>
    <w:rsid w:val="00B40FF9"/>
    <w:rsid w:val="00B42470"/>
    <w:rsid w:val="00B439DA"/>
    <w:rsid w:val="00B46604"/>
    <w:rsid w:val="00B530CD"/>
    <w:rsid w:val="00B53AB0"/>
    <w:rsid w:val="00B55F5E"/>
    <w:rsid w:val="00B57338"/>
    <w:rsid w:val="00B5752E"/>
    <w:rsid w:val="00B62D21"/>
    <w:rsid w:val="00B63A11"/>
    <w:rsid w:val="00B64C24"/>
    <w:rsid w:val="00B6608F"/>
    <w:rsid w:val="00B679FB"/>
    <w:rsid w:val="00B76D1E"/>
    <w:rsid w:val="00B77AF4"/>
    <w:rsid w:val="00B80EC6"/>
    <w:rsid w:val="00B84CF6"/>
    <w:rsid w:val="00B86F03"/>
    <w:rsid w:val="00B92D1D"/>
    <w:rsid w:val="00B936B1"/>
    <w:rsid w:val="00B938C5"/>
    <w:rsid w:val="00B95940"/>
    <w:rsid w:val="00B97434"/>
    <w:rsid w:val="00BA0DD3"/>
    <w:rsid w:val="00BA35F3"/>
    <w:rsid w:val="00BA6C2B"/>
    <w:rsid w:val="00BB2F03"/>
    <w:rsid w:val="00BB46F3"/>
    <w:rsid w:val="00BB4CB1"/>
    <w:rsid w:val="00BB4F98"/>
    <w:rsid w:val="00BB5D2C"/>
    <w:rsid w:val="00BC09D5"/>
    <w:rsid w:val="00BC0E31"/>
    <w:rsid w:val="00BC2C16"/>
    <w:rsid w:val="00BC5C12"/>
    <w:rsid w:val="00BC7154"/>
    <w:rsid w:val="00BC731E"/>
    <w:rsid w:val="00BC7833"/>
    <w:rsid w:val="00BD163C"/>
    <w:rsid w:val="00BD366B"/>
    <w:rsid w:val="00BD3695"/>
    <w:rsid w:val="00BD6D50"/>
    <w:rsid w:val="00BE18B9"/>
    <w:rsid w:val="00BE2495"/>
    <w:rsid w:val="00BE468E"/>
    <w:rsid w:val="00BE5FAF"/>
    <w:rsid w:val="00BE6186"/>
    <w:rsid w:val="00BF1578"/>
    <w:rsid w:val="00BF67DD"/>
    <w:rsid w:val="00C21405"/>
    <w:rsid w:val="00C218F1"/>
    <w:rsid w:val="00C21F94"/>
    <w:rsid w:val="00C27913"/>
    <w:rsid w:val="00C3031A"/>
    <w:rsid w:val="00C31510"/>
    <w:rsid w:val="00C33B68"/>
    <w:rsid w:val="00C36A79"/>
    <w:rsid w:val="00C37A78"/>
    <w:rsid w:val="00C401D2"/>
    <w:rsid w:val="00C405D4"/>
    <w:rsid w:val="00C4513B"/>
    <w:rsid w:val="00C466D2"/>
    <w:rsid w:val="00C5203D"/>
    <w:rsid w:val="00C5354E"/>
    <w:rsid w:val="00C5390B"/>
    <w:rsid w:val="00C54697"/>
    <w:rsid w:val="00C60191"/>
    <w:rsid w:val="00C6152B"/>
    <w:rsid w:val="00C653FE"/>
    <w:rsid w:val="00C73885"/>
    <w:rsid w:val="00C747B1"/>
    <w:rsid w:val="00C82191"/>
    <w:rsid w:val="00C83134"/>
    <w:rsid w:val="00C8418E"/>
    <w:rsid w:val="00C85545"/>
    <w:rsid w:val="00C86B84"/>
    <w:rsid w:val="00C90CF4"/>
    <w:rsid w:val="00C923DF"/>
    <w:rsid w:val="00C92EB6"/>
    <w:rsid w:val="00C93389"/>
    <w:rsid w:val="00C936C3"/>
    <w:rsid w:val="00C96D08"/>
    <w:rsid w:val="00CA28BC"/>
    <w:rsid w:val="00CA4551"/>
    <w:rsid w:val="00CA4CF2"/>
    <w:rsid w:val="00CA4E9E"/>
    <w:rsid w:val="00CA6AB4"/>
    <w:rsid w:val="00CB259D"/>
    <w:rsid w:val="00CB272C"/>
    <w:rsid w:val="00CB4930"/>
    <w:rsid w:val="00CC0F9A"/>
    <w:rsid w:val="00CC2E7D"/>
    <w:rsid w:val="00CC71EC"/>
    <w:rsid w:val="00CD10A5"/>
    <w:rsid w:val="00CD2076"/>
    <w:rsid w:val="00CD29B5"/>
    <w:rsid w:val="00CD3171"/>
    <w:rsid w:val="00CD6331"/>
    <w:rsid w:val="00CE153B"/>
    <w:rsid w:val="00CE670B"/>
    <w:rsid w:val="00CE760D"/>
    <w:rsid w:val="00CF1C4C"/>
    <w:rsid w:val="00CF4908"/>
    <w:rsid w:val="00CF51EC"/>
    <w:rsid w:val="00CF73AE"/>
    <w:rsid w:val="00D0260C"/>
    <w:rsid w:val="00D040DD"/>
    <w:rsid w:val="00D050F8"/>
    <w:rsid w:val="00D06297"/>
    <w:rsid w:val="00D075BE"/>
    <w:rsid w:val="00D1005A"/>
    <w:rsid w:val="00D11854"/>
    <w:rsid w:val="00D13986"/>
    <w:rsid w:val="00D21D83"/>
    <w:rsid w:val="00D235B7"/>
    <w:rsid w:val="00D25F28"/>
    <w:rsid w:val="00D26071"/>
    <w:rsid w:val="00D27973"/>
    <w:rsid w:val="00D30575"/>
    <w:rsid w:val="00D32F90"/>
    <w:rsid w:val="00D35E1A"/>
    <w:rsid w:val="00D37034"/>
    <w:rsid w:val="00D42E82"/>
    <w:rsid w:val="00D45615"/>
    <w:rsid w:val="00D50F46"/>
    <w:rsid w:val="00D52BE2"/>
    <w:rsid w:val="00D57677"/>
    <w:rsid w:val="00D64026"/>
    <w:rsid w:val="00D66223"/>
    <w:rsid w:val="00D8084C"/>
    <w:rsid w:val="00D82A1E"/>
    <w:rsid w:val="00D83062"/>
    <w:rsid w:val="00D83229"/>
    <w:rsid w:val="00D86490"/>
    <w:rsid w:val="00D86712"/>
    <w:rsid w:val="00D915EA"/>
    <w:rsid w:val="00D92FD1"/>
    <w:rsid w:val="00D93CE2"/>
    <w:rsid w:val="00D943C6"/>
    <w:rsid w:val="00D965EC"/>
    <w:rsid w:val="00DA7C0C"/>
    <w:rsid w:val="00DB08A9"/>
    <w:rsid w:val="00DB2EC8"/>
    <w:rsid w:val="00DB5913"/>
    <w:rsid w:val="00DC37E3"/>
    <w:rsid w:val="00DC4EC8"/>
    <w:rsid w:val="00DC5B3B"/>
    <w:rsid w:val="00DD129F"/>
    <w:rsid w:val="00DD2B66"/>
    <w:rsid w:val="00DD3A2C"/>
    <w:rsid w:val="00DE0F63"/>
    <w:rsid w:val="00DE4C19"/>
    <w:rsid w:val="00DF42FF"/>
    <w:rsid w:val="00DF7AD4"/>
    <w:rsid w:val="00E01C0E"/>
    <w:rsid w:val="00E03F9A"/>
    <w:rsid w:val="00E04694"/>
    <w:rsid w:val="00E04F27"/>
    <w:rsid w:val="00E06182"/>
    <w:rsid w:val="00E102BD"/>
    <w:rsid w:val="00E11DE1"/>
    <w:rsid w:val="00E12B1E"/>
    <w:rsid w:val="00E141B6"/>
    <w:rsid w:val="00E17262"/>
    <w:rsid w:val="00E212C9"/>
    <w:rsid w:val="00E22969"/>
    <w:rsid w:val="00E253A2"/>
    <w:rsid w:val="00E32880"/>
    <w:rsid w:val="00E3309D"/>
    <w:rsid w:val="00E402A5"/>
    <w:rsid w:val="00E424F6"/>
    <w:rsid w:val="00E453F9"/>
    <w:rsid w:val="00E47EBA"/>
    <w:rsid w:val="00E50156"/>
    <w:rsid w:val="00E53470"/>
    <w:rsid w:val="00E539F6"/>
    <w:rsid w:val="00E567D6"/>
    <w:rsid w:val="00E56FE9"/>
    <w:rsid w:val="00E61EEF"/>
    <w:rsid w:val="00E6519D"/>
    <w:rsid w:val="00E67696"/>
    <w:rsid w:val="00E711D1"/>
    <w:rsid w:val="00E71A58"/>
    <w:rsid w:val="00E72A7A"/>
    <w:rsid w:val="00E733C7"/>
    <w:rsid w:val="00E75C94"/>
    <w:rsid w:val="00E76AC9"/>
    <w:rsid w:val="00E76E61"/>
    <w:rsid w:val="00E85E6D"/>
    <w:rsid w:val="00E924B2"/>
    <w:rsid w:val="00E9274D"/>
    <w:rsid w:val="00E93820"/>
    <w:rsid w:val="00E94A86"/>
    <w:rsid w:val="00E96143"/>
    <w:rsid w:val="00E972A9"/>
    <w:rsid w:val="00EA0840"/>
    <w:rsid w:val="00EA0C68"/>
    <w:rsid w:val="00EA17B0"/>
    <w:rsid w:val="00EA2A43"/>
    <w:rsid w:val="00EA32BC"/>
    <w:rsid w:val="00EA3580"/>
    <w:rsid w:val="00EA383F"/>
    <w:rsid w:val="00EA405F"/>
    <w:rsid w:val="00EA637E"/>
    <w:rsid w:val="00EB269A"/>
    <w:rsid w:val="00EB4511"/>
    <w:rsid w:val="00EC03D7"/>
    <w:rsid w:val="00EC25F0"/>
    <w:rsid w:val="00ED162F"/>
    <w:rsid w:val="00ED62C6"/>
    <w:rsid w:val="00ED64C1"/>
    <w:rsid w:val="00EE2A8D"/>
    <w:rsid w:val="00EE3446"/>
    <w:rsid w:val="00EE3E78"/>
    <w:rsid w:val="00EE4B1B"/>
    <w:rsid w:val="00EE4DEF"/>
    <w:rsid w:val="00EF08D5"/>
    <w:rsid w:val="00EF0FC4"/>
    <w:rsid w:val="00EF150D"/>
    <w:rsid w:val="00EF1F5A"/>
    <w:rsid w:val="00EF47BF"/>
    <w:rsid w:val="00F03FDE"/>
    <w:rsid w:val="00F04811"/>
    <w:rsid w:val="00F0488C"/>
    <w:rsid w:val="00F10F11"/>
    <w:rsid w:val="00F15AAA"/>
    <w:rsid w:val="00F15ABF"/>
    <w:rsid w:val="00F15BEF"/>
    <w:rsid w:val="00F160CE"/>
    <w:rsid w:val="00F162B3"/>
    <w:rsid w:val="00F24407"/>
    <w:rsid w:val="00F24FAA"/>
    <w:rsid w:val="00F3364D"/>
    <w:rsid w:val="00F33E56"/>
    <w:rsid w:val="00F36104"/>
    <w:rsid w:val="00F37A7D"/>
    <w:rsid w:val="00F433FE"/>
    <w:rsid w:val="00F437CC"/>
    <w:rsid w:val="00F44537"/>
    <w:rsid w:val="00F4530D"/>
    <w:rsid w:val="00F46502"/>
    <w:rsid w:val="00F47067"/>
    <w:rsid w:val="00F51F81"/>
    <w:rsid w:val="00F525EB"/>
    <w:rsid w:val="00F55E08"/>
    <w:rsid w:val="00F57510"/>
    <w:rsid w:val="00F61836"/>
    <w:rsid w:val="00F63DDE"/>
    <w:rsid w:val="00F63FB7"/>
    <w:rsid w:val="00F6421B"/>
    <w:rsid w:val="00F649D2"/>
    <w:rsid w:val="00F6602B"/>
    <w:rsid w:val="00F724F9"/>
    <w:rsid w:val="00F73A0C"/>
    <w:rsid w:val="00F756DB"/>
    <w:rsid w:val="00F77285"/>
    <w:rsid w:val="00F84E7D"/>
    <w:rsid w:val="00F85066"/>
    <w:rsid w:val="00F859D0"/>
    <w:rsid w:val="00F87A4D"/>
    <w:rsid w:val="00F927E6"/>
    <w:rsid w:val="00F9647C"/>
    <w:rsid w:val="00FA5D4D"/>
    <w:rsid w:val="00FB0EE2"/>
    <w:rsid w:val="00FB42A1"/>
    <w:rsid w:val="00FB542E"/>
    <w:rsid w:val="00FC0359"/>
    <w:rsid w:val="00FC0E5F"/>
    <w:rsid w:val="00FC1A95"/>
    <w:rsid w:val="00FC56DE"/>
    <w:rsid w:val="00FC5F49"/>
    <w:rsid w:val="00FC684B"/>
    <w:rsid w:val="00FD3265"/>
    <w:rsid w:val="00FD4916"/>
    <w:rsid w:val="00FE2F78"/>
    <w:rsid w:val="00FE4B2F"/>
    <w:rsid w:val="00FE7B95"/>
    <w:rsid w:val="00FF3EEC"/>
    <w:rsid w:val="00FF7B96"/>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colormru v:ext="edit" colors="#ecf4dd,#eaecee,#fcec0a,#fcecdb,#f1daf5"/>
    </o:shapedefaults>
    <o:shapelayout v:ext="edit">
      <o:idmap v:ext="edit" data="1"/>
    </o:shapelayout>
  </w:shapeDefaults>
  <w:decimalSymbol w:val=","/>
  <w:listSeparator w:val=";"/>
  <w14:docId w14:val="655E1B12"/>
  <w15:docId w15:val="{A4C7AF56-5B51-4067-BDB9-17A6C364C3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cs-CZ"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364FA0"/>
    <w:pPr>
      <w:spacing w:after="240" w:line="276" w:lineRule="auto"/>
      <w:jc w:val="both"/>
    </w:pPr>
    <w:rPr>
      <w:rFonts w:ascii="Arial" w:eastAsia="Times New Roman" w:hAnsi="Arial"/>
      <w:szCs w:val="24"/>
      <w:lang w:eastAsia="cs-CZ"/>
    </w:rPr>
  </w:style>
  <w:style w:type="paragraph" w:styleId="Nadpis1">
    <w:name w:val="heading 1"/>
    <w:next w:val="Normln"/>
    <w:link w:val="Nadpis1Char"/>
    <w:uiPriority w:val="9"/>
    <w:qFormat/>
    <w:rsid w:val="00A25216"/>
    <w:pPr>
      <w:keepNext/>
      <w:keepLines/>
      <w:spacing w:after="100" w:line="276" w:lineRule="auto"/>
      <w:contextualSpacing/>
      <w:outlineLvl w:val="0"/>
    </w:pPr>
    <w:rPr>
      <w:rFonts w:ascii="Arial" w:eastAsia="MS Gothic" w:hAnsi="Arial"/>
      <w:b/>
      <w:bCs/>
      <w:color w:val="71818C"/>
      <w:sz w:val="32"/>
      <w:szCs w:val="28"/>
      <w:lang w:eastAsia="cs-CZ"/>
    </w:rPr>
  </w:style>
  <w:style w:type="paragraph" w:styleId="Nadpis2">
    <w:name w:val="heading 2"/>
    <w:next w:val="Normln"/>
    <w:link w:val="Nadpis2Char"/>
    <w:uiPriority w:val="9"/>
    <w:qFormat/>
    <w:rsid w:val="00A25216"/>
    <w:pPr>
      <w:keepNext/>
      <w:keepLines/>
      <w:spacing w:line="276" w:lineRule="auto"/>
      <w:outlineLvl w:val="1"/>
    </w:pPr>
    <w:rPr>
      <w:rFonts w:ascii="Arial" w:eastAsia="MS Gothic" w:hAnsi="Arial"/>
      <w:b/>
      <w:bCs/>
      <w:color w:val="71818C"/>
      <w:sz w:val="28"/>
      <w:szCs w:val="26"/>
      <w:lang w:eastAsia="cs-CZ"/>
    </w:rPr>
  </w:style>
  <w:style w:type="paragraph" w:styleId="Nadpis3">
    <w:name w:val="heading 3"/>
    <w:next w:val="Normln"/>
    <w:link w:val="Nadpis3Char"/>
    <w:uiPriority w:val="9"/>
    <w:qFormat/>
    <w:rsid w:val="00A25216"/>
    <w:pPr>
      <w:keepNext/>
      <w:keepLines/>
      <w:spacing w:line="276" w:lineRule="auto"/>
      <w:outlineLvl w:val="2"/>
    </w:pPr>
    <w:rPr>
      <w:rFonts w:ascii="Arial" w:eastAsia="MS Gothic" w:hAnsi="Arial"/>
      <w:b/>
      <w:bCs/>
      <w:color w:val="71818C"/>
      <w:sz w:val="24"/>
      <w:szCs w:val="24"/>
      <w:lang w:eastAsia="cs-CZ"/>
    </w:rPr>
  </w:style>
  <w:style w:type="paragraph" w:styleId="Nadpis4">
    <w:name w:val="heading 4"/>
    <w:next w:val="Normln"/>
    <w:link w:val="Nadpis4Char"/>
    <w:uiPriority w:val="9"/>
    <w:qFormat/>
    <w:rsid w:val="00A25216"/>
    <w:pPr>
      <w:keepNext/>
      <w:keepLines/>
      <w:spacing w:line="276" w:lineRule="auto"/>
      <w:outlineLvl w:val="3"/>
    </w:pPr>
    <w:rPr>
      <w:rFonts w:ascii="Arial" w:eastAsia="MS Gothic" w:hAnsi="Arial"/>
      <w:b/>
      <w:bCs/>
      <w:iCs/>
      <w:color w:val="71818C"/>
      <w:szCs w:val="24"/>
      <w:lang w:eastAsia="cs-CZ"/>
    </w:rPr>
  </w:style>
  <w:style w:type="paragraph" w:styleId="Nadpis5">
    <w:name w:val="heading 5"/>
    <w:basedOn w:val="Normln"/>
    <w:next w:val="Normln"/>
    <w:link w:val="Nadpis5Char"/>
    <w:uiPriority w:val="9"/>
    <w:semiHidden/>
    <w:unhideWhenUsed/>
    <w:rsid w:val="007A516D"/>
    <w:pPr>
      <w:keepNext/>
      <w:keepLines/>
      <w:numPr>
        <w:ilvl w:val="4"/>
        <w:numId w:val="14"/>
      </w:numPr>
      <w:spacing w:before="200" w:after="0"/>
      <w:outlineLvl w:val="4"/>
    </w:pPr>
    <w:rPr>
      <w:rFonts w:asciiTheme="majorHAnsi" w:eastAsiaTheme="majorEastAsia" w:hAnsiTheme="majorHAnsi" w:cstheme="majorBidi"/>
      <w:color w:val="243F60" w:themeColor="accent1" w:themeShade="7F"/>
    </w:rPr>
  </w:style>
  <w:style w:type="paragraph" w:styleId="Nadpis6">
    <w:name w:val="heading 6"/>
    <w:basedOn w:val="Normln"/>
    <w:next w:val="Normln"/>
    <w:link w:val="Nadpis6Char"/>
    <w:uiPriority w:val="9"/>
    <w:semiHidden/>
    <w:unhideWhenUsed/>
    <w:qFormat/>
    <w:rsid w:val="007A516D"/>
    <w:pPr>
      <w:keepNext/>
      <w:keepLines/>
      <w:numPr>
        <w:ilvl w:val="5"/>
        <w:numId w:val="14"/>
      </w:numPr>
      <w:spacing w:before="200" w:after="0"/>
      <w:outlineLvl w:val="5"/>
    </w:pPr>
    <w:rPr>
      <w:rFonts w:asciiTheme="majorHAnsi" w:eastAsiaTheme="majorEastAsia" w:hAnsiTheme="majorHAnsi" w:cstheme="majorBidi"/>
      <w:i/>
      <w:iCs/>
      <w:color w:val="243F60" w:themeColor="accent1" w:themeShade="7F"/>
    </w:rPr>
  </w:style>
  <w:style w:type="paragraph" w:styleId="Nadpis7">
    <w:name w:val="heading 7"/>
    <w:basedOn w:val="Normln"/>
    <w:next w:val="Normln"/>
    <w:link w:val="Nadpis7Char"/>
    <w:uiPriority w:val="9"/>
    <w:semiHidden/>
    <w:unhideWhenUsed/>
    <w:qFormat/>
    <w:rsid w:val="007A516D"/>
    <w:pPr>
      <w:keepNext/>
      <w:keepLines/>
      <w:numPr>
        <w:ilvl w:val="6"/>
        <w:numId w:val="14"/>
      </w:numPr>
      <w:spacing w:before="200" w:after="0"/>
      <w:outlineLvl w:val="6"/>
    </w:pPr>
    <w:rPr>
      <w:rFonts w:asciiTheme="majorHAnsi" w:eastAsiaTheme="majorEastAsia" w:hAnsiTheme="majorHAnsi" w:cstheme="majorBidi"/>
      <w:i/>
      <w:iCs/>
      <w:color w:val="404040" w:themeColor="text1" w:themeTint="BF"/>
    </w:rPr>
  </w:style>
  <w:style w:type="paragraph" w:styleId="Nadpis8">
    <w:name w:val="heading 8"/>
    <w:basedOn w:val="Normln"/>
    <w:next w:val="Normln"/>
    <w:link w:val="Nadpis8Char"/>
    <w:uiPriority w:val="9"/>
    <w:semiHidden/>
    <w:unhideWhenUsed/>
    <w:qFormat/>
    <w:rsid w:val="007A516D"/>
    <w:pPr>
      <w:keepNext/>
      <w:keepLines/>
      <w:numPr>
        <w:ilvl w:val="7"/>
        <w:numId w:val="14"/>
      </w:numPr>
      <w:spacing w:before="200" w:after="0"/>
      <w:outlineLvl w:val="7"/>
    </w:pPr>
    <w:rPr>
      <w:rFonts w:asciiTheme="majorHAnsi" w:eastAsiaTheme="majorEastAsia" w:hAnsiTheme="majorHAnsi" w:cstheme="majorBidi"/>
      <w:color w:val="404040" w:themeColor="text1" w:themeTint="BF"/>
      <w:szCs w:val="20"/>
    </w:rPr>
  </w:style>
  <w:style w:type="paragraph" w:styleId="Nadpis9">
    <w:name w:val="heading 9"/>
    <w:basedOn w:val="Normln"/>
    <w:next w:val="Normln"/>
    <w:link w:val="Nadpis9Char"/>
    <w:uiPriority w:val="9"/>
    <w:semiHidden/>
    <w:unhideWhenUsed/>
    <w:qFormat/>
    <w:rsid w:val="007A516D"/>
    <w:pPr>
      <w:numPr>
        <w:ilvl w:val="8"/>
        <w:numId w:val="14"/>
      </w:numPr>
      <w:spacing w:before="240" w:after="60"/>
      <w:outlineLvl w:val="8"/>
    </w:pPr>
    <w:rPr>
      <w:rFonts w:ascii="Cambria" w:hAnsi="Cambria"/>
      <w:sz w:val="22"/>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link w:val="Nadpis1"/>
    <w:uiPriority w:val="9"/>
    <w:qFormat/>
    <w:rsid w:val="00364FA0"/>
    <w:rPr>
      <w:rFonts w:ascii="Arial" w:eastAsia="MS Gothic" w:hAnsi="Arial"/>
      <w:b/>
      <w:bCs/>
      <w:color w:val="71818C"/>
      <w:sz w:val="32"/>
      <w:szCs w:val="28"/>
      <w:lang w:eastAsia="cs-CZ"/>
    </w:rPr>
  </w:style>
  <w:style w:type="character" w:customStyle="1" w:styleId="Nadpis2Char">
    <w:name w:val="Nadpis 2 Char"/>
    <w:link w:val="Nadpis2"/>
    <w:uiPriority w:val="9"/>
    <w:qFormat/>
    <w:rsid w:val="00364FA0"/>
    <w:rPr>
      <w:rFonts w:ascii="Arial" w:eastAsia="MS Gothic" w:hAnsi="Arial"/>
      <w:b/>
      <w:bCs/>
      <w:color w:val="71818C"/>
      <w:sz w:val="28"/>
      <w:szCs w:val="26"/>
      <w:lang w:eastAsia="cs-CZ"/>
    </w:rPr>
  </w:style>
  <w:style w:type="character" w:customStyle="1" w:styleId="Nadpis3Char">
    <w:name w:val="Nadpis 3 Char"/>
    <w:link w:val="Nadpis3"/>
    <w:uiPriority w:val="9"/>
    <w:rsid w:val="00364FA0"/>
    <w:rPr>
      <w:rFonts w:ascii="Arial" w:eastAsia="MS Gothic" w:hAnsi="Arial"/>
      <w:b/>
      <w:bCs/>
      <w:color w:val="71818C"/>
      <w:sz w:val="24"/>
      <w:szCs w:val="24"/>
      <w:lang w:eastAsia="cs-CZ"/>
    </w:rPr>
  </w:style>
  <w:style w:type="character" w:customStyle="1" w:styleId="Nadpis4Char">
    <w:name w:val="Nadpis 4 Char"/>
    <w:link w:val="Nadpis4"/>
    <w:uiPriority w:val="9"/>
    <w:rsid w:val="00364FA0"/>
    <w:rPr>
      <w:rFonts w:ascii="Arial" w:eastAsia="MS Gothic" w:hAnsi="Arial"/>
      <w:b/>
      <w:bCs/>
      <w:iCs/>
      <w:color w:val="71818C"/>
      <w:szCs w:val="24"/>
      <w:lang w:eastAsia="cs-CZ"/>
    </w:rPr>
  </w:style>
  <w:style w:type="character" w:customStyle="1" w:styleId="Nadpis9Char">
    <w:name w:val="Nadpis 9 Char"/>
    <w:link w:val="Nadpis9"/>
    <w:uiPriority w:val="9"/>
    <w:semiHidden/>
    <w:rsid w:val="007A516D"/>
    <w:rPr>
      <w:rFonts w:ascii="Cambria" w:eastAsia="Times New Roman" w:hAnsi="Cambria"/>
      <w:sz w:val="22"/>
      <w:szCs w:val="22"/>
      <w:lang w:eastAsia="cs-CZ"/>
    </w:rPr>
  </w:style>
  <w:style w:type="character" w:styleId="Hypertextovodkaz">
    <w:name w:val="Hyperlink"/>
    <w:uiPriority w:val="99"/>
    <w:rsid w:val="00E71A58"/>
    <w:rPr>
      <w:color w:val="0000FF"/>
      <w:u w:val="single"/>
    </w:rPr>
  </w:style>
  <w:style w:type="paragraph" w:styleId="Zhlav">
    <w:name w:val="header"/>
    <w:link w:val="ZhlavChar"/>
    <w:uiPriority w:val="99"/>
    <w:unhideWhenUsed/>
    <w:qFormat/>
    <w:rsid w:val="00A418BC"/>
    <w:pPr>
      <w:spacing w:line="288" w:lineRule="auto"/>
    </w:pPr>
    <w:rPr>
      <w:rFonts w:ascii="Arial" w:hAnsi="Arial"/>
      <w:sz w:val="16"/>
      <w:szCs w:val="22"/>
    </w:rPr>
  </w:style>
  <w:style w:type="character" w:customStyle="1" w:styleId="ZhlavChar">
    <w:name w:val="Záhlaví Char"/>
    <w:link w:val="Zhlav"/>
    <w:uiPriority w:val="99"/>
    <w:rsid w:val="00A418BC"/>
    <w:rPr>
      <w:rFonts w:ascii="Arial" w:hAnsi="Arial"/>
      <w:sz w:val="16"/>
      <w:szCs w:val="22"/>
      <w:lang w:eastAsia="en-US"/>
    </w:rPr>
  </w:style>
  <w:style w:type="paragraph" w:styleId="Zpat">
    <w:name w:val="footer"/>
    <w:link w:val="ZpatChar"/>
    <w:uiPriority w:val="99"/>
    <w:unhideWhenUsed/>
    <w:qFormat/>
    <w:rsid w:val="00031AE0"/>
    <w:pPr>
      <w:tabs>
        <w:tab w:val="center" w:pos="4820"/>
        <w:tab w:val="right" w:pos="9639"/>
      </w:tabs>
    </w:pPr>
    <w:rPr>
      <w:rFonts w:ascii="Arial" w:hAnsi="Arial" w:cs="Arial"/>
      <w:noProof/>
      <w:sz w:val="16"/>
    </w:rPr>
  </w:style>
  <w:style w:type="character" w:customStyle="1" w:styleId="ZpatChar">
    <w:name w:val="Zápatí Char"/>
    <w:link w:val="Zpat"/>
    <w:uiPriority w:val="99"/>
    <w:rsid w:val="00031AE0"/>
    <w:rPr>
      <w:rFonts w:ascii="Arial" w:hAnsi="Arial" w:cs="Arial"/>
      <w:noProof/>
      <w:sz w:val="16"/>
      <w:lang w:eastAsia="en-US"/>
    </w:rPr>
  </w:style>
  <w:style w:type="paragraph" w:styleId="Textbubliny">
    <w:name w:val="Balloon Text"/>
    <w:basedOn w:val="Normln"/>
    <w:link w:val="TextbublinyChar"/>
    <w:uiPriority w:val="99"/>
    <w:semiHidden/>
    <w:unhideWhenUsed/>
    <w:rsid w:val="00E71A58"/>
    <w:rPr>
      <w:rFonts w:ascii="Tahoma" w:eastAsia="Calibri" w:hAnsi="Tahoma"/>
      <w:sz w:val="16"/>
      <w:szCs w:val="16"/>
    </w:rPr>
  </w:style>
  <w:style w:type="character" w:customStyle="1" w:styleId="TextbublinyChar">
    <w:name w:val="Text bubliny Char"/>
    <w:link w:val="Textbubliny"/>
    <w:uiPriority w:val="99"/>
    <w:semiHidden/>
    <w:rsid w:val="00E71A58"/>
    <w:rPr>
      <w:rFonts w:ascii="Tahoma" w:hAnsi="Tahoma" w:cs="Tahoma"/>
      <w:sz w:val="16"/>
      <w:szCs w:val="16"/>
    </w:rPr>
  </w:style>
  <w:style w:type="paragraph" w:customStyle="1" w:styleId="Zkladnodstavec">
    <w:name w:val="[Základní odstavec]"/>
    <w:link w:val="ZkladnodstavecChar"/>
    <w:uiPriority w:val="99"/>
    <w:rsid w:val="0008263E"/>
    <w:pPr>
      <w:autoSpaceDE w:val="0"/>
      <w:autoSpaceDN w:val="0"/>
      <w:adjustRightInd w:val="0"/>
      <w:spacing w:line="276" w:lineRule="auto"/>
      <w:textAlignment w:val="center"/>
    </w:pPr>
    <w:rPr>
      <w:rFonts w:ascii="Arial" w:hAnsi="Arial" w:cs="Minion Pro"/>
      <w:color w:val="000000"/>
      <w:szCs w:val="24"/>
      <w:lang w:eastAsia="cs-CZ"/>
    </w:rPr>
  </w:style>
  <w:style w:type="character" w:customStyle="1" w:styleId="ZkladnodstavecChar">
    <w:name w:val="[Základní odstavec] Char"/>
    <w:link w:val="Zkladnodstavec"/>
    <w:uiPriority w:val="99"/>
    <w:rsid w:val="0008263E"/>
    <w:rPr>
      <w:rFonts w:ascii="Arial" w:hAnsi="Arial" w:cs="Minion Pro"/>
      <w:color w:val="000000"/>
      <w:szCs w:val="24"/>
    </w:rPr>
  </w:style>
  <w:style w:type="paragraph" w:styleId="Obsah1">
    <w:name w:val="toc 1"/>
    <w:basedOn w:val="Obsahpoloky"/>
    <w:next w:val="Obsahpoloky"/>
    <w:autoRedefine/>
    <w:uiPriority w:val="39"/>
    <w:unhideWhenUsed/>
    <w:rsid w:val="00EA0840"/>
    <w:rPr>
      <w:noProof/>
      <w:lang w:eastAsia="en-US"/>
    </w:rPr>
  </w:style>
  <w:style w:type="paragraph" w:customStyle="1" w:styleId="TLIdentifikace-sted">
    <w:name w:val="TL Identifikace - střed"/>
    <w:qFormat/>
    <w:rsid w:val="009A60D1"/>
    <w:pPr>
      <w:spacing w:after="200" w:line="288" w:lineRule="auto"/>
    </w:pPr>
    <w:rPr>
      <w:rFonts w:ascii="Arial" w:eastAsia="Times New Roman" w:hAnsi="Arial"/>
      <w:sz w:val="24"/>
      <w:szCs w:val="24"/>
      <w:lang w:eastAsia="cs-CZ"/>
    </w:rPr>
  </w:style>
  <w:style w:type="paragraph" w:customStyle="1" w:styleId="Obsah">
    <w:name w:val="Obsah"/>
    <w:next w:val="Normln"/>
    <w:qFormat/>
    <w:rsid w:val="00846121"/>
    <w:pPr>
      <w:spacing w:after="80" w:line="288" w:lineRule="auto"/>
    </w:pPr>
    <w:rPr>
      <w:rFonts w:ascii="Arial" w:eastAsia="Times New Roman" w:hAnsi="Arial"/>
      <w:b/>
      <w:color w:val="71818C"/>
      <w:sz w:val="32"/>
      <w:szCs w:val="24"/>
      <w:lang w:eastAsia="cs-CZ"/>
    </w:rPr>
  </w:style>
  <w:style w:type="paragraph" w:customStyle="1" w:styleId="Obsahpoloky">
    <w:name w:val="Obsah položky"/>
    <w:qFormat/>
    <w:rsid w:val="00616E05"/>
    <w:pPr>
      <w:tabs>
        <w:tab w:val="right" w:leader="dot" w:pos="9639"/>
      </w:tabs>
      <w:spacing w:line="288" w:lineRule="auto"/>
    </w:pPr>
    <w:rPr>
      <w:rFonts w:ascii="Arial" w:eastAsia="Times New Roman" w:hAnsi="Arial"/>
      <w:szCs w:val="24"/>
      <w:lang w:eastAsia="cs-CZ"/>
    </w:rPr>
  </w:style>
  <w:style w:type="paragraph" w:customStyle="1" w:styleId="A-Box1">
    <w:name w:val="A-Box 1"/>
    <w:next w:val="Normln"/>
    <w:qFormat/>
    <w:rsid w:val="00F84E7D"/>
    <w:pPr>
      <w:shd w:val="clear" w:color="auto" w:fill="EAECEE"/>
      <w:spacing w:before="240" w:after="240" w:line="276" w:lineRule="auto"/>
      <w:contextualSpacing/>
      <w:jc w:val="both"/>
    </w:pPr>
    <w:rPr>
      <w:rFonts w:ascii="Arial" w:hAnsi="Arial" w:cs="Arial"/>
      <w:lang w:eastAsia="cs-CZ"/>
    </w:rPr>
  </w:style>
  <w:style w:type="paragraph" w:customStyle="1" w:styleId="A-Box2">
    <w:name w:val="A-Box 2"/>
    <w:next w:val="Normln"/>
    <w:qFormat/>
    <w:rsid w:val="00D075BE"/>
    <w:pPr>
      <w:spacing w:before="240" w:after="240" w:line="276" w:lineRule="auto"/>
      <w:contextualSpacing/>
      <w:jc w:val="both"/>
    </w:pPr>
    <w:rPr>
      <w:rFonts w:ascii="Arial" w:hAnsi="Arial" w:cs="Arial"/>
      <w:color w:val="71818C"/>
      <w:lang w:eastAsia="cs-CZ"/>
    </w:rPr>
  </w:style>
  <w:style w:type="paragraph" w:styleId="Seznam">
    <w:name w:val="List"/>
    <w:basedOn w:val="Normln"/>
    <w:uiPriority w:val="99"/>
    <w:unhideWhenUsed/>
    <w:qFormat/>
    <w:rsid w:val="00481E40"/>
    <w:pPr>
      <w:contextualSpacing/>
    </w:pPr>
  </w:style>
  <w:style w:type="character" w:styleId="Siln">
    <w:name w:val="Strong"/>
    <w:aliases w:val="Tučné"/>
    <w:uiPriority w:val="22"/>
    <w:qFormat/>
    <w:rsid w:val="00EC03D7"/>
    <w:rPr>
      <w:rFonts w:ascii="Arial" w:hAnsi="Arial"/>
      <w:b/>
      <w:bCs/>
      <w:sz w:val="20"/>
    </w:rPr>
  </w:style>
  <w:style w:type="paragraph" w:customStyle="1" w:styleId="TLKontaktyerven">
    <w:name w:val="TL Kontakty červené"/>
    <w:basedOn w:val="Normln"/>
    <w:qFormat/>
    <w:rsid w:val="00104C4C"/>
    <w:pPr>
      <w:spacing w:after="40"/>
      <w:contextualSpacing/>
    </w:pPr>
    <w:rPr>
      <w:b/>
      <w:caps/>
      <w:color w:val="BD1B21"/>
      <w:sz w:val="24"/>
    </w:rPr>
  </w:style>
  <w:style w:type="paragraph" w:customStyle="1" w:styleId="TLKontakty">
    <w:name w:val="TL Kontakty"/>
    <w:qFormat/>
    <w:rsid w:val="008E6F06"/>
    <w:pPr>
      <w:spacing w:after="160" w:line="259" w:lineRule="auto"/>
      <w:contextualSpacing/>
    </w:pPr>
    <w:rPr>
      <w:rFonts w:ascii="Arial" w:eastAsia="Times New Roman" w:hAnsi="Arial"/>
      <w:b/>
      <w:color w:val="0071BC"/>
      <w:lang w:eastAsia="cs-CZ"/>
    </w:rPr>
  </w:style>
  <w:style w:type="paragraph" w:styleId="Nzev">
    <w:name w:val="Title"/>
    <w:link w:val="NzevChar"/>
    <w:uiPriority w:val="10"/>
    <w:qFormat/>
    <w:rsid w:val="00846121"/>
    <w:pPr>
      <w:spacing w:line="288" w:lineRule="auto"/>
    </w:pPr>
    <w:rPr>
      <w:rFonts w:ascii="Arial" w:eastAsia="Times New Roman" w:hAnsi="Arial"/>
      <w:b/>
      <w:bCs/>
      <w:caps/>
      <w:color w:val="71818C"/>
      <w:kern w:val="28"/>
      <w:sz w:val="56"/>
      <w:szCs w:val="32"/>
      <w:lang w:eastAsia="cs-CZ"/>
    </w:rPr>
  </w:style>
  <w:style w:type="character" w:customStyle="1" w:styleId="NzevChar">
    <w:name w:val="Název Char"/>
    <w:link w:val="Nzev"/>
    <w:uiPriority w:val="10"/>
    <w:rsid w:val="00846121"/>
    <w:rPr>
      <w:rFonts w:ascii="Arial" w:eastAsia="Times New Roman" w:hAnsi="Arial"/>
      <w:b/>
      <w:bCs/>
      <w:caps/>
      <w:color w:val="71818C"/>
      <w:kern w:val="28"/>
      <w:sz w:val="56"/>
      <w:szCs w:val="32"/>
    </w:rPr>
  </w:style>
  <w:style w:type="paragraph" w:styleId="Podnadpis">
    <w:name w:val="Subtitle"/>
    <w:link w:val="PodnadpisChar"/>
    <w:uiPriority w:val="11"/>
    <w:qFormat/>
    <w:rsid w:val="00846121"/>
    <w:pPr>
      <w:spacing w:line="288" w:lineRule="auto"/>
    </w:pPr>
    <w:rPr>
      <w:rFonts w:ascii="Arial" w:eastAsia="Times New Roman" w:hAnsi="Arial" w:cs="Arial"/>
      <w:b/>
      <w:color w:val="71818C"/>
      <w:sz w:val="28"/>
      <w:szCs w:val="24"/>
      <w:lang w:eastAsia="cs-CZ"/>
    </w:rPr>
  </w:style>
  <w:style w:type="character" w:customStyle="1" w:styleId="PodnadpisChar">
    <w:name w:val="Podnadpis Char"/>
    <w:link w:val="Podnadpis"/>
    <w:uiPriority w:val="11"/>
    <w:rsid w:val="00846121"/>
    <w:rPr>
      <w:rFonts w:ascii="Arial" w:eastAsia="Times New Roman" w:hAnsi="Arial" w:cs="Arial"/>
      <w:b/>
      <w:color w:val="71818C"/>
      <w:sz w:val="28"/>
      <w:szCs w:val="24"/>
    </w:rPr>
  </w:style>
  <w:style w:type="paragraph" w:styleId="Obsah2">
    <w:name w:val="toc 2"/>
    <w:basedOn w:val="Obsahpoloky"/>
    <w:next w:val="Obsahpoloky"/>
    <w:autoRedefine/>
    <w:uiPriority w:val="39"/>
    <w:unhideWhenUsed/>
    <w:rsid w:val="00FC1A95"/>
    <w:pPr>
      <w:ind w:left="200"/>
    </w:pPr>
  </w:style>
  <w:style w:type="paragraph" w:styleId="Obsah3">
    <w:name w:val="toc 3"/>
    <w:basedOn w:val="Obsahpoloky"/>
    <w:next w:val="Obsahpoloky"/>
    <w:autoRedefine/>
    <w:uiPriority w:val="39"/>
    <w:unhideWhenUsed/>
    <w:rsid w:val="00FC1A95"/>
    <w:pPr>
      <w:ind w:left="400"/>
    </w:pPr>
  </w:style>
  <w:style w:type="paragraph" w:styleId="Obsah4">
    <w:name w:val="toc 4"/>
    <w:basedOn w:val="Obsahpoloky"/>
    <w:next w:val="Obsahpoloky"/>
    <w:autoRedefine/>
    <w:uiPriority w:val="39"/>
    <w:unhideWhenUsed/>
    <w:rsid w:val="00FC1A95"/>
    <w:pPr>
      <w:ind w:left="600"/>
    </w:pPr>
  </w:style>
  <w:style w:type="paragraph" w:styleId="Obsah5">
    <w:name w:val="toc 5"/>
    <w:basedOn w:val="Obsahpoloky"/>
    <w:next w:val="Obsahpoloky"/>
    <w:autoRedefine/>
    <w:uiPriority w:val="39"/>
    <w:semiHidden/>
    <w:unhideWhenUsed/>
    <w:rsid w:val="00FC1A95"/>
    <w:pPr>
      <w:ind w:left="800"/>
    </w:pPr>
  </w:style>
  <w:style w:type="paragraph" w:styleId="Obsah6">
    <w:name w:val="toc 6"/>
    <w:basedOn w:val="Obsahpoloky"/>
    <w:next w:val="Obsahpoloky"/>
    <w:autoRedefine/>
    <w:uiPriority w:val="39"/>
    <w:semiHidden/>
    <w:unhideWhenUsed/>
    <w:rsid w:val="00FC1A95"/>
    <w:pPr>
      <w:ind w:left="1000"/>
    </w:pPr>
  </w:style>
  <w:style w:type="paragraph" w:styleId="Obsah7">
    <w:name w:val="toc 7"/>
    <w:basedOn w:val="Obsahpoloky"/>
    <w:next w:val="Obsahpoloky"/>
    <w:autoRedefine/>
    <w:uiPriority w:val="39"/>
    <w:semiHidden/>
    <w:unhideWhenUsed/>
    <w:rsid w:val="00FC1A95"/>
    <w:pPr>
      <w:ind w:left="1200"/>
    </w:pPr>
  </w:style>
  <w:style w:type="paragraph" w:styleId="Obsah8">
    <w:name w:val="toc 8"/>
    <w:basedOn w:val="Obsahpoloky"/>
    <w:next w:val="Obsahpoloky"/>
    <w:autoRedefine/>
    <w:uiPriority w:val="39"/>
    <w:semiHidden/>
    <w:unhideWhenUsed/>
    <w:rsid w:val="00FC1A95"/>
    <w:pPr>
      <w:ind w:left="1400"/>
    </w:pPr>
  </w:style>
  <w:style w:type="paragraph" w:styleId="Obsah9">
    <w:name w:val="toc 9"/>
    <w:basedOn w:val="Obsahpoloky"/>
    <w:next w:val="Obsahpoloky"/>
    <w:autoRedefine/>
    <w:uiPriority w:val="39"/>
    <w:semiHidden/>
    <w:unhideWhenUsed/>
    <w:rsid w:val="00924AC8"/>
    <w:pPr>
      <w:ind w:left="1600"/>
    </w:pPr>
  </w:style>
  <w:style w:type="character" w:customStyle="1" w:styleId="Nadpis5Char">
    <w:name w:val="Nadpis 5 Char"/>
    <w:basedOn w:val="Standardnpsmoodstavce"/>
    <w:link w:val="Nadpis5"/>
    <w:uiPriority w:val="9"/>
    <w:semiHidden/>
    <w:rsid w:val="007A516D"/>
    <w:rPr>
      <w:rFonts w:asciiTheme="majorHAnsi" w:eastAsiaTheme="majorEastAsia" w:hAnsiTheme="majorHAnsi" w:cstheme="majorBidi"/>
      <w:color w:val="243F60" w:themeColor="accent1" w:themeShade="7F"/>
      <w:szCs w:val="24"/>
      <w:lang w:eastAsia="cs-CZ"/>
    </w:rPr>
  </w:style>
  <w:style w:type="character" w:customStyle="1" w:styleId="Nadpis6Char">
    <w:name w:val="Nadpis 6 Char"/>
    <w:basedOn w:val="Standardnpsmoodstavce"/>
    <w:link w:val="Nadpis6"/>
    <w:uiPriority w:val="9"/>
    <w:semiHidden/>
    <w:rsid w:val="007A516D"/>
    <w:rPr>
      <w:rFonts w:asciiTheme="majorHAnsi" w:eastAsiaTheme="majorEastAsia" w:hAnsiTheme="majorHAnsi" w:cstheme="majorBidi"/>
      <w:i/>
      <w:iCs/>
      <w:color w:val="243F60" w:themeColor="accent1" w:themeShade="7F"/>
      <w:szCs w:val="24"/>
      <w:lang w:eastAsia="cs-CZ"/>
    </w:rPr>
  </w:style>
  <w:style w:type="character" w:customStyle="1" w:styleId="Nadpis7Char">
    <w:name w:val="Nadpis 7 Char"/>
    <w:basedOn w:val="Standardnpsmoodstavce"/>
    <w:link w:val="Nadpis7"/>
    <w:uiPriority w:val="9"/>
    <w:semiHidden/>
    <w:rsid w:val="007A516D"/>
    <w:rPr>
      <w:rFonts w:asciiTheme="majorHAnsi" w:eastAsiaTheme="majorEastAsia" w:hAnsiTheme="majorHAnsi" w:cstheme="majorBidi"/>
      <w:i/>
      <w:iCs/>
      <w:color w:val="404040" w:themeColor="text1" w:themeTint="BF"/>
      <w:szCs w:val="24"/>
      <w:lang w:eastAsia="cs-CZ"/>
    </w:rPr>
  </w:style>
  <w:style w:type="character" w:customStyle="1" w:styleId="Nadpis8Char">
    <w:name w:val="Nadpis 8 Char"/>
    <w:basedOn w:val="Standardnpsmoodstavce"/>
    <w:link w:val="Nadpis8"/>
    <w:uiPriority w:val="9"/>
    <w:semiHidden/>
    <w:rsid w:val="007A516D"/>
    <w:rPr>
      <w:rFonts w:asciiTheme="majorHAnsi" w:eastAsiaTheme="majorEastAsia" w:hAnsiTheme="majorHAnsi" w:cstheme="majorBidi"/>
      <w:color w:val="404040" w:themeColor="text1" w:themeTint="BF"/>
      <w:lang w:eastAsia="cs-CZ"/>
    </w:rPr>
  </w:style>
  <w:style w:type="paragraph" w:styleId="Textpoznpodarou">
    <w:name w:val="footnote text"/>
    <w:aliases w:val="Text pozn. pod čarou_martin_ang"/>
    <w:basedOn w:val="Normln"/>
    <w:link w:val="TextpoznpodarouChar"/>
    <w:qFormat/>
    <w:rsid w:val="008E7FC9"/>
    <w:pPr>
      <w:spacing w:after="0" w:line="240" w:lineRule="auto"/>
      <w:jc w:val="left"/>
    </w:pPr>
    <w:rPr>
      <w:rFonts w:eastAsia="Calibri"/>
      <w:szCs w:val="20"/>
    </w:rPr>
  </w:style>
  <w:style w:type="character" w:customStyle="1" w:styleId="TextpoznpodarouChar">
    <w:name w:val="Text pozn. pod čarou Char"/>
    <w:aliases w:val="Text pozn. pod čarou_martin_ang Char"/>
    <w:basedOn w:val="Standardnpsmoodstavce"/>
    <w:link w:val="Textpoznpodarou"/>
    <w:qFormat/>
    <w:rsid w:val="008E7FC9"/>
    <w:rPr>
      <w:rFonts w:ascii="Arial" w:hAnsi="Arial"/>
      <w:lang w:eastAsia="cs-CZ"/>
    </w:rPr>
  </w:style>
  <w:style w:type="paragraph" w:styleId="Bezmezer">
    <w:name w:val="No Spacing"/>
    <w:uiPriority w:val="1"/>
    <w:qFormat/>
    <w:rsid w:val="00AD68C4"/>
    <w:pPr>
      <w:jc w:val="both"/>
    </w:pPr>
    <w:rPr>
      <w:rFonts w:ascii="Arial" w:eastAsia="Times New Roman" w:hAnsi="Arial"/>
      <w:szCs w:val="24"/>
      <w:lang w:eastAsia="cs-CZ"/>
    </w:rPr>
  </w:style>
  <w:style w:type="paragraph" w:customStyle="1" w:styleId="Marginlie">
    <w:name w:val="Marginálie"/>
    <w:basedOn w:val="Normln"/>
    <w:qFormat/>
    <w:rsid w:val="0089296D"/>
    <w:pPr>
      <w:spacing w:after="0"/>
      <w:jc w:val="left"/>
    </w:pPr>
    <w:rPr>
      <w:spacing w:val="-2"/>
      <w:sz w:val="16"/>
      <w:szCs w:val="16"/>
    </w:rPr>
  </w:style>
  <w:style w:type="paragraph" w:styleId="Odstavecseseznamem">
    <w:name w:val="List Paragraph"/>
    <w:basedOn w:val="Normln"/>
    <w:uiPriority w:val="34"/>
    <w:qFormat/>
    <w:rsid w:val="006B0F92"/>
    <w:pPr>
      <w:ind w:left="720"/>
      <w:contextualSpacing/>
    </w:pPr>
  </w:style>
  <w:style w:type="paragraph" w:customStyle="1" w:styleId="Normalodrka">
    <w:name w:val="Normal odrážka"/>
    <w:qFormat/>
    <w:rsid w:val="006B0F92"/>
    <w:pPr>
      <w:numPr>
        <w:numId w:val="20"/>
      </w:numPr>
      <w:spacing w:after="240" w:line="276" w:lineRule="auto"/>
      <w:ind w:left="357" w:hanging="357"/>
      <w:jc w:val="both"/>
    </w:pPr>
    <w:rPr>
      <w:rFonts w:ascii="Arial" w:eastAsia="Times New Roman" w:hAnsi="Arial"/>
      <w:szCs w:val="24"/>
      <w:lang w:eastAsia="cs-CZ"/>
    </w:rPr>
  </w:style>
  <w:style w:type="paragraph" w:customStyle="1" w:styleId="Box1">
    <w:name w:val="Box 1"/>
    <w:next w:val="Normln"/>
    <w:qFormat/>
    <w:rsid w:val="00A17D5B"/>
    <w:pPr>
      <w:shd w:val="clear" w:color="auto" w:fill="EBEBEB"/>
      <w:spacing w:before="240" w:after="240" w:line="276" w:lineRule="auto"/>
      <w:ind w:left="709"/>
      <w:contextualSpacing/>
    </w:pPr>
    <w:rPr>
      <w:rFonts w:ascii="Arial" w:hAnsi="Arial" w:cs="Arial"/>
      <w:lang w:eastAsia="cs-CZ"/>
    </w:rPr>
  </w:style>
  <w:style w:type="paragraph" w:customStyle="1" w:styleId="Box2">
    <w:name w:val="Box 2"/>
    <w:next w:val="Normln"/>
    <w:qFormat/>
    <w:rsid w:val="00A17D5B"/>
    <w:pPr>
      <w:spacing w:before="240" w:after="240" w:line="276" w:lineRule="auto"/>
      <w:ind w:left="709"/>
      <w:contextualSpacing/>
    </w:pPr>
    <w:rPr>
      <w:rFonts w:ascii="Arial" w:hAnsi="Arial" w:cs="Arial"/>
      <w:b/>
      <w:color w:val="71818C"/>
      <w:lang w:eastAsia="cs-CZ"/>
    </w:rPr>
  </w:style>
  <w:style w:type="character" w:styleId="Odkaznakoment">
    <w:name w:val="annotation reference"/>
    <w:basedOn w:val="Standardnpsmoodstavce"/>
    <w:uiPriority w:val="99"/>
    <w:semiHidden/>
    <w:unhideWhenUsed/>
    <w:rsid w:val="00E76E61"/>
    <w:rPr>
      <w:sz w:val="16"/>
      <w:szCs w:val="16"/>
    </w:rPr>
  </w:style>
  <w:style w:type="paragraph" w:styleId="Textkomente">
    <w:name w:val="annotation text"/>
    <w:basedOn w:val="Normln"/>
    <w:link w:val="TextkomenteChar"/>
    <w:uiPriority w:val="99"/>
    <w:semiHidden/>
    <w:unhideWhenUsed/>
    <w:rsid w:val="00E76E61"/>
    <w:pPr>
      <w:spacing w:line="240" w:lineRule="auto"/>
    </w:pPr>
    <w:rPr>
      <w:szCs w:val="20"/>
    </w:rPr>
  </w:style>
  <w:style w:type="character" w:customStyle="1" w:styleId="TextkomenteChar">
    <w:name w:val="Text komentáře Char"/>
    <w:basedOn w:val="Standardnpsmoodstavce"/>
    <w:link w:val="Textkomente"/>
    <w:uiPriority w:val="99"/>
    <w:semiHidden/>
    <w:rsid w:val="00E76E61"/>
    <w:rPr>
      <w:rFonts w:ascii="Arial" w:eastAsia="Times New Roman" w:hAnsi="Arial"/>
      <w:lang w:eastAsia="cs-CZ"/>
    </w:rPr>
  </w:style>
  <w:style w:type="paragraph" w:styleId="Pedmtkomente">
    <w:name w:val="annotation subject"/>
    <w:basedOn w:val="Textkomente"/>
    <w:next w:val="Textkomente"/>
    <w:link w:val="PedmtkomenteChar"/>
    <w:uiPriority w:val="99"/>
    <w:semiHidden/>
    <w:unhideWhenUsed/>
    <w:rsid w:val="00E76E61"/>
    <w:rPr>
      <w:b/>
      <w:bCs/>
    </w:rPr>
  </w:style>
  <w:style w:type="character" w:customStyle="1" w:styleId="PedmtkomenteChar">
    <w:name w:val="Předmět komentáře Char"/>
    <w:basedOn w:val="TextkomenteChar"/>
    <w:link w:val="Pedmtkomente"/>
    <w:uiPriority w:val="99"/>
    <w:semiHidden/>
    <w:rsid w:val="00E76E61"/>
    <w:rPr>
      <w:rFonts w:ascii="Arial" w:eastAsia="Times New Roman" w:hAnsi="Arial"/>
      <w:b/>
      <w:bCs/>
      <w:lang w:eastAsia="cs-CZ"/>
    </w:rPr>
  </w:style>
  <w:style w:type="paragraph" w:customStyle="1" w:styleId="Nadpis11">
    <w:name w:val="Nadpis 11"/>
    <w:basedOn w:val="Normln"/>
    <w:uiPriority w:val="9"/>
    <w:qFormat/>
    <w:rsid w:val="00F46502"/>
    <w:pPr>
      <w:keepNext/>
      <w:keepLines/>
      <w:spacing w:after="100"/>
      <w:contextualSpacing/>
      <w:jc w:val="left"/>
      <w:outlineLvl w:val="0"/>
    </w:pPr>
    <w:rPr>
      <w:rFonts w:eastAsia="MS Gothic"/>
      <w:b/>
      <w:bCs/>
      <w:color w:val="71818C"/>
      <w:sz w:val="32"/>
      <w:szCs w:val="28"/>
    </w:rPr>
  </w:style>
  <w:style w:type="paragraph" w:customStyle="1" w:styleId="Nadpis21">
    <w:name w:val="Nadpis 21"/>
    <w:basedOn w:val="Normln"/>
    <w:uiPriority w:val="9"/>
    <w:qFormat/>
    <w:rsid w:val="00F46502"/>
    <w:pPr>
      <w:keepNext/>
      <w:keepLines/>
      <w:spacing w:after="0"/>
      <w:jc w:val="left"/>
      <w:outlineLvl w:val="1"/>
    </w:pPr>
    <w:rPr>
      <w:rFonts w:eastAsia="MS Gothic"/>
      <w:b/>
      <w:bCs/>
      <w:color w:val="71818C"/>
      <w:sz w:val="28"/>
      <w:szCs w:val="26"/>
    </w:rPr>
  </w:style>
  <w:style w:type="paragraph" w:customStyle="1" w:styleId="Textpoznpodarou1">
    <w:name w:val="Text pozn. pod čarou1"/>
    <w:basedOn w:val="Normln"/>
    <w:rsid w:val="00F46502"/>
    <w:pPr>
      <w:spacing w:after="0" w:line="240" w:lineRule="auto"/>
      <w:jc w:val="left"/>
    </w:pPr>
    <w:rPr>
      <w:rFonts w:eastAsia="Calibri"/>
      <w:color w:val="00000A"/>
      <w:szCs w:val="20"/>
    </w:rPr>
  </w:style>
  <w:style w:type="character" w:customStyle="1" w:styleId="TextpoznpodarouChar1">
    <w:name w:val="Text pozn. pod čarou Char1"/>
    <w:aliases w:val="Text pozn. pod čarou_martin_ang Char1"/>
    <w:basedOn w:val="Standardnpsmoodstavce"/>
    <w:semiHidden/>
    <w:rsid w:val="00F46502"/>
    <w:rPr>
      <w:rFonts w:ascii="Arial" w:eastAsia="Times New Roman" w:hAnsi="Arial" w:cs="Times New Roman"/>
      <w:color w:val="00000A"/>
      <w:szCs w:val="20"/>
      <w:lang w:eastAsia="cs-CZ"/>
    </w:rPr>
  </w:style>
  <w:style w:type="character" w:styleId="Znakapoznpodarou">
    <w:name w:val="footnote reference"/>
    <w:basedOn w:val="Standardnpsmoodstavce"/>
    <w:rsid w:val="00F46502"/>
    <w:rPr>
      <w:rFonts w:cs="Times New Roman"/>
      <w:vertAlign w:val="superscript"/>
    </w:rPr>
  </w:style>
  <w:style w:type="character" w:customStyle="1" w:styleId="odkaz-style-wrapper">
    <w:name w:val="odkaz-style-wrapper"/>
    <w:basedOn w:val="Standardnpsmoodstavce"/>
    <w:rsid w:val="00BE6186"/>
  </w:style>
  <w:style w:type="paragraph" w:customStyle="1" w:styleId="Nadpis110">
    <w:name w:val="Nadpis 11"/>
    <w:basedOn w:val="Normln"/>
    <w:uiPriority w:val="9"/>
    <w:qFormat/>
    <w:rsid w:val="00BE6186"/>
    <w:pPr>
      <w:keepNext/>
      <w:keepLines/>
      <w:spacing w:after="100"/>
      <w:contextualSpacing/>
      <w:jc w:val="left"/>
      <w:outlineLvl w:val="0"/>
    </w:pPr>
    <w:rPr>
      <w:rFonts w:eastAsia="MS Gothic"/>
      <w:b/>
      <w:bCs/>
      <w:color w:val="71818C"/>
      <w:sz w:val="32"/>
      <w:szCs w:val="28"/>
    </w:rPr>
  </w:style>
  <w:style w:type="paragraph" w:customStyle="1" w:styleId="Nadpis210">
    <w:name w:val="Nadpis 21"/>
    <w:basedOn w:val="Normln"/>
    <w:uiPriority w:val="9"/>
    <w:qFormat/>
    <w:rsid w:val="00BE6186"/>
    <w:pPr>
      <w:keepNext/>
      <w:keepLines/>
      <w:spacing w:after="0"/>
      <w:jc w:val="left"/>
      <w:outlineLvl w:val="1"/>
    </w:pPr>
    <w:rPr>
      <w:rFonts w:eastAsia="MS Gothic"/>
      <w:b/>
      <w:bCs/>
      <w:color w:val="71818C"/>
      <w:sz w:val="28"/>
      <w:szCs w:val="26"/>
    </w:rPr>
  </w:style>
  <w:style w:type="paragraph" w:customStyle="1" w:styleId="Textpoznpodarou10">
    <w:name w:val="Text pozn. pod čarou1"/>
    <w:basedOn w:val="Normln"/>
    <w:rsid w:val="00BE6186"/>
    <w:pPr>
      <w:spacing w:after="0" w:line="240" w:lineRule="auto"/>
      <w:jc w:val="left"/>
    </w:pPr>
    <w:rPr>
      <w:rFonts w:eastAsia="Calibri"/>
      <w:color w:val="00000A"/>
      <w:szCs w:val="20"/>
    </w:rPr>
  </w:style>
  <w:style w:type="paragraph" w:styleId="Normlnweb">
    <w:name w:val="Normal (Web)"/>
    <w:basedOn w:val="Normln"/>
    <w:uiPriority w:val="99"/>
    <w:unhideWhenUsed/>
    <w:rsid w:val="00C96D08"/>
    <w:pPr>
      <w:spacing w:before="100" w:beforeAutospacing="1" w:after="100" w:afterAutospacing="1" w:line="240" w:lineRule="auto"/>
      <w:jc w:val="left"/>
    </w:pPr>
    <w:rPr>
      <w:rFonts w:ascii="Times New Roman" w:hAnsi="Times New Roman"/>
      <w:sz w:val="24"/>
    </w:rPr>
  </w:style>
  <w:style w:type="paragraph" w:styleId="Zkladntext">
    <w:name w:val="Body Text"/>
    <w:basedOn w:val="Normln"/>
    <w:link w:val="ZkladntextChar"/>
    <w:semiHidden/>
    <w:rsid w:val="004C5FBF"/>
    <w:pPr>
      <w:widowControl w:val="0"/>
      <w:suppressAutoHyphens/>
      <w:autoSpaceDE w:val="0"/>
      <w:autoSpaceDN w:val="0"/>
      <w:adjustRightInd w:val="0"/>
      <w:spacing w:before="120" w:after="0" w:line="215" w:lineRule="exact"/>
    </w:pPr>
    <w:rPr>
      <w:rFonts w:ascii="Times New Roman CE obyèejné" w:hAnsi="Times New Roman CE obyèejné"/>
      <w:szCs w:val="20"/>
    </w:rPr>
  </w:style>
  <w:style w:type="character" w:customStyle="1" w:styleId="ZkladntextChar">
    <w:name w:val="Základní text Char"/>
    <w:basedOn w:val="Standardnpsmoodstavce"/>
    <w:link w:val="Zkladntext"/>
    <w:semiHidden/>
    <w:rsid w:val="004C5FBF"/>
    <w:rPr>
      <w:rFonts w:ascii="Times New Roman CE obyèejné" w:eastAsia="Times New Roman" w:hAnsi="Times New Roman CE obyèejné"/>
      <w:lang w:eastAsia="cs-CZ"/>
    </w:rPr>
  </w:style>
  <w:style w:type="character" w:customStyle="1" w:styleId="content">
    <w:name w:val="content"/>
    <w:basedOn w:val="Standardnpsmoodstavce"/>
    <w:rsid w:val="003C4BE8"/>
  </w:style>
  <w:style w:type="paragraph" w:styleId="Textvysvtlivek">
    <w:name w:val="endnote text"/>
    <w:basedOn w:val="Normln"/>
    <w:link w:val="TextvysvtlivekChar"/>
    <w:uiPriority w:val="99"/>
    <w:semiHidden/>
    <w:unhideWhenUsed/>
    <w:rsid w:val="00744EE6"/>
    <w:pPr>
      <w:spacing w:after="0" w:line="240" w:lineRule="auto"/>
    </w:pPr>
    <w:rPr>
      <w:szCs w:val="20"/>
    </w:rPr>
  </w:style>
  <w:style w:type="character" w:customStyle="1" w:styleId="TextvysvtlivekChar">
    <w:name w:val="Text vysvětlivek Char"/>
    <w:basedOn w:val="Standardnpsmoodstavce"/>
    <w:link w:val="Textvysvtlivek"/>
    <w:uiPriority w:val="99"/>
    <w:semiHidden/>
    <w:rsid w:val="00744EE6"/>
    <w:rPr>
      <w:rFonts w:ascii="Arial" w:eastAsia="Times New Roman" w:hAnsi="Arial"/>
      <w:lang w:eastAsia="cs-CZ"/>
    </w:rPr>
  </w:style>
  <w:style w:type="character" w:styleId="Odkaznavysvtlivky">
    <w:name w:val="endnote reference"/>
    <w:basedOn w:val="Standardnpsmoodstavce"/>
    <w:uiPriority w:val="99"/>
    <w:semiHidden/>
    <w:unhideWhenUsed/>
    <w:rsid w:val="00744EE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86699">
      <w:bodyDiv w:val="1"/>
      <w:marLeft w:val="0"/>
      <w:marRight w:val="0"/>
      <w:marTop w:val="0"/>
      <w:marBottom w:val="0"/>
      <w:divBdr>
        <w:top w:val="none" w:sz="0" w:space="0" w:color="auto"/>
        <w:left w:val="none" w:sz="0" w:space="0" w:color="auto"/>
        <w:bottom w:val="none" w:sz="0" w:space="0" w:color="auto"/>
        <w:right w:val="none" w:sz="0" w:space="0" w:color="auto"/>
      </w:divBdr>
    </w:div>
    <w:div w:id="49615720">
      <w:bodyDiv w:val="1"/>
      <w:marLeft w:val="60"/>
      <w:marRight w:val="60"/>
      <w:marTop w:val="60"/>
      <w:marBottom w:val="15"/>
      <w:divBdr>
        <w:top w:val="none" w:sz="0" w:space="0" w:color="auto"/>
        <w:left w:val="none" w:sz="0" w:space="0" w:color="auto"/>
        <w:bottom w:val="none" w:sz="0" w:space="0" w:color="auto"/>
        <w:right w:val="none" w:sz="0" w:space="0" w:color="auto"/>
      </w:divBdr>
      <w:divsChild>
        <w:div w:id="658968227">
          <w:marLeft w:val="0"/>
          <w:marRight w:val="0"/>
          <w:marTop w:val="0"/>
          <w:marBottom w:val="0"/>
          <w:divBdr>
            <w:top w:val="none" w:sz="0" w:space="0" w:color="auto"/>
            <w:left w:val="none" w:sz="0" w:space="0" w:color="auto"/>
            <w:bottom w:val="none" w:sz="0" w:space="0" w:color="auto"/>
            <w:right w:val="none" w:sz="0" w:space="0" w:color="auto"/>
          </w:divBdr>
        </w:div>
      </w:divsChild>
    </w:div>
    <w:div w:id="264115308">
      <w:bodyDiv w:val="1"/>
      <w:marLeft w:val="0"/>
      <w:marRight w:val="0"/>
      <w:marTop w:val="0"/>
      <w:marBottom w:val="0"/>
      <w:divBdr>
        <w:top w:val="none" w:sz="0" w:space="0" w:color="auto"/>
        <w:left w:val="none" w:sz="0" w:space="0" w:color="auto"/>
        <w:bottom w:val="none" w:sz="0" w:space="0" w:color="auto"/>
        <w:right w:val="none" w:sz="0" w:space="0" w:color="auto"/>
      </w:divBdr>
    </w:div>
    <w:div w:id="493226895">
      <w:bodyDiv w:val="1"/>
      <w:marLeft w:val="0"/>
      <w:marRight w:val="0"/>
      <w:marTop w:val="0"/>
      <w:marBottom w:val="0"/>
      <w:divBdr>
        <w:top w:val="none" w:sz="0" w:space="0" w:color="auto"/>
        <w:left w:val="none" w:sz="0" w:space="0" w:color="auto"/>
        <w:bottom w:val="none" w:sz="0" w:space="0" w:color="auto"/>
        <w:right w:val="none" w:sz="0" w:space="0" w:color="auto"/>
      </w:divBdr>
    </w:div>
    <w:div w:id="533806547">
      <w:bodyDiv w:val="1"/>
      <w:marLeft w:val="0"/>
      <w:marRight w:val="0"/>
      <w:marTop w:val="0"/>
      <w:marBottom w:val="0"/>
      <w:divBdr>
        <w:top w:val="none" w:sz="0" w:space="0" w:color="auto"/>
        <w:left w:val="none" w:sz="0" w:space="0" w:color="auto"/>
        <w:bottom w:val="none" w:sz="0" w:space="0" w:color="auto"/>
        <w:right w:val="none" w:sz="0" w:space="0" w:color="auto"/>
      </w:divBdr>
    </w:div>
    <w:div w:id="683020579">
      <w:bodyDiv w:val="1"/>
      <w:marLeft w:val="0"/>
      <w:marRight w:val="0"/>
      <w:marTop w:val="0"/>
      <w:marBottom w:val="0"/>
      <w:divBdr>
        <w:top w:val="none" w:sz="0" w:space="0" w:color="auto"/>
        <w:left w:val="none" w:sz="0" w:space="0" w:color="auto"/>
        <w:bottom w:val="none" w:sz="0" w:space="0" w:color="auto"/>
        <w:right w:val="none" w:sz="0" w:space="0" w:color="auto"/>
      </w:divBdr>
    </w:div>
    <w:div w:id="932319695">
      <w:bodyDiv w:val="1"/>
      <w:marLeft w:val="0"/>
      <w:marRight w:val="0"/>
      <w:marTop w:val="0"/>
      <w:marBottom w:val="0"/>
      <w:divBdr>
        <w:top w:val="none" w:sz="0" w:space="0" w:color="auto"/>
        <w:left w:val="none" w:sz="0" w:space="0" w:color="auto"/>
        <w:bottom w:val="none" w:sz="0" w:space="0" w:color="auto"/>
        <w:right w:val="none" w:sz="0" w:space="0" w:color="auto"/>
      </w:divBdr>
    </w:div>
    <w:div w:id="1208487203">
      <w:bodyDiv w:val="1"/>
      <w:marLeft w:val="0"/>
      <w:marRight w:val="0"/>
      <w:marTop w:val="0"/>
      <w:marBottom w:val="0"/>
      <w:divBdr>
        <w:top w:val="none" w:sz="0" w:space="0" w:color="auto"/>
        <w:left w:val="none" w:sz="0" w:space="0" w:color="auto"/>
        <w:bottom w:val="none" w:sz="0" w:space="0" w:color="auto"/>
        <w:right w:val="none" w:sz="0" w:space="0" w:color="auto"/>
      </w:divBdr>
    </w:div>
    <w:div w:id="1235356648">
      <w:bodyDiv w:val="1"/>
      <w:marLeft w:val="240"/>
      <w:marRight w:val="240"/>
      <w:marTop w:val="240"/>
      <w:marBottom w:val="60"/>
      <w:divBdr>
        <w:top w:val="none" w:sz="0" w:space="0" w:color="auto"/>
        <w:left w:val="none" w:sz="0" w:space="0" w:color="auto"/>
        <w:bottom w:val="none" w:sz="0" w:space="0" w:color="auto"/>
        <w:right w:val="none" w:sz="0" w:space="0" w:color="auto"/>
      </w:divBdr>
      <w:divsChild>
        <w:div w:id="1242060051">
          <w:marLeft w:val="0"/>
          <w:marRight w:val="0"/>
          <w:marTop w:val="0"/>
          <w:marBottom w:val="0"/>
          <w:divBdr>
            <w:top w:val="none" w:sz="0" w:space="0" w:color="auto"/>
            <w:left w:val="none" w:sz="0" w:space="0" w:color="auto"/>
            <w:bottom w:val="none" w:sz="0" w:space="0" w:color="auto"/>
            <w:right w:val="none" w:sz="0" w:space="0" w:color="auto"/>
          </w:divBdr>
          <w:divsChild>
            <w:div w:id="1352418194">
              <w:marLeft w:val="0"/>
              <w:marRight w:val="0"/>
              <w:marTop w:val="0"/>
              <w:marBottom w:val="0"/>
              <w:divBdr>
                <w:top w:val="none" w:sz="0" w:space="0" w:color="auto"/>
                <w:left w:val="none" w:sz="0" w:space="0" w:color="auto"/>
                <w:bottom w:val="none" w:sz="0" w:space="0" w:color="auto"/>
                <w:right w:val="none" w:sz="0" w:space="0" w:color="auto"/>
              </w:divBdr>
            </w:div>
            <w:div w:id="1419256889">
              <w:marLeft w:val="0"/>
              <w:marRight w:val="0"/>
              <w:marTop w:val="0"/>
              <w:marBottom w:val="0"/>
              <w:divBdr>
                <w:top w:val="none" w:sz="0" w:space="0" w:color="auto"/>
                <w:left w:val="none" w:sz="0" w:space="0" w:color="auto"/>
                <w:bottom w:val="none" w:sz="0" w:space="0" w:color="auto"/>
                <w:right w:val="none" w:sz="0" w:space="0" w:color="auto"/>
              </w:divBdr>
            </w:div>
            <w:div w:id="1012336419">
              <w:marLeft w:val="0"/>
              <w:marRight w:val="0"/>
              <w:marTop w:val="0"/>
              <w:marBottom w:val="0"/>
              <w:divBdr>
                <w:top w:val="none" w:sz="0" w:space="0" w:color="auto"/>
                <w:left w:val="none" w:sz="0" w:space="0" w:color="auto"/>
                <w:bottom w:val="none" w:sz="0" w:space="0" w:color="auto"/>
                <w:right w:val="none" w:sz="0" w:space="0" w:color="auto"/>
              </w:divBdr>
            </w:div>
            <w:div w:id="1187673128">
              <w:marLeft w:val="0"/>
              <w:marRight w:val="0"/>
              <w:marTop w:val="0"/>
              <w:marBottom w:val="0"/>
              <w:divBdr>
                <w:top w:val="none" w:sz="0" w:space="0" w:color="auto"/>
                <w:left w:val="none" w:sz="0" w:space="0" w:color="auto"/>
                <w:bottom w:val="none" w:sz="0" w:space="0" w:color="auto"/>
                <w:right w:val="none" w:sz="0" w:space="0" w:color="auto"/>
              </w:divBdr>
            </w:div>
            <w:div w:id="1325158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5689476">
      <w:bodyDiv w:val="1"/>
      <w:marLeft w:val="0"/>
      <w:marRight w:val="0"/>
      <w:marTop w:val="0"/>
      <w:marBottom w:val="0"/>
      <w:divBdr>
        <w:top w:val="none" w:sz="0" w:space="0" w:color="auto"/>
        <w:left w:val="none" w:sz="0" w:space="0" w:color="auto"/>
        <w:bottom w:val="none" w:sz="0" w:space="0" w:color="auto"/>
        <w:right w:val="none" w:sz="0" w:space="0" w:color="auto"/>
      </w:divBdr>
    </w:div>
    <w:div w:id="1412266825">
      <w:bodyDiv w:val="1"/>
      <w:marLeft w:val="60"/>
      <w:marRight w:val="60"/>
      <w:marTop w:val="60"/>
      <w:marBottom w:val="15"/>
      <w:divBdr>
        <w:top w:val="none" w:sz="0" w:space="0" w:color="auto"/>
        <w:left w:val="none" w:sz="0" w:space="0" w:color="auto"/>
        <w:bottom w:val="none" w:sz="0" w:space="0" w:color="auto"/>
        <w:right w:val="none" w:sz="0" w:space="0" w:color="auto"/>
      </w:divBdr>
      <w:divsChild>
        <w:div w:id="1418138374">
          <w:marLeft w:val="0"/>
          <w:marRight w:val="0"/>
          <w:marTop w:val="0"/>
          <w:marBottom w:val="0"/>
          <w:divBdr>
            <w:top w:val="none" w:sz="0" w:space="0" w:color="auto"/>
            <w:left w:val="none" w:sz="0" w:space="0" w:color="auto"/>
            <w:bottom w:val="none" w:sz="0" w:space="0" w:color="auto"/>
            <w:right w:val="none" w:sz="0" w:space="0" w:color="auto"/>
          </w:divBdr>
        </w:div>
      </w:divsChild>
    </w:div>
    <w:div w:id="1486582325">
      <w:bodyDiv w:val="1"/>
      <w:marLeft w:val="0"/>
      <w:marRight w:val="0"/>
      <w:marTop w:val="0"/>
      <w:marBottom w:val="0"/>
      <w:divBdr>
        <w:top w:val="none" w:sz="0" w:space="0" w:color="auto"/>
        <w:left w:val="none" w:sz="0" w:space="0" w:color="auto"/>
        <w:bottom w:val="none" w:sz="0" w:space="0" w:color="auto"/>
        <w:right w:val="none" w:sz="0" w:space="0" w:color="auto"/>
      </w:divBdr>
    </w:div>
    <w:div w:id="1893350832">
      <w:bodyDiv w:val="1"/>
      <w:marLeft w:val="0"/>
      <w:marRight w:val="0"/>
      <w:marTop w:val="0"/>
      <w:marBottom w:val="0"/>
      <w:divBdr>
        <w:top w:val="none" w:sz="0" w:space="0" w:color="auto"/>
        <w:left w:val="none" w:sz="0" w:space="0" w:color="auto"/>
        <w:bottom w:val="none" w:sz="0" w:space="0" w:color="auto"/>
        <w:right w:val="none" w:sz="0" w:space="0" w:color="auto"/>
      </w:divBdr>
    </w:div>
    <w:div w:id="1917548519">
      <w:bodyDiv w:val="1"/>
      <w:marLeft w:val="0"/>
      <w:marRight w:val="0"/>
      <w:marTop w:val="0"/>
      <w:marBottom w:val="0"/>
      <w:divBdr>
        <w:top w:val="none" w:sz="0" w:space="0" w:color="auto"/>
        <w:left w:val="none" w:sz="0" w:space="0" w:color="auto"/>
        <w:bottom w:val="none" w:sz="0" w:space="0" w:color="auto"/>
        <w:right w:val="none" w:sz="0" w:space="0" w:color="auto"/>
      </w:divBdr>
    </w:div>
    <w:div w:id="2088262363">
      <w:bodyDiv w:val="1"/>
      <w:marLeft w:val="0"/>
      <w:marRight w:val="0"/>
      <w:marTop w:val="0"/>
      <w:marBottom w:val="0"/>
      <w:divBdr>
        <w:top w:val="none" w:sz="0" w:space="0" w:color="auto"/>
        <w:left w:val="none" w:sz="0" w:space="0" w:color="auto"/>
        <w:bottom w:val="none" w:sz="0" w:space="0" w:color="auto"/>
        <w:right w:val="none" w:sz="0" w:space="0" w:color="auto"/>
      </w:divBdr>
    </w:div>
    <w:div w:id="211092350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6.xml"/><Relationship Id="rId18" Type="http://schemas.openxmlformats.org/officeDocument/2006/relationships/chart" Target="charts/chart11.xml"/><Relationship Id="rId26" Type="http://schemas.openxmlformats.org/officeDocument/2006/relationships/chart" Target="charts/chart14.xml"/><Relationship Id="rId39" Type="http://schemas.openxmlformats.org/officeDocument/2006/relationships/chart" Target="charts/chart23.xml"/><Relationship Id="rId21" Type="http://schemas.openxmlformats.org/officeDocument/2006/relationships/chart" Target="charts/chart13.xml"/><Relationship Id="rId34" Type="http://schemas.openxmlformats.org/officeDocument/2006/relationships/image" Target="media/image7.jpg"/><Relationship Id="rId42" Type="http://schemas.openxmlformats.org/officeDocument/2006/relationships/chart" Target="charts/chart26.xml"/><Relationship Id="rId47" Type="http://schemas.openxmlformats.org/officeDocument/2006/relationships/chart" Target="charts/chart31.xml"/><Relationship Id="rId50"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9.xml"/><Relationship Id="rId29" Type="http://schemas.openxmlformats.org/officeDocument/2006/relationships/chart" Target="charts/chart17.xml"/><Relationship Id="rId11" Type="http://schemas.openxmlformats.org/officeDocument/2006/relationships/chart" Target="charts/chart4.xml"/><Relationship Id="rId24" Type="http://schemas.openxmlformats.org/officeDocument/2006/relationships/image" Target="media/image5.jpeg"/><Relationship Id="rId32" Type="http://schemas.openxmlformats.org/officeDocument/2006/relationships/chart" Target="charts/chart20.xml"/><Relationship Id="rId37" Type="http://schemas.openxmlformats.org/officeDocument/2006/relationships/image" Target="media/image10.jpg"/><Relationship Id="rId40" Type="http://schemas.openxmlformats.org/officeDocument/2006/relationships/chart" Target="charts/chart24.xml"/><Relationship Id="rId45" Type="http://schemas.openxmlformats.org/officeDocument/2006/relationships/chart" Target="charts/chart29.xml"/><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chart" Target="charts/chart3.xml"/><Relationship Id="rId19" Type="http://schemas.openxmlformats.org/officeDocument/2006/relationships/chart" Target="charts/chart12.xml"/><Relationship Id="rId31" Type="http://schemas.openxmlformats.org/officeDocument/2006/relationships/chart" Target="charts/chart19.xml"/><Relationship Id="rId44" Type="http://schemas.openxmlformats.org/officeDocument/2006/relationships/chart" Target="charts/chart28.xm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chart" Target="charts/chart7.xml"/><Relationship Id="rId22" Type="http://schemas.openxmlformats.org/officeDocument/2006/relationships/image" Target="media/image3.jpeg"/><Relationship Id="rId27" Type="http://schemas.openxmlformats.org/officeDocument/2006/relationships/chart" Target="charts/chart15.xml"/><Relationship Id="rId30" Type="http://schemas.openxmlformats.org/officeDocument/2006/relationships/chart" Target="charts/chart18.xml"/><Relationship Id="rId35" Type="http://schemas.openxmlformats.org/officeDocument/2006/relationships/image" Target="media/image8.jpg"/><Relationship Id="rId43" Type="http://schemas.openxmlformats.org/officeDocument/2006/relationships/chart" Target="charts/chart27.xml"/><Relationship Id="rId48" Type="http://schemas.openxmlformats.org/officeDocument/2006/relationships/header" Target="header1.xml"/><Relationship Id="rId8" Type="http://schemas.openxmlformats.org/officeDocument/2006/relationships/chart" Target="charts/chart1.xml"/><Relationship Id="rId51" Type="http://schemas.openxmlformats.org/officeDocument/2006/relationships/footer" Target="footer2.xml"/><Relationship Id="rId3" Type="http://schemas.openxmlformats.org/officeDocument/2006/relationships/styles" Target="styles.xml"/><Relationship Id="rId12" Type="http://schemas.openxmlformats.org/officeDocument/2006/relationships/chart" Target="charts/chart5.xml"/><Relationship Id="rId17" Type="http://schemas.openxmlformats.org/officeDocument/2006/relationships/chart" Target="charts/chart10.xml"/><Relationship Id="rId25" Type="http://schemas.openxmlformats.org/officeDocument/2006/relationships/image" Target="media/image6.jpg"/><Relationship Id="rId33" Type="http://schemas.openxmlformats.org/officeDocument/2006/relationships/chart" Target="charts/chart21.xml"/><Relationship Id="rId38" Type="http://schemas.openxmlformats.org/officeDocument/2006/relationships/chart" Target="charts/chart22.xml"/><Relationship Id="rId46" Type="http://schemas.openxmlformats.org/officeDocument/2006/relationships/chart" Target="charts/chart30.xml"/><Relationship Id="rId20" Type="http://schemas.openxmlformats.org/officeDocument/2006/relationships/image" Target="media/image2.emf"/><Relationship Id="rId41" Type="http://schemas.openxmlformats.org/officeDocument/2006/relationships/chart" Target="charts/chart25.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8.xml"/><Relationship Id="rId23" Type="http://schemas.openxmlformats.org/officeDocument/2006/relationships/image" Target="media/image4.jpeg"/><Relationship Id="rId28" Type="http://schemas.openxmlformats.org/officeDocument/2006/relationships/chart" Target="charts/chart16.xml"/><Relationship Id="rId36" Type="http://schemas.openxmlformats.org/officeDocument/2006/relationships/image" Target="media/image9.jpg"/><Relationship Id="rId49" Type="http://schemas.openxmlformats.org/officeDocument/2006/relationships/header" Target="header2.xml"/><Relationship Id="rId57" Type="http://schemas.microsoft.com/office/2016/09/relationships/commentsIds" Target="commentsIds.xml"/></Relationships>
</file>

<file path=word/_rels/footer1.xml.rels><?xml version="1.0" encoding="UTF-8" standalone="yes"?>
<Relationships xmlns="http://schemas.openxmlformats.org/package/2006/relationships"><Relationship Id="rId1" Type="http://schemas.openxmlformats.org/officeDocument/2006/relationships/image" Target="media/image11.png"/></Relationships>
</file>

<file path=word/_rels/footer2.xml.rels><?xml version="1.0" encoding="UTF-8" standalone="yes"?>
<Relationships xmlns="http://schemas.openxmlformats.org/package/2006/relationships"><Relationship Id="rId1" Type="http://schemas.openxmlformats.org/officeDocument/2006/relationships/image" Target="media/image1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D:\Dokumenty\Anal&#253;za\Ro&#269;n&#237;%20anal&#253;za%202018\Ana&#253;za%20ekonomick&#233;ho%20v&#253;voje%20v%20roce%202017.dotx"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D:\JKAM%20CSU\PUBLIKACE\PUBLIKACE\2019\Velk&#225;%20makro-Trh%20pr&#225;ce\V&#352;PS-zam&#283;stanost-&#268;R.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E:\Velk&#225;%20makro-trh%20pr&#225;ce-2019\Cizinci-skaldby%20zam&#283;stnanosti.xlsx" TargetMode="External"/></Relationships>
</file>

<file path=word/charts/_rels/chart11.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D:\JKAM%20CSU\PUBLIKACE\PUBLIKACE\2019\Velk&#225;%20makro-Trh%20pr&#225;ce\Grafy-Cizinci-skladby%20zam&#283;stnanosti.xlsx" TargetMode="External"/></Relationships>
</file>

<file path=word/charts/_rels/chart12.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D:\JKAM%20CSU\PUBLIKACE\PUBLIKACE\2019\Velk&#225;%20makro-Trh%20pr&#225;ce\Grafy-Cizinci-skladby%20zam&#283;stnanosti.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E:\Velk&#225;%20makro-trh%20pr&#225;ce-2019\Cizinci-skaldby%20zam&#283;stnanosti.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D:\JKAM%20CSU\PUBLIKACE\PUBLIKACE\2019\Velk&#225;%20makro-Trh%20pr&#225;ce\Grafy-Cizinci-skladby%20zam&#283;stnanosti.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D:\JKAM%20CSU\PUBLIKACE\PUBLIKACE\2019\Velk&#225;%20makro-Trh%20pr&#225;ce\Grafy-Cizinci-skladby%20zam&#283;stnanosti.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D:\JKAM%20CSU\PUBLIKACE\PUBLIKACE\2019\Velk&#225;%20makro-Trh%20pr&#225;ce\Grafy-Cizinci-skladby%20zam&#283;stnanosti.xlsx" TargetMode="External"/></Relationships>
</file>

<file path=word/charts/_rels/chart17.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file:///D:\JKAM%20CSU\PUBLIKACE\PUBLIKACE\2019\Velk&#225;%20makro-Trh%20pr&#225;ce\Grafy-Cizinci-skladby%20zam&#283;stnanosti.xlsx" TargetMode="External"/></Relationships>
</file>

<file path=word/charts/_rels/chart18.xml.rels><?xml version="1.0" encoding="UTF-8" standalone="yes"?>
<Relationships xmlns="http://schemas.openxmlformats.org/package/2006/relationships"><Relationship Id="rId3" Type="http://schemas.openxmlformats.org/officeDocument/2006/relationships/oleObject" Target="file:///D:\JKAM%20CSU\PUBLIKACE\PUBLIKACE\2019\Velk&#225;%20makro-Trh%20pr&#225;ce\2-podklady%20a%20texty-nezam\R-anal&#253;za-Grafy-trh%20pr&#225;ce-nezam-2018.xlsx" TargetMode="External"/><Relationship Id="rId2" Type="http://schemas.microsoft.com/office/2011/relationships/chartColorStyle" Target="colors1.xml"/><Relationship Id="rId1" Type="http://schemas.microsoft.com/office/2011/relationships/chartStyle" Target="style1.xml"/></Relationships>
</file>

<file path=word/charts/_rels/chart19.xml.rels><?xml version="1.0" encoding="UTF-8" standalone="yes"?>
<Relationships xmlns="http://schemas.openxmlformats.org/package/2006/relationships"><Relationship Id="rId3" Type="http://schemas.openxmlformats.org/officeDocument/2006/relationships/oleObject" Target="file:///D:\JKAM%20CSU\PUBLIKACE\PUBLIKACE\2019\Velk&#225;%20makro-Trh%20pr&#225;ce\R-anal&#253;za-Grafy-trh%20pr&#225;ce-2018.xlsx" TargetMode="External"/><Relationship Id="rId2" Type="http://schemas.microsoft.com/office/2011/relationships/chartColorStyle" Target="colors2.xml"/><Relationship Id="rId1" Type="http://schemas.microsoft.com/office/2011/relationships/chartStyle" Target="style2.xm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D:\JKAM%20CSU\PUBLIKACE\PUBLIKACE\2019\Velk&#225;%20makro-Trh%20pr&#225;ce\V&#352;PS-zam&#283;stanost-&#268;R.xlsx" TargetMode="External"/></Relationships>
</file>

<file path=word/charts/_rels/chart20.xml.rels><?xml version="1.0" encoding="UTF-8" standalone="yes"?>
<Relationships xmlns="http://schemas.openxmlformats.org/package/2006/relationships"><Relationship Id="rId3" Type="http://schemas.openxmlformats.org/officeDocument/2006/relationships/oleObject" Target="file:///D:\JKAM%20CSU\PUBLIKACE\PUBLIKACE\2019\Velk&#225;%20makro-Trh%20pr&#225;ce\2-podklady%20a%20texty-nezam\R-anal&#253;za-Grafy-trh%20pr&#225;ce-nezam-2018.xlsx" TargetMode="External"/><Relationship Id="rId2" Type="http://schemas.microsoft.com/office/2011/relationships/chartColorStyle" Target="colors3.xml"/><Relationship Id="rId1" Type="http://schemas.microsoft.com/office/2011/relationships/chartStyle" Target="style3.xml"/></Relationships>
</file>

<file path=word/charts/_rels/chart21.xml.rels><?xml version="1.0" encoding="UTF-8" standalone="yes"?>
<Relationships xmlns="http://schemas.openxmlformats.org/package/2006/relationships"><Relationship Id="rId3" Type="http://schemas.openxmlformats.org/officeDocument/2006/relationships/oleObject" Target="file:///D:\JKAM%20CSU\PUBLIKACE\PUBLIKACE\2019\Velk&#225;%20makro-Trh%20pr&#225;ce\2-podklady%20a%20texty-nezam\R-anal&#253;za-Grafy-trh%20pr&#225;ce-nezam-2018.xlsx" TargetMode="External"/><Relationship Id="rId2" Type="http://schemas.microsoft.com/office/2011/relationships/chartColorStyle" Target="colors4.xml"/><Relationship Id="rId1" Type="http://schemas.microsoft.com/office/2011/relationships/chartStyle" Target="style4.xml"/></Relationships>
</file>

<file path=word/charts/_rels/chart22.xml.rels><?xml version="1.0" encoding="UTF-8" standalone="yes"?>
<Relationships xmlns="http://schemas.openxmlformats.org/package/2006/relationships"><Relationship Id="rId3" Type="http://schemas.openxmlformats.org/officeDocument/2006/relationships/oleObject" Target="file:///D:\JKAM%20CSU\PUBLIKACE\PUBLIKACE\2019\Velk&#225;%20makro-Trh%20pr&#225;ce\Publ.-Struktura%20mezd%20zam-2012-2018.xlsx" TargetMode="External"/><Relationship Id="rId2" Type="http://schemas.microsoft.com/office/2011/relationships/chartColorStyle" Target="colors5.xml"/><Relationship Id="rId1" Type="http://schemas.microsoft.com/office/2011/relationships/chartStyle" Target="style5.xml"/></Relationships>
</file>

<file path=word/charts/_rels/chart23.xml.rels><?xml version="1.0" encoding="UTF-8" standalone="yes"?>
<Relationships xmlns="http://schemas.openxmlformats.org/package/2006/relationships"><Relationship Id="rId3" Type="http://schemas.openxmlformats.org/officeDocument/2006/relationships/oleObject" Target="file:///D:\JKAM%20CSU\PUBLIKACE\PUBLIKACE\2019\Velk&#225;%20makro-Trh%20pr&#225;ce\3-Mzdy%20a%20jejich%20diferenciace\Publ.-Grafy-Struktura%20mezd%20zam-2012-2018.xlsx" TargetMode="External"/><Relationship Id="rId2" Type="http://schemas.microsoft.com/office/2011/relationships/chartColorStyle" Target="colors6.xml"/><Relationship Id="rId1" Type="http://schemas.microsoft.com/office/2011/relationships/chartStyle" Target="style6.xml"/></Relationships>
</file>

<file path=word/charts/_rels/chart24.xml.rels><?xml version="1.0" encoding="UTF-8" standalone="yes"?>
<Relationships xmlns="http://schemas.openxmlformats.org/package/2006/relationships"><Relationship Id="rId3" Type="http://schemas.openxmlformats.org/officeDocument/2006/relationships/oleObject" Target="file:///D:\JKAM%20CSU\PUBLIKACE\PUBLIKACE\2019\Velk&#225;%20makro-Trh%20pr&#225;ce\3-Mzdy%20a%20jejich%20diferenciace\Publ.-Grafy-Struktura%20mezd%20zam-2012-2018.xlsx" TargetMode="External"/><Relationship Id="rId2" Type="http://schemas.microsoft.com/office/2011/relationships/chartColorStyle" Target="colors7.xml"/><Relationship Id="rId1" Type="http://schemas.microsoft.com/office/2011/relationships/chartStyle" Target="style7.xml"/></Relationships>
</file>

<file path=word/charts/_rels/chart25.xml.rels><?xml version="1.0" encoding="UTF-8" standalone="yes"?>
<Relationships xmlns="http://schemas.openxmlformats.org/package/2006/relationships"><Relationship Id="rId3" Type="http://schemas.openxmlformats.org/officeDocument/2006/relationships/oleObject" Target="file:///D:\JKAM%20CSU\PUBLIKACE\PUBLIKACE\2019\Velk&#225;%20makro-Trh%20pr&#225;ce\3-Mzdy%20a%20jejich%20diferenciace\Publ.-Grafy-Struktura%20mezd%20zam-2012-2018.xlsx" TargetMode="Externa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chartUserShapes" Target="../drawings/drawing5.xml"/></Relationships>
</file>

<file path=word/charts/_rels/chart26.xml.rels><?xml version="1.0" encoding="UTF-8" standalone="yes"?>
<Relationships xmlns="http://schemas.openxmlformats.org/package/2006/relationships"><Relationship Id="rId3" Type="http://schemas.openxmlformats.org/officeDocument/2006/relationships/oleObject" Target="file:///D:\JKAM%20CSU\PUBLIKACE\PUBLIKACE\2019\Velk&#225;%20makro-Trh%20pr&#225;ce\3-Mzdy%20a%20jejich%20diferenciace\Publ.-Grafy-Struktura%20mezd%20zam-2012-2018.xlsx" TargetMode="External"/><Relationship Id="rId2" Type="http://schemas.microsoft.com/office/2011/relationships/chartColorStyle" Target="colors9.xml"/><Relationship Id="rId1" Type="http://schemas.microsoft.com/office/2011/relationships/chartStyle" Target="style9.xml"/></Relationships>
</file>

<file path=word/charts/_rels/chart27.xml.rels><?xml version="1.0" encoding="UTF-8" standalone="yes"?>
<Relationships xmlns="http://schemas.openxmlformats.org/package/2006/relationships"><Relationship Id="rId3" Type="http://schemas.openxmlformats.org/officeDocument/2006/relationships/oleObject" Target="file:///D:\JKAM%20CSU\PUBLIKACE\PUBLIKACE\2019\Velk&#225;%20makro-Trh%20pr&#225;ce\3-Mzdy%20a%20jejich%20diferenciace\Publ.-Grafy-Struktura%20mezd%20zam-2012-2018.xlsx" TargetMode="Externa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chartUserShapes" Target="../drawings/drawing6.xml"/></Relationships>
</file>

<file path=word/charts/_rels/chart28.xml.rels><?xml version="1.0" encoding="UTF-8" standalone="yes"?>
<Relationships xmlns="http://schemas.openxmlformats.org/package/2006/relationships"><Relationship Id="rId3" Type="http://schemas.openxmlformats.org/officeDocument/2006/relationships/oleObject" Target="file:///D:\JKAM%20CSU\PUBLIKACE\PUBLIKACE\2019\Velk&#225;%20makro-Trh%20pr&#225;ce\3-Mzdy%20a%20jejich%20diferenciace\Publ.-Grafy-Struktura%20mezd%20zam-2012-2018.xlsx" TargetMode="Externa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chartUserShapes" Target="../drawings/drawing7.xml"/></Relationships>
</file>

<file path=word/charts/_rels/chart29.xml.rels><?xml version="1.0" encoding="UTF-8" standalone="yes"?>
<Relationships xmlns="http://schemas.openxmlformats.org/package/2006/relationships"><Relationship Id="rId3" Type="http://schemas.openxmlformats.org/officeDocument/2006/relationships/oleObject" Target="file:///D:\JKAM%20CSU\PUBLIKACE\PUBLIKACE\2019\Velk&#225;%20makro-Trh%20pr&#225;ce\3-Mzdy%20a%20jejich%20diferenciace\Publ.-Grafy-Struktura%20mezd%20zam-2012-2018.xlsx" TargetMode="External"/><Relationship Id="rId2" Type="http://schemas.microsoft.com/office/2011/relationships/chartColorStyle" Target="colors12.xml"/><Relationship Id="rId1" Type="http://schemas.microsoft.com/office/2011/relationships/chartStyle" Target="style12.xml"/></Relationships>
</file>

<file path=word/charts/_rels/chart3.xml.rels><?xml version="1.0" encoding="UTF-8" standalone="yes"?>
<Relationships xmlns="http://schemas.openxmlformats.org/package/2006/relationships"><Relationship Id="rId1" Type="http://schemas.openxmlformats.org/officeDocument/2006/relationships/oleObject" Target="file:///D:\JKAM%20CSU\PUBLIKACE\PUBLIKACE\2019\Velk&#225;%20makro-Trh%20pr&#225;ce\V&#352;PS-zam&#283;stanost-&#268;R.xlsx" TargetMode="External"/></Relationships>
</file>

<file path=word/charts/_rels/chart30.xml.rels><?xml version="1.0" encoding="UTF-8" standalone="yes"?>
<Relationships xmlns="http://schemas.openxmlformats.org/package/2006/relationships"><Relationship Id="rId3" Type="http://schemas.openxmlformats.org/officeDocument/2006/relationships/oleObject" Target="file:///D:\JKAM%20CSU\PUBLIKACE\PUBLIKACE\2019\Velk&#225;%20makro-Trh%20pr&#225;ce\3-Mzdy%20a%20jejich%20diferenciace\Publ.-Grafy-Struktura%20mezd%20zam-2012-2018.xlsx" TargetMode="Externa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chartUserShapes" Target="../drawings/drawing8.xml"/></Relationships>
</file>

<file path=word/charts/_rels/chart31.xml.rels><?xml version="1.0" encoding="UTF-8" standalone="yes"?>
<Relationships xmlns="http://schemas.openxmlformats.org/package/2006/relationships"><Relationship Id="rId3" Type="http://schemas.openxmlformats.org/officeDocument/2006/relationships/oleObject" Target="file:///D:\JKAM%20CSU\PUBLIKACE\PUBLIKACE\2019\Velk&#225;%20makro-Trh%20pr&#225;ce\Publ.-Struktura%20mezd%20zam-2012-2018.xlsx" TargetMode="External"/><Relationship Id="rId2" Type="http://schemas.microsoft.com/office/2011/relationships/chartColorStyle" Target="colors14.xml"/><Relationship Id="rId1" Type="http://schemas.microsoft.com/office/2011/relationships/chartStyle" Target="style14.xml"/></Relationships>
</file>

<file path=word/charts/_rels/chart4.xml.rels><?xml version="1.0" encoding="UTF-8" standalone="yes"?>
<Relationships xmlns="http://schemas.openxmlformats.org/package/2006/relationships"><Relationship Id="rId1" Type="http://schemas.openxmlformats.org/officeDocument/2006/relationships/oleObject" Target="file:///D:\JKAM%20CSU\PUBLIKACE\PUBLIKACE\2019\Velk&#225;%20makro-Trh%20pr&#225;ce\Cizinci-skaldby%20zam&#283;stnanosti.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E:\Velk&#225;%20makro-trh%20pr&#225;ce-2019\Cizinci-skaldby%20zam&#283;stnanosti.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D:\JKAM%20CSU\PUBLIKACE\PUBLIKACE\2019\Velk&#225;%20makro-Trh%20pr&#225;ce\Grafy-Cizinci-skladby%20zam&#283;stnanosti.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D:\JKAM%20CSU\PUBLIKACE\PUBLIKACE\2019\Velk&#225;%20makro-Trh%20pr&#225;ce\Grafy-Cizinci-skladby%20zam&#283;stnanosti.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D:\JKAM%20CSU\PUBLIKACE\PUBLIKACE\2019\Velk&#225;%20makro-Trh%20pr&#225;ce\Grafy-Cizinci-skladby%20zam&#283;stnanosti.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D:\JKAM%20CSU\PUBLIKACE\PUBLIKACE\2019\Velk&#225;%20makro-Trh%20pr&#225;ce\Grafy-Cizinci-skladby%20zam&#283;stnanosti.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1755603720266684E-2"/>
          <c:y val="2.0121757685483778E-2"/>
          <c:w val="0.88871470762549365"/>
          <c:h val="0.7093741990457415"/>
        </c:manualLayout>
      </c:layout>
      <c:barChart>
        <c:barDir val="col"/>
        <c:grouping val="clustered"/>
        <c:varyColors val="0"/>
        <c:ser>
          <c:idx val="8"/>
          <c:order val="8"/>
          <c:tx>
            <c:strRef>
              <c:f>'Graf-1-Míry EA-věk'!$A$25</c:f>
              <c:strCache>
                <c:ptCount val="1"/>
                <c:pt idx="0">
                  <c:v>Obyvatel ve věku 15–64 let (pr. osa)</c:v>
                </c:pt>
              </c:strCache>
            </c:strRef>
          </c:tx>
          <c:spPr>
            <a:solidFill>
              <a:schemeClr val="bg1">
                <a:lumMod val="95000"/>
              </a:schemeClr>
            </a:solidFill>
            <a:ln>
              <a:solidFill>
                <a:schemeClr val="bg1">
                  <a:lumMod val="85000"/>
                </a:schemeClr>
              </a:solidFill>
            </a:ln>
            <a:effectLst/>
          </c:spPr>
          <c:invertIfNegative val="0"/>
          <c:cat>
            <c:strRef>
              <c:f>'Graf-1-Míry EA-věk'!$B$16:$T$16</c:f>
              <c:strCache>
                <c:ptCount val="19"/>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strCache>
            </c:strRef>
          </c:cat>
          <c:val>
            <c:numRef>
              <c:f>'Graf-1-Míry EA-věk'!$B$25:$T$25</c:f>
              <c:numCache>
                <c:formatCode>0.0</c:formatCode>
                <c:ptCount val="19"/>
                <c:pt idx="0">
                  <c:v>100</c:v>
                </c:pt>
                <c:pt idx="1">
                  <c:v>99.977882805037865</c:v>
                </c:pt>
                <c:pt idx="2">
                  <c:v>100.23032554964162</c:v>
                </c:pt>
                <c:pt idx="3">
                  <c:v>100.67040600997281</c:v>
                </c:pt>
                <c:pt idx="4">
                  <c:v>101.12106344023779</c:v>
                </c:pt>
                <c:pt idx="5">
                  <c:v>101.45208210112402</c:v>
                </c:pt>
                <c:pt idx="6">
                  <c:v>101.96420725151117</c:v>
                </c:pt>
                <c:pt idx="7">
                  <c:v>102.51621665027339</c:v>
                </c:pt>
                <c:pt idx="8">
                  <c:v>103.40587986889678</c:v>
                </c:pt>
                <c:pt idx="9">
                  <c:v>103.69290829406927</c:v>
                </c:pt>
                <c:pt idx="10">
                  <c:v>103.25315598003985</c:v>
                </c:pt>
                <c:pt idx="11">
                  <c:v>101.80154108817912</c:v>
                </c:pt>
                <c:pt idx="12">
                  <c:v>100.86722501807795</c:v>
                </c:pt>
                <c:pt idx="13">
                  <c:v>99.827858979193536</c:v>
                </c:pt>
                <c:pt idx="14">
                  <c:v>98.811932283139697</c:v>
                </c:pt>
                <c:pt idx="15">
                  <c:v>98.044283508093102</c:v>
                </c:pt>
                <c:pt idx="16">
                  <c:v>97.237629614428727</c:v>
                </c:pt>
                <c:pt idx="17">
                  <c:v>96.516304907000645</c:v>
                </c:pt>
                <c:pt idx="18">
                  <c:v>95.989883783430983</c:v>
                </c:pt>
              </c:numCache>
            </c:numRef>
          </c:val>
          <c:extLst>
            <c:ext xmlns:c16="http://schemas.microsoft.com/office/drawing/2014/chart" uri="{C3380CC4-5D6E-409C-BE32-E72D297353CC}">
              <c16:uniqueId val="{00000000-42E3-4C4F-8B9E-0830FEE82F35}"/>
            </c:ext>
          </c:extLst>
        </c:ser>
        <c:ser>
          <c:idx val="9"/>
          <c:order val="9"/>
          <c:tx>
            <c:strRef>
              <c:f>'Graf-1-Míry EA-věk'!$A$26</c:f>
              <c:strCache>
                <c:ptCount val="1"/>
                <c:pt idx="0">
                  <c:v>Ekon. aktivní celkem (pravá osa)</c:v>
                </c:pt>
              </c:strCache>
            </c:strRef>
          </c:tx>
          <c:spPr>
            <a:solidFill>
              <a:schemeClr val="bg1">
                <a:lumMod val="75000"/>
              </a:schemeClr>
            </a:solidFill>
            <a:ln>
              <a:solidFill>
                <a:schemeClr val="bg1">
                  <a:lumMod val="85000"/>
                </a:schemeClr>
              </a:solidFill>
            </a:ln>
            <a:effectLst/>
          </c:spPr>
          <c:invertIfNegative val="0"/>
          <c:cat>
            <c:strRef>
              <c:f>'Graf-1-Míry EA-věk'!$B$16:$T$16</c:f>
              <c:strCache>
                <c:ptCount val="19"/>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strCache>
            </c:strRef>
          </c:cat>
          <c:val>
            <c:numRef>
              <c:f>'Graf-1-Míry EA-věk'!$B$26:$T$26</c:f>
              <c:numCache>
                <c:formatCode>#\ ##0.0</c:formatCode>
                <c:ptCount val="19"/>
                <c:pt idx="0">
                  <c:v>100</c:v>
                </c:pt>
                <c:pt idx="1">
                  <c:v>99.225695243367255</c:v>
                </c:pt>
                <c:pt idx="2">
                  <c:v>99.092765917984678</c:v>
                </c:pt>
                <c:pt idx="3">
                  <c:v>98.962897287577618</c:v>
                </c:pt>
                <c:pt idx="4">
                  <c:v>98.966277557707343</c:v>
                </c:pt>
                <c:pt idx="5">
                  <c:v>99.76967778104185</c:v>
                </c:pt>
                <c:pt idx="6">
                  <c:v>100.25537285177639</c:v>
                </c:pt>
                <c:pt idx="7">
                  <c:v>100.23547143689882</c:v>
                </c:pt>
                <c:pt idx="8">
                  <c:v>100.89112871962193</c:v>
                </c:pt>
                <c:pt idx="9">
                  <c:v>101.93484472489318</c:v>
                </c:pt>
                <c:pt idx="10">
                  <c:v>101.59609180171346</c:v>
                </c:pt>
                <c:pt idx="11">
                  <c:v>100.7106661223917</c:v>
                </c:pt>
                <c:pt idx="12">
                  <c:v>101.36582385361412</c:v>
                </c:pt>
                <c:pt idx="13">
                  <c:v>102.31209616800665</c:v>
                </c:pt>
                <c:pt idx="14">
                  <c:v>102.15519331468768</c:v>
                </c:pt>
                <c:pt idx="15">
                  <c:v>102.38782787282368</c:v>
                </c:pt>
                <c:pt idx="16">
                  <c:v>103.16051999317004</c:v>
                </c:pt>
                <c:pt idx="17">
                  <c:v>103.683403220415</c:v>
                </c:pt>
                <c:pt idx="18">
                  <c:v>104.42135389830918</c:v>
                </c:pt>
              </c:numCache>
            </c:numRef>
          </c:val>
          <c:extLst>
            <c:ext xmlns:c16="http://schemas.microsoft.com/office/drawing/2014/chart" uri="{C3380CC4-5D6E-409C-BE32-E72D297353CC}">
              <c16:uniqueId val="{00000001-42E3-4C4F-8B9E-0830FEE82F35}"/>
            </c:ext>
          </c:extLst>
        </c:ser>
        <c:dLbls>
          <c:showLegendKey val="0"/>
          <c:showVal val="0"/>
          <c:showCatName val="0"/>
          <c:showSerName val="0"/>
          <c:showPercent val="0"/>
          <c:showBubbleSize val="0"/>
        </c:dLbls>
        <c:gapWidth val="150"/>
        <c:axId val="355205888"/>
        <c:axId val="354470912"/>
      </c:barChart>
      <c:lineChart>
        <c:grouping val="standard"/>
        <c:varyColors val="0"/>
        <c:ser>
          <c:idx val="0"/>
          <c:order val="0"/>
          <c:tx>
            <c:strRef>
              <c:f>'Graf-1-Míry EA-věk'!$A$17</c:f>
              <c:strCache>
                <c:ptCount val="1"/>
                <c:pt idx="0">
                  <c:v>Míra EA: muži 15–24 let (v %)</c:v>
                </c:pt>
              </c:strCache>
            </c:strRef>
          </c:tx>
          <c:spPr>
            <a:ln w="15875" cap="rnd">
              <a:solidFill>
                <a:srgbClr val="BD1B21"/>
              </a:solidFill>
              <a:round/>
            </a:ln>
            <a:effectLst/>
          </c:spPr>
          <c:marker>
            <c:symbol val="none"/>
          </c:marker>
          <c:cat>
            <c:strRef>
              <c:f>'Graf-1-Míry EA-věk'!$B$16:$T$16</c:f>
              <c:strCache>
                <c:ptCount val="19"/>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strCache>
            </c:strRef>
          </c:cat>
          <c:val>
            <c:numRef>
              <c:f>'Graf-1-Míry EA-věk'!$B$17:$T$17</c:f>
              <c:numCache>
                <c:formatCode>#\ ##0.0</c:formatCode>
                <c:ptCount val="19"/>
                <c:pt idx="0">
                  <c:v>47.7</c:v>
                </c:pt>
                <c:pt idx="1">
                  <c:v>44.6</c:v>
                </c:pt>
                <c:pt idx="2">
                  <c:v>42.3</c:v>
                </c:pt>
                <c:pt idx="3">
                  <c:v>38.799999999999997</c:v>
                </c:pt>
                <c:pt idx="4">
                  <c:v>37.799999999999997</c:v>
                </c:pt>
                <c:pt idx="5">
                  <c:v>38.9</c:v>
                </c:pt>
                <c:pt idx="6">
                  <c:v>37.700000000000003</c:v>
                </c:pt>
                <c:pt idx="7">
                  <c:v>36.700000000000003</c:v>
                </c:pt>
                <c:pt idx="8">
                  <c:v>35.9</c:v>
                </c:pt>
                <c:pt idx="9">
                  <c:v>37.299999999999997</c:v>
                </c:pt>
                <c:pt idx="10">
                  <c:v>36.200000000000003</c:v>
                </c:pt>
                <c:pt idx="11">
                  <c:v>35.5</c:v>
                </c:pt>
                <c:pt idx="12">
                  <c:v>36.4</c:v>
                </c:pt>
                <c:pt idx="13">
                  <c:v>36.799999999999997</c:v>
                </c:pt>
                <c:pt idx="14">
                  <c:v>38.1</c:v>
                </c:pt>
                <c:pt idx="15">
                  <c:v>37.4</c:v>
                </c:pt>
                <c:pt idx="16">
                  <c:v>37.5</c:v>
                </c:pt>
                <c:pt idx="17">
                  <c:v>36.5</c:v>
                </c:pt>
                <c:pt idx="18">
                  <c:v>34.4</c:v>
                </c:pt>
              </c:numCache>
            </c:numRef>
          </c:val>
          <c:smooth val="0"/>
          <c:extLst>
            <c:ext xmlns:c16="http://schemas.microsoft.com/office/drawing/2014/chart" uri="{C3380CC4-5D6E-409C-BE32-E72D297353CC}">
              <c16:uniqueId val="{00000002-42E3-4C4F-8B9E-0830FEE82F35}"/>
            </c:ext>
          </c:extLst>
        </c:ser>
        <c:ser>
          <c:idx val="1"/>
          <c:order val="1"/>
          <c:tx>
            <c:strRef>
              <c:f>'Graf-1-Míry EA-věk'!$A$18</c:f>
              <c:strCache>
                <c:ptCount val="1"/>
                <c:pt idx="0">
                  <c:v>Míra EA: ženy 15–24 let (v %)</c:v>
                </c:pt>
              </c:strCache>
            </c:strRef>
          </c:tx>
          <c:spPr>
            <a:ln w="15875" cap="rnd">
              <a:solidFill>
                <a:srgbClr val="BD1B21"/>
              </a:solidFill>
              <a:prstDash val="sysDot"/>
              <a:round/>
            </a:ln>
            <a:effectLst/>
          </c:spPr>
          <c:marker>
            <c:symbol val="none"/>
          </c:marker>
          <c:cat>
            <c:strRef>
              <c:f>'Graf-1-Míry EA-věk'!$B$16:$T$16</c:f>
              <c:strCache>
                <c:ptCount val="19"/>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strCache>
            </c:strRef>
          </c:cat>
          <c:val>
            <c:numRef>
              <c:f>'Graf-1-Míry EA-věk'!$B$18:$T$18</c:f>
              <c:numCache>
                <c:formatCode>#\ ##0.0</c:formatCode>
                <c:ptCount val="19"/>
                <c:pt idx="0">
                  <c:v>40.200000000000003</c:v>
                </c:pt>
                <c:pt idx="1">
                  <c:v>37.6</c:v>
                </c:pt>
                <c:pt idx="2">
                  <c:v>34.299999999999997</c:v>
                </c:pt>
                <c:pt idx="3">
                  <c:v>32.799999999999997</c:v>
                </c:pt>
                <c:pt idx="4">
                  <c:v>31.3</c:v>
                </c:pt>
                <c:pt idx="5">
                  <c:v>28.9</c:v>
                </c:pt>
                <c:pt idx="6">
                  <c:v>29.2</c:v>
                </c:pt>
                <c:pt idx="7">
                  <c:v>26.9</c:v>
                </c:pt>
                <c:pt idx="8">
                  <c:v>26.1</c:v>
                </c:pt>
                <c:pt idx="9">
                  <c:v>26.1</c:v>
                </c:pt>
                <c:pt idx="10">
                  <c:v>25.3</c:v>
                </c:pt>
                <c:pt idx="11">
                  <c:v>24.1</c:v>
                </c:pt>
                <c:pt idx="12">
                  <c:v>25.9</c:v>
                </c:pt>
                <c:pt idx="13">
                  <c:v>26.1</c:v>
                </c:pt>
                <c:pt idx="14">
                  <c:v>26.1</c:v>
                </c:pt>
                <c:pt idx="15">
                  <c:v>27.4</c:v>
                </c:pt>
                <c:pt idx="16">
                  <c:v>26.2</c:v>
                </c:pt>
                <c:pt idx="17">
                  <c:v>26.6</c:v>
                </c:pt>
                <c:pt idx="18">
                  <c:v>26.2</c:v>
                </c:pt>
              </c:numCache>
            </c:numRef>
          </c:val>
          <c:smooth val="0"/>
          <c:extLst>
            <c:ext xmlns:c16="http://schemas.microsoft.com/office/drawing/2014/chart" uri="{C3380CC4-5D6E-409C-BE32-E72D297353CC}">
              <c16:uniqueId val="{00000003-42E3-4C4F-8B9E-0830FEE82F35}"/>
            </c:ext>
          </c:extLst>
        </c:ser>
        <c:ser>
          <c:idx val="2"/>
          <c:order val="2"/>
          <c:tx>
            <c:strRef>
              <c:f>'Graf-1-Míry EA-věk'!$A$19</c:f>
              <c:strCache>
                <c:ptCount val="1"/>
                <c:pt idx="0">
                  <c:v>Míra EA: muži 25–39 let (v %)</c:v>
                </c:pt>
              </c:strCache>
            </c:strRef>
          </c:tx>
          <c:spPr>
            <a:ln w="15875" cap="rnd">
              <a:solidFill>
                <a:schemeClr val="accent6">
                  <a:lumMod val="75000"/>
                </a:schemeClr>
              </a:solidFill>
              <a:round/>
            </a:ln>
            <a:effectLst/>
          </c:spPr>
          <c:marker>
            <c:symbol val="none"/>
          </c:marker>
          <c:cat>
            <c:strRef>
              <c:f>'Graf-1-Míry EA-věk'!$B$16:$T$16</c:f>
              <c:strCache>
                <c:ptCount val="19"/>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strCache>
            </c:strRef>
          </c:cat>
          <c:val>
            <c:numRef>
              <c:f>'Graf-1-Míry EA-věk'!$B$19:$T$19</c:f>
              <c:numCache>
                <c:formatCode>#\ ##0.0</c:formatCode>
                <c:ptCount val="19"/>
                <c:pt idx="0">
                  <c:v>96.322678301130807</c:v>
                </c:pt>
                <c:pt idx="1">
                  <c:v>96.539369046578685</c:v>
                </c:pt>
                <c:pt idx="2">
                  <c:v>96.146600445281749</c:v>
                </c:pt>
                <c:pt idx="3">
                  <c:v>96.344537815126046</c:v>
                </c:pt>
                <c:pt idx="4">
                  <c:v>95.612658018673031</c:v>
                </c:pt>
                <c:pt idx="5">
                  <c:v>95.900904571754538</c:v>
                </c:pt>
                <c:pt idx="6">
                  <c:v>95.588472065689913</c:v>
                </c:pt>
                <c:pt idx="7">
                  <c:v>95.532946506636989</c:v>
                </c:pt>
                <c:pt idx="8">
                  <c:v>95.171823977608454</c:v>
                </c:pt>
                <c:pt idx="9">
                  <c:v>95.427389705882376</c:v>
                </c:pt>
                <c:pt idx="10">
                  <c:v>96.033690658499211</c:v>
                </c:pt>
                <c:pt idx="11">
                  <c:v>95.56196864519147</c:v>
                </c:pt>
                <c:pt idx="12">
                  <c:v>95.383528303368152</c:v>
                </c:pt>
                <c:pt idx="13">
                  <c:v>95.767912648441865</c:v>
                </c:pt>
                <c:pt idx="14">
                  <c:v>95.784753363228688</c:v>
                </c:pt>
                <c:pt idx="15">
                  <c:v>95.435615525570554</c:v>
                </c:pt>
                <c:pt idx="16">
                  <c:v>95.469255663430417</c:v>
                </c:pt>
                <c:pt idx="17">
                  <c:v>95.531600452055997</c:v>
                </c:pt>
                <c:pt idx="18">
                  <c:v>95.962815405046484</c:v>
                </c:pt>
              </c:numCache>
            </c:numRef>
          </c:val>
          <c:smooth val="0"/>
          <c:extLst>
            <c:ext xmlns:c16="http://schemas.microsoft.com/office/drawing/2014/chart" uri="{C3380CC4-5D6E-409C-BE32-E72D297353CC}">
              <c16:uniqueId val="{00000004-42E3-4C4F-8B9E-0830FEE82F35}"/>
            </c:ext>
          </c:extLst>
        </c:ser>
        <c:ser>
          <c:idx val="3"/>
          <c:order val="3"/>
          <c:tx>
            <c:strRef>
              <c:f>'Graf-1-Míry EA-věk'!$A$20</c:f>
              <c:strCache>
                <c:ptCount val="1"/>
                <c:pt idx="0">
                  <c:v>Míra EA: ženy 25–39 let (v %)</c:v>
                </c:pt>
              </c:strCache>
            </c:strRef>
          </c:tx>
          <c:spPr>
            <a:ln w="15875" cap="rnd">
              <a:solidFill>
                <a:schemeClr val="accent6">
                  <a:lumMod val="75000"/>
                </a:schemeClr>
              </a:solidFill>
              <a:prstDash val="sysDot"/>
              <a:round/>
            </a:ln>
            <a:effectLst/>
          </c:spPr>
          <c:marker>
            <c:symbol val="none"/>
          </c:marker>
          <c:cat>
            <c:strRef>
              <c:f>'Graf-1-Míry EA-věk'!$B$16:$T$16</c:f>
              <c:strCache>
                <c:ptCount val="19"/>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strCache>
            </c:strRef>
          </c:cat>
          <c:val>
            <c:numRef>
              <c:f>'Graf-1-Míry EA-věk'!$B$20:$T$20</c:f>
              <c:numCache>
                <c:formatCode>#\ ##0.0</c:formatCode>
                <c:ptCount val="19"/>
                <c:pt idx="0">
                  <c:v>75.261162984191571</c:v>
                </c:pt>
                <c:pt idx="1">
                  <c:v>74.408055883153409</c:v>
                </c:pt>
                <c:pt idx="2">
                  <c:v>74.319411190919567</c:v>
                </c:pt>
                <c:pt idx="3">
                  <c:v>74.567127816932043</c:v>
                </c:pt>
                <c:pt idx="4">
                  <c:v>73.277267656397484</c:v>
                </c:pt>
                <c:pt idx="5">
                  <c:v>74.105853368447882</c:v>
                </c:pt>
                <c:pt idx="6">
                  <c:v>72.985263157894735</c:v>
                </c:pt>
                <c:pt idx="7">
                  <c:v>71.782260753584524</c:v>
                </c:pt>
                <c:pt idx="8">
                  <c:v>70.429709966313368</c:v>
                </c:pt>
                <c:pt idx="9">
                  <c:v>70.715392772656813</c:v>
                </c:pt>
                <c:pt idx="10">
                  <c:v>70.952497351910694</c:v>
                </c:pt>
                <c:pt idx="11">
                  <c:v>72.005950905033473</c:v>
                </c:pt>
                <c:pt idx="12">
                  <c:v>71.610486891385776</c:v>
                </c:pt>
                <c:pt idx="13">
                  <c:v>73.392947528260493</c:v>
                </c:pt>
                <c:pt idx="14">
                  <c:v>72.40874655647383</c:v>
                </c:pt>
                <c:pt idx="15">
                  <c:v>72.063352397712279</c:v>
                </c:pt>
                <c:pt idx="16">
                  <c:v>72.974916838982281</c:v>
                </c:pt>
                <c:pt idx="17">
                  <c:v>72.612049963262308</c:v>
                </c:pt>
                <c:pt idx="18">
                  <c:v>72.300337457817776</c:v>
                </c:pt>
              </c:numCache>
            </c:numRef>
          </c:val>
          <c:smooth val="0"/>
          <c:extLst>
            <c:ext xmlns:c16="http://schemas.microsoft.com/office/drawing/2014/chart" uri="{C3380CC4-5D6E-409C-BE32-E72D297353CC}">
              <c16:uniqueId val="{00000005-42E3-4C4F-8B9E-0830FEE82F35}"/>
            </c:ext>
          </c:extLst>
        </c:ser>
        <c:ser>
          <c:idx val="4"/>
          <c:order val="4"/>
          <c:tx>
            <c:strRef>
              <c:f>'Graf-1-Míry EA-věk'!$A$21</c:f>
              <c:strCache>
                <c:ptCount val="1"/>
                <c:pt idx="0">
                  <c:v>Míra EA: muži 40–54 let (v %)</c:v>
                </c:pt>
              </c:strCache>
            </c:strRef>
          </c:tx>
          <c:spPr>
            <a:ln w="15875" cap="rnd">
              <a:solidFill>
                <a:srgbClr val="00B050"/>
              </a:solidFill>
              <a:round/>
            </a:ln>
            <a:effectLst/>
          </c:spPr>
          <c:marker>
            <c:symbol val="none"/>
          </c:marker>
          <c:cat>
            <c:strRef>
              <c:f>'Graf-1-Míry EA-věk'!$B$16:$T$16</c:f>
              <c:strCache>
                <c:ptCount val="19"/>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strCache>
            </c:strRef>
          </c:cat>
          <c:val>
            <c:numRef>
              <c:f>'Graf-1-Míry EA-věk'!$B$21:$T$21</c:f>
              <c:numCache>
                <c:formatCode>#\ ##0.0</c:formatCode>
                <c:ptCount val="19"/>
                <c:pt idx="0">
                  <c:v>93.621668851026655</c:v>
                </c:pt>
                <c:pt idx="1">
                  <c:v>93.260811886442042</c:v>
                </c:pt>
                <c:pt idx="2">
                  <c:v>93.474331164135933</c:v>
                </c:pt>
                <c:pt idx="3">
                  <c:v>92.461849604706742</c:v>
                </c:pt>
                <c:pt idx="4">
                  <c:v>93.437008238452293</c:v>
                </c:pt>
                <c:pt idx="5">
                  <c:v>93.638392857142875</c:v>
                </c:pt>
                <c:pt idx="6">
                  <c:v>93.997194950911634</c:v>
                </c:pt>
                <c:pt idx="7">
                  <c:v>94.464840440553516</c:v>
                </c:pt>
                <c:pt idx="8">
                  <c:v>94.261213720316633</c:v>
                </c:pt>
                <c:pt idx="9">
                  <c:v>94.628021148036282</c:v>
                </c:pt>
                <c:pt idx="10">
                  <c:v>94.831183611532623</c:v>
                </c:pt>
                <c:pt idx="11">
                  <c:v>94.992887624466562</c:v>
                </c:pt>
                <c:pt idx="12">
                  <c:v>95.551785882574691</c:v>
                </c:pt>
                <c:pt idx="13">
                  <c:v>95.919124466703764</c:v>
                </c:pt>
                <c:pt idx="14">
                  <c:v>95.442625915543886</c:v>
                </c:pt>
                <c:pt idx="15">
                  <c:v>95.430626205928775</c:v>
                </c:pt>
                <c:pt idx="16">
                  <c:v>95.288896475206968</c:v>
                </c:pt>
                <c:pt idx="17">
                  <c:v>95.770543668304072</c:v>
                </c:pt>
                <c:pt idx="18">
                  <c:v>95.807162084998765</c:v>
                </c:pt>
              </c:numCache>
            </c:numRef>
          </c:val>
          <c:smooth val="0"/>
          <c:extLst>
            <c:ext xmlns:c16="http://schemas.microsoft.com/office/drawing/2014/chart" uri="{C3380CC4-5D6E-409C-BE32-E72D297353CC}">
              <c16:uniqueId val="{00000006-42E3-4C4F-8B9E-0830FEE82F35}"/>
            </c:ext>
          </c:extLst>
        </c:ser>
        <c:ser>
          <c:idx val="5"/>
          <c:order val="5"/>
          <c:tx>
            <c:strRef>
              <c:f>'Graf-1-Míry EA-věk'!$A$22</c:f>
              <c:strCache>
                <c:ptCount val="1"/>
                <c:pt idx="0">
                  <c:v>Míra EA: ženy 40–54 let (v %)</c:v>
                </c:pt>
              </c:strCache>
            </c:strRef>
          </c:tx>
          <c:spPr>
            <a:ln w="15875" cap="rnd">
              <a:solidFill>
                <a:srgbClr val="00B050"/>
              </a:solidFill>
              <a:prstDash val="sysDot"/>
              <a:round/>
            </a:ln>
            <a:effectLst/>
          </c:spPr>
          <c:marker>
            <c:symbol val="none"/>
          </c:marker>
          <c:cat>
            <c:strRef>
              <c:f>'Graf-1-Míry EA-věk'!$B$16:$T$16</c:f>
              <c:strCache>
                <c:ptCount val="19"/>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strCache>
            </c:strRef>
          </c:cat>
          <c:val>
            <c:numRef>
              <c:f>'Graf-1-Míry EA-věk'!$B$22:$T$22</c:f>
              <c:numCache>
                <c:formatCode>#\ ##0.0</c:formatCode>
                <c:ptCount val="19"/>
                <c:pt idx="0">
                  <c:v>88.046773495019494</c:v>
                </c:pt>
                <c:pt idx="1">
                  <c:v>88.825340959084912</c:v>
                </c:pt>
                <c:pt idx="2">
                  <c:v>88.689084696996943</c:v>
                </c:pt>
                <c:pt idx="3">
                  <c:v>88.497115120432284</c:v>
                </c:pt>
                <c:pt idx="4">
                  <c:v>88.935108153078204</c:v>
                </c:pt>
                <c:pt idx="5">
                  <c:v>89.790405216581263</c:v>
                </c:pt>
                <c:pt idx="6">
                  <c:v>90.556603773584897</c:v>
                </c:pt>
                <c:pt idx="7">
                  <c:v>90.037217291726307</c:v>
                </c:pt>
                <c:pt idx="8">
                  <c:v>90.264550264550266</c:v>
                </c:pt>
                <c:pt idx="9">
                  <c:v>90.820881040170789</c:v>
                </c:pt>
                <c:pt idx="10">
                  <c:v>90.353446592462433</c:v>
                </c:pt>
                <c:pt idx="11">
                  <c:v>90.419161676646709</c:v>
                </c:pt>
                <c:pt idx="12">
                  <c:v>91.804562812102233</c:v>
                </c:pt>
                <c:pt idx="13">
                  <c:v>91.745602165087931</c:v>
                </c:pt>
                <c:pt idx="14">
                  <c:v>91.607665439441149</c:v>
                </c:pt>
                <c:pt idx="15">
                  <c:v>91.226622662266237</c:v>
                </c:pt>
                <c:pt idx="16">
                  <c:v>91.059159453912741</c:v>
                </c:pt>
                <c:pt idx="17">
                  <c:v>91.151599686165113</c:v>
                </c:pt>
                <c:pt idx="18">
                  <c:v>91.469153760588682</c:v>
                </c:pt>
              </c:numCache>
            </c:numRef>
          </c:val>
          <c:smooth val="0"/>
          <c:extLst>
            <c:ext xmlns:c16="http://schemas.microsoft.com/office/drawing/2014/chart" uri="{C3380CC4-5D6E-409C-BE32-E72D297353CC}">
              <c16:uniqueId val="{00000007-42E3-4C4F-8B9E-0830FEE82F35}"/>
            </c:ext>
          </c:extLst>
        </c:ser>
        <c:ser>
          <c:idx val="6"/>
          <c:order val="6"/>
          <c:tx>
            <c:strRef>
              <c:f>'Graf-1-Míry EA-věk'!$A$23</c:f>
              <c:strCache>
                <c:ptCount val="1"/>
                <c:pt idx="0">
                  <c:v>Míra EA: muži 55–64 let (v %)</c:v>
                </c:pt>
              </c:strCache>
            </c:strRef>
          </c:tx>
          <c:spPr>
            <a:ln w="15875" cap="rnd">
              <a:solidFill>
                <a:srgbClr val="00B0F0"/>
              </a:solidFill>
              <a:round/>
            </a:ln>
            <a:effectLst/>
          </c:spPr>
          <c:marker>
            <c:symbol val="none"/>
          </c:marker>
          <c:cat>
            <c:strRef>
              <c:f>'Graf-1-Míry EA-věk'!$B$16:$T$16</c:f>
              <c:strCache>
                <c:ptCount val="19"/>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strCache>
            </c:strRef>
          </c:cat>
          <c:val>
            <c:numRef>
              <c:f>'Graf-1-Míry EA-věk'!$B$23:$T$23</c:f>
              <c:numCache>
                <c:formatCode>#\ ##0.0</c:formatCode>
                <c:ptCount val="19"/>
                <c:pt idx="0">
                  <c:v>54.5</c:v>
                </c:pt>
                <c:pt idx="1">
                  <c:v>54.7</c:v>
                </c:pt>
                <c:pt idx="2">
                  <c:v>58.3</c:v>
                </c:pt>
                <c:pt idx="3">
                  <c:v>59.5</c:v>
                </c:pt>
                <c:pt idx="4">
                  <c:v>59.7</c:v>
                </c:pt>
                <c:pt idx="5">
                  <c:v>62.1</c:v>
                </c:pt>
                <c:pt idx="6">
                  <c:v>62.7</c:v>
                </c:pt>
                <c:pt idx="7">
                  <c:v>62.5</c:v>
                </c:pt>
                <c:pt idx="8">
                  <c:v>64.2</c:v>
                </c:pt>
                <c:pt idx="9">
                  <c:v>63.2</c:v>
                </c:pt>
                <c:pt idx="10">
                  <c:v>62.5</c:v>
                </c:pt>
                <c:pt idx="11">
                  <c:v>62.6</c:v>
                </c:pt>
                <c:pt idx="12">
                  <c:v>64</c:v>
                </c:pt>
                <c:pt idx="13">
                  <c:v>66.099999999999994</c:v>
                </c:pt>
                <c:pt idx="14">
                  <c:v>67.900000000000006</c:v>
                </c:pt>
                <c:pt idx="15">
                  <c:v>68.3</c:v>
                </c:pt>
                <c:pt idx="16">
                  <c:v>70.900000000000006</c:v>
                </c:pt>
                <c:pt idx="17">
                  <c:v>73.2</c:v>
                </c:pt>
                <c:pt idx="18">
                  <c:v>75.3</c:v>
                </c:pt>
              </c:numCache>
            </c:numRef>
          </c:val>
          <c:smooth val="0"/>
          <c:extLst>
            <c:ext xmlns:c16="http://schemas.microsoft.com/office/drawing/2014/chart" uri="{C3380CC4-5D6E-409C-BE32-E72D297353CC}">
              <c16:uniqueId val="{00000008-42E3-4C4F-8B9E-0830FEE82F35}"/>
            </c:ext>
          </c:extLst>
        </c:ser>
        <c:ser>
          <c:idx val="7"/>
          <c:order val="7"/>
          <c:tx>
            <c:strRef>
              <c:f>'Graf-1-Míry EA-věk'!$A$24</c:f>
              <c:strCache>
                <c:ptCount val="1"/>
                <c:pt idx="0">
                  <c:v>Míra EA: ženy 55–64 let (v %)</c:v>
                </c:pt>
              </c:strCache>
            </c:strRef>
          </c:tx>
          <c:spPr>
            <a:ln w="15875" cap="rnd">
              <a:solidFill>
                <a:srgbClr val="00B0F0"/>
              </a:solidFill>
              <a:prstDash val="sysDot"/>
              <a:round/>
            </a:ln>
            <a:effectLst/>
          </c:spPr>
          <c:marker>
            <c:symbol val="none"/>
          </c:marker>
          <c:cat>
            <c:strRef>
              <c:f>'Graf-1-Míry EA-věk'!$B$16:$T$16</c:f>
              <c:strCache>
                <c:ptCount val="19"/>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strCache>
            </c:strRef>
          </c:cat>
          <c:val>
            <c:numRef>
              <c:f>'Graf-1-Míry EA-věk'!$B$24:$T$24</c:f>
              <c:numCache>
                <c:formatCode>#\ ##0.0</c:formatCode>
                <c:ptCount val="19"/>
                <c:pt idx="0">
                  <c:v>23.3</c:v>
                </c:pt>
                <c:pt idx="1">
                  <c:v>24.2</c:v>
                </c:pt>
                <c:pt idx="2">
                  <c:v>27.1</c:v>
                </c:pt>
                <c:pt idx="3">
                  <c:v>30.4</c:v>
                </c:pt>
                <c:pt idx="4">
                  <c:v>31.5</c:v>
                </c:pt>
                <c:pt idx="5">
                  <c:v>32.9</c:v>
                </c:pt>
                <c:pt idx="6">
                  <c:v>34</c:v>
                </c:pt>
                <c:pt idx="7">
                  <c:v>35.200000000000003</c:v>
                </c:pt>
                <c:pt idx="8">
                  <c:v>36.1</c:v>
                </c:pt>
                <c:pt idx="9">
                  <c:v>37.200000000000003</c:v>
                </c:pt>
                <c:pt idx="10">
                  <c:v>38</c:v>
                </c:pt>
                <c:pt idx="11">
                  <c:v>39.4</c:v>
                </c:pt>
                <c:pt idx="12">
                  <c:v>41.5</c:v>
                </c:pt>
                <c:pt idx="13">
                  <c:v>44.2</c:v>
                </c:pt>
                <c:pt idx="14">
                  <c:v>46.3</c:v>
                </c:pt>
                <c:pt idx="15">
                  <c:v>48.3</c:v>
                </c:pt>
                <c:pt idx="16">
                  <c:v>51.2</c:v>
                </c:pt>
                <c:pt idx="17">
                  <c:v>54.5</c:v>
                </c:pt>
                <c:pt idx="18">
                  <c:v>58</c:v>
                </c:pt>
              </c:numCache>
            </c:numRef>
          </c:val>
          <c:smooth val="0"/>
          <c:extLst>
            <c:ext xmlns:c16="http://schemas.microsoft.com/office/drawing/2014/chart" uri="{C3380CC4-5D6E-409C-BE32-E72D297353CC}">
              <c16:uniqueId val="{00000009-42E3-4C4F-8B9E-0830FEE82F35}"/>
            </c:ext>
          </c:extLst>
        </c:ser>
        <c:ser>
          <c:idx val="10"/>
          <c:order val="10"/>
          <c:tx>
            <c:strRef>
              <c:f>'Graf-1-Míry EA-věk'!$A$27</c:f>
              <c:strCache>
                <c:ptCount val="1"/>
                <c:pt idx="0">
                  <c:v>Míra EA: muži 65–74 let (v %)</c:v>
                </c:pt>
              </c:strCache>
            </c:strRef>
          </c:tx>
          <c:spPr>
            <a:ln w="15875" cap="rnd">
              <a:solidFill>
                <a:srgbClr val="0070C0"/>
              </a:solidFill>
              <a:round/>
            </a:ln>
            <a:effectLst/>
          </c:spPr>
          <c:marker>
            <c:symbol val="none"/>
          </c:marker>
          <c:cat>
            <c:strRef>
              <c:f>'Graf-1-Míry EA-věk'!$B$16:$T$16</c:f>
              <c:strCache>
                <c:ptCount val="19"/>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strCache>
            </c:strRef>
          </c:cat>
          <c:val>
            <c:numRef>
              <c:f>'Graf-1-Míry EA-věk'!$B$27:$T$27</c:f>
              <c:numCache>
                <c:formatCode>#\ ##0.0</c:formatCode>
                <c:ptCount val="19"/>
                <c:pt idx="0">
                  <c:v>9.5539647577092524</c:v>
                </c:pt>
                <c:pt idx="1">
                  <c:v>9.1109884041965774</c:v>
                </c:pt>
                <c:pt idx="2">
                  <c:v>9.1013494114269307</c:v>
                </c:pt>
                <c:pt idx="3">
                  <c:v>9.2857142857142865</c:v>
                </c:pt>
                <c:pt idx="4">
                  <c:v>8.6532951289398277</c:v>
                </c:pt>
                <c:pt idx="5">
                  <c:v>8.6521987435751004</c:v>
                </c:pt>
                <c:pt idx="6">
                  <c:v>9.3082114735658017</c:v>
                </c:pt>
                <c:pt idx="7">
                  <c:v>10.428931875525652</c:v>
                </c:pt>
                <c:pt idx="8">
                  <c:v>10.219368646334939</c:v>
                </c:pt>
                <c:pt idx="9">
                  <c:v>10.550814584949574</c:v>
                </c:pt>
                <c:pt idx="10">
                  <c:v>9.6225943514121468</c:v>
                </c:pt>
                <c:pt idx="11">
                  <c:v>9.6140184702817901</c:v>
                </c:pt>
                <c:pt idx="12">
                  <c:v>9.8357015985790408</c:v>
                </c:pt>
                <c:pt idx="13">
                  <c:v>10.121199234531149</c:v>
                </c:pt>
                <c:pt idx="14">
                  <c:v>9.550789154188589</c:v>
                </c:pt>
                <c:pt idx="15">
                  <c:v>10.843840931134821</c:v>
                </c:pt>
                <c:pt idx="16">
                  <c:v>12.22707423580786</c:v>
                </c:pt>
                <c:pt idx="17">
                  <c:v>12.174072713918472</c:v>
                </c:pt>
                <c:pt idx="18">
                  <c:v>13.861031518624644</c:v>
                </c:pt>
              </c:numCache>
            </c:numRef>
          </c:val>
          <c:smooth val="0"/>
          <c:extLst>
            <c:ext xmlns:c16="http://schemas.microsoft.com/office/drawing/2014/chart" uri="{C3380CC4-5D6E-409C-BE32-E72D297353CC}">
              <c16:uniqueId val="{0000000A-42E3-4C4F-8B9E-0830FEE82F35}"/>
            </c:ext>
          </c:extLst>
        </c:ser>
        <c:ser>
          <c:idx val="11"/>
          <c:order val="11"/>
          <c:tx>
            <c:strRef>
              <c:f>'Graf-1-Míry EA-věk'!$A$28</c:f>
              <c:strCache>
                <c:ptCount val="1"/>
                <c:pt idx="0">
                  <c:v>Míra EA: ženy 65–74 let (v %)</c:v>
                </c:pt>
              </c:strCache>
            </c:strRef>
          </c:tx>
          <c:spPr>
            <a:ln w="15875" cap="rnd">
              <a:solidFill>
                <a:srgbClr val="0070C0"/>
              </a:solidFill>
              <a:prstDash val="sysDot"/>
              <a:round/>
            </a:ln>
            <a:effectLst/>
          </c:spPr>
          <c:marker>
            <c:symbol val="none"/>
          </c:marker>
          <c:cat>
            <c:strRef>
              <c:f>'Graf-1-Míry EA-věk'!$B$16:$T$16</c:f>
              <c:strCache>
                <c:ptCount val="19"/>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strCache>
            </c:strRef>
          </c:cat>
          <c:val>
            <c:numRef>
              <c:f>'Graf-1-Míry EA-věk'!$B$28:$T$28</c:f>
              <c:numCache>
                <c:formatCode>#\ ##0.0</c:formatCode>
                <c:ptCount val="19"/>
                <c:pt idx="0">
                  <c:v>3.8006111535523295</c:v>
                </c:pt>
                <c:pt idx="1">
                  <c:v>3.5999221638451062</c:v>
                </c:pt>
                <c:pt idx="2">
                  <c:v>3.9601990049751241</c:v>
                </c:pt>
                <c:pt idx="3">
                  <c:v>3.758937691521961</c:v>
                </c:pt>
                <c:pt idx="4">
                  <c:v>3.5692679975801576</c:v>
                </c:pt>
                <c:pt idx="5">
                  <c:v>3.9015230544544122</c:v>
                </c:pt>
                <c:pt idx="6">
                  <c:v>4.0791100123609398</c:v>
                </c:pt>
                <c:pt idx="7">
                  <c:v>4.6045839355771214</c:v>
                </c:pt>
                <c:pt idx="8">
                  <c:v>4.7812817904374372</c:v>
                </c:pt>
                <c:pt idx="9">
                  <c:v>5.4651162790697674</c:v>
                </c:pt>
                <c:pt idx="10">
                  <c:v>5.2149532710280377</c:v>
                </c:pt>
                <c:pt idx="11">
                  <c:v>5.4190751445086702</c:v>
                </c:pt>
                <c:pt idx="12">
                  <c:v>5.3471397046341886</c:v>
                </c:pt>
                <c:pt idx="13">
                  <c:v>6.1613691931540338</c:v>
                </c:pt>
                <c:pt idx="14">
                  <c:v>5.4320601127113344</c:v>
                </c:pt>
                <c:pt idx="15">
                  <c:v>6.2793872288791146</c:v>
                </c:pt>
                <c:pt idx="16">
                  <c:v>7.0503385340005886</c:v>
                </c:pt>
                <c:pt idx="17">
                  <c:v>7.2968727688133654</c:v>
                </c:pt>
                <c:pt idx="18">
                  <c:v>8.2808924485125868</c:v>
                </c:pt>
              </c:numCache>
            </c:numRef>
          </c:val>
          <c:smooth val="0"/>
          <c:extLst>
            <c:ext xmlns:c16="http://schemas.microsoft.com/office/drawing/2014/chart" uri="{C3380CC4-5D6E-409C-BE32-E72D297353CC}">
              <c16:uniqueId val="{0000000B-42E3-4C4F-8B9E-0830FEE82F35}"/>
            </c:ext>
          </c:extLst>
        </c:ser>
        <c:dLbls>
          <c:showLegendKey val="0"/>
          <c:showVal val="0"/>
          <c:showCatName val="0"/>
          <c:showSerName val="0"/>
          <c:showPercent val="0"/>
          <c:showBubbleSize val="0"/>
        </c:dLbls>
        <c:marker val="1"/>
        <c:smooth val="0"/>
        <c:axId val="354467840"/>
        <c:axId val="354469376"/>
      </c:lineChart>
      <c:catAx>
        <c:axId val="354467840"/>
        <c:scaling>
          <c:orientation val="minMax"/>
        </c:scaling>
        <c:delete val="0"/>
        <c:axPos val="b"/>
        <c:numFmt formatCode="General" sourceLinked="1"/>
        <c:majorTickMark val="none"/>
        <c:minorTickMark val="none"/>
        <c:tickLblPos val="nextTo"/>
        <c:spPr>
          <a:noFill/>
          <a:ln w="6350" cap="flat" cmpd="sng" algn="ctr">
            <a:solidFill>
              <a:schemeClr val="tx1">
                <a:lumMod val="95000"/>
                <a:lumOff val="5000"/>
              </a:schemeClr>
            </a:solidFill>
            <a:round/>
          </a:ln>
          <a:effectLst/>
        </c:spPr>
        <c:txPr>
          <a:bodyPr rot="-1800000" spcFirstLastPara="1" vertOverflow="ellipsis"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cs-CZ"/>
          </a:p>
        </c:txPr>
        <c:crossAx val="354469376"/>
        <c:crosses val="autoZero"/>
        <c:auto val="1"/>
        <c:lblAlgn val="ctr"/>
        <c:lblOffset val="0"/>
        <c:noMultiLvlLbl val="0"/>
      </c:catAx>
      <c:valAx>
        <c:axId val="354469376"/>
        <c:scaling>
          <c:orientation val="minMax"/>
          <c:max val="10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cs-CZ"/>
          </a:p>
        </c:txPr>
        <c:crossAx val="354467840"/>
        <c:crosses val="autoZero"/>
        <c:crossBetween val="between"/>
        <c:majorUnit val="10"/>
      </c:valAx>
      <c:valAx>
        <c:axId val="354470912"/>
        <c:scaling>
          <c:orientation val="minMax"/>
          <c:max val="110"/>
          <c:min val="90"/>
        </c:scaling>
        <c:delete val="0"/>
        <c:axPos val="r"/>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cs-CZ"/>
          </a:p>
        </c:txPr>
        <c:crossAx val="355205888"/>
        <c:crosses val="max"/>
        <c:crossBetween val="between"/>
        <c:majorUnit val="2"/>
      </c:valAx>
      <c:catAx>
        <c:axId val="355205888"/>
        <c:scaling>
          <c:orientation val="minMax"/>
        </c:scaling>
        <c:delete val="1"/>
        <c:axPos val="b"/>
        <c:numFmt formatCode="General" sourceLinked="1"/>
        <c:majorTickMark val="out"/>
        <c:minorTickMark val="none"/>
        <c:tickLblPos val="none"/>
        <c:crossAx val="354470912"/>
        <c:crossesAt val="100"/>
        <c:auto val="1"/>
        <c:lblAlgn val="ctr"/>
        <c:lblOffset val="100"/>
        <c:noMultiLvlLbl val="0"/>
      </c:catAx>
      <c:spPr>
        <a:noFill/>
        <a:ln w="6350">
          <a:solidFill>
            <a:schemeClr val="tx1">
              <a:lumMod val="95000"/>
              <a:lumOff val="5000"/>
            </a:schemeClr>
          </a:solidFill>
        </a:ln>
        <a:effectLst/>
      </c:spPr>
    </c:plotArea>
    <c:legend>
      <c:legendPos val="b"/>
      <c:layout>
        <c:manualLayout>
          <c:xMode val="edge"/>
          <c:yMode val="edge"/>
          <c:x val="3.4199947974760246E-2"/>
          <c:y val="0.79966978195167837"/>
          <c:w val="0.9097255735073656"/>
          <c:h val="0.18801192866983421"/>
        </c:manualLayout>
      </c:layout>
      <c:overlay val="0"/>
      <c:spPr>
        <a:noFill/>
        <a:ln w="6350">
          <a:solidFill>
            <a:schemeClr val="tx1">
              <a:lumMod val="95000"/>
              <a:lumOff val="5000"/>
            </a:schemeClr>
          </a:solid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cs-CZ"/>
        </a:p>
      </c:txPr>
    </c:legend>
    <c:plotVisOnly val="1"/>
    <c:dispBlanksAs val="gap"/>
    <c:showDLblsOverMax val="0"/>
  </c:chart>
  <c:spPr>
    <a:solidFill>
      <a:schemeClr val="bg1"/>
    </a:solidFill>
    <a:ln w="9525" cap="flat" cmpd="sng" algn="ctr">
      <a:noFill/>
      <a:round/>
    </a:ln>
    <a:effectLst/>
  </c:spPr>
  <c:txPr>
    <a:bodyPr/>
    <a:lstStyle/>
    <a:p>
      <a:pPr>
        <a:defRPr/>
      </a:pPr>
      <a:endParaRPr lang="cs-CZ"/>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1755603720266684E-2"/>
          <c:y val="1.5999671172066066E-2"/>
          <c:w val="0.88007141858745563"/>
          <c:h val="0.72895456669361258"/>
        </c:manualLayout>
      </c:layout>
      <c:barChart>
        <c:barDir val="col"/>
        <c:grouping val="stacked"/>
        <c:varyColors val="0"/>
        <c:ser>
          <c:idx val="0"/>
          <c:order val="0"/>
          <c:tx>
            <c:strRef>
              <c:f>'GRAF-1-vývoj ciz-MPO+MPSV'!$I$1</c:f>
              <c:strCache>
                <c:ptCount val="1"/>
                <c:pt idx="0">
                  <c:v>Živnostenská oprávnění (občané EU15)</c:v>
                </c:pt>
              </c:strCache>
            </c:strRef>
          </c:tx>
          <c:spPr>
            <a:solidFill>
              <a:schemeClr val="tx1">
                <a:lumMod val="95000"/>
                <a:lumOff val="5000"/>
              </a:schemeClr>
            </a:solidFill>
            <a:ln w="6350">
              <a:noFill/>
            </a:ln>
            <a:effectLst/>
          </c:spPr>
          <c:invertIfNegative val="0"/>
          <c:dPt>
            <c:idx val="10"/>
            <c:invertIfNegative val="0"/>
            <c:bubble3D val="0"/>
            <c:spPr>
              <a:solidFill>
                <a:schemeClr val="tx1">
                  <a:lumMod val="95000"/>
                  <a:lumOff val="5000"/>
                </a:schemeClr>
              </a:solidFill>
              <a:ln w="3175">
                <a:solidFill>
                  <a:schemeClr val="tx1">
                    <a:lumMod val="95000"/>
                    <a:lumOff val="5000"/>
                  </a:schemeClr>
                </a:solidFill>
              </a:ln>
              <a:effectLst/>
            </c:spPr>
            <c:extLst>
              <c:ext xmlns:c16="http://schemas.microsoft.com/office/drawing/2014/chart" uri="{C3380CC4-5D6E-409C-BE32-E72D297353CC}">
                <c16:uniqueId val="{00000001-7C58-4A60-88F5-F780791D9670}"/>
              </c:ext>
            </c:extLst>
          </c:dPt>
          <c:cat>
            <c:numRef>
              <c:f>'GRAF-1-vývoj ciz-MPO+MPSV'!$H$2:$H$16</c:f>
              <c:numCache>
                <c:formatCode>General</c:formatCode>
                <c:ptCount val="15"/>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4">
                  <c:v>2018</c:v>
                </c:pt>
              </c:numCache>
            </c:numRef>
          </c:cat>
          <c:val>
            <c:numRef>
              <c:f>'GRAF-1-vývoj ciz-MPO+MPSV'!$I$2:$I$16</c:f>
              <c:numCache>
                <c:formatCode>#,##0_ ;[Red]\-#,##0\ </c:formatCode>
                <c:ptCount val="15"/>
                <c:pt idx="0">
                  <c:v>2872</c:v>
                </c:pt>
                <c:pt idx="1">
                  <c:v>3111</c:v>
                </c:pt>
                <c:pt idx="2">
                  <c:v>3111</c:v>
                </c:pt>
                <c:pt idx="3">
                  <c:v>3352</c:v>
                </c:pt>
                <c:pt idx="4">
                  <c:v>3712</c:v>
                </c:pt>
                <c:pt idx="5">
                  <c:v>4044</c:v>
                </c:pt>
                <c:pt idx="6">
                  <c:v>4441</c:v>
                </c:pt>
                <c:pt idx="7">
                  <c:v>4822</c:v>
                </c:pt>
                <c:pt idx="8">
                  <c:v>5228</c:v>
                </c:pt>
                <c:pt idx="9">
                  <c:v>6373</c:v>
                </c:pt>
                <c:pt idx="10">
                  <c:v>7123</c:v>
                </c:pt>
                <c:pt idx="11">
                  <c:v>7407</c:v>
                </c:pt>
                <c:pt idx="12">
                  <c:v>7936</c:v>
                </c:pt>
                <c:pt idx="13">
                  <c:v>8357</c:v>
                </c:pt>
                <c:pt idx="14">
                  <c:v>8775</c:v>
                </c:pt>
              </c:numCache>
            </c:numRef>
          </c:val>
          <c:extLst>
            <c:ext xmlns:c16="http://schemas.microsoft.com/office/drawing/2014/chart" uri="{C3380CC4-5D6E-409C-BE32-E72D297353CC}">
              <c16:uniqueId val="{00000002-7C58-4A60-88F5-F780791D9670}"/>
            </c:ext>
          </c:extLst>
        </c:ser>
        <c:ser>
          <c:idx val="1"/>
          <c:order val="1"/>
          <c:tx>
            <c:strRef>
              <c:f>'GRAF-1-vývoj ciz-MPO+MPSV'!$J$1</c:f>
              <c:strCache>
                <c:ptCount val="1"/>
                <c:pt idx="0">
                  <c:v>Živnostenská opráv. (ost. občané EU)</c:v>
                </c:pt>
              </c:strCache>
            </c:strRef>
          </c:tx>
          <c:spPr>
            <a:solidFill>
              <a:schemeClr val="bg1">
                <a:lumMod val="50000"/>
              </a:schemeClr>
            </a:solidFill>
            <a:ln w="6350">
              <a:noFill/>
              <a:prstDash val="solid"/>
            </a:ln>
            <a:effectLst/>
          </c:spPr>
          <c:invertIfNegative val="0"/>
          <c:dPt>
            <c:idx val="10"/>
            <c:invertIfNegative val="0"/>
            <c:bubble3D val="0"/>
            <c:spPr>
              <a:solidFill>
                <a:schemeClr val="bg1">
                  <a:lumMod val="50000"/>
                </a:schemeClr>
              </a:solidFill>
              <a:ln w="3175">
                <a:solidFill>
                  <a:srgbClr val="7F7F7F"/>
                </a:solidFill>
                <a:prstDash val="solid"/>
              </a:ln>
              <a:effectLst/>
            </c:spPr>
            <c:extLst>
              <c:ext xmlns:c16="http://schemas.microsoft.com/office/drawing/2014/chart" uri="{C3380CC4-5D6E-409C-BE32-E72D297353CC}">
                <c16:uniqueId val="{00000004-7C58-4A60-88F5-F780791D9670}"/>
              </c:ext>
            </c:extLst>
          </c:dPt>
          <c:cat>
            <c:numRef>
              <c:f>'GRAF-1-vývoj ciz-MPO+MPSV'!$H$2:$H$16</c:f>
              <c:numCache>
                <c:formatCode>General</c:formatCode>
                <c:ptCount val="15"/>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4">
                  <c:v>2018</c:v>
                </c:pt>
              </c:numCache>
            </c:numRef>
          </c:cat>
          <c:val>
            <c:numRef>
              <c:f>'GRAF-1-vývoj ciz-MPO+MPSV'!$J$2:$J$16</c:f>
              <c:numCache>
                <c:formatCode>#,##0_ ;[Red]\-#,##0\ </c:formatCode>
                <c:ptCount val="15"/>
                <c:pt idx="0">
                  <c:v>11975</c:v>
                </c:pt>
                <c:pt idx="1">
                  <c:v>11967</c:v>
                </c:pt>
                <c:pt idx="2">
                  <c:v>11228</c:v>
                </c:pt>
                <c:pt idx="3">
                  <c:v>11752</c:v>
                </c:pt>
                <c:pt idx="4">
                  <c:v>12491</c:v>
                </c:pt>
                <c:pt idx="5">
                  <c:v>13286</c:v>
                </c:pt>
                <c:pt idx="6">
                  <c:v>14357</c:v>
                </c:pt>
                <c:pt idx="7">
                  <c:v>15419</c:v>
                </c:pt>
                <c:pt idx="8">
                  <c:v>16510</c:v>
                </c:pt>
                <c:pt idx="9">
                  <c:v>17658</c:v>
                </c:pt>
                <c:pt idx="10">
                  <c:v>18725</c:v>
                </c:pt>
                <c:pt idx="11">
                  <c:v>20120</c:v>
                </c:pt>
                <c:pt idx="12">
                  <c:v>21760</c:v>
                </c:pt>
                <c:pt idx="13">
                  <c:v>23432</c:v>
                </c:pt>
                <c:pt idx="14">
                  <c:v>25339</c:v>
                </c:pt>
              </c:numCache>
            </c:numRef>
          </c:val>
          <c:extLst>
            <c:ext xmlns:c16="http://schemas.microsoft.com/office/drawing/2014/chart" uri="{C3380CC4-5D6E-409C-BE32-E72D297353CC}">
              <c16:uniqueId val="{00000005-7C58-4A60-88F5-F780791D9670}"/>
            </c:ext>
          </c:extLst>
        </c:ser>
        <c:ser>
          <c:idx val="2"/>
          <c:order val="2"/>
          <c:tx>
            <c:strRef>
              <c:f>'GRAF-1-vývoj ciz-MPO+MPSV'!$K$1</c:f>
              <c:strCache>
                <c:ptCount val="1"/>
                <c:pt idx="0">
                  <c:v>Živnostenská opráv. (ostatní mimo EU)</c:v>
                </c:pt>
              </c:strCache>
            </c:strRef>
          </c:tx>
          <c:spPr>
            <a:solidFill>
              <a:schemeClr val="bg1">
                <a:lumMod val="85000"/>
              </a:schemeClr>
            </a:solidFill>
            <a:ln w="6350" cap="rnd">
              <a:noFill/>
              <a:round/>
            </a:ln>
            <a:effectLst/>
          </c:spPr>
          <c:invertIfNegative val="0"/>
          <c:dPt>
            <c:idx val="10"/>
            <c:invertIfNegative val="0"/>
            <c:bubble3D val="0"/>
            <c:spPr>
              <a:solidFill>
                <a:schemeClr val="bg1">
                  <a:lumMod val="85000"/>
                </a:schemeClr>
              </a:solidFill>
              <a:ln w="3175" cap="rnd">
                <a:solidFill>
                  <a:prstClr val="white">
                    <a:lumMod val="75000"/>
                  </a:prstClr>
                </a:solidFill>
                <a:round/>
              </a:ln>
              <a:effectLst/>
            </c:spPr>
            <c:extLst>
              <c:ext xmlns:c16="http://schemas.microsoft.com/office/drawing/2014/chart" uri="{C3380CC4-5D6E-409C-BE32-E72D297353CC}">
                <c16:uniqueId val="{00000007-7C58-4A60-88F5-F780791D9670}"/>
              </c:ext>
            </c:extLst>
          </c:dPt>
          <c:cat>
            <c:numRef>
              <c:f>'GRAF-1-vývoj ciz-MPO+MPSV'!$H$2:$H$16</c:f>
              <c:numCache>
                <c:formatCode>General</c:formatCode>
                <c:ptCount val="15"/>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4">
                  <c:v>2018</c:v>
                </c:pt>
              </c:numCache>
            </c:numRef>
          </c:cat>
          <c:val>
            <c:numRef>
              <c:f>'GRAF-1-vývoj ciz-MPO+MPSV'!$K$2:$K$16</c:f>
              <c:numCache>
                <c:formatCode>#,##0_ ;[Red]\-#,##0\ </c:formatCode>
                <c:ptCount val="15"/>
                <c:pt idx="0">
                  <c:v>50372</c:v>
                </c:pt>
                <c:pt idx="1">
                  <c:v>52168</c:v>
                </c:pt>
                <c:pt idx="2">
                  <c:v>51383</c:v>
                </c:pt>
                <c:pt idx="3">
                  <c:v>53681</c:v>
                </c:pt>
                <c:pt idx="4">
                  <c:v>60955</c:v>
                </c:pt>
                <c:pt idx="5">
                  <c:v>70423</c:v>
                </c:pt>
                <c:pt idx="6">
                  <c:v>72185</c:v>
                </c:pt>
                <c:pt idx="7">
                  <c:v>72818</c:v>
                </c:pt>
                <c:pt idx="8">
                  <c:v>69302</c:v>
                </c:pt>
                <c:pt idx="9">
                  <c:v>61856</c:v>
                </c:pt>
                <c:pt idx="10">
                  <c:v>57721</c:v>
                </c:pt>
                <c:pt idx="11">
                  <c:v>56335</c:v>
                </c:pt>
                <c:pt idx="12">
                  <c:v>55932</c:v>
                </c:pt>
                <c:pt idx="13">
                  <c:v>55439</c:v>
                </c:pt>
                <c:pt idx="14">
                  <c:v>55729</c:v>
                </c:pt>
              </c:numCache>
            </c:numRef>
          </c:val>
          <c:extLst>
            <c:ext xmlns:c16="http://schemas.microsoft.com/office/drawing/2014/chart" uri="{C3380CC4-5D6E-409C-BE32-E72D297353CC}">
              <c16:uniqueId val="{00000008-7C58-4A60-88F5-F780791D9670}"/>
            </c:ext>
          </c:extLst>
        </c:ser>
        <c:ser>
          <c:idx val="3"/>
          <c:order val="3"/>
          <c:tx>
            <c:strRef>
              <c:f>'GRAF-1-vývoj ciz-MPO+MPSV'!$L$1</c:f>
              <c:strCache>
                <c:ptCount val="1"/>
                <c:pt idx="0">
                  <c:v>Evidence na ÚP (občané EU15)</c:v>
                </c:pt>
              </c:strCache>
            </c:strRef>
          </c:tx>
          <c:spPr>
            <a:solidFill>
              <a:srgbClr val="00DA63"/>
            </a:solidFill>
            <a:ln w="6350" cap="rnd">
              <a:noFill/>
              <a:prstDash val="solid"/>
              <a:round/>
            </a:ln>
            <a:effectLst/>
          </c:spPr>
          <c:invertIfNegative val="0"/>
          <c:dPt>
            <c:idx val="10"/>
            <c:invertIfNegative val="0"/>
            <c:bubble3D val="0"/>
            <c:spPr>
              <a:noFill/>
              <a:ln w="3175" cap="rnd">
                <a:solidFill>
                  <a:schemeClr val="bg1">
                    <a:lumMod val="75000"/>
                  </a:schemeClr>
                </a:solidFill>
                <a:prstDash val="solid"/>
                <a:round/>
              </a:ln>
              <a:effectLst/>
            </c:spPr>
            <c:extLst>
              <c:ext xmlns:c16="http://schemas.microsoft.com/office/drawing/2014/chart" uri="{C3380CC4-5D6E-409C-BE32-E72D297353CC}">
                <c16:uniqueId val="{0000000A-7C58-4A60-88F5-F780791D9670}"/>
              </c:ext>
            </c:extLst>
          </c:dPt>
          <c:cat>
            <c:numRef>
              <c:f>'GRAF-1-vývoj ciz-MPO+MPSV'!$H$2:$H$16</c:f>
              <c:numCache>
                <c:formatCode>General</c:formatCode>
                <c:ptCount val="15"/>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4">
                  <c:v>2018</c:v>
                </c:pt>
              </c:numCache>
            </c:numRef>
          </c:cat>
          <c:val>
            <c:numRef>
              <c:f>'GRAF-1-vývoj ciz-MPO+MPSV'!$L$2:$L$16</c:f>
              <c:numCache>
                <c:formatCode>#,##0_ ;[Red]\-#,##0\ </c:formatCode>
                <c:ptCount val="15"/>
                <c:pt idx="0">
                  <c:v>3751</c:v>
                </c:pt>
                <c:pt idx="1">
                  <c:v>5231</c:v>
                </c:pt>
                <c:pt idx="2">
                  <c:v>7455</c:v>
                </c:pt>
                <c:pt idx="3">
                  <c:v>8991</c:v>
                </c:pt>
                <c:pt idx="4">
                  <c:v>10136</c:v>
                </c:pt>
                <c:pt idx="5">
                  <c:v>10973</c:v>
                </c:pt>
                <c:pt idx="6">
                  <c:v>11916</c:v>
                </c:pt>
                <c:pt idx="7">
                  <c:v>12889</c:v>
                </c:pt>
                <c:pt idx="8">
                  <c:v>0</c:v>
                </c:pt>
                <c:pt idx="9">
                  <c:v>0</c:v>
                </c:pt>
                <c:pt idx="10" formatCode="###,###,##0">
                  <c:v>260999</c:v>
                </c:pt>
                <c:pt idx="11">
                  <c:v>18200</c:v>
                </c:pt>
                <c:pt idx="12">
                  <c:v>19613</c:v>
                </c:pt>
                <c:pt idx="13">
                  <c:v>23500</c:v>
                </c:pt>
                <c:pt idx="14">
                  <c:v>27736</c:v>
                </c:pt>
              </c:numCache>
            </c:numRef>
          </c:val>
          <c:extLst>
            <c:ext xmlns:c16="http://schemas.microsoft.com/office/drawing/2014/chart" uri="{C3380CC4-5D6E-409C-BE32-E72D297353CC}">
              <c16:uniqueId val="{0000000B-7C58-4A60-88F5-F780791D9670}"/>
            </c:ext>
          </c:extLst>
        </c:ser>
        <c:ser>
          <c:idx val="4"/>
          <c:order val="4"/>
          <c:tx>
            <c:strRef>
              <c:f>'GRAF-1-vývoj ciz-MPO+MPSV'!$M$1</c:f>
              <c:strCache>
                <c:ptCount val="1"/>
                <c:pt idx="0">
                  <c:v>Evidence na ÚP (občané Slovenska)</c:v>
                </c:pt>
              </c:strCache>
            </c:strRef>
          </c:tx>
          <c:spPr>
            <a:solidFill>
              <a:srgbClr val="A9DA74"/>
            </a:solidFill>
            <a:ln w="6350" cap="rnd">
              <a:noFill/>
              <a:round/>
            </a:ln>
            <a:effectLst/>
          </c:spPr>
          <c:invertIfNegative val="0"/>
          <c:cat>
            <c:numRef>
              <c:f>'GRAF-1-vývoj ciz-MPO+MPSV'!$H$2:$H$16</c:f>
              <c:numCache>
                <c:formatCode>General</c:formatCode>
                <c:ptCount val="15"/>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4">
                  <c:v>2018</c:v>
                </c:pt>
              </c:numCache>
            </c:numRef>
          </c:cat>
          <c:val>
            <c:numRef>
              <c:f>'GRAF-1-vývoj ciz-MPO+MPSV'!$M$2:$M$16</c:f>
              <c:numCache>
                <c:formatCode>#,##0_ ;[Red]\-#,##0\ </c:formatCode>
                <c:ptCount val="15"/>
                <c:pt idx="0">
                  <c:v>59818</c:v>
                </c:pt>
                <c:pt idx="1">
                  <c:v>75297</c:v>
                </c:pt>
                <c:pt idx="2">
                  <c:v>91355</c:v>
                </c:pt>
                <c:pt idx="3">
                  <c:v>101233</c:v>
                </c:pt>
                <c:pt idx="4">
                  <c:v>100223</c:v>
                </c:pt>
                <c:pt idx="5">
                  <c:v>98192</c:v>
                </c:pt>
                <c:pt idx="6">
                  <c:v>100727</c:v>
                </c:pt>
                <c:pt idx="7">
                  <c:v>106425</c:v>
                </c:pt>
                <c:pt idx="8">
                  <c:v>0</c:v>
                </c:pt>
                <c:pt idx="9">
                  <c:v>0</c:v>
                </c:pt>
                <c:pt idx="10" formatCode="###,###,##0">
                  <c:v>0</c:v>
                </c:pt>
                <c:pt idx="11">
                  <c:v>150317</c:v>
                </c:pt>
                <c:pt idx="12">
                  <c:v>161559</c:v>
                </c:pt>
                <c:pt idx="13">
                  <c:v>177059</c:v>
                </c:pt>
                <c:pt idx="14">
                  <c:v>191818</c:v>
                </c:pt>
              </c:numCache>
            </c:numRef>
          </c:val>
          <c:extLst>
            <c:ext xmlns:c16="http://schemas.microsoft.com/office/drawing/2014/chart" uri="{C3380CC4-5D6E-409C-BE32-E72D297353CC}">
              <c16:uniqueId val="{0000000C-7C58-4A60-88F5-F780791D9670}"/>
            </c:ext>
          </c:extLst>
        </c:ser>
        <c:ser>
          <c:idx val="5"/>
          <c:order val="5"/>
          <c:tx>
            <c:strRef>
              <c:f>'GRAF-1-vývoj ciz-MPO+MPSV'!$N$1</c:f>
              <c:strCache>
                <c:ptCount val="1"/>
                <c:pt idx="0">
                  <c:v>Evidence na ÚP (Polsko, Maďarsko)</c:v>
                </c:pt>
              </c:strCache>
            </c:strRef>
          </c:tx>
          <c:spPr>
            <a:solidFill>
              <a:srgbClr val="99FFCC"/>
            </a:solidFill>
            <a:ln w="6350" cap="rnd">
              <a:noFill/>
              <a:prstDash val="solid"/>
              <a:round/>
            </a:ln>
            <a:effectLst/>
          </c:spPr>
          <c:invertIfNegative val="0"/>
          <c:cat>
            <c:numRef>
              <c:f>'GRAF-1-vývoj ciz-MPO+MPSV'!$H$2:$H$16</c:f>
              <c:numCache>
                <c:formatCode>General</c:formatCode>
                <c:ptCount val="15"/>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4">
                  <c:v>2018</c:v>
                </c:pt>
              </c:numCache>
            </c:numRef>
          </c:cat>
          <c:val>
            <c:numRef>
              <c:f>'GRAF-1-vývoj ciz-MPO+MPSV'!$N$2:$N$16</c:f>
              <c:numCache>
                <c:formatCode>#,##0_ ;[Red]\-#,##0\ </c:formatCode>
                <c:ptCount val="15"/>
                <c:pt idx="0">
                  <c:v>9013</c:v>
                </c:pt>
                <c:pt idx="1">
                  <c:v>12800</c:v>
                </c:pt>
                <c:pt idx="2">
                  <c:v>17402</c:v>
                </c:pt>
                <c:pt idx="3">
                  <c:v>24099</c:v>
                </c:pt>
                <c:pt idx="4">
                  <c:v>21204</c:v>
                </c:pt>
                <c:pt idx="5">
                  <c:v>20879</c:v>
                </c:pt>
                <c:pt idx="6">
                  <c:v>19705</c:v>
                </c:pt>
                <c:pt idx="7">
                  <c:v>20427</c:v>
                </c:pt>
                <c:pt idx="8">
                  <c:v>0</c:v>
                </c:pt>
                <c:pt idx="9">
                  <c:v>0</c:v>
                </c:pt>
                <c:pt idx="10" formatCode="###,###,##0">
                  <c:v>0</c:v>
                </c:pt>
                <c:pt idx="11">
                  <c:v>31127</c:v>
                </c:pt>
                <c:pt idx="12">
                  <c:v>42121</c:v>
                </c:pt>
                <c:pt idx="13">
                  <c:v>54313</c:v>
                </c:pt>
                <c:pt idx="14">
                  <c:v>62947</c:v>
                </c:pt>
              </c:numCache>
            </c:numRef>
          </c:val>
          <c:extLst>
            <c:ext xmlns:c16="http://schemas.microsoft.com/office/drawing/2014/chart" uri="{C3380CC4-5D6E-409C-BE32-E72D297353CC}">
              <c16:uniqueId val="{0000000D-7C58-4A60-88F5-F780791D9670}"/>
            </c:ext>
          </c:extLst>
        </c:ser>
        <c:ser>
          <c:idx val="6"/>
          <c:order val="6"/>
          <c:tx>
            <c:strRef>
              <c:f>'GRAF-1-vývoj ciz-MPO+MPSV'!$O$1</c:f>
              <c:strCache>
                <c:ptCount val="1"/>
                <c:pt idx="0">
                  <c:v>Evidence na ÚP (Rumunsko, Bulharsko)</c:v>
                </c:pt>
              </c:strCache>
            </c:strRef>
          </c:tx>
          <c:spPr>
            <a:solidFill>
              <a:srgbClr val="00B0F0"/>
            </a:solidFill>
            <a:ln>
              <a:noFill/>
            </a:ln>
          </c:spPr>
          <c:invertIfNegative val="0"/>
          <c:cat>
            <c:numRef>
              <c:f>'GRAF-1-vývoj ciz-MPO+MPSV'!$H$2:$H$16</c:f>
              <c:numCache>
                <c:formatCode>General</c:formatCode>
                <c:ptCount val="15"/>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4">
                  <c:v>2018</c:v>
                </c:pt>
              </c:numCache>
            </c:numRef>
          </c:cat>
          <c:val>
            <c:numRef>
              <c:f>'GRAF-1-vývoj ciz-MPO+MPSV'!$O$2:$O$16</c:f>
              <c:numCache>
                <c:formatCode>#,##0_ ;[Red]\-#,##0\ </c:formatCode>
                <c:ptCount val="15"/>
                <c:pt idx="0">
                  <c:v>2241</c:v>
                </c:pt>
                <c:pt idx="1">
                  <c:v>2661</c:v>
                </c:pt>
                <c:pt idx="2">
                  <c:v>3193</c:v>
                </c:pt>
                <c:pt idx="3">
                  <c:v>9706</c:v>
                </c:pt>
                <c:pt idx="4">
                  <c:v>8713</c:v>
                </c:pt>
                <c:pt idx="5">
                  <c:v>8358</c:v>
                </c:pt>
                <c:pt idx="6">
                  <c:v>10482</c:v>
                </c:pt>
                <c:pt idx="7">
                  <c:v>13379</c:v>
                </c:pt>
                <c:pt idx="8">
                  <c:v>0</c:v>
                </c:pt>
                <c:pt idx="9">
                  <c:v>0</c:v>
                </c:pt>
                <c:pt idx="10" formatCode="###,###,##0">
                  <c:v>0</c:v>
                </c:pt>
                <c:pt idx="11">
                  <c:v>42643</c:v>
                </c:pt>
                <c:pt idx="12">
                  <c:v>57306</c:v>
                </c:pt>
                <c:pt idx="13">
                  <c:v>71032</c:v>
                </c:pt>
                <c:pt idx="14">
                  <c:v>78642</c:v>
                </c:pt>
              </c:numCache>
            </c:numRef>
          </c:val>
          <c:extLst>
            <c:ext xmlns:c16="http://schemas.microsoft.com/office/drawing/2014/chart" uri="{C3380CC4-5D6E-409C-BE32-E72D297353CC}">
              <c16:uniqueId val="{0000000E-7C58-4A60-88F5-F780791D9670}"/>
            </c:ext>
          </c:extLst>
        </c:ser>
        <c:ser>
          <c:idx val="7"/>
          <c:order val="7"/>
          <c:tx>
            <c:strRef>
              <c:f>'GRAF-1-vývoj ciz-MPO+MPSV'!$P$1</c:f>
              <c:strCache>
                <c:ptCount val="1"/>
                <c:pt idx="0">
                  <c:v>Evidence na ÚP (ostatní občané EU)</c:v>
                </c:pt>
              </c:strCache>
            </c:strRef>
          </c:tx>
          <c:spPr>
            <a:solidFill>
              <a:schemeClr val="accent5">
                <a:lumMod val="75000"/>
              </a:schemeClr>
            </a:solidFill>
            <a:ln>
              <a:noFill/>
            </a:ln>
          </c:spPr>
          <c:invertIfNegative val="0"/>
          <c:cat>
            <c:numRef>
              <c:f>'GRAF-1-vývoj ciz-MPO+MPSV'!$H$2:$H$16</c:f>
              <c:numCache>
                <c:formatCode>General</c:formatCode>
                <c:ptCount val="15"/>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4">
                  <c:v>2018</c:v>
                </c:pt>
              </c:numCache>
            </c:numRef>
          </c:cat>
          <c:val>
            <c:numRef>
              <c:f>'GRAF-1-vývoj ciz-MPO+MPSV'!$P$2:$P$16</c:f>
              <c:numCache>
                <c:formatCode>#,##0_ ;[Red]\-#,##0\ </c:formatCode>
                <c:ptCount val="15"/>
                <c:pt idx="0">
                  <c:v>285</c:v>
                </c:pt>
                <c:pt idx="1">
                  <c:v>574</c:v>
                </c:pt>
                <c:pt idx="2">
                  <c:v>719</c:v>
                </c:pt>
                <c:pt idx="3">
                  <c:v>778</c:v>
                </c:pt>
                <c:pt idx="4">
                  <c:v>902</c:v>
                </c:pt>
                <c:pt idx="5">
                  <c:v>972</c:v>
                </c:pt>
                <c:pt idx="6">
                  <c:v>1296</c:v>
                </c:pt>
                <c:pt idx="7">
                  <c:v>1613</c:v>
                </c:pt>
                <c:pt idx="8">
                  <c:v>0</c:v>
                </c:pt>
                <c:pt idx="9">
                  <c:v>0</c:v>
                </c:pt>
                <c:pt idx="10" formatCode="General">
                  <c:v>0</c:v>
                </c:pt>
                <c:pt idx="11">
                  <c:v>2754</c:v>
                </c:pt>
                <c:pt idx="12">
                  <c:v>3245</c:v>
                </c:pt>
                <c:pt idx="13">
                  <c:v>4250</c:v>
                </c:pt>
                <c:pt idx="14">
                  <c:v>5047</c:v>
                </c:pt>
              </c:numCache>
            </c:numRef>
          </c:val>
          <c:extLst>
            <c:ext xmlns:c16="http://schemas.microsoft.com/office/drawing/2014/chart" uri="{C3380CC4-5D6E-409C-BE32-E72D297353CC}">
              <c16:uniqueId val="{0000000F-7C58-4A60-88F5-F780791D9670}"/>
            </c:ext>
          </c:extLst>
        </c:ser>
        <c:ser>
          <c:idx val="8"/>
          <c:order val="8"/>
          <c:tx>
            <c:strRef>
              <c:f>'GRAF-1-vývoj ciz-MPO+MPSV'!$Q$1</c:f>
              <c:strCache>
                <c:ptCount val="1"/>
                <c:pt idx="0">
                  <c:v>Evidence na ÚP (občané Ukrajiny)</c:v>
                </c:pt>
              </c:strCache>
            </c:strRef>
          </c:tx>
          <c:spPr>
            <a:solidFill>
              <a:srgbClr val="FFFF00"/>
            </a:solidFill>
            <a:ln>
              <a:noFill/>
            </a:ln>
          </c:spPr>
          <c:invertIfNegative val="0"/>
          <c:cat>
            <c:numRef>
              <c:f>'GRAF-1-vývoj ciz-MPO+MPSV'!$H$2:$H$16</c:f>
              <c:numCache>
                <c:formatCode>General</c:formatCode>
                <c:ptCount val="15"/>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4">
                  <c:v>2018</c:v>
                </c:pt>
              </c:numCache>
            </c:numRef>
          </c:cat>
          <c:val>
            <c:numRef>
              <c:f>'GRAF-1-vývoj ciz-MPO+MPSV'!$Q$2:$Q$16</c:f>
              <c:numCache>
                <c:formatCode>#,##0_ ;[Red]\-#,##0\ </c:formatCode>
                <c:ptCount val="15"/>
                <c:pt idx="0">
                  <c:v>22399</c:v>
                </c:pt>
                <c:pt idx="1">
                  <c:v>40060</c:v>
                </c:pt>
                <c:pt idx="2">
                  <c:v>46155</c:v>
                </c:pt>
                <c:pt idx="3">
                  <c:v>61592</c:v>
                </c:pt>
                <c:pt idx="4">
                  <c:v>81072</c:v>
                </c:pt>
                <c:pt idx="5">
                  <c:v>57478</c:v>
                </c:pt>
                <c:pt idx="6">
                  <c:v>42139</c:v>
                </c:pt>
                <c:pt idx="7">
                  <c:v>35250</c:v>
                </c:pt>
                <c:pt idx="8">
                  <c:v>0</c:v>
                </c:pt>
                <c:pt idx="9">
                  <c:v>0</c:v>
                </c:pt>
                <c:pt idx="10" formatCode="General">
                  <c:v>0</c:v>
                </c:pt>
                <c:pt idx="11">
                  <c:v>41847</c:v>
                </c:pt>
                <c:pt idx="12">
                  <c:v>54571</c:v>
                </c:pt>
                <c:pt idx="13">
                  <c:v>81695</c:v>
                </c:pt>
                <c:pt idx="14" formatCode="#,##0_ ;[Red]\-#,##0\ ;\-\ ">
                  <c:v>121086</c:v>
                </c:pt>
              </c:numCache>
            </c:numRef>
          </c:val>
          <c:extLst>
            <c:ext xmlns:c16="http://schemas.microsoft.com/office/drawing/2014/chart" uri="{C3380CC4-5D6E-409C-BE32-E72D297353CC}">
              <c16:uniqueId val="{00000010-7C58-4A60-88F5-F780791D9670}"/>
            </c:ext>
          </c:extLst>
        </c:ser>
        <c:ser>
          <c:idx val="9"/>
          <c:order val="9"/>
          <c:tx>
            <c:strRef>
              <c:f>'GRAF-1-vývoj ciz-MPO+MPSV'!$R$1</c:f>
              <c:strCache>
                <c:ptCount val="1"/>
                <c:pt idx="0">
                  <c:v>Evidence na ÚP (ostatní mimo EU)</c:v>
                </c:pt>
              </c:strCache>
            </c:strRef>
          </c:tx>
          <c:spPr>
            <a:solidFill>
              <a:schemeClr val="accent2">
                <a:lumMod val="20000"/>
                <a:lumOff val="80000"/>
              </a:schemeClr>
            </a:solidFill>
            <a:ln>
              <a:noFill/>
            </a:ln>
          </c:spPr>
          <c:invertIfNegative val="0"/>
          <c:cat>
            <c:numRef>
              <c:f>'GRAF-1-vývoj ciz-MPO+MPSV'!$H$2:$H$16</c:f>
              <c:numCache>
                <c:formatCode>General</c:formatCode>
                <c:ptCount val="15"/>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4">
                  <c:v>2018</c:v>
                </c:pt>
              </c:numCache>
            </c:numRef>
          </c:cat>
          <c:val>
            <c:numRef>
              <c:f>'GRAF-1-vývoj ciz-MPO+MPSV'!$R$2:$R$16</c:f>
              <c:numCache>
                <c:formatCode>#,##0_ ;[Red]\-#,##0\ </c:formatCode>
                <c:ptCount val="15"/>
                <c:pt idx="0">
                  <c:v>10477</c:v>
                </c:pt>
                <c:pt idx="1">
                  <c:v>15113</c:v>
                </c:pt>
                <c:pt idx="2">
                  <c:v>18796</c:v>
                </c:pt>
                <c:pt idx="3">
                  <c:v>33843</c:v>
                </c:pt>
                <c:pt idx="4">
                  <c:v>62301</c:v>
                </c:pt>
                <c:pt idx="5">
                  <c:v>33857</c:v>
                </c:pt>
                <c:pt idx="6">
                  <c:v>29102</c:v>
                </c:pt>
                <c:pt idx="7">
                  <c:v>27879</c:v>
                </c:pt>
                <c:pt idx="8">
                  <c:v>0</c:v>
                </c:pt>
                <c:pt idx="9">
                  <c:v>0</c:v>
                </c:pt>
                <c:pt idx="10" formatCode="General">
                  <c:v>0</c:v>
                </c:pt>
                <c:pt idx="11">
                  <c:v>36356</c:v>
                </c:pt>
                <c:pt idx="12">
                  <c:v>44474</c:v>
                </c:pt>
                <c:pt idx="13">
                  <c:v>60505</c:v>
                </c:pt>
                <c:pt idx="14">
                  <c:v>81400</c:v>
                </c:pt>
              </c:numCache>
            </c:numRef>
          </c:val>
          <c:extLst>
            <c:ext xmlns:c16="http://schemas.microsoft.com/office/drawing/2014/chart" uri="{C3380CC4-5D6E-409C-BE32-E72D297353CC}">
              <c16:uniqueId val="{00000011-7C58-4A60-88F5-F780791D9670}"/>
            </c:ext>
          </c:extLst>
        </c:ser>
        <c:dLbls>
          <c:showLegendKey val="0"/>
          <c:showVal val="0"/>
          <c:showCatName val="0"/>
          <c:showSerName val="0"/>
          <c:showPercent val="0"/>
          <c:showBubbleSize val="0"/>
        </c:dLbls>
        <c:gapWidth val="66"/>
        <c:overlap val="100"/>
        <c:axId val="101581568"/>
        <c:axId val="101583104"/>
      </c:barChart>
      <c:catAx>
        <c:axId val="101581568"/>
        <c:scaling>
          <c:orientation val="minMax"/>
        </c:scaling>
        <c:delete val="0"/>
        <c:axPos val="b"/>
        <c:numFmt formatCode="General" sourceLinked="1"/>
        <c:majorTickMark val="none"/>
        <c:minorTickMark val="none"/>
        <c:tickLblPos val="low"/>
        <c:spPr>
          <a:noFill/>
          <a:ln w="6350" cap="flat" cmpd="sng" algn="ctr">
            <a:solidFill>
              <a:schemeClr val="tx1">
                <a:lumMod val="95000"/>
                <a:lumOff val="5000"/>
              </a:schemeClr>
            </a:solidFill>
            <a:round/>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cs-CZ"/>
          </a:p>
        </c:txPr>
        <c:crossAx val="101583104"/>
        <c:crossesAt val="100"/>
        <c:auto val="1"/>
        <c:lblAlgn val="ctr"/>
        <c:lblOffset val="10"/>
        <c:noMultiLvlLbl val="0"/>
      </c:catAx>
      <c:valAx>
        <c:axId val="101583104"/>
        <c:scaling>
          <c:orientation val="minMax"/>
          <c:max val="700000"/>
          <c:min val="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cs-CZ"/>
          </a:p>
        </c:txPr>
        <c:crossAx val="101581568"/>
        <c:crosses val="autoZero"/>
        <c:crossBetween val="between"/>
        <c:majorUnit val="100000"/>
      </c:valAx>
      <c:spPr>
        <a:noFill/>
        <a:ln w="6350">
          <a:solidFill>
            <a:schemeClr val="tx1">
              <a:lumMod val="95000"/>
              <a:lumOff val="5000"/>
            </a:schemeClr>
          </a:solidFill>
        </a:ln>
        <a:effectLst/>
      </c:spPr>
    </c:plotArea>
    <c:legend>
      <c:legendPos val="b"/>
      <c:layout>
        <c:manualLayout>
          <c:xMode val="edge"/>
          <c:yMode val="edge"/>
          <c:x val="0.10582301788452092"/>
          <c:y val="0.8263690644692967"/>
          <c:w val="0.8720222175654595"/>
          <c:h val="0.16280211278574169"/>
        </c:manualLayout>
      </c:layout>
      <c:overlay val="0"/>
      <c:spPr>
        <a:noFill/>
        <a:ln w="6350">
          <a:solidFill>
            <a:schemeClr val="tx1">
              <a:lumMod val="95000"/>
              <a:lumOff val="5000"/>
            </a:schemeClr>
          </a:solid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cs-CZ"/>
        </a:p>
      </c:txPr>
    </c:legend>
    <c:plotVisOnly val="1"/>
    <c:dispBlanksAs val="gap"/>
    <c:showDLblsOverMax val="0"/>
  </c:chart>
  <c:spPr>
    <a:solidFill>
      <a:schemeClr val="bg1"/>
    </a:solidFill>
    <a:ln w="9525" cap="flat" cmpd="sng" algn="ctr">
      <a:noFill/>
      <a:round/>
    </a:ln>
    <a:effectLst/>
  </c:spPr>
  <c:txPr>
    <a:bodyPr/>
    <a:lstStyle/>
    <a:p>
      <a:pPr>
        <a:defRPr/>
      </a:pPr>
      <a:endParaRPr lang="cs-CZ"/>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3.2350779510997812E-3"/>
          <c:y val="4.4310937091664934E-2"/>
          <c:w val="0.98934123721364564"/>
          <c:h val="0.68383000727194343"/>
        </c:manualLayout>
      </c:layout>
      <c:doughnutChart>
        <c:varyColors val="1"/>
        <c:ser>
          <c:idx val="0"/>
          <c:order val="0"/>
          <c:tx>
            <c:strRef>
              <c:f>'GRAF-2-Odvětví-ČR-CIZ'!$B$99</c:f>
              <c:strCache>
                <c:ptCount val="1"/>
                <c:pt idx="0">
                  <c:v>Celé NH</c:v>
                </c:pt>
              </c:strCache>
            </c:strRef>
          </c:tx>
          <c:spPr>
            <a:ln w="15875">
              <a:solidFill>
                <a:schemeClr val="tx1">
                  <a:lumMod val="95000"/>
                  <a:lumOff val="5000"/>
                </a:schemeClr>
              </a:solidFill>
            </a:ln>
          </c:spPr>
          <c:dPt>
            <c:idx val="0"/>
            <c:bubble3D val="0"/>
            <c:spPr>
              <a:solidFill>
                <a:srgbClr val="C89058"/>
              </a:solidFill>
              <a:ln w="15875">
                <a:solidFill>
                  <a:schemeClr val="tx1">
                    <a:lumMod val="95000"/>
                    <a:lumOff val="5000"/>
                  </a:schemeClr>
                </a:solidFill>
              </a:ln>
            </c:spPr>
            <c:extLst>
              <c:ext xmlns:c16="http://schemas.microsoft.com/office/drawing/2014/chart" uri="{C3380CC4-5D6E-409C-BE32-E72D297353CC}">
                <c16:uniqueId val="{00000001-AF92-4DC0-9EA0-3AF9736B1F0D}"/>
              </c:ext>
            </c:extLst>
          </c:dPt>
          <c:dPt>
            <c:idx val="1"/>
            <c:bubble3D val="0"/>
            <c:spPr>
              <a:solidFill>
                <a:srgbClr val="B2B2B2"/>
              </a:solidFill>
              <a:ln w="15875">
                <a:solidFill>
                  <a:schemeClr val="tx1">
                    <a:lumMod val="95000"/>
                    <a:lumOff val="5000"/>
                  </a:schemeClr>
                </a:solidFill>
              </a:ln>
            </c:spPr>
            <c:extLst>
              <c:ext xmlns:c16="http://schemas.microsoft.com/office/drawing/2014/chart" uri="{C3380CC4-5D6E-409C-BE32-E72D297353CC}">
                <c16:uniqueId val="{00000003-AF92-4DC0-9EA0-3AF9736B1F0D}"/>
              </c:ext>
            </c:extLst>
          </c:dPt>
          <c:dPt>
            <c:idx val="2"/>
            <c:bubble3D val="0"/>
            <c:spPr>
              <a:solidFill>
                <a:schemeClr val="bg1">
                  <a:lumMod val="50000"/>
                </a:schemeClr>
              </a:solidFill>
              <a:ln w="15875">
                <a:solidFill>
                  <a:schemeClr val="tx1">
                    <a:lumMod val="95000"/>
                    <a:lumOff val="5000"/>
                  </a:schemeClr>
                </a:solidFill>
              </a:ln>
            </c:spPr>
            <c:extLst>
              <c:ext xmlns:c16="http://schemas.microsoft.com/office/drawing/2014/chart" uri="{C3380CC4-5D6E-409C-BE32-E72D297353CC}">
                <c16:uniqueId val="{00000005-AF92-4DC0-9EA0-3AF9736B1F0D}"/>
              </c:ext>
            </c:extLst>
          </c:dPt>
          <c:dPt>
            <c:idx val="3"/>
            <c:bubble3D val="0"/>
            <c:spPr>
              <a:solidFill>
                <a:schemeClr val="bg2">
                  <a:lumMod val="25000"/>
                </a:schemeClr>
              </a:solidFill>
              <a:ln w="15875">
                <a:solidFill>
                  <a:schemeClr val="tx1">
                    <a:lumMod val="95000"/>
                    <a:lumOff val="5000"/>
                  </a:schemeClr>
                </a:solidFill>
              </a:ln>
            </c:spPr>
            <c:extLst>
              <c:ext xmlns:c16="http://schemas.microsoft.com/office/drawing/2014/chart" uri="{C3380CC4-5D6E-409C-BE32-E72D297353CC}">
                <c16:uniqueId val="{00000007-AF92-4DC0-9EA0-3AF9736B1F0D}"/>
              </c:ext>
            </c:extLst>
          </c:dPt>
          <c:dPt>
            <c:idx val="4"/>
            <c:bubble3D val="0"/>
            <c:spPr>
              <a:solidFill>
                <a:srgbClr val="98C0E4"/>
              </a:solidFill>
              <a:ln w="15875">
                <a:solidFill>
                  <a:schemeClr val="tx1">
                    <a:lumMod val="95000"/>
                    <a:lumOff val="5000"/>
                  </a:schemeClr>
                </a:solidFill>
              </a:ln>
            </c:spPr>
            <c:extLst>
              <c:ext xmlns:c16="http://schemas.microsoft.com/office/drawing/2014/chart" uri="{C3380CC4-5D6E-409C-BE32-E72D297353CC}">
                <c16:uniqueId val="{00000009-AF92-4DC0-9EA0-3AF9736B1F0D}"/>
              </c:ext>
            </c:extLst>
          </c:dPt>
          <c:dPt>
            <c:idx val="5"/>
            <c:bubble3D val="0"/>
            <c:spPr>
              <a:solidFill>
                <a:srgbClr val="83A2D9"/>
              </a:solidFill>
              <a:ln w="15875">
                <a:solidFill>
                  <a:schemeClr val="tx1">
                    <a:lumMod val="95000"/>
                    <a:lumOff val="5000"/>
                  </a:schemeClr>
                </a:solidFill>
              </a:ln>
            </c:spPr>
            <c:extLst>
              <c:ext xmlns:c16="http://schemas.microsoft.com/office/drawing/2014/chart" uri="{C3380CC4-5D6E-409C-BE32-E72D297353CC}">
                <c16:uniqueId val="{0000000B-AF92-4DC0-9EA0-3AF9736B1F0D}"/>
              </c:ext>
            </c:extLst>
          </c:dPt>
          <c:dPt>
            <c:idx val="6"/>
            <c:bubble3D val="0"/>
            <c:spPr>
              <a:solidFill>
                <a:srgbClr val="93FFC4"/>
              </a:solidFill>
              <a:ln w="15875">
                <a:solidFill>
                  <a:schemeClr val="tx1">
                    <a:lumMod val="95000"/>
                    <a:lumOff val="5000"/>
                  </a:schemeClr>
                </a:solidFill>
              </a:ln>
            </c:spPr>
            <c:extLst>
              <c:ext xmlns:c16="http://schemas.microsoft.com/office/drawing/2014/chart" uri="{C3380CC4-5D6E-409C-BE32-E72D297353CC}">
                <c16:uniqueId val="{0000000D-AF92-4DC0-9EA0-3AF9736B1F0D}"/>
              </c:ext>
            </c:extLst>
          </c:dPt>
          <c:dPt>
            <c:idx val="7"/>
            <c:bubble3D val="0"/>
            <c:spPr>
              <a:solidFill>
                <a:srgbClr val="6DA945"/>
              </a:solidFill>
              <a:ln w="15875">
                <a:solidFill>
                  <a:schemeClr val="tx1">
                    <a:lumMod val="95000"/>
                    <a:lumOff val="5000"/>
                  </a:schemeClr>
                </a:solidFill>
              </a:ln>
            </c:spPr>
            <c:extLst>
              <c:ext xmlns:c16="http://schemas.microsoft.com/office/drawing/2014/chart" uri="{C3380CC4-5D6E-409C-BE32-E72D297353CC}">
                <c16:uniqueId val="{0000000F-AF92-4DC0-9EA0-3AF9736B1F0D}"/>
              </c:ext>
            </c:extLst>
          </c:dPt>
          <c:dPt>
            <c:idx val="8"/>
            <c:bubble3D val="0"/>
            <c:spPr>
              <a:solidFill>
                <a:schemeClr val="bg2"/>
              </a:solidFill>
              <a:ln w="15875">
                <a:solidFill>
                  <a:schemeClr val="tx1">
                    <a:lumMod val="95000"/>
                    <a:lumOff val="5000"/>
                  </a:schemeClr>
                </a:solidFill>
              </a:ln>
            </c:spPr>
            <c:extLst>
              <c:ext xmlns:c16="http://schemas.microsoft.com/office/drawing/2014/chart" uri="{C3380CC4-5D6E-409C-BE32-E72D297353CC}">
                <c16:uniqueId val="{00000011-AF92-4DC0-9EA0-3AF9736B1F0D}"/>
              </c:ext>
            </c:extLst>
          </c:dPt>
          <c:dPt>
            <c:idx val="9"/>
            <c:bubble3D val="0"/>
            <c:spPr>
              <a:solidFill>
                <a:srgbClr val="FFC000"/>
              </a:solidFill>
              <a:ln w="15875">
                <a:solidFill>
                  <a:schemeClr val="tx1">
                    <a:lumMod val="95000"/>
                    <a:lumOff val="5000"/>
                  </a:schemeClr>
                </a:solidFill>
              </a:ln>
            </c:spPr>
            <c:extLst>
              <c:ext xmlns:c16="http://schemas.microsoft.com/office/drawing/2014/chart" uri="{C3380CC4-5D6E-409C-BE32-E72D297353CC}">
                <c16:uniqueId val="{00000013-AF92-4DC0-9EA0-3AF9736B1F0D}"/>
              </c:ext>
            </c:extLst>
          </c:dPt>
          <c:dPt>
            <c:idx val="10"/>
            <c:bubble3D val="0"/>
            <c:spPr>
              <a:solidFill>
                <a:srgbClr val="FF6969"/>
              </a:solidFill>
              <a:ln w="15875">
                <a:solidFill>
                  <a:schemeClr val="tx1">
                    <a:lumMod val="95000"/>
                    <a:lumOff val="5000"/>
                  </a:schemeClr>
                </a:solidFill>
              </a:ln>
            </c:spPr>
            <c:extLst>
              <c:ext xmlns:c16="http://schemas.microsoft.com/office/drawing/2014/chart" uri="{C3380CC4-5D6E-409C-BE32-E72D297353CC}">
                <c16:uniqueId val="{00000015-AF92-4DC0-9EA0-3AF9736B1F0D}"/>
              </c:ext>
            </c:extLst>
          </c:dPt>
          <c:dPt>
            <c:idx val="11"/>
            <c:bubble3D val="0"/>
            <c:spPr>
              <a:solidFill>
                <a:srgbClr val="C00000"/>
              </a:solidFill>
              <a:ln w="15875">
                <a:solidFill>
                  <a:schemeClr val="tx1">
                    <a:lumMod val="95000"/>
                    <a:lumOff val="5000"/>
                  </a:schemeClr>
                </a:solidFill>
              </a:ln>
            </c:spPr>
            <c:extLst>
              <c:ext xmlns:c16="http://schemas.microsoft.com/office/drawing/2014/chart" uri="{C3380CC4-5D6E-409C-BE32-E72D297353CC}">
                <c16:uniqueId val="{00000017-AF92-4DC0-9EA0-3AF9736B1F0D}"/>
              </c:ext>
            </c:extLst>
          </c:dPt>
          <c:dPt>
            <c:idx val="12"/>
            <c:bubble3D val="0"/>
            <c:spPr>
              <a:solidFill>
                <a:schemeClr val="bg2">
                  <a:lumMod val="90000"/>
                </a:schemeClr>
              </a:solidFill>
              <a:ln w="15875">
                <a:solidFill>
                  <a:schemeClr val="tx1">
                    <a:lumMod val="95000"/>
                    <a:lumOff val="5000"/>
                  </a:schemeClr>
                </a:solidFill>
              </a:ln>
            </c:spPr>
            <c:extLst>
              <c:ext xmlns:c16="http://schemas.microsoft.com/office/drawing/2014/chart" uri="{C3380CC4-5D6E-409C-BE32-E72D297353CC}">
                <c16:uniqueId val="{00000019-AF92-4DC0-9EA0-3AF9736B1F0D}"/>
              </c:ext>
            </c:extLst>
          </c:dPt>
          <c:cat>
            <c:strRef>
              <c:f>'GRAF-2-Odvětví-ČR-CIZ'!$C$98:$O$98</c:f>
              <c:strCache>
                <c:ptCount val="13"/>
                <c:pt idx="0">
                  <c:v>Zemědělství, lesnictví a rybářství</c:v>
                </c:pt>
                <c:pt idx="1">
                  <c:v>Zpracovatelský průmysl </c:v>
                </c:pt>
                <c:pt idx="2">
                  <c:v>Ostatní průmysl</c:v>
                </c:pt>
                <c:pt idx="3">
                  <c:v>Stavebnictví</c:v>
                </c:pt>
                <c:pt idx="4">
                  <c:v>Obchod, ubytování, stravování</c:v>
                </c:pt>
                <c:pt idx="5">
                  <c:v>Doprava a skladování </c:v>
                </c:pt>
                <c:pt idx="6">
                  <c:v>IT, finančnictví, nemovitosti</c:v>
                </c:pt>
                <c:pt idx="7">
                  <c:v>Profesní, vědecké a technické čin.</c:v>
                </c:pt>
                <c:pt idx="8">
                  <c:v>Administrativní a podpůrné čin.</c:v>
                </c:pt>
                <c:pt idx="9">
                  <c:v>Veřejná správa, obrana, sociální zabezpečení</c:v>
                </c:pt>
                <c:pt idx="10">
                  <c:v>Vzdělávání</c:v>
                </c:pt>
                <c:pt idx="11">
                  <c:v> Zdravotní a sociální péče</c:v>
                </c:pt>
                <c:pt idx="12">
                  <c:v>Ostatní a nezjištěno</c:v>
                </c:pt>
              </c:strCache>
            </c:strRef>
          </c:cat>
          <c:val>
            <c:numRef>
              <c:f>'GRAF-2-Odvětví-ČR-CIZ'!$C$99:$O$99</c:f>
              <c:numCache>
                <c:formatCode>#\ ##0.0_ ;\-#\ ##0.0\ ;\-\ </c:formatCode>
                <c:ptCount val="13"/>
                <c:pt idx="0">
                  <c:v>3.0469920278279652</c:v>
                </c:pt>
                <c:pt idx="1">
                  <c:v>37.577168700347769</c:v>
                </c:pt>
                <c:pt idx="2" formatCode="#\ ##0.0_ ;\-#\ ##0.0\ ">
                  <c:v>4.5403181999239814</c:v>
                </c:pt>
                <c:pt idx="3">
                  <c:v>8.4892045238025577</c:v>
                </c:pt>
                <c:pt idx="4">
                  <c:v>10.741468720283752</c:v>
                </c:pt>
                <c:pt idx="5">
                  <c:v>9.1446291203688919</c:v>
                </c:pt>
                <c:pt idx="6" formatCode="#\ ##0.0_ ;\-#\ ##0.0\ ">
                  <c:v>6.3087863007645959</c:v>
                </c:pt>
                <c:pt idx="7">
                  <c:v>2.9460956251422976</c:v>
                </c:pt>
                <c:pt idx="8">
                  <c:v>2.3862747282283365</c:v>
                </c:pt>
                <c:pt idx="9">
                  <c:v>6.987998743103228</c:v>
                </c:pt>
                <c:pt idx="10">
                  <c:v>2.8080572418954959</c:v>
                </c:pt>
                <c:pt idx="11">
                  <c:v>2.7395496320305046</c:v>
                </c:pt>
                <c:pt idx="12" formatCode="#\ ##0.0_ ;\-#\ ##0.0\ ">
                  <c:v>2.2834564362806264</c:v>
                </c:pt>
              </c:numCache>
            </c:numRef>
          </c:val>
          <c:extLst>
            <c:ext xmlns:c16="http://schemas.microsoft.com/office/drawing/2014/chart" uri="{C3380CC4-5D6E-409C-BE32-E72D297353CC}">
              <c16:uniqueId val="{0000001A-AF92-4DC0-9EA0-3AF9736B1F0D}"/>
            </c:ext>
          </c:extLst>
        </c:ser>
        <c:ser>
          <c:idx val="1"/>
          <c:order val="1"/>
          <c:tx>
            <c:strRef>
              <c:f>'GRAF-2-Odvětví-ČR-CIZ'!$B$100</c:f>
              <c:strCache>
                <c:ptCount val="1"/>
                <c:pt idx="0">
                  <c:v>Cizinci z EU15</c:v>
                </c:pt>
              </c:strCache>
            </c:strRef>
          </c:tx>
          <c:spPr>
            <a:ln w="3175">
              <a:solidFill>
                <a:schemeClr val="bg1">
                  <a:lumMod val="50000"/>
                </a:schemeClr>
              </a:solidFill>
            </a:ln>
          </c:spPr>
          <c:dPt>
            <c:idx val="0"/>
            <c:bubble3D val="0"/>
            <c:spPr>
              <a:solidFill>
                <a:srgbClr val="C89058"/>
              </a:solidFill>
              <a:ln w="3175">
                <a:solidFill>
                  <a:schemeClr val="bg1">
                    <a:lumMod val="50000"/>
                  </a:schemeClr>
                </a:solidFill>
              </a:ln>
            </c:spPr>
            <c:extLst>
              <c:ext xmlns:c16="http://schemas.microsoft.com/office/drawing/2014/chart" uri="{C3380CC4-5D6E-409C-BE32-E72D297353CC}">
                <c16:uniqueId val="{0000001C-AF92-4DC0-9EA0-3AF9736B1F0D}"/>
              </c:ext>
            </c:extLst>
          </c:dPt>
          <c:dPt>
            <c:idx val="1"/>
            <c:bubble3D val="0"/>
            <c:spPr>
              <a:solidFill>
                <a:srgbClr val="B2B2B2"/>
              </a:solidFill>
              <a:ln w="3175">
                <a:solidFill>
                  <a:schemeClr val="bg1">
                    <a:lumMod val="50000"/>
                  </a:schemeClr>
                </a:solidFill>
              </a:ln>
            </c:spPr>
            <c:extLst>
              <c:ext xmlns:c16="http://schemas.microsoft.com/office/drawing/2014/chart" uri="{C3380CC4-5D6E-409C-BE32-E72D297353CC}">
                <c16:uniqueId val="{0000001E-AF92-4DC0-9EA0-3AF9736B1F0D}"/>
              </c:ext>
            </c:extLst>
          </c:dPt>
          <c:dPt>
            <c:idx val="2"/>
            <c:bubble3D val="0"/>
            <c:spPr>
              <a:solidFill>
                <a:schemeClr val="bg1">
                  <a:lumMod val="50000"/>
                </a:schemeClr>
              </a:solidFill>
              <a:ln w="3175">
                <a:solidFill>
                  <a:schemeClr val="bg1">
                    <a:lumMod val="50000"/>
                  </a:schemeClr>
                </a:solidFill>
              </a:ln>
            </c:spPr>
            <c:extLst>
              <c:ext xmlns:c16="http://schemas.microsoft.com/office/drawing/2014/chart" uri="{C3380CC4-5D6E-409C-BE32-E72D297353CC}">
                <c16:uniqueId val="{00000020-AF92-4DC0-9EA0-3AF9736B1F0D}"/>
              </c:ext>
            </c:extLst>
          </c:dPt>
          <c:dPt>
            <c:idx val="3"/>
            <c:bubble3D val="0"/>
            <c:spPr>
              <a:solidFill>
                <a:srgbClr val="3B3838"/>
              </a:solidFill>
              <a:ln w="3175">
                <a:solidFill>
                  <a:schemeClr val="bg1">
                    <a:lumMod val="50000"/>
                  </a:schemeClr>
                </a:solidFill>
              </a:ln>
            </c:spPr>
            <c:extLst>
              <c:ext xmlns:c16="http://schemas.microsoft.com/office/drawing/2014/chart" uri="{C3380CC4-5D6E-409C-BE32-E72D297353CC}">
                <c16:uniqueId val="{00000022-AF92-4DC0-9EA0-3AF9736B1F0D}"/>
              </c:ext>
            </c:extLst>
          </c:dPt>
          <c:dPt>
            <c:idx val="4"/>
            <c:bubble3D val="0"/>
            <c:spPr>
              <a:solidFill>
                <a:srgbClr val="98C0E4"/>
              </a:solidFill>
              <a:ln w="3175">
                <a:solidFill>
                  <a:schemeClr val="bg1">
                    <a:lumMod val="50000"/>
                  </a:schemeClr>
                </a:solidFill>
              </a:ln>
            </c:spPr>
            <c:extLst>
              <c:ext xmlns:c16="http://schemas.microsoft.com/office/drawing/2014/chart" uri="{C3380CC4-5D6E-409C-BE32-E72D297353CC}">
                <c16:uniqueId val="{00000024-AF92-4DC0-9EA0-3AF9736B1F0D}"/>
              </c:ext>
            </c:extLst>
          </c:dPt>
          <c:dPt>
            <c:idx val="5"/>
            <c:bubble3D val="0"/>
            <c:spPr>
              <a:solidFill>
                <a:srgbClr val="83A2D9"/>
              </a:solidFill>
              <a:ln w="3175">
                <a:solidFill>
                  <a:schemeClr val="bg1">
                    <a:lumMod val="50000"/>
                  </a:schemeClr>
                </a:solidFill>
              </a:ln>
            </c:spPr>
            <c:extLst>
              <c:ext xmlns:c16="http://schemas.microsoft.com/office/drawing/2014/chart" uri="{C3380CC4-5D6E-409C-BE32-E72D297353CC}">
                <c16:uniqueId val="{00000026-AF92-4DC0-9EA0-3AF9736B1F0D}"/>
              </c:ext>
            </c:extLst>
          </c:dPt>
          <c:dPt>
            <c:idx val="6"/>
            <c:bubble3D val="0"/>
            <c:spPr>
              <a:solidFill>
                <a:srgbClr val="93FFC4"/>
              </a:solidFill>
              <a:ln w="3175">
                <a:solidFill>
                  <a:schemeClr val="bg1">
                    <a:lumMod val="50000"/>
                  </a:schemeClr>
                </a:solidFill>
              </a:ln>
            </c:spPr>
            <c:extLst>
              <c:ext xmlns:c16="http://schemas.microsoft.com/office/drawing/2014/chart" uri="{C3380CC4-5D6E-409C-BE32-E72D297353CC}">
                <c16:uniqueId val="{00000028-AF92-4DC0-9EA0-3AF9736B1F0D}"/>
              </c:ext>
            </c:extLst>
          </c:dPt>
          <c:dPt>
            <c:idx val="7"/>
            <c:bubble3D val="0"/>
            <c:spPr>
              <a:solidFill>
                <a:srgbClr val="6DA945"/>
              </a:solidFill>
              <a:ln w="3175">
                <a:solidFill>
                  <a:schemeClr val="bg1">
                    <a:lumMod val="50000"/>
                  </a:schemeClr>
                </a:solidFill>
              </a:ln>
            </c:spPr>
            <c:extLst>
              <c:ext xmlns:c16="http://schemas.microsoft.com/office/drawing/2014/chart" uri="{C3380CC4-5D6E-409C-BE32-E72D297353CC}">
                <c16:uniqueId val="{0000002A-AF92-4DC0-9EA0-3AF9736B1F0D}"/>
              </c:ext>
            </c:extLst>
          </c:dPt>
          <c:dPt>
            <c:idx val="8"/>
            <c:bubble3D val="0"/>
            <c:spPr>
              <a:solidFill>
                <a:schemeClr val="bg2"/>
              </a:solidFill>
              <a:ln w="3175">
                <a:solidFill>
                  <a:schemeClr val="bg1">
                    <a:lumMod val="50000"/>
                  </a:schemeClr>
                </a:solidFill>
              </a:ln>
            </c:spPr>
            <c:extLst>
              <c:ext xmlns:c16="http://schemas.microsoft.com/office/drawing/2014/chart" uri="{C3380CC4-5D6E-409C-BE32-E72D297353CC}">
                <c16:uniqueId val="{0000002C-AF92-4DC0-9EA0-3AF9736B1F0D}"/>
              </c:ext>
            </c:extLst>
          </c:dPt>
          <c:dPt>
            <c:idx val="10"/>
            <c:bubble3D val="0"/>
            <c:spPr>
              <a:solidFill>
                <a:srgbClr val="FF6969"/>
              </a:solidFill>
              <a:ln w="3175">
                <a:solidFill>
                  <a:schemeClr val="bg1">
                    <a:lumMod val="50000"/>
                  </a:schemeClr>
                </a:solidFill>
              </a:ln>
            </c:spPr>
            <c:extLst>
              <c:ext xmlns:c16="http://schemas.microsoft.com/office/drawing/2014/chart" uri="{C3380CC4-5D6E-409C-BE32-E72D297353CC}">
                <c16:uniqueId val="{0000002E-AF92-4DC0-9EA0-3AF9736B1F0D}"/>
              </c:ext>
            </c:extLst>
          </c:dPt>
          <c:dPt>
            <c:idx val="11"/>
            <c:bubble3D val="0"/>
            <c:spPr>
              <a:solidFill>
                <a:srgbClr val="C00000"/>
              </a:solidFill>
              <a:ln w="3175">
                <a:solidFill>
                  <a:schemeClr val="bg1">
                    <a:lumMod val="50000"/>
                  </a:schemeClr>
                </a:solidFill>
              </a:ln>
            </c:spPr>
            <c:extLst>
              <c:ext xmlns:c16="http://schemas.microsoft.com/office/drawing/2014/chart" uri="{C3380CC4-5D6E-409C-BE32-E72D297353CC}">
                <c16:uniqueId val="{00000030-AF92-4DC0-9EA0-3AF9736B1F0D}"/>
              </c:ext>
            </c:extLst>
          </c:dPt>
          <c:dPt>
            <c:idx val="12"/>
            <c:bubble3D val="0"/>
            <c:spPr>
              <a:solidFill>
                <a:schemeClr val="bg2">
                  <a:lumMod val="90000"/>
                </a:schemeClr>
              </a:solidFill>
              <a:ln w="3175">
                <a:solidFill>
                  <a:schemeClr val="bg1">
                    <a:lumMod val="50000"/>
                  </a:schemeClr>
                </a:solidFill>
              </a:ln>
            </c:spPr>
            <c:extLst>
              <c:ext xmlns:c16="http://schemas.microsoft.com/office/drawing/2014/chart" uri="{C3380CC4-5D6E-409C-BE32-E72D297353CC}">
                <c16:uniqueId val="{00000032-AF92-4DC0-9EA0-3AF9736B1F0D}"/>
              </c:ext>
            </c:extLst>
          </c:dPt>
          <c:cat>
            <c:strRef>
              <c:f>'GRAF-2-Odvětví-ČR-CIZ'!$C$98:$O$98</c:f>
              <c:strCache>
                <c:ptCount val="13"/>
                <c:pt idx="0">
                  <c:v>Zemědělství, lesnictví a rybářství</c:v>
                </c:pt>
                <c:pt idx="1">
                  <c:v>Zpracovatelský průmysl </c:v>
                </c:pt>
                <c:pt idx="2">
                  <c:v>Ostatní průmysl</c:v>
                </c:pt>
                <c:pt idx="3">
                  <c:v>Stavebnictví</c:v>
                </c:pt>
                <c:pt idx="4">
                  <c:v>Obchod, ubytování, stravování</c:v>
                </c:pt>
                <c:pt idx="5">
                  <c:v>Doprava a skladování </c:v>
                </c:pt>
                <c:pt idx="6">
                  <c:v>IT, finančnictví, nemovitosti</c:v>
                </c:pt>
                <c:pt idx="7">
                  <c:v>Profesní, vědecké a technické čin.</c:v>
                </c:pt>
                <c:pt idx="8">
                  <c:v>Administrativní a podpůrné čin.</c:v>
                </c:pt>
                <c:pt idx="9">
                  <c:v>Veřejná správa, obrana, sociální zabezpečení</c:v>
                </c:pt>
                <c:pt idx="10">
                  <c:v>Vzdělávání</c:v>
                </c:pt>
                <c:pt idx="11">
                  <c:v> Zdravotní a sociální péče</c:v>
                </c:pt>
                <c:pt idx="12">
                  <c:v>Ostatní a nezjištěno</c:v>
                </c:pt>
              </c:strCache>
            </c:strRef>
          </c:cat>
          <c:val>
            <c:numRef>
              <c:f>'GRAF-2-Odvětví-ČR-CIZ'!$C$100:$O$100</c:f>
              <c:numCache>
                <c:formatCode>#\ ##0.0_ ;\-#\ ##0.0\ ;\-\ </c:formatCode>
                <c:ptCount val="13"/>
                <c:pt idx="0">
                  <c:v>1.6092496460594619</c:v>
                </c:pt>
                <c:pt idx="1">
                  <c:v>16.743747050495518</c:v>
                </c:pt>
                <c:pt idx="2" formatCode="#\ ##0.0_ ;\-#\ ##0.0\ ">
                  <c:v>1.9867862199150543</c:v>
                </c:pt>
                <c:pt idx="3">
                  <c:v>2.3973572439830106</c:v>
                </c:pt>
                <c:pt idx="4">
                  <c:v>14.096271826333176</c:v>
                </c:pt>
                <c:pt idx="5">
                  <c:v>2.5483718735252476</c:v>
                </c:pt>
                <c:pt idx="6" formatCode="#\ ##0.0_ ;\-#\ ##0.0\ ">
                  <c:v>21.458235016517225</c:v>
                </c:pt>
                <c:pt idx="7">
                  <c:v>14.11986786219915</c:v>
                </c:pt>
                <c:pt idx="8">
                  <c:v>12.605002359603587</c:v>
                </c:pt>
                <c:pt idx="9">
                  <c:v>0.17932987258140631</c:v>
                </c:pt>
                <c:pt idx="10">
                  <c:v>8.5276073619631898</c:v>
                </c:pt>
                <c:pt idx="11">
                  <c:v>0.4955167531854649</c:v>
                </c:pt>
                <c:pt idx="12" formatCode="#\ ##0.0_ ;\-#\ ##0.0\ ">
                  <c:v>3.2326569136385088</c:v>
                </c:pt>
              </c:numCache>
            </c:numRef>
          </c:val>
          <c:extLst>
            <c:ext xmlns:c16="http://schemas.microsoft.com/office/drawing/2014/chart" uri="{C3380CC4-5D6E-409C-BE32-E72D297353CC}">
              <c16:uniqueId val="{00000033-AF92-4DC0-9EA0-3AF9736B1F0D}"/>
            </c:ext>
          </c:extLst>
        </c:ser>
        <c:ser>
          <c:idx val="2"/>
          <c:order val="2"/>
          <c:tx>
            <c:strRef>
              <c:f>'GRAF-2-Odvětví-ČR-CIZ'!$B$101</c:f>
              <c:strCache>
                <c:ptCount val="1"/>
                <c:pt idx="0">
                  <c:v>Cizinci z EU13</c:v>
                </c:pt>
              </c:strCache>
            </c:strRef>
          </c:tx>
          <c:spPr>
            <a:ln w="3175">
              <a:solidFill>
                <a:schemeClr val="bg1">
                  <a:lumMod val="50000"/>
                </a:schemeClr>
              </a:solidFill>
            </a:ln>
          </c:spPr>
          <c:dPt>
            <c:idx val="0"/>
            <c:bubble3D val="0"/>
            <c:spPr>
              <a:solidFill>
                <a:srgbClr val="C89058"/>
              </a:solidFill>
              <a:ln w="3175">
                <a:solidFill>
                  <a:schemeClr val="bg1">
                    <a:lumMod val="50000"/>
                  </a:schemeClr>
                </a:solidFill>
              </a:ln>
            </c:spPr>
            <c:extLst>
              <c:ext xmlns:c16="http://schemas.microsoft.com/office/drawing/2014/chart" uri="{C3380CC4-5D6E-409C-BE32-E72D297353CC}">
                <c16:uniqueId val="{00000035-AF92-4DC0-9EA0-3AF9736B1F0D}"/>
              </c:ext>
            </c:extLst>
          </c:dPt>
          <c:dPt>
            <c:idx val="1"/>
            <c:bubble3D val="0"/>
            <c:spPr>
              <a:solidFill>
                <a:srgbClr val="B2B2B2"/>
              </a:solidFill>
              <a:ln w="3175">
                <a:solidFill>
                  <a:schemeClr val="bg1">
                    <a:lumMod val="50000"/>
                  </a:schemeClr>
                </a:solidFill>
              </a:ln>
            </c:spPr>
            <c:extLst>
              <c:ext xmlns:c16="http://schemas.microsoft.com/office/drawing/2014/chart" uri="{C3380CC4-5D6E-409C-BE32-E72D297353CC}">
                <c16:uniqueId val="{00000037-AF92-4DC0-9EA0-3AF9736B1F0D}"/>
              </c:ext>
            </c:extLst>
          </c:dPt>
          <c:dPt>
            <c:idx val="2"/>
            <c:bubble3D val="0"/>
            <c:spPr>
              <a:solidFill>
                <a:schemeClr val="bg1">
                  <a:lumMod val="50000"/>
                </a:schemeClr>
              </a:solidFill>
              <a:ln w="3175">
                <a:solidFill>
                  <a:schemeClr val="bg1">
                    <a:lumMod val="50000"/>
                  </a:schemeClr>
                </a:solidFill>
              </a:ln>
            </c:spPr>
            <c:extLst>
              <c:ext xmlns:c16="http://schemas.microsoft.com/office/drawing/2014/chart" uri="{C3380CC4-5D6E-409C-BE32-E72D297353CC}">
                <c16:uniqueId val="{00000039-AF92-4DC0-9EA0-3AF9736B1F0D}"/>
              </c:ext>
            </c:extLst>
          </c:dPt>
          <c:dPt>
            <c:idx val="3"/>
            <c:bubble3D val="0"/>
            <c:spPr>
              <a:solidFill>
                <a:schemeClr val="bg2">
                  <a:lumMod val="25000"/>
                </a:schemeClr>
              </a:solidFill>
              <a:ln w="3175">
                <a:solidFill>
                  <a:schemeClr val="bg1">
                    <a:lumMod val="50000"/>
                  </a:schemeClr>
                </a:solidFill>
              </a:ln>
            </c:spPr>
            <c:extLst>
              <c:ext xmlns:c16="http://schemas.microsoft.com/office/drawing/2014/chart" uri="{C3380CC4-5D6E-409C-BE32-E72D297353CC}">
                <c16:uniqueId val="{0000003B-AF92-4DC0-9EA0-3AF9736B1F0D}"/>
              </c:ext>
            </c:extLst>
          </c:dPt>
          <c:dPt>
            <c:idx val="4"/>
            <c:bubble3D val="0"/>
            <c:spPr>
              <a:solidFill>
                <a:srgbClr val="98C0E4"/>
              </a:solidFill>
              <a:ln w="3175">
                <a:solidFill>
                  <a:schemeClr val="bg1">
                    <a:lumMod val="50000"/>
                  </a:schemeClr>
                </a:solidFill>
              </a:ln>
            </c:spPr>
            <c:extLst>
              <c:ext xmlns:c16="http://schemas.microsoft.com/office/drawing/2014/chart" uri="{C3380CC4-5D6E-409C-BE32-E72D297353CC}">
                <c16:uniqueId val="{0000003D-AF92-4DC0-9EA0-3AF9736B1F0D}"/>
              </c:ext>
            </c:extLst>
          </c:dPt>
          <c:dPt>
            <c:idx val="5"/>
            <c:bubble3D val="0"/>
            <c:spPr>
              <a:solidFill>
                <a:srgbClr val="83A2D9"/>
              </a:solidFill>
              <a:ln w="3175">
                <a:solidFill>
                  <a:schemeClr val="bg1">
                    <a:lumMod val="50000"/>
                  </a:schemeClr>
                </a:solidFill>
              </a:ln>
            </c:spPr>
            <c:extLst>
              <c:ext xmlns:c16="http://schemas.microsoft.com/office/drawing/2014/chart" uri="{C3380CC4-5D6E-409C-BE32-E72D297353CC}">
                <c16:uniqueId val="{0000003F-AF92-4DC0-9EA0-3AF9736B1F0D}"/>
              </c:ext>
            </c:extLst>
          </c:dPt>
          <c:dPt>
            <c:idx val="6"/>
            <c:bubble3D val="0"/>
            <c:spPr>
              <a:solidFill>
                <a:srgbClr val="93FFC4"/>
              </a:solidFill>
              <a:ln w="3175">
                <a:solidFill>
                  <a:schemeClr val="bg1">
                    <a:lumMod val="50000"/>
                  </a:schemeClr>
                </a:solidFill>
              </a:ln>
            </c:spPr>
            <c:extLst>
              <c:ext xmlns:c16="http://schemas.microsoft.com/office/drawing/2014/chart" uri="{C3380CC4-5D6E-409C-BE32-E72D297353CC}">
                <c16:uniqueId val="{00000041-AF92-4DC0-9EA0-3AF9736B1F0D}"/>
              </c:ext>
            </c:extLst>
          </c:dPt>
          <c:dPt>
            <c:idx val="7"/>
            <c:bubble3D val="0"/>
            <c:spPr>
              <a:solidFill>
                <a:srgbClr val="6DA945"/>
              </a:solidFill>
              <a:ln w="3175">
                <a:solidFill>
                  <a:schemeClr val="bg1">
                    <a:lumMod val="50000"/>
                  </a:schemeClr>
                </a:solidFill>
              </a:ln>
            </c:spPr>
            <c:extLst>
              <c:ext xmlns:c16="http://schemas.microsoft.com/office/drawing/2014/chart" uri="{C3380CC4-5D6E-409C-BE32-E72D297353CC}">
                <c16:uniqueId val="{00000043-AF92-4DC0-9EA0-3AF9736B1F0D}"/>
              </c:ext>
            </c:extLst>
          </c:dPt>
          <c:dPt>
            <c:idx val="8"/>
            <c:bubble3D val="0"/>
            <c:spPr>
              <a:solidFill>
                <a:schemeClr val="bg2"/>
              </a:solidFill>
              <a:ln w="3175">
                <a:solidFill>
                  <a:schemeClr val="bg1">
                    <a:lumMod val="50000"/>
                  </a:schemeClr>
                </a:solidFill>
              </a:ln>
            </c:spPr>
            <c:extLst>
              <c:ext xmlns:c16="http://schemas.microsoft.com/office/drawing/2014/chart" uri="{C3380CC4-5D6E-409C-BE32-E72D297353CC}">
                <c16:uniqueId val="{00000045-AF92-4DC0-9EA0-3AF9736B1F0D}"/>
              </c:ext>
            </c:extLst>
          </c:dPt>
          <c:dPt>
            <c:idx val="10"/>
            <c:bubble3D val="0"/>
            <c:spPr>
              <a:solidFill>
                <a:srgbClr val="FF6969"/>
              </a:solidFill>
              <a:ln w="3175">
                <a:solidFill>
                  <a:schemeClr val="bg1">
                    <a:lumMod val="50000"/>
                  </a:schemeClr>
                </a:solidFill>
              </a:ln>
            </c:spPr>
            <c:extLst>
              <c:ext xmlns:c16="http://schemas.microsoft.com/office/drawing/2014/chart" uri="{C3380CC4-5D6E-409C-BE32-E72D297353CC}">
                <c16:uniqueId val="{00000047-AF92-4DC0-9EA0-3AF9736B1F0D}"/>
              </c:ext>
            </c:extLst>
          </c:dPt>
          <c:dPt>
            <c:idx val="11"/>
            <c:bubble3D val="0"/>
            <c:spPr>
              <a:solidFill>
                <a:srgbClr val="C00000"/>
              </a:solidFill>
              <a:ln w="3175">
                <a:solidFill>
                  <a:schemeClr val="bg1">
                    <a:lumMod val="50000"/>
                  </a:schemeClr>
                </a:solidFill>
              </a:ln>
            </c:spPr>
            <c:extLst>
              <c:ext xmlns:c16="http://schemas.microsoft.com/office/drawing/2014/chart" uri="{C3380CC4-5D6E-409C-BE32-E72D297353CC}">
                <c16:uniqueId val="{00000049-AF92-4DC0-9EA0-3AF9736B1F0D}"/>
              </c:ext>
            </c:extLst>
          </c:dPt>
          <c:dPt>
            <c:idx val="12"/>
            <c:bubble3D val="0"/>
            <c:spPr>
              <a:solidFill>
                <a:schemeClr val="bg2">
                  <a:lumMod val="90000"/>
                </a:schemeClr>
              </a:solidFill>
              <a:ln w="3175">
                <a:solidFill>
                  <a:schemeClr val="bg1">
                    <a:lumMod val="50000"/>
                  </a:schemeClr>
                </a:solidFill>
              </a:ln>
            </c:spPr>
            <c:extLst>
              <c:ext xmlns:c16="http://schemas.microsoft.com/office/drawing/2014/chart" uri="{C3380CC4-5D6E-409C-BE32-E72D297353CC}">
                <c16:uniqueId val="{0000004B-AF92-4DC0-9EA0-3AF9736B1F0D}"/>
              </c:ext>
            </c:extLst>
          </c:dPt>
          <c:cat>
            <c:strRef>
              <c:f>'GRAF-2-Odvětví-ČR-CIZ'!$C$98:$O$98</c:f>
              <c:strCache>
                <c:ptCount val="13"/>
                <c:pt idx="0">
                  <c:v>Zemědělství, lesnictví a rybářství</c:v>
                </c:pt>
                <c:pt idx="1">
                  <c:v>Zpracovatelský průmysl </c:v>
                </c:pt>
                <c:pt idx="2">
                  <c:v>Ostatní průmysl</c:v>
                </c:pt>
                <c:pt idx="3">
                  <c:v>Stavebnictví</c:v>
                </c:pt>
                <c:pt idx="4">
                  <c:v>Obchod, ubytování, stravování</c:v>
                </c:pt>
                <c:pt idx="5">
                  <c:v>Doprava a skladování </c:v>
                </c:pt>
                <c:pt idx="6">
                  <c:v>IT, finančnictví, nemovitosti</c:v>
                </c:pt>
                <c:pt idx="7">
                  <c:v>Profesní, vědecké a technické čin.</c:v>
                </c:pt>
                <c:pt idx="8">
                  <c:v>Administrativní a podpůrné čin.</c:v>
                </c:pt>
                <c:pt idx="9">
                  <c:v>Veřejná správa, obrana, sociální zabezpečení</c:v>
                </c:pt>
                <c:pt idx="10">
                  <c:v>Vzdělávání</c:v>
                </c:pt>
                <c:pt idx="11">
                  <c:v> Zdravotní a sociální péče</c:v>
                </c:pt>
                <c:pt idx="12">
                  <c:v>Ostatní a nezjištěno</c:v>
                </c:pt>
              </c:strCache>
            </c:strRef>
          </c:cat>
          <c:val>
            <c:numRef>
              <c:f>'GRAF-2-Odvětví-ČR-CIZ'!$C$101:$O$101</c:f>
              <c:numCache>
                <c:formatCode>#\ ##0.0_ ;\-#\ ##0.0\ ;\-\ </c:formatCode>
                <c:ptCount val="13"/>
                <c:pt idx="0">
                  <c:v>2.4300545088548615</c:v>
                </c:pt>
                <c:pt idx="1">
                  <c:v>35.493180738696765</c:v>
                </c:pt>
                <c:pt idx="2" formatCode="#\ ##0.0_ ;\-#\ ##0.0\ ">
                  <c:v>1.9166308551783411</c:v>
                </c:pt>
                <c:pt idx="3">
                  <c:v>12.26924207812182</c:v>
                </c:pt>
                <c:pt idx="4">
                  <c:v>8.9389998416755247</c:v>
                </c:pt>
                <c:pt idx="5">
                  <c:v>5.8209124013299256</c:v>
                </c:pt>
                <c:pt idx="6" formatCode="#\ ##0.0_ ;\-#\ ##0.0\ ">
                  <c:v>5.802818175649695</c:v>
                </c:pt>
                <c:pt idx="7">
                  <c:v>5.3898174744984502</c:v>
                </c:pt>
                <c:pt idx="8">
                  <c:v>18.143532445208425</c:v>
                </c:pt>
                <c:pt idx="9">
                  <c:v>0.13027842489765454</c:v>
                </c:pt>
                <c:pt idx="10">
                  <c:v>1.1313414606563681</c:v>
                </c:pt>
                <c:pt idx="11">
                  <c:v>1.1910524054011262</c:v>
                </c:pt>
                <c:pt idx="12" formatCode="#\ ##0.0_ ;\-#\ ##0.0\ ">
                  <c:v>1.3421391898310451</c:v>
                </c:pt>
              </c:numCache>
            </c:numRef>
          </c:val>
          <c:extLst>
            <c:ext xmlns:c16="http://schemas.microsoft.com/office/drawing/2014/chart" uri="{C3380CC4-5D6E-409C-BE32-E72D297353CC}">
              <c16:uniqueId val="{0000004C-AF92-4DC0-9EA0-3AF9736B1F0D}"/>
            </c:ext>
          </c:extLst>
        </c:ser>
        <c:ser>
          <c:idx val="3"/>
          <c:order val="3"/>
          <c:tx>
            <c:strRef>
              <c:f>'GRAF-2-Odvětví-ČR-CIZ'!$B$102</c:f>
              <c:strCache>
                <c:ptCount val="1"/>
                <c:pt idx="0">
                  <c:v>Cizinci mimo EU</c:v>
                </c:pt>
              </c:strCache>
            </c:strRef>
          </c:tx>
          <c:spPr>
            <a:ln w="3175">
              <a:solidFill>
                <a:schemeClr val="bg1">
                  <a:lumMod val="50000"/>
                </a:schemeClr>
              </a:solidFill>
            </a:ln>
          </c:spPr>
          <c:dPt>
            <c:idx val="0"/>
            <c:bubble3D val="0"/>
            <c:spPr>
              <a:solidFill>
                <a:srgbClr val="C89058"/>
              </a:solidFill>
              <a:ln w="3175">
                <a:solidFill>
                  <a:schemeClr val="bg1">
                    <a:lumMod val="50000"/>
                  </a:schemeClr>
                </a:solidFill>
              </a:ln>
            </c:spPr>
            <c:extLst>
              <c:ext xmlns:c16="http://schemas.microsoft.com/office/drawing/2014/chart" uri="{C3380CC4-5D6E-409C-BE32-E72D297353CC}">
                <c16:uniqueId val="{0000004E-AF92-4DC0-9EA0-3AF9736B1F0D}"/>
              </c:ext>
            </c:extLst>
          </c:dPt>
          <c:dPt>
            <c:idx val="1"/>
            <c:bubble3D val="0"/>
            <c:spPr>
              <a:solidFill>
                <a:srgbClr val="B2B2B2"/>
              </a:solidFill>
              <a:ln w="3175">
                <a:solidFill>
                  <a:schemeClr val="bg1">
                    <a:lumMod val="50000"/>
                  </a:schemeClr>
                </a:solidFill>
              </a:ln>
            </c:spPr>
            <c:extLst>
              <c:ext xmlns:c16="http://schemas.microsoft.com/office/drawing/2014/chart" uri="{C3380CC4-5D6E-409C-BE32-E72D297353CC}">
                <c16:uniqueId val="{00000050-AF92-4DC0-9EA0-3AF9736B1F0D}"/>
              </c:ext>
            </c:extLst>
          </c:dPt>
          <c:dPt>
            <c:idx val="2"/>
            <c:bubble3D val="0"/>
            <c:spPr>
              <a:solidFill>
                <a:schemeClr val="bg1">
                  <a:lumMod val="50000"/>
                </a:schemeClr>
              </a:solidFill>
              <a:ln w="3175">
                <a:solidFill>
                  <a:schemeClr val="bg1">
                    <a:lumMod val="50000"/>
                  </a:schemeClr>
                </a:solidFill>
              </a:ln>
            </c:spPr>
            <c:extLst>
              <c:ext xmlns:c16="http://schemas.microsoft.com/office/drawing/2014/chart" uri="{C3380CC4-5D6E-409C-BE32-E72D297353CC}">
                <c16:uniqueId val="{00000052-AF92-4DC0-9EA0-3AF9736B1F0D}"/>
              </c:ext>
            </c:extLst>
          </c:dPt>
          <c:dPt>
            <c:idx val="3"/>
            <c:bubble3D val="0"/>
            <c:spPr>
              <a:solidFill>
                <a:schemeClr val="bg2">
                  <a:lumMod val="25000"/>
                </a:schemeClr>
              </a:solidFill>
              <a:ln w="3175">
                <a:solidFill>
                  <a:schemeClr val="bg1">
                    <a:lumMod val="50000"/>
                  </a:schemeClr>
                </a:solidFill>
              </a:ln>
            </c:spPr>
            <c:extLst>
              <c:ext xmlns:c16="http://schemas.microsoft.com/office/drawing/2014/chart" uri="{C3380CC4-5D6E-409C-BE32-E72D297353CC}">
                <c16:uniqueId val="{00000054-AF92-4DC0-9EA0-3AF9736B1F0D}"/>
              </c:ext>
            </c:extLst>
          </c:dPt>
          <c:dPt>
            <c:idx val="4"/>
            <c:bubble3D val="0"/>
            <c:spPr>
              <a:solidFill>
                <a:srgbClr val="98C0E4"/>
              </a:solidFill>
              <a:ln w="3175">
                <a:solidFill>
                  <a:schemeClr val="bg1">
                    <a:lumMod val="50000"/>
                  </a:schemeClr>
                </a:solidFill>
              </a:ln>
            </c:spPr>
            <c:extLst>
              <c:ext xmlns:c16="http://schemas.microsoft.com/office/drawing/2014/chart" uri="{C3380CC4-5D6E-409C-BE32-E72D297353CC}">
                <c16:uniqueId val="{00000056-AF92-4DC0-9EA0-3AF9736B1F0D}"/>
              </c:ext>
            </c:extLst>
          </c:dPt>
          <c:dPt>
            <c:idx val="5"/>
            <c:bubble3D val="0"/>
            <c:spPr>
              <a:solidFill>
                <a:srgbClr val="83A2D9"/>
              </a:solidFill>
              <a:ln w="3175">
                <a:solidFill>
                  <a:schemeClr val="bg1">
                    <a:lumMod val="50000"/>
                  </a:schemeClr>
                </a:solidFill>
              </a:ln>
            </c:spPr>
            <c:extLst>
              <c:ext xmlns:c16="http://schemas.microsoft.com/office/drawing/2014/chart" uri="{C3380CC4-5D6E-409C-BE32-E72D297353CC}">
                <c16:uniqueId val="{00000058-AF92-4DC0-9EA0-3AF9736B1F0D}"/>
              </c:ext>
            </c:extLst>
          </c:dPt>
          <c:dPt>
            <c:idx val="6"/>
            <c:bubble3D val="0"/>
            <c:spPr>
              <a:solidFill>
                <a:srgbClr val="93FFC4"/>
              </a:solidFill>
              <a:ln w="3175">
                <a:solidFill>
                  <a:schemeClr val="bg1">
                    <a:lumMod val="50000"/>
                  </a:schemeClr>
                </a:solidFill>
              </a:ln>
            </c:spPr>
            <c:extLst>
              <c:ext xmlns:c16="http://schemas.microsoft.com/office/drawing/2014/chart" uri="{C3380CC4-5D6E-409C-BE32-E72D297353CC}">
                <c16:uniqueId val="{0000005A-AF92-4DC0-9EA0-3AF9736B1F0D}"/>
              </c:ext>
            </c:extLst>
          </c:dPt>
          <c:dPt>
            <c:idx val="7"/>
            <c:bubble3D val="0"/>
            <c:spPr>
              <a:solidFill>
                <a:srgbClr val="6DA945"/>
              </a:solidFill>
              <a:ln w="3175">
                <a:solidFill>
                  <a:schemeClr val="bg1">
                    <a:lumMod val="50000"/>
                  </a:schemeClr>
                </a:solidFill>
              </a:ln>
            </c:spPr>
            <c:extLst>
              <c:ext xmlns:c16="http://schemas.microsoft.com/office/drawing/2014/chart" uri="{C3380CC4-5D6E-409C-BE32-E72D297353CC}">
                <c16:uniqueId val="{0000005C-AF92-4DC0-9EA0-3AF9736B1F0D}"/>
              </c:ext>
            </c:extLst>
          </c:dPt>
          <c:dPt>
            <c:idx val="8"/>
            <c:bubble3D val="0"/>
            <c:spPr>
              <a:solidFill>
                <a:schemeClr val="bg2"/>
              </a:solidFill>
              <a:ln w="3175">
                <a:solidFill>
                  <a:schemeClr val="bg1">
                    <a:lumMod val="50000"/>
                  </a:schemeClr>
                </a:solidFill>
              </a:ln>
            </c:spPr>
            <c:extLst>
              <c:ext xmlns:c16="http://schemas.microsoft.com/office/drawing/2014/chart" uri="{C3380CC4-5D6E-409C-BE32-E72D297353CC}">
                <c16:uniqueId val="{0000005E-AF92-4DC0-9EA0-3AF9736B1F0D}"/>
              </c:ext>
            </c:extLst>
          </c:dPt>
          <c:dPt>
            <c:idx val="10"/>
            <c:bubble3D val="0"/>
            <c:spPr>
              <a:solidFill>
                <a:srgbClr val="FF6969"/>
              </a:solidFill>
              <a:ln w="3175">
                <a:solidFill>
                  <a:schemeClr val="bg1">
                    <a:lumMod val="50000"/>
                  </a:schemeClr>
                </a:solidFill>
              </a:ln>
            </c:spPr>
            <c:extLst>
              <c:ext xmlns:c16="http://schemas.microsoft.com/office/drawing/2014/chart" uri="{C3380CC4-5D6E-409C-BE32-E72D297353CC}">
                <c16:uniqueId val="{00000060-AF92-4DC0-9EA0-3AF9736B1F0D}"/>
              </c:ext>
            </c:extLst>
          </c:dPt>
          <c:dPt>
            <c:idx val="11"/>
            <c:bubble3D val="0"/>
            <c:spPr>
              <a:solidFill>
                <a:srgbClr val="C00000"/>
              </a:solidFill>
              <a:ln w="3175">
                <a:solidFill>
                  <a:schemeClr val="bg1">
                    <a:lumMod val="50000"/>
                  </a:schemeClr>
                </a:solidFill>
              </a:ln>
            </c:spPr>
            <c:extLst>
              <c:ext xmlns:c16="http://schemas.microsoft.com/office/drawing/2014/chart" uri="{C3380CC4-5D6E-409C-BE32-E72D297353CC}">
                <c16:uniqueId val="{00000062-AF92-4DC0-9EA0-3AF9736B1F0D}"/>
              </c:ext>
            </c:extLst>
          </c:dPt>
          <c:dPt>
            <c:idx val="12"/>
            <c:bubble3D val="0"/>
            <c:spPr>
              <a:solidFill>
                <a:schemeClr val="bg2">
                  <a:lumMod val="90000"/>
                </a:schemeClr>
              </a:solidFill>
              <a:ln w="3175">
                <a:solidFill>
                  <a:schemeClr val="bg1">
                    <a:lumMod val="50000"/>
                  </a:schemeClr>
                </a:solidFill>
              </a:ln>
            </c:spPr>
            <c:extLst>
              <c:ext xmlns:c16="http://schemas.microsoft.com/office/drawing/2014/chart" uri="{C3380CC4-5D6E-409C-BE32-E72D297353CC}">
                <c16:uniqueId val="{00000064-AF92-4DC0-9EA0-3AF9736B1F0D}"/>
              </c:ext>
            </c:extLst>
          </c:dPt>
          <c:cat>
            <c:strRef>
              <c:f>'GRAF-2-Odvětví-ČR-CIZ'!$C$98:$O$98</c:f>
              <c:strCache>
                <c:ptCount val="13"/>
                <c:pt idx="0">
                  <c:v>Zemědělství, lesnictví a rybářství</c:v>
                </c:pt>
                <c:pt idx="1">
                  <c:v>Zpracovatelský průmysl </c:v>
                </c:pt>
                <c:pt idx="2">
                  <c:v>Ostatní průmysl</c:v>
                </c:pt>
                <c:pt idx="3">
                  <c:v>Stavebnictví</c:v>
                </c:pt>
                <c:pt idx="4">
                  <c:v>Obchod, ubytování, stravování</c:v>
                </c:pt>
                <c:pt idx="5">
                  <c:v>Doprava a skladování </c:v>
                </c:pt>
                <c:pt idx="6">
                  <c:v>IT, finančnictví, nemovitosti</c:v>
                </c:pt>
                <c:pt idx="7">
                  <c:v>Profesní, vědecké a technické čin.</c:v>
                </c:pt>
                <c:pt idx="8">
                  <c:v>Administrativní a podpůrné čin.</c:v>
                </c:pt>
                <c:pt idx="9">
                  <c:v>Veřejná správa, obrana, sociální zabezpečení</c:v>
                </c:pt>
                <c:pt idx="10">
                  <c:v>Vzdělávání</c:v>
                </c:pt>
                <c:pt idx="11">
                  <c:v> Zdravotní a sociální péče</c:v>
                </c:pt>
                <c:pt idx="12">
                  <c:v>Ostatní a nezjištěno</c:v>
                </c:pt>
              </c:strCache>
            </c:strRef>
          </c:cat>
          <c:val>
            <c:numRef>
              <c:f>'GRAF-2-Odvětví-ČR-CIZ'!$C$102:$O$102</c:f>
              <c:numCache>
                <c:formatCode>#\ ##0.0_ ;\-#\ ##0.0\ ;\-\ </c:formatCode>
                <c:ptCount val="13"/>
                <c:pt idx="0">
                  <c:v>2.558242657843572</c:v>
                </c:pt>
                <c:pt idx="1">
                  <c:v>25.302725381178153</c:v>
                </c:pt>
                <c:pt idx="2" formatCode="#\ ##0.0_ ;\-#\ ##0.0\ ">
                  <c:v>0.58327932598833443</c:v>
                </c:pt>
                <c:pt idx="3">
                  <c:v>16.167240850018761</c:v>
                </c:pt>
                <c:pt idx="4">
                  <c:v>15.867073711498449</c:v>
                </c:pt>
                <c:pt idx="5">
                  <c:v>6.675307841866494</c:v>
                </c:pt>
                <c:pt idx="6" formatCode="#\ ##0.0_ ;\-#\ ##0.0\ ">
                  <c:v>6.698332025787086</c:v>
                </c:pt>
                <c:pt idx="7">
                  <c:v>3.657434253163693</c:v>
                </c:pt>
                <c:pt idx="8">
                  <c:v>15.246273493195076</c:v>
                </c:pt>
                <c:pt idx="9">
                  <c:v>5.2870348262100485E-2</c:v>
                </c:pt>
                <c:pt idx="10">
                  <c:v>1.37036531705154</c:v>
                </c:pt>
                <c:pt idx="11">
                  <c:v>0.98151243305931701</c:v>
                </c:pt>
                <c:pt idx="12" formatCode="#\ ##0.0_ ;\-#\ ##0.0\ ">
                  <c:v>4.8393423610874233</c:v>
                </c:pt>
              </c:numCache>
            </c:numRef>
          </c:val>
          <c:extLst>
            <c:ext xmlns:c16="http://schemas.microsoft.com/office/drawing/2014/chart" uri="{C3380CC4-5D6E-409C-BE32-E72D297353CC}">
              <c16:uniqueId val="{00000065-AF92-4DC0-9EA0-3AF9736B1F0D}"/>
            </c:ext>
          </c:extLst>
        </c:ser>
        <c:dLbls>
          <c:showLegendKey val="0"/>
          <c:showVal val="0"/>
          <c:showCatName val="0"/>
          <c:showSerName val="0"/>
          <c:showPercent val="0"/>
          <c:showBubbleSize val="0"/>
          <c:showLeaderLines val="1"/>
        </c:dLbls>
        <c:firstSliceAng val="0"/>
        <c:holeSize val="50"/>
      </c:doughnutChart>
    </c:plotArea>
    <c:legend>
      <c:legendPos val="r"/>
      <c:legendEntry>
        <c:idx val="1"/>
        <c:delete val="1"/>
      </c:legendEntry>
      <c:legendEntry>
        <c:idx val="3"/>
        <c:delete val="1"/>
      </c:legendEntry>
      <c:legendEntry>
        <c:idx val="5"/>
        <c:delete val="1"/>
      </c:legendEntry>
      <c:legendEntry>
        <c:idx val="7"/>
        <c:delete val="1"/>
      </c:legendEntry>
      <c:legendEntry>
        <c:idx val="9"/>
        <c:delete val="1"/>
      </c:legendEntry>
      <c:legendEntry>
        <c:idx val="11"/>
        <c:delete val="1"/>
      </c:legendEntry>
      <c:layout>
        <c:manualLayout>
          <c:xMode val="edge"/>
          <c:yMode val="edge"/>
          <c:x val="0.27326281783574358"/>
          <c:y val="0.7393671487183715"/>
          <c:w val="0.70910319519605325"/>
          <c:h val="0.2529255209502389"/>
        </c:manualLayout>
      </c:layout>
      <c:overlay val="0"/>
      <c:txPr>
        <a:bodyPr/>
        <a:lstStyle/>
        <a:p>
          <a:pPr>
            <a:defRPr sz="800">
              <a:latin typeface="Arial" pitchFamily="34" charset="0"/>
              <a:cs typeface="Arial" pitchFamily="34" charset="0"/>
            </a:defRPr>
          </a:pPr>
          <a:endParaRPr lang="cs-CZ"/>
        </a:p>
      </c:txPr>
    </c:legend>
    <c:plotVisOnly val="1"/>
    <c:dispBlanksAs val="zero"/>
    <c:showDLblsOverMax val="0"/>
  </c:chart>
  <c:spPr>
    <a:ln>
      <a:noFill/>
    </a:ln>
  </c:spPr>
  <c:externalData r:id="rId1">
    <c:autoUpdate val="0"/>
  </c:externalData>
  <c:userShapes r:id="rId2"/>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2.2009902914075967E-3"/>
          <c:y val="5.609250465344242E-2"/>
          <c:w val="0.98928719199905735"/>
          <c:h val="0.67597128375835558"/>
        </c:manualLayout>
      </c:layout>
      <c:doughnutChart>
        <c:varyColors val="1"/>
        <c:ser>
          <c:idx val="0"/>
          <c:order val="0"/>
          <c:tx>
            <c:strRef>
              <c:f>'GRAF-2-Odvětví-ČR-CIZ'!$B$103</c:f>
              <c:strCache>
                <c:ptCount val="1"/>
                <c:pt idx="0">
                  <c:v>Celé NH</c:v>
                </c:pt>
              </c:strCache>
            </c:strRef>
          </c:tx>
          <c:spPr>
            <a:ln w="15875">
              <a:solidFill>
                <a:schemeClr val="tx1">
                  <a:lumMod val="95000"/>
                  <a:lumOff val="5000"/>
                </a:schemeClr>
              </a:solidFill>
            </a:ln>
          </c:spPr>
          <c:dPt>
            <c:idx val="0"/>
            <c:bubble3D val="0"/>
            <c:spPr>
              <a:solidFill>
                <a:srgbClr val="C89058"/>
              </a:solidFill>
              <a:ln w="15875">
                <a:solidFill>
                  <a:schemeClr val="tx1">
                    <a:lumMod val="95000"/>
                    <a:lumOff val="5000"/>
                  </a:schemeClr>
                </a:solidFill>
              </a:ln>
            </c:spPr>
            <c:extLst>
              <c:ext xmlns:c16="http://schemas.microsoft.com/office/drawing/2014/chart" uri="{C3380CC4-5D6E-409C-BE32-E72D297353CC}">
                <c16:uniqueId val="{00000001-0560-46E6-9F7F-B5FD18EADFFD}"/>
              </c:ext>
            </c:extLst>
          </c:dPt>
          <c:dPt>
            <c:idx val="1"/>
            <c:bubble3D val="0"/>
            <c:spPr>
              <a:solidFill>
                <a:srgbClr val="B2B2B2"/>
              </a:solidFill>
              <a:ln w="15875">
                <a:solidFill>
                  <a:schemeClr val="tx1">
                    <a:lumMod val="95000"/>
                    <a:lumOff val="5000"/>
                  </a:schemeClr>
                </a:solidFill>
              </a:ln>
            </c:spPr>
            <c:extLst>
              <c:ext xmlns:c16="http://schemas.microsoft.com/office/drawing/2014/chart" uri="{C3380CC4-5D6E-409C-BE32-E72D297353CC}">
                <c16:uniqueId val="{00000003-0560-46E6-9F7F-B5FD18EADFFD}"/>
              </c:ext>
            </c:extLst>
          </c:dPt>
          <c:dPt>
            <c:idx val="2"/>
            <c:bubble3D val="0"/>
            <c:spPr>
              <a:solidFill>
                <a:schemeClr val="bg1">
                  <a:lumMod val="50000"/>
                </a:schemeClr>
              </a:solidFill>
              <a:ln w="15875">
                <a:solidFill>
                  <a:schemeClr val="tx1">
                    <a:lumMod val="95000"/>
                    <a:lumOff val="5000"/>
                  </a:schemeClr>
                </a:solidFill>
              </a:ln>
            </c:spPr>
            <c:extLst>
              <c:ext xmlns:c16="http://schemas.microsoft.com/office/drawing/2014/chart" uri="{C3380CC4-5D6E-409C-BE32-E72D297353CC}">
                <c16:uniqueId val="{00000005-0560-46E6-9F7F-B5FD18EADFFD}"/>
              </c:ext>
            </c:extLst>
          </c:dPt>
          <c:dPt>
            <c:idx val="3"/>
            <c:bubble3D val="0"/>
            <c:spPr>
              <a:solidFill>
                <a:schemeClr val="bg2">
                  <a:lumMod val="25000"/>
                </a:schemeClr>
              </a:solidFill>
              <a:ln w="15875">
                <a:solidFill>
                  <a:schemeClr val="tx1">
                    <a:lumMod val="95000"/>
                    <a:lumOff val="5000"/>
                  </a:schemeClr>
                </a:solidFill>
              </a:ln>
            </c:spPr>
            <c:extLst>
              <c:ext xmlns:c16="http://schemas.microsoft.com/office/drawing/2014/chart" uri="{C3380CC4-5D6E-409C-BE32-E72D297353CC}">
                <c16:uniqueId val="{00000007-0560-46E6-9F7F-B5FD18EADFFD}"/>
              </c:ext>
            </c:extLst>
          </c:dPt>
          <c:dPt>
            <c:idx val="4"/>
            <c:bubble3D val="0"/>
            <c:spPr>
              <a:solidFill>
                <a:srgbClr val="98C0E4"/>
              </a:solidFill>
              <a:ln w="15875">
                <a:solidFill>
                  <a:schemeClr val="tx1">
                    <a:lumMod val="95000"/>
                    <a:lumOff val="5000"/>
                  </a:schemeClr>
                </a:solidFill>
              </a:ln>
            </c:spPr>
            <c:extLst>
              <c:ext xmlns:c16="http://schemas.microsoft.com/office/drawing/2014/chart" uri="{C3380CC4-5D6E-409C-BE32-E72D297353CC}">
                <c16:uniqueId val="{00000009-0560-46E6-9F7F-B5FD18EADFFD}"/>
              </c:ext>
            </c:extLst>
          </c:dPt>
          <c:dPt>
            <c:idx val="5"/>
            <c:bubble3D val="0"/>
            <c:spPr>
              <a:solidFill>
                <a:srgbClr val="83A2D9"/>
              </a:solidFill>
              <a:ln w="15875">
                <a:solidFill>
                  <a:schemeClr val="tx1">
                    <a:lumMod val="95000"/>
                    <a:lumOff val="5000"/>
                  </a:schemeClr>
                </a:solidFill>
              </a:ln>
            </c:spPr>
            <c:extLst>
              <c:ext xmlns:c16="http://schemas.microsoft.com/office/drawing/2014/chart" uri="{C3380CC4-5D6E-409C-BE32-E72D297353CC}">
                <c16:uniqueId val="{0000000B-0560-46E6-9F7F-B5FD18EADFFD}"/>
              </c:ext>
            </c:extLst>
          </c:dPt>
          <c:dPt>
            <c:idx val="6"/>
            <c:bubble3D val="0"/>
            <c:spPr>
              <a:solidFill>
                <a:srgbClr val="93FFC4"/>
              </a:solidFill>
              <a:ln w="15875">
                <a:solidFill>
                  <a:schemeClr val="tx1">
                    <a:lumMod val="95000"/>
                    <a:lumOff val="5000"/>
                  </a:schemeClr>
                </a:solidFill>
              </a:ln>
            </c:spPr>
            <c:extLst>
              <c:ext xmlns:c16="http://schemas.microsoft.com/office/drawing/2014/chart" uri="{C3380CC4-5D6E-409C-BE32-E72D297353CC}">
                <c16:uniqueId val="{0000000D-0560-46E6-9F7F-B5FD18EADFFD}"/>
              </c:ext>
            </c:extLst>
          </c:dPt>
          <c:dPt>
            <c:idx val="7"/>
            <c:bubble3D val="0"/>
            <c:spPr>
              <a:solidFill>
                <a:srgbClr val="6DA945"/>
              </a:solidFill>
              <a:ln w="15875">
                <a:solidFill>
                  <a:schemeClr val="tx1">
                    <a:lumMod val="95000"/>
                    <a:lumOff val="5000"/>
                  </a:schemeClr>
                </a:solidFill>
              </a:ln>
            </c:spPr>
            <c:extLst>
              <c:ext xmlns:c16="http://schemas.microsoft.com/office/drawing/2014/chart" uri="{C3380CC4-5D6E-409C-BE32-E72D297353CC}">
                <c16:uniqueId val="{0000000F-0560-46E6-9F7F-B5FD18EADFFD}"/>
              </c:ext>
            </c:extLst>
          </c:dPt>
          <c:dPt>
            <c:idx val="8"/>
            <c:bubble3D val="0"/>
            <c:spPr>
              <a:solidFill>
                <a:schemeClr val="bg2"/>
              </a:solidFill>
              <a:ln w="15875">
                <a:solidFill>
                  <a:schemeClr val="tx1">
                    <a:lumMod val="95000"/>
                    <a:lumOff val="5000"/>
                  </a:schemeClr>
                </a:solidFill>
              </a:ln>
            </c:spPr>
            <c:extLst>
              <c:ext xmlns:c16="http://schemas.microsoft.com/office/drawing/2014/chart" uri="{C3380CC4-5D6E-409C-BE32-E72D297353CC}">
                <c16:uniqueId val="{00000011-0560-46E6-9F7F-B5FD18EADFFD}"/>
              </c:ext>
            </c:extLst>
          </c:dPt>
          <c:dPt>
            <c:idx val="9"/>
            <c:bubble3D val="0"/>
            <c:spPr>
              <a:solidFill>
                <a:srgbClr val="FFC000"/>
              </a:solidFill>
              <a:ln w="15875">
                <a:solidFill>
                  <a:schemeClr val="tx1">
                    <a:lumMod val="95000"/>
                    <a:lumOff val="5000"/>
                  </a:schemeClr>
                </a:solidFill>
              </a:ln>
            </c:spPr>
            <c:extLst>
              <c:ext xmlns:c16="http://schemas.microsoft.com/office/drawing/2014/chart" uri="{C3380CC4-5D6E-409C-BE32-E72D297353CC}">
                <c16:uniqueId val="{00000013-0560-46E6-9F7F-B5FD18EADFFD}"/>
              </c:ext>
            </c:extLst>
          </c:dPt>
          <c:dPt>
            <c:idx val="10"/>
            <c:bubble3D val="0"/>
            <c:spPr>
              <a:solidFill>
                <a:srgbClr val="FF6969"/>
              </a:solidFill>
              <a:ln w="15875">
                <a:solidFill>
                  <a:schemeClr val="tx1">
                    <a:lumMod val="95000"/>
                    <a:lumOff val="5000"/>
                  </a:schemeClr>
                </a:solidFill>
              </a:ln>
            </c:spPr>
            <c:extLst>
              <c:ext xmlns:c16="http://schemas.microsoft.com/office/drawing/2014/chart" uri="{C3380CC4-5D6E-409C-BE32-E72D297353CC}">
                <c16:uniqueId val="{00000015-0560-46E6-9F7F-B5FD18EADFFD}"/>
              </c:ext>
            </c:extLst>
          </c:dPt>
          <c:dPt>
            <c:idx val="11"/>
            <c:bubble3D val="0"/>
            <c:explosion val="1"/>
            <c:spPr>
              <a:solidFill>
                <a:srgbClr val="C00000"/>
              </a:solidFill>
              <a:ln w="15875">
                <a:solidFill>
                  <a:schemeClr val="tx1">
                    <a:lumMod val="95000"/>
                    <a:lumOff val="5000"/>
                  </a:schemeClr>
                </a:solidFill>
              </a:ln>
            </c:spPr>
            <c:extLst>
              <c:ext xmlns:c16="http://schemas.microsoft.com/office/drawing/2014/chart" uri="{C3380CC4-5D6E-409C-BE32-E72D297353CC}">
                <c16:uniqueId val="{00000017-0560-46E6-9F7F-B5FD18EADFFD}"/>
              </c:ext>
            </c:extLst>
          </c:dPt>
          <c:dPt>
            <c:idx val="12"/>
            <c:bubble3D val="0"/>
            <c:spPr>
              <a:solidFill>
                <a:schemeClr val="bg2">
                  <a:lumMod val="90000"/>
                </a:schemeClr>
              </a:solidFill>
              <a:ln w="15875">
                <a:solidFill>
                  <a:schemeClr val="tx1">
                    <a:lumMod val="95000"/>
                    <a:lumOff val="5000"/>
                  </a:schemeClr>
                </a:solidFill>
              </a:ln>
            </c:spPr>
            <c:extLst>
              <c:ext xmlns:c16="http://schemas.microsoft.com/office/drawing/2014/chart" uri="{C3380CC4-5D6E-409C-BE32-E72D297353CC}">
                <c16:uniqueId val="{00000019-0560-46E6-9F7F-B5FD18EADFFD}"/>
              </c:ext>
            </c:extLst>
          </c:dPt>
          <c:cat>
            <c:strRef>
              <c:f>'GRAF-2-Odvětví-ČR-CIZ'!$C$98:$O$98</c:f>
              <c:strCache>
                <c:ptCount val="13"/>
                <c:pt idx="0">
                  <c:v>Zemědělství, lesnictví a rybářství</c:v>
                </c:pt>
                <c:pt idx="1">
                  <c:v>Zpracovatelský průmysl </c:v>
                </c:pt>
                <c:pt idx="2">
                  <c:v>Ostatní průmysl</c:v>
                </c:pt>
                <c:pt idx="3">
                  <c:v>Stavebnictví</c:v>
                </c:pt>
                <c:pt idx="4">
                  <c:v>Obchod, ubytování, stravování</c:v>
                </c:pt>
                <c:pt idx="5">
                  <c:v>Doprava a skladování </c:v>
                </c:pt>
                <c:pt idx="6">
                  <c:v>IT, finančnictví, nemovitosti</c:v>
                </c:pt>
                <c:pt idx="7">
                  <c:v>Profesní, vědecké a technické čin.</c:v>
                </c:pt>
                <c:pt idx="8">
                  <c:v>Administrativní a podpůrné čin.</c:v>
                </c:pt>
                <c:pt idx="9">
                  <c:v>Veřejná správa, obrana, sociální zabezpečení</c:v>
                </c:pt>
                <c:pt idx="10">
                  <c:v>Vzdělávání</c:v>
                </c:pt>
                <c:pt idx="11">
                  <c:v> Zdravotní a sociální péče</c:v>
                </c:pt>
                <c:pt idx="12">
                  <c:v>Ostatní a nezjištěno</c:v>
                </c:pt>
              </c:strCache>
            </c:strRef>
          </c:cat>
          <c:val>
            <c:numRef>
              <c:f>'GRAF-2-Odvětví-ČR-CIZ'!$C$103:$O$103</c:f>
              <c:numCache>
                <c:formatCode>#\ ##0.0_ ;\-#\ ##0.0\ ;\-\ </c:formatCode>
                <c:ptCount val="13"/>
                <c:pt idx="0">
                  <c:v>1.6061737483224494</c:v>
                </c:pt>
                <c:pt idx="1">
                  <c:v>23.655535487258138</c:v>
                </c:pt>
                <c:pt idx="2" formatCode="#\ ##0.0_ ;\-#\ ##0.0\ ">
                  <c:v>1.3694951520439815</c:v>
                </c:pt>
                <c:pt idx="3">
                  <c:v>1.2298028231441664</c:v>
                </c:pt>
                <c:pt idx="4">
                  <c:v>18.467015309043216</c:v>
                </c:pt>
                <c:pt idx="5">
                  <c:v>4.0085915336842071</c:v>
                </c:pt>
                <c:pt idx="6" formatCode="#\ ##0.0_ ;\-#\ ##0.0\ ">
                  <c:v>5.0254514499645895</c:v>
                </c:pt>
                <c:pt idx="7">
                  <c:v>3.8873266414556076</c:v>
                </c:pt>
                <c:pt idx="8">
                  <c:v>2.7560456292844484</c:v>
                </c:pt>
                <c:pt idx="9">
                  <c:v>8.1842971913387874</c:v>
                </c:pt>
                <c:pt idx="10">
                  <c:v>12.983098793970433</c:v>
                </c:pt>
                <c:pt idx="11">
                  <c:v>13.487165103458043</c:v>
                </c:pt>
                <c:pt idx="12" formatCode="#\ ##0.0_ ;\-#\ ##0.0\ ">
                  <c:v>3.340001137031932</c:v>
                </c:pt>
              </c:numCache>
            </c:numRef>
          </c:val>
          <c:extLst>
            <c:ext xmlns:c16="http://schemas.microsoft.com/office/drawing/2014/chart" uri="{C3380CC4-5D6E-409C-BE32-E72D297353CC}">
              <c16:uniqueId val="{0000001A-0560-46E6-9F7F-B5FD18EADFFD}"/>
            </c:ext>
          </c:extLst>
        </c:ser>
        <c:ser>
          <c:idx val="1"/>
          <c:order val="1"/>
          <c:tx>
            <c:strRef>
              <c:f>'GRAF-2-Odvětví-ČR-CIZ'!$B$104</c:f>
              <c:strCache>
                <c:ptCount val="1"/>
                <c:pt idx="0">
                  <c:v>Cizinci z EU15</c:v>
                </c:pt>
              </c:strCache>
            </c:strRef>
          </c:tx>
          <c:spPr>
            <a:ln w="6350">
              <a:solidFill>
                <a:srgbClr val="7F7F7F"/>
              </a:solidFill>
            </a:ln>
          </c:spPr>
          <c:dPt>
            <c:idx val="0"/>
            <c:bubble3D val="0"/>
            <c:spPr>
              <a:solidFill>
                <a:srgbClr val="C89058"/>
              </a:solidFill>
              <a:ln w="6350">
                <a:solidFill>
                  <a:srgbClr val="7F7F7F"/>
                </a:solidFill>
              </a:ln>
            </c:spPr>
            <c:extLst>
              <c:ext xmlns:c16="http://schemas.microsoft.com/office/drawing/2014/chart" uri="{C3380CC4-5D6E-409C-BE32-E72D297353CC}">
                <c16:uniqueId val="{0000001C-0560-46E6-9F7F-B5FD18EADFFD}"/>
              </c:ext>
            </c:extLst>
          </c:dPt>
          <c:dPt>
            <c:idx val="1"/>
            <c:bubble3D val="0"/>
            <c:spPr>
              <a:solidFill>
                <a:srgbClr val="B2B2B2"/>
              </a:solidFill>
              <a:ln w="6350">
                <a:solidFill>
                  <a:srgbClr val="7F7F7F"/>
                </a:solidFill>
              </a:ln>
            </c:spPr>
            <c:extLst>
              <c:ext xmlns:c16="http://schemas.microsoft.com/office/drawing/2014/chart" uri="{C3380CC4-5D6E-409C-BE32-E72D297353CC}">
                <c16:uniqueId val="{0000001E-0560-46E6-9F7F-B5FD18EADFFD}"/>
              </c:ext>
            </c:extLst>
          </c:dPt>
          <c:dPt>
            <c:idx val="2"/>
            <c:bubble3D val="0"/>
            <c:spPr>
              <a:solidFill>
                <a:srgbClr val="7F7F7F"/>
              </a:solidFill>
              <a:ln w="6350">
                <a:solidFill>
                  <a:srgbClr val="7F7F7F"/>
                </a:solidFill>
              </a:ln>
            </c:spPr>
            <c:extLst>
              <c:ext xmlns:c16="http://schemas.microsoft.com/office/drawing/2014/chart" uri="{C3380CC4-5D6E-409C-BE32-E72D297353CC}">
                <c16:uniqueId val="{00000020-0560-46E6-9F7F-B5FD18EADFFD}"/>
              </c:ext>
            </c:extLst>
          </c:dPt>
          <c:dPt>
            <c:idx val="3"/>
            <c:bubble3D val="0"/>
            <c:spPr>
              <a:solidFill>
                <a:srgbClr val="3B3838"/>
              </a:solidFill>
              <a:ln w="6350">
                <a:solidFill>
                  <a:srgbClr val="7F7F7F"/>
                </a:solidFill>
              </a:ln>
            </c:spPr>
            <c:extLst>
              <c:ext xmlns:c16="http://schemas.microsoft.com/office/drawing/2014/chart" uri="{C3380CC4-5D6E-409C-BE32-E72D297353CC}">
                <c16:uniqueId val="{00000022-0560-46E6-9F7F-B5FD18EADFFD}"/>
              </c:ext>
            </c:extLst>
          </c:dPt>
          <c:dPt>
            <c:idx val="4"/>
            <c:bubble3D val="0"/>
            <c:spPr>
              <a:solidFill>
                <a:srgbClr val="98C0E4"/>
              </a:solidFill>
              <a:ln w="6350">
                <a:solidFill>
                  <a:srgbClr val="7F7F7F"/>
                </a:solidFill>
              </a:ln>
            </c:spPr>
            <c:extLst>
              <c:ext xmlns:c16="http://schemas.microsoft.com/office/drawing/2014/chart" uri="{C3380CC4-5D6E-409C-BE32-E72D297353CC}">
                <c16:uniqueId val="{00000024-0560-46E6-9F7F-B5FD18EADFFD}"/>
              </c:ext>
            </c:extLst>
          </c:dPt>
          <c:dPt>
            <c:idx val="5"/>
            <c:bubble3D val="0"/>
            <c:spPr>
              <a:solidFill>
                <a:srgbClr val="83A2D9"/>
              </a:solidFill>
              <a:ln w="6350">
                <a:solidFill>
                  <a:srgbClr val="7F7F7F"/>
                </a:solidFill>
              </a:ln>
            </c:spPr>
            <c:extLst>
              <c:ext xmlns:c16="http://schemas.microsoft.com/office/drawing/2014/chart" uri="{C3380CC4-5D6E-409C-BE32-E72D297353CC}">
                <c16:uniqueId val="{00000026-0560-46E6-9F7F-B5FD18EADFFD}"/>
              </c:ext>
            </c:extLst>
          </c:dPt>
          <c:dPt>
            <c:idx val="6"/>
            <c:bubble3D val="0"/>
            <c:spPr>
              <a:solidFill>
                <a:srgbClr val="93FFC4"/>
              </a:solidFill>
              <a:ln w="6350">
                <a:solidFill>
                  <a:srgbClr val="7F7F7F"/>
                </a:solidFill>
              </a:ln>
            </c:spPr>
            <c:extLst>
              <c:ext xmlns:c16="http://schemas.microsoft.com/office/drawing/2014/chart" uri="{C3380CC4-5D6E-409C-BE32-E72D297353CC}">
                <c16:uniqueId val="{00000028-0560-46E6-9F7F-B5FD18EADFFD}"/>
              </c:ext>
            </c:extLst>
          </c:dPt>
          <c:dPt>
            <c:idx val="7"/>
            <c:bubble3D val="0"/>
            <c:spPr>
              <a:solidFill>
                <a:srgbClr val="6DA945"/>
              </a:solidFill>
              <a:ln w="6350">
                <a:solidFill>
                  <a:srgbClr val="7F7F7F"/>
                </a:solidFill>
              </a:ln>
            </c:spPr>
            <c:extLst>
              <c:ext xmlns:c16="http://schemas.microsoft.com/office/drawing/2014/chart" uri="{C3380CC4-5D6E-409C-BE32-E72D297353CC}">
                <c16:uniqueId val="{0000002A-0560-46E6-9F7F-B5FD18EADFFD}"/>
              </c:ext>
            </c:extLst>
          </c:dPt>
          <c:dPt>
            <c:idx val="8"/>
            <c:bubble3D val="0"/>
            <c:spPr>
              <a:solidFill>
                <a:srgbClr val="E7E6E6"/>
              </a:solidFill>
              <a:ln w="6350">
                <a:solidFill>
                  <a:srgbClr val="7F7F7F"/>
                </a:solidFill>
              </a:ln>
            </c:spPr>
            <c:extLst>
              <c:ext xmlns:c16="http://schemas.microsoft.com/office/drawing/2014/chart" uri="{C3380CC4-5D6E-409C-BE32-E72D297353CC}">
                <c16:uniqueId val="{0000002C-0560-46E6-9F7F-B5FD18EADFFD}"/>
              </c:ext>
            </c:extLst>
          </c:dPt>
          <c:dPt>
            <c:idx val="9"/>
            <c:bubble3D val="0"/>
            <c:spPr>
              <a:solidFill>
                <a:srgbClr val="FFC000"/>
              </a:solidFill>
              <a:ln w="6350">
                <a:solidFill>
                  <a:srgbClr val="7F7F7F"/>
                </a:solidFill>
              </a:ln>
            </c:spPr>
            <c:extLst>
              <c:ext xmlns:c16="http://schemas.microsoft.com/office/drawing/2014/chart" uri="{C3380CC4-5D6E-409C-BE32-E72D297353CC}">
                <c16:uniqueId val="{0000002E-0560-46E6-9F7F-B5FD18EADFFD}"/>
              </c:ext>
            </c:extLst>
          </c:dPt>
          <c:dPt>
            <c:idx val="10"/>
            <c:bubble3D val="0"/>
            <c:spPr>
              <a:solidFill>
                <a:srgbClr val="FF6969"/>
              </a:solidFill>
              <a:ln w="3175">
                <a:solidFill>
                  <a:srgbClr val="7F7F7F"/>
                </a:solidFill>
              </a:ln>
            </c:spPr>
            <c:extLst>
              <c:ext xmlns:c16="http://schemas.microsoft.com/office/drawing/2014/chart" uri="{C3380CC4-5D6E-409C-BE32-E72D297353CC}">
                <c16:uniqueId val="{00000030-0560-46E6-9F7F-B5FD18EADFFD}"/>
              </c:ext>
            </c:extLst>
          </c:dPt>
          <c:dPt>
            <c:idx val="11"/>
            <c:bubble3D val="0"/>
            <c:spPr>
              <a:solidFill>
                <a:srgbClr val="C00000"/>
              </a:solidFill>
              <a:ln w="6350">
                <a:solidFill>
                  <a:srgbClr val="7F7F7F"/>
                </a:solidFill>
              </a:ln>
            </c:spPr>
            <c:extLst>
              <c:ext xmlns:c16="http://schemas.microsoft.com/office/drawing/2014/chart" uri="{C3380CC4-5D6E-409C-BE32-E72D297353CC}">
                <c16:uniqueId val="{00000032-0560-46E6-9F7F-B5FD18EADFFD}"/>
              </c:ext>
            </c:extLst>
          </c:dPt>
          <c:dPt>
            <c:idx val="12"/>
            <c:bubble3D val="0"/>
            <c:spPr>
              <a:solidFill>
                <a:srgbClr val="E7E6E6">
                  <a:lumMod val="90000"/>
                </a:srgbClr>
              </a:solidFill>
              <a:ln w="6350">
                <a:solidFill>
                  <a:srgbClr val="7F7F7F"/>
                </a:solidFill>
              </a:ln>
            </c:spPr>
            <c:extLst>
              <c:ext xmlns:c16="http://schemas.microsoft.com/office/drawing/2014/chart" uri="{C3380CC4-5D6E-409C-BE32-E72D297353CC}">
                <c16:uniqueId val="{00000034-0560-46E6-9F7F-B5FD18EADFFD}"/>
              </c:ext>
            </c:extLst>
          </c:dPt>
          <c:cat>
            <c:strRef>
              <c:f>'GRAF-2-Odvětví-ČR-CIZ'!$C$98:$O$98</c:f>
              <c:strCache>
                <c:ptCount val="13"/>
                <c:pt idx="0">
                  <c:v>Zemědělství, lesnictví a rybářství</c:v>
                </c:pt>
                <c:pt idx="1">
                  <c:v>Zpracovatelský průmysl </c:v>
                </c:pt>
                <c:pt idx="2">
                  <c:v>Ostatní průmysl</c:v>
                </c:pt>
                <c:pt idx="3">
                  <c:v>Stavebnictví</c:v>
                </c:pt>
                <c:pt idx="4">
                  <c:v>Obchod, ubytování, stravování</c:v>
                </c:pt>
                <c:pt idx="5">
                  <c:v>Doprava a skladování </c:v>
                </c:pt>
                <c:pt idx="6">
                  <c:v>IT, finančnictví, nemovitosti</c:v>
                </c:pt>
                <c:pt idx="7">
                  <c:v>Profesní, vědecké a technické čin.</c:v>
                </c:pt>
                <c:pt idx="8">
                  <c:v>Administrativní a podpůrné čin.</c:v>
                </c:pt>
                <c:pt idx="9">
                  <c:v>Veřejná správa, obrana, sociální zabezpečení</c:v>
                </c:pt>
                <c:pt idx="10">
                  <c:v>Vzdělávání</c:v>
                </c:pt>
                <c:pt idx="11">
                  <c:v> Zdravotní a sociální péče</c:v>
                </c:pt>
                <c:pt idx="12">
                  <c:v>Ostatní a nezjištěno</c:v>
                </c:pt>
              </c:strCache>
            </c:strRef>
          </c:cat>
          <c:val>
            <c:numRef>
              <c:f>'GRAF-2-Odvětví-ČR-CIZ'!$C$104:$O$104</c:f>
              <c:numCache>
                <c:formatCode>#\ ##0.0_ ;\-#\ ##0.0\ ;\-\ </c:formatCode>
                <c:ptCount val="13"/>
                <c:pt idx="0">
                  <c:v>1.6345860067216622</c:v>
                </c:pt>
                <c:pt idx="1">
                  <c:v>7.9285059578368466</c:v>
                </c:pt>
                <c:pt idx="2" formatCode="#\ ##0.0_ ;\-#\ ##0.0\ ">
                  <c:v>0.99297280782157038</c:v>
                </c:pt>
                <c:pt idx="3">
                  <c:v>0.77910174152153988</c:v>
                </c:pt>
                <c:pt idx="4">
                  <c:v>14.268255423159182</c:v>
                </c:pt>
                <c:pt idx="5">
                  <c:v>2.1387106630003054</c:v>
                </c:pt>
                <c:pt idx="6" formatCode="#\ ##0.0_ ;\-#\ ##0.0\ ">
                  <c:v>16.193095019859456</c:v>
                </c:pt>
                <c:pt idx="7">
                  <c:v>16.74304919034525</c:v>
                </c:pt>
                <c:pt idx="8">
                  <c:v>18.026275588145431</c:v>
                </c:pt>
                <c:pt idx="9">
                  <c:v>0.3971891231286282</c:v>
                </c:pt>
                <c:pt idx="10">
                  <c:v>15.139016193095021</c:v>
                </c:pt>
                <c:pt idx="11">
                  <c:v>0.88603727467155524</c:v>
                </c:pt>
                <c:pt idx="12" formatCode="#\ ##0.0_ ;\-#\ ##0.0\ ">
                  <c:v>4.8732050106935532</c:v>
                </c:pt>
              </c:numCache>
            </c:numRef>
          </c:val>
          <c:extLst>
            <c:ext xmlns:c16="http://schemas.microsoft.com/office/drawing/2014/chart" uri="{C3380CC4-5D6E-409C-BE32-E72D297353CC}">
              <c16:uniqueId val="{00000035-0560-46E6-9F7F-B5FD18EADFFD}"/>
            </c:ext>
          </c:extLst>
        </c:ser>
        <c:ser>
          <c:idx val="2"/>
          <c:order val="2"/>
          <c:tx>
            <c:strRef>
              <c:f>'GRAF-2-Odvětví-ČR-CIZ'!$B$105</c:f>
              <c:strCache>
                <c:ptCount val="1"/>
                <c:pt idx="0">
                  <c:v>Cizinci z EU13</c:v>
                </c:pt>
              </c:strCache>
            </c:strRef>
          </c:tx>
          <c:spPr>
            <a:ln w="3175">
              <a:solidFill>
                <a:sysClr val="window" lastClr="FFFFFF">
                  <a:lumMod val="50000"/>
                </a:sysClr>
              </a:solidFill>
            </a:ln>
          </c:spPr>
          <c:dPt>
            <c:idx val="0"/>
            <c:bubble3D val="0"/>
            <c:spPr>
              <a:solidFill>
                <a:srgbClr val="C89058"/>
              </a:solidFill>
              <a:ln w="3175">
                <a:solidFill>
                  <a:sysClr val="window" lastClr="FFFFFF">
                    <a:lumMod val="50000"/>
                  </a:sysClr>
                </a:solidFill>
              </a:ln>
            </c:spPr>
            <c:extLst>
              <c:ext xmlns:c16="http://schemas.microsoft.com/office/drawing/2014/chart" uri="{C3380CC4-5D6E-409C-BE32-E72D297353CC}">
                <c16:uniqueId val="{00000037-0560-46E6-9F7F-B5FD18EADFFD}"/>
              </c:ext>
            </c:extLst>
          </c:dPt>
          <c:dPt>
            <c:idx val="1"/>
            <c:bubble3D val="0"/>
            <c:spPr>
              <a:solidFill>
                <a:srgbClr val="B2B2B2"/>
              </a:solidFill>
              <a:ln w="3175">
                <a:solidFill>
                  <a:sysClr val="window" lastClr="FFFFFF">
                    <a:lumMod val="50000"/>
                  </a:sysClr>
                </a:solidFill>
              </a:ln>
            </c:spPr>
            <c:extLst>
              <c:ext xmlns:c16="http://schemas.microsoft.com/office/drawing/2014/chart" uri="{C3380CC4-5D6E-409C-BE32-E72D297353CC}">
                <c16:uniqueId val="{00000039-0560-46E6-9F7F-B5FD18EADFFD}"/>
              </c:ext>
            </c:extLst>
          </c:dPt>
          <c:dPt>
            <c:idx val="2"/>
            <c:bubble3D val="0"/>
            <c:spPr>
              <a:solidFill>
                <a:srgbClr val="7F7F7F"/>
              </a:solidFill>
              <a:ln w="3175">
                <a:solidFill>
                  <a:sysClr val="window" lastClr="FFFFFF">
                    <a:lumMod val="50000"/>
                  </a:sysClr>
                </a:solidFill>
              </a:ln>
            </c:spPr>
            <c:extLst>
              <c:ext xmlns:c16="http://schemas.microsoft.com/office/drawing/2014/chart" uri="{C3380CC4-5D6E-409C-BE32-E72D297353CC}">
                <c16:uniqueId val="{0000003B-0560-46E6-9F7F-B5FD18EADFFD}"/>
              </c:ext>
            </c:extLst>
          </c:dPt>
          <c:dPt>
            <c:idx val="3"/>
            <c:bubble3D val="0"/>
            <c:spPr>
              <a:solidFill>
                <a:srgbClr val="3B3838"/>
              </a:solidFill>
              <a:ln w="3175">
                <a:solidFill>
                  <a:sysClr val="window" lastClr="FFFFFF">
                    <a:lumMod val="50000"/>
                  </a:sysClr>
                </a:solidFill>
              </a:ln>
            </c:spPr>
            <c:extLst>
              <c:ext xmlns:c16="http://schemas.microsoft.com/office/drawing/2014/chart" uri="{C3380CC4-5D6E-409C-BE32-E72D297353CC}">
                <c16:uniqueId val="{0000003D-0560-46E6-9F7F-B5FD18EADFFD}"/>
              </c:ext>
            </c:extLst>
          </c:dPt>
          <c:dPt>
            <c:idx val="4"/>
            <c:bubble3D val="0"/>
            <c:spPr>
              <a:solidFill>
                <a:srgbClr val="98C0E4"/>
              </a:solidFill>
              <a:ln w="3175">
                <a:solidFill>
                  <a:sysClr val="window" lastClr="FFFFFF">
                    <a:lumMod val="50000"/>
                  </a:sysClr>
                </a:solidFill>
              </a:ln>
            </c:spPr>
            <c:extLst>
              <c:ext xmlns:c16="http://schemas.microsoft.com/office/drawing/2014/chart" uri="{C3380CC4-5D6E-409C-BE32-E72D297353CC}">
                <c16:uniqueId val="{0000003F-0560-46E6-9F7F-B5FD18EADFFD}"/>
              </c:ext>
            </c:extLst>
          </c:dPt>
          <c:dPt>
            <c:idx val="5"/>
            <c:bubble3D val="0"/>
            <c:spPr>
              <a:solidFill>
                <a:srgbClr val="83A2D9"/>
              </a:solidFill>
              <a:ln w="3175">
                <a:solidFill>
                  <a:sysClr val="window" lastClr="FFFFFF">
                    <a:lumMod val="50000"/>
                  </a:sysClr>
                </a:solidFill>
              </a:ln>
            </c:spPr>
            <c:extLst>
              <c:ext xmlns:c16="http://schemas.microsoft.com/office/drawing/2014/chart" uri="{C3380CC4-5D6E-409C-BE32-E72D297353CC}">
                <c16:uniqueId val="{00000041-0560-46E6-9F7F-B5FD18EADFFD}"/>
              </c:ext>
            </c:extLst>
          </c:dPt>
          <c:dPt>
            <c:idx val="6"/>
            <c:bubble3D val="0"/>
            <c:spPr>
              <a:solidFill>
                <a:srgbClr val="93FFC4"/>
              </a:solidFill>
              <a:ln w="3175">
                <a:solidFill>
                  <a:sysClr val="window" lastClr="FFFFFF">
                    <a:lumMod val="50000"/>
                  </a:sysClr>
                </a:solidFill>
              </a:ln>
            </c:spPr>
            <c:extLst>
              <c:ext xmlns:c16="http://schemas.microsoft.com/office/drawing/2014/chart" uri="{C3380CC4-5D6E-409C-BE32-E72D297353CC}">
                <c16:uniqueId val="{00000043-0560-46E6-9F7F-B5FD18EADFFD}"/>
              </c:ext>
            </c:extLst>
          </c:dPt>
          <c:dPt>
            <c:idx val="7"/>
            <c:bubble3D val="0"/>
            <c:spPr>
              <a:solidFill>
                <a:srgbClr val="6DA945"/>
              </a:solidFill>
              <a:ln w="3175">
                <a:solidFill>
                  <a:sysClr val="window" lastClr="FFFFFF">
                    <a:lumMod val="50000"/>
                  </a:sysClr>
                </a:solidFill>
              </a:ln>
            </c:spPr>
            <c:extLst>
              <c:ext xmlns:c16="http://schemas.microsoft.com/office/drawing/2014/chart" uri="{C3380CC4-5D6E-409C-BE32-E72D297353CC}">
                <c16:uniqueId val="{00000045-0560-46E6-9F7F-B5FD18EADFFD}"/>
              </c:ext>
            </c:extLst>
          </c:dPt>
          <c:dPt>
            <c:idx val="8"/>
            <c:bubble3D val="0"/>
            <c:spPr>
              <a:solidFill>
                <a:srgbClr val="E7E6E6"/>
              </a:solidFill>
              <a:ln w="3175">
                <a:solidFill>
                  <a:sysClr val="window" lastClr="FFFFFF">
                    <a:lumMod val="50000"/>
                  </a:sysClr>
                </a:solidFill>
              </a:ln>
            </c:spPr>
            <c:extLst>
              <c:ext xmlns:c16="http://schemas.microsoft.com/office/drawing/2014/chart" uri="{C3380CC4-5D6E-409C-BE32-E72D297353CC}">
                <c16:uniqueId val="{00000047-0560-46E6-9F7F-B5FD18EADFFD}"/>
              </c:ext>
            </c:extLst>
          </c:dPt>
          <c:dPt>
            <c:idx val="9"/>
            <c:bubble3D val="0"/>
            <c:spPr>
              <a:solidFill>
                <a:srgbClr val="FFC000"/>
              </a:solidFill>
              <a:ln w="3175">
                <a:solidFill>
                  <a:sysClr val="window" lastClr="FFFFFF">
                    <a:lumMod val="50000"/>
                  </a:sysClr>
                </a:solidFill>
              </a:ln>
            </c:spPr>
            <c:extLst>
              <c:ext xmlns:c16="http://schemas.microsoft.com/office/drawing/2014/chart" uri="{C3380CC4-5D6E-409C-BE32-E72D297353CC}">
                <c16:uniqueId val="{00000049-0560-46E6-9F7F-B5FD18EADFFD}"/>
              </c:ext>
            </c:extLst>
          </c:dPt>
          <c:dPt>
            <c:idx val="10"/>
            <c:bubble3D val="0"/>
            <c:spPr>
              <a:solidFill>
                <a:srgbClr val="FF6969"/>
              </a:solidFill>
              <a:ln w="3175">
                <a:solidFill>
                  <a:sysClr val="window" lastClr="FFFFFF">
                    <a:lumMod val="50000"/>
                  </a:sysClr>
                </a:solidFill>
              </a:ln>
            </c:spPr>
            <c:extLst>
              <c:ext xmlns:c16="http://schemas.microsoft.com/office/drawing/2014/chart" uri="{C3380CC4-5D6E-409C-BE32-E72D297353CC}">
                <c16:uniqueId val="{0000004B-0560-46E6-9F7F-B5FD18EADFFD}"/>
              </c:ext>
            </c:extLst>
          </c:dPt>
          <c:dPt>
            <c:idx val="11"/>
            <c:bubble3D val="0"/>
            <c:spPr>
              <a:solidFill>
                <a:srgbClr val="C00000"/>
              </a:solidFill>
              <a:ln w="3175">
                <a:solidFill>
                  <a:sysClr val="window" lastClr="FFFFFF">
                    <a:lumMod val="50000"/>
                  </a:sysClr>
                </a:solidFill>
              </a:ln>
            </c:spPr>
            <c:extLst>
              <c:ext xmlns:c16="http://schemas.microsoft.com/office/drawing/2014/chart" uri="{C3380CC4-5D6E-409C-BE32-E72D297353CC}">
                <c16:uniqueId val="{0000004D-0560-46E6-9F7F-B5FD18EADFFD}"/>
              </c:ext>
            </c:extLst>
          </c:dPt>
          <c:dPt>
            <c:idx val="12"/>
            <c:bubble3D val="0"/>
            <c:spPr>
              <a:solidFill>
                <a:srgbClr val="E7E6E6">
                  <a:lumMod val="90000"/>
                </a:srgbClr>
              </a:solidFill>
              <a:ln w="3175">
                <a:solidFill>
                  <a:sysClr val="window" lastClr="FFFFFF">
                    <a:lumMod val="50000"/>
                  </a:sysClr>
                </a:solidFill>
              </a:ln>
            </c:spPr>
            <c:extLst>
              <c:ext xmlns:c16="http://schemas.microsoft.com/office/drawing/2014/chart" uri="{C3380CC4-5D6E-409C-BE32-E72D297353CC}">
                <c16:uniqueId val="{0000004F-0560-46E6-9F7F-B5FD18EADFFD}"/>
              </c:ext>
            </c:extLst>
          </c:dPt>
          <c:cat>
            <c:strRef>
              <c:f>'GRAF-2-Odvětví-ČR-CIZ'!$C$98:$O$98</c:f>
              <c:strCache>
                <c:ptCount val="13"/>
                <c:pt idx="0">
                  <c:v>Zemědělství, lesnictví a rybářství</c:v>
                </c:pt>
                <c:pt idx="1">
                  <c:v>Zpracovatelský průmysl </c:v>
                </c:pt>
                <c:pt idx="2">
                  <c:v>Ostatní průmysl</c:v>
                </c:pt>
                <c:pt idx="3">
                  <c:v>Stavebnictví</c:v>
                </c:pt>
                <c:pt idx="4">
                  <c:v>Obchod, ubytování, stravování</c:v>
                </c:pt>
                <c:pt idx="5">
                  <c:v>Doprava a skladování </c:v>
                </c:pt>
                <c:pt idx="6">
                  <c:v>IT, finančnictví, nemovitosti</c:v>
                </c:pt>
                <c:pt idx="7">
                  <c:v>Profesní, vědecké a technické čin.</c:v>
                </c:pt>
                <c:pt idx="8">
                  <c:v>Administrativní a podpůrné čin.</c:v>
                </c:pt>
                <c:pt idx="9">
                  <c:v>Veřejná správa, obrana, sociální zabezpečení</c:v>
                </c:pt>
                <c:pt idx="10">
                  <c:v>Vzdělávání</c:v>
                </c:pt>
                <c:pt idx="11">
                  <c:v> Zdravotní a sociální péče</c:v>
                </c:pt>
                <c:pt idx="12">
                  <c:v>Ostatní a nezjištěno</c:v>
                </c:pt>
              </c:strCache>
            </c:strRef>
          </c:cat>
          <c:val>
            <c:numRef>
              <c:f>'GRAF-2-Odvětví-ČR-CIZ'!$C$105:$O$105</c:f>
              <c:numCache>
                <c:formatCode>#\ ##0.0_ ;\-#\ ##0.0\ ;\-\ </c:formatCode>
                <c:ptCount val="13"/>
                <c:pt idx="0">
                  <c:v>2.5172716353321007</c:v>
                </c:pt>
                <c:pt idx="1">
                  <c:v>30.239630629786436</c:v>
                </c:pt>
                <c:pt idx="2" formatCode="#\ ##0.0_ ;\-#\ ##0.0\ ">
                  <c:v>0.55967765293170568</c:v>
                </c:pt>
                <c:pt idx="3">
                  <c:v>1.503548032609529</c:v>
                </c:pt>
                <c:pt idx="4">
                  <c:v>17.693310276090603</c:v>
                </c:pt>
                <c:pt idx="5">
                  <c:v>3.8683351932463861</c:v>
                </c:pt>
                <c:pt idx="6" formatCode="#\ ##0.0_ ;\-#\ ##0.0\ ">
                  <c:v>6.9018391842506537</c:v>
                </c:pt>
                <c:pt idx="7">
                  <c:v>7.4870728943938536</c:v>
                </c:pt>
                <c:pt idx="8">
                  <c:v>18.150763700176338</c:v>
                </c:pt>
                <c:pt idx="9">
                  <c:v>0.40208196679416303</c:v>
                </c:pt>
                <c:pt idx="10">
                  <c:v>2.5113085553160857</c:v>
                </c:pt>
                <c:pt idx="11">
                  <c:v>5.9273015359190389</c:v>
                </c:pt>
                <c:pt idx="12" formatCode="#\ ##0.0_ ;\-#\ ##0.0\ ">
                  <c:v>2.2378587431531063</c:v>
                </c:pt>
              </c:numCache>
            </c:numRef>
          </c:val>
          <c:extLst>
            <c:ext xmlns:c16="http://schemas.microsoft.com/office/drawing/2014/chart" uri="{C3380CC4-5D6E-409C-BE32-E72D297353CC}">
              <c16:uniqueId val="{00000050-0560-46E6-9F7F-B5FD18EADFFD}"/>
            </c:ext>
          </c:extLst>
        </c:ser>
        <c:ser>
          <c:idx val="3"/>
          <c:order val="3"/>
          <c:tx>
            <c:strRef>
              <c:f>'GRAF-2-Odvětví-ČR-CIZ'!$B$106</c:f>
              <c:strCache>
                <c:ptCount val="1"/>
                <c:pt idx="0">
                  <c:v>Cizinci mimo EU</c:v>
                </c:pt>
              </c:strCache>
            </c:strRef>
          </c:tx>
          <c:spPr>
            <a:ln w="3175">
              <a:solidFill>
                <a:sysClr val="window" lastClr="FFFFFF">
                  <a:lumMod val="50000"/>
                </a:sysClr>
              </a:solidFill>
            </a:ln>
          </c:spPr>
          <c:dPt>
            <c:idx val="0"/>
            <c:bubble3D val="0"/>
            <c:spPr>
              <a:solidFill>
                <a:srgbClr val="C89058"/>
              </a:solidFill>
              <a:ln w="3175">
                <a:solidFill>
                  <a:sysClr val="window" lastClr="FFFFFF">
                    <a:lumMod val="50000"/>
                  </a:sysClr>
                </a:solidFill>
              </a:ln>
            </c:spPr>
            <c:extLst>
              <c:ext xmlns:c16="http://schemas.microsoft.com/office/drawing/2014/chart" uri="{C3380CC4-5D6E-409C-BE32-E72D297353CC}">
                <c16:uniqueId val="{00000052-0560-46E6-9F7F-B5FD18EADFFD}"/>
              </c:ext>
            </c:extLst>
          </c:dPt>
          <c:dPt>
            <c:idx val="1"/>
            <c:bubble3D val="0"/>
            <c:spPr>
              <a:solidFill>
                <a:srgbClr val="B2B2B2"/>
              </a:solidFill>
              <a:ln w="3175">
                <a:solidFill>
                  <a:sysClr val="window" lastClr="FFFFFF">
                    <a:lumMod val="50000"/>
                  </a:sysClr>
                </a:solidFill>
              </a:ln>
            </c:spPr>
            <c:extLst>
              <c:ext xmlns:c16="http://schemas.microsoft.com/office/drawing/2014/chart" uri="{C3380CC4-5D6E-409C-BE32-E72D297353CC}">
                <c16:uniqueId val="{00000054-0560-46E6-9F7F-B5FD18EADFFD}"/>
              </c:ext>
            </c:extLst>
          </c:dPt>
          <c:dPt>
            <c:idx val="2"/>
            <c:bubble3D val="0"/>
            <c:spPr>
              <a:solidFill>
                <a:srgbClr val="7F7F7F"/>
              </a:solidFill>
              <a:ln w="3175">
                <a:solidFill>
                  <a:sysClr val="window" lastClr="FFFFFF">
                    <a:lumMod val="50000"/>
                  </a:sysClr>
                </a:solidFill>
              </a:ln>
            </c:spPr>
            <c:extLst>
              <c:ext xmlns:c16="http://schemas.microsoft.com/office/drawing/2014/chart" uri="{C3380CC4-5D6E-409C-BE32-E72D297353CC}">
                <c16:uniqueId val="{00000056-0560-46E6-9F7F-B5FD18EADFFD}"/>
              </c:ext>
            </c:extLst>
          </c:dPt>
          <c:dPt>
            <c:idx val="3"/>
            <c:bubble3D val="0"/>
            <c:spPr>
              <a:solidFill>
                <a:srgbClr val="3B3838"/>
              </a:solidFill>
              <a:ln w="3175">
                <a:solidFill>
                  <a:sysClr val="window" lastClr="FFFFFF">
                    <a:lumMod val="50000"/>
                  </a:sysClr>
                </a:solidFill>
              </a:ln>
            </c:spPr>
            <c:extLst>
              <c:ext xmlns:c16="http://schemas.microsoft.com/office/drawing/2014/chart" uri="{C3380CC4-5D6E-409C-BE32-E72D297353CC}">
                <c16:uniqueId val="{00000058-0560-46E6-9F7F-B5FD18EADFFD}"/>
              </c:ext>
            </c:extLst>
          </c:dPt>
          <c:dPt>
            <c:idx val="4"/>
            <c:bubble3D val="0"/>
            <c:spPr>
              <a:solidFill>
                <a:srgbClr val="98C0E4"/>
              </a:solidFill>
              <a:ln w="3175">
                <a:solidFill>
                  <a:sysClr val="window" lastClr="FFFFFF">
                    <a:lumMod val="50000"/>
                  </a:sysClr>
                </a:solidFill>
              </a:ln>
            </c:spPr>
            <c:extLst>
              <c:ext xmlns:c16="http://schemas.microsoft.com/office/drawing/2014/chart" uri="{C3380CC4-5D6E-409C-BE32-E72D297353CC}">
                <c16:uniqueId val="{0000005A-0560-46E6-9F7F-B5FD18EADFFD}"/>
              </c:ext>
            </c:extLst>
          </c:dPt>
          <c:dPt>
            <c:idx val="5"/>
            <c:bubble3D val="0"/>
            <c:spPr>
              <a:solidFill>
                <a:srgbClr val="83A2D9"/>
              </a:solidFill>
              <a:ln w="3175">
                <a:solidFill>
                  <a:sysClr val="window" lastClr="FFFFFF">
                    <a:lumMod val="50000"/>
                  </a:sysClr>
                </a:solidFill>
              </a:ln>
            </c:spPr>
            <c:extLst>
              <c:ext xmlns:c16="http://schemas.microsoft.com/office/drawing/2014/chart" uri="{C3380CC4-5D6E-409C-BE32-E72D297353CC}">
                <c16:uniqueId val="{0000005C-0560-46E6-9F7F-B5FD18EADFFD}"/>
              </c:ext>
            </c:extLst>
          </c:dPt>
          <c:dPt>
            <c:idx val="6"/>
            <c:bubble3D val="0"/>
            <c:spPr>
              <a:solidFill>
                <a:srgbClr val="93FFC4"/>
              </a:solidFill>
              <a:ln w="3175">
                <a:solidFill>
                  <a:sysClr val="window" lastClr="FFFFFF">
                    <a:lumMod val="50000"/>
                  </a:sysClr>
                </a:solidFill>
              </a:ln>
            </c:spPr>
            <c:extLst>
              <c:ext xmlns:c16="http://schemas.microsoft.com/office/drawing/2014/chart" uri="{C3380CC4-5D6E-409C-BE32-E72D297353CC}">
                <c16:uniqueId val="{0000005E-0560-46E6-9F7F-B5FD18EADFFD}"/>
              </c:ext>
            </c:extLst>
          </c:dPt>
          <c:dPt>
            <c:idx val="7"/>
            <c:bubble3D val="0"/>
            <c:spPr>
              <a:solidFill>
                <a:srgbClr val="6DA945"/>
              </a:solidFill>
              <a:ln w="3175">
                <a:solidFill>
                  <a:sysClr val="window" lastClr="FFFFFF">
                    <a:lumMod val="50000"/>
                  </a:sysClr>
                </a:solidFill>
              </a:ln>
            </c:spPr>
            <c:extLst>
              <c:ext xmlns:c16="http://schemas.microsoft.com/office/drawing/2014/chart" uri="{C3380CC4-5D6E-409C-BE32-E72D297353CC}">
                <c16:uniqueId val="{00000060-0560-46E6-9F7F-B5FD18EADFFD}"/>
              </c:ext>
            </c:extLst>
          </c:dPt>
          <c:dPt>
            <c:idx val="8"/>
            <c:bubble3D val="0"/>
            <c:spPr>
              <a:solidFill>
                <a:srgbClr val="E7E6E6"/>
              </a:solidFill>
              <a:ln w="3175">
                <a:solidFill>
                  <a:sysClr val="window" lastClr="FFFFFF">
                    <a:lumMod val="50000"/>
                  </a:sysClr>
                </a:solidFill>
              </a:ln>
            </c:spPr>
            <c:extLst>
              <c:ext xmlns:c16="http://schemas.microsoft.com/office/drawing/2014/chart" uri="{C3380CC4-5D6E-409C-BE32-E72D297353CC}">
                <c16:uniqueId val="{00000062-0560-46E6-9F7F-B5FD18EADFFD}"/>
              </c:ext>
            </c:extLst>
          </c:dPt>
          <c:dPt>
            <c:idx val="10"/>
            <c:bubble3D val="0"/>
            <c:spPr>
              <a:solidFill>
                <a:srgbClr val="FF6969"/>
              </a:solidFill>
              <a:ln w="3175">
                <a:solidFill>
                  <a:sysClr val="window" lastClr="FFFFFF">
                    <a:lumMod val="50000"/>
                  </a:sysClr>
                </a:solidFill>
              </a:ln>
            </c:spPr>
            <c:extLst>
              <c:ext xmlns:c16="http://schemas.microsoft.com/office/drawing/2014/chart" uri="{C3380CC4-5D6E-409C-BE32-E72D297353CC}">
                <c16:uniqueId val="{00000064-0560-46E6-9F7F-B5FD18EADFFD}"/>
              </c:ext>
            </c:extLst>
          </c:dPt>
          <c:dPt>
            <c:idx val="11"/>
            <c:bubble3D val="0"/>
            <c:spPr>
              <a:solidFill>
                <a:srgbClr val="C00000"/>
              </a:solidFill>
              <a:ln w="3175">
                <a:solidFill>
                  <a:sysClr val="window" lastClr="FFFFFF">
                    <a:lumMod val="50000"/>
                  </a:sysClr>
                </a:solidFill>
              </a:ln>
            </c:spPr>
            <c:extLst>
              <c:ext xmlns:c16="http://schemas.microsoft.com/office/drawing/2014/chart" uri="{C3380CC4-5D6E-409C-BE32-E72D297353CC}">
                <c16:uniqueId val="{00000066-0560-46E6-9F7F-B5FD18EADFFD}"/>
              </c:ext>
            </c:extLst>
          </c:dPt>
          <c:dPt>
            <c:idx val="12"/>
            <c:bubble3D val="0"/>
            <c:spPr>
              <a:solidFill>
                <a:srgbClr val="E7E6E6">
                  <a:lumMod val="90000"/>
                </a:srgbClr>
              </a:solidFill>
              <a:ln w="3175">
                <a:solidFill>
                  <a:sysClr val="window" lastClr="FFFFFF">
                    <a:lumMod val="50000"/>
                  </a:sysClr>
                </a:solidFill>
              </a:ln>
            </c:spPr>
            <c:extLst>
              <c:ext xmlns:c16="http://schemas.microsoft.com/office/drawing/2014/chart" uri="{C3380CC4-5D6E-409C-BE32-E72D297353CC}">
                <c16:uniqueId val="{00000068-0560-46E6-9F7F-B5FD18EADFFD}"/>
              </c:ext>
            </c:extLst>
          </c:dPt>
          <c:cat>
            <c:strRef>
              <c:f>'GRAF-2-Odvětví-ČR-CIZ'!$C$98:$O$98</c:f>
              <c:strCache>
                <c:ptCount val="13"/>
                <c:pt idx="0">
                  <c:v>Zemědělství, lesnictví a rybářství</c:v>
                </c:pt>
                <c:pt idx="1">
                  <c:v>Zpracovatelský průmysl </c:v>
                </c:pt>
                <c:pt idx="2">
                  <c:v>Ostatní průmysl</c:v>
                </c:pt>
                <c:pt idx="3">
                  <c:v>Stavebnictví</c:v>
                </c:pt>
                <c:pt idx="4">
                  <c:v>Obchod, ubytování, stravování</c:v>
                </c:pt>
                <c:pt idx="5">
                  <c:v>Doprava a skladování </c:v>
                </c:pt>
                <c:pt idx="6">
                  <c:v>IT, finančnictví, nemovitosti</c:v>
                </c:pt>
                <c:pt idx="7">
                  <c:v>Profesní, vědecké a technické čin.</c:v>
                </c:pt>
                <c:pt idx="8">
                  <c:v>Administrativní a podpůrné čin.</c:v>
                </c:pt>
                <c:pt idx="9">
                  <c:v>Veřejná správa, obrana, sociální zabezpečení</c:v>
                </c:pt>
                <c:pt idx="10">
                  <c:v>Vzdělávání</c:v>
                </c:pt>
                <c:pt idx="11">
                  <c:v> Zdravotní a sociální péče</c:v>
                </c:pt>
                <c:pt idx="12">
                  <c:v>Ostatní a nezjištěno</c:v>
                </c:pt>
              </c:strCache>
            </c:strRef>
          </c:cat>
          <c:val>
            <c:numRef>
              <c:f>'GRAF-2-Odvětví-ČR-CIZ'!$C$106:$O$106</c:f>
              <c:numCache>
                <c:formatCode>#\ ##0.0_ ;\-#\ ##0.0\ ;\-\ </c:formatCode>
                <c:ptCount val="13"/>
                <c:pt idx="0">
                  <c:v>3.2434462202821002</c:v>
                </c:pt>
                <c:pt idx="1">
                  <c:v>23.46217935178014</c:v>
                </c:pt>
                <c:pt idx="2" formatCode="#\ ##0.0_ ;\-#\ ##0.0\ ">
                  <c:v>0.4388744162031496</c:v>
                </c:pt>
                <c:pt idx="3">
                  <c:v>4.2315003872421322</c:v>
                </c:pt>
                <c:pt idx="4">
                  <c:v>24.473702738857988</c:v>
                </c:pt>
                <c:pt idx="5">
                  <c:v>3.6318618132319465</c:v>
                </c:pt>
                <c:pt idx="6" formatCode="#\ ##0.0_ ;\-#\ ##0.0\ ">
                  <c:v>6.1888333450679429</c:v>
                </c:pt>
                <c:pt idx="7">
                  <c:v>4.5060902626205737</c:v>
                </c:pt>
                <c:pt idx="8">
                  <c:v>19.560421507193315</c:v>
                </c:pt>
                <c:pt idx="9">
                  <c:v>0.12203994461264052</c:v>
                </c:pt>
                <c:pt idx="10">
                  <c:v>2.0535567603088549</c:v>
                </c:pt>
                <c:pt idx="11">
                  <c:v>2.6743176324250744</c:v>
                </c:pt>
                <c:pt idx="12" formatCode="#\ ##0.0_ ;\-#\ ##0.0\ ">
                  <c:v>5.4131756201741421</c:v>
                </c:pt>
              </c:numCache>
            </c:numRef>
          </c:val>
          <c:extLst>
            <c:ext xmlns:c16="http://schemas.microsoft.com/office/drawing/2014/chart" uri="{C3380CC4-5D6E-409C-BE32-E72D297353CC}">
              <c16:uniqueId val="{00000069-0560-46E6-9F7F-B5FD18EADFFD}"/>
            </c:ext>
          </c:extLst>
        </c:ser>
        <c:dLbls>
          <c:showLegendKey val="0"/>
          <c:showVal val="0"/>
          <c:showCatName val="0"/>
          <c:showSerName val="0"/>
          <c:showPercent val="0"/>
          <c:showBubbleSize val="0"/>
          <c:showLeaderLines val="1"/>
        </c:dLbls>
        <c:firstSliceAng val="0"/>
        <c:holeSize val="50"/>
      </c:doughnutChart>
    </c:plotArea>
    <c:legend>
      <c:legendPos val="r"/>
      <c:legendEntry>
        <c:idx val="0"/>
        <c:delete val="1"/>
      </c:legendEntry>
      <c:legendEntry>
        <c:idx val="2"/>
        <c:delete val="1"/>
      </c:legendEntry>
      <c:legendEntry>
        <c:idx val="4"/>
        <c:delete val="1"/>
      </c:legendEntry>
      <c:legendEntry>
        <c:idx val="6"/>
        <c:delete val="1"/>
      </c:legendEntry>
      <c:legendEntry>
        <c:idx val="8"/>
        <c:delete val="1"/>
      </c:legendEntry>
      <c:legendEntry>
        <c:idx val="10"/>
        <c:delete val="1"/>
      </c:legendEntry>
      <c:legendEntry>
        <c:idx val="12"/>
        <c:delete val="1"/>
      </c:legendEntry>
      <c:layout>
        <c:manualLayout>
          <c:xMode val="edge"/>
          <c:yMode val="edge"/>
          <c:x val="0"/>
          <c:y val="0.74535597052875091"/>
          <c:w val="0.97081356606757319"/>
          <c:h val="0.21996757161319624"/>
        </c:manualLayout>
      </c:layout>
      <c:overlay val="0"/>
      <c:txPr>
        <a:bodyPr/>
        <a:lstStyle/>
        <a:p>
          <a:pPr rtl="0">
            <a:defRPr sz="800">
              <a:latin typeface="Arial" pitchFamily="34" charset="0"/>
              <a:cs typeface="Arial" pitchFamily="34" charset="0"/>
            </a:defRPr>
          </a:pPr>
          <a:endParaRPr lang="cs-CZ"/>
        </a:p>
      </c:txPr>
    </c:legend>
    <c:plotVisOnly val="1"/>
    <c:dispBlanksAs val="zero"/>
    <c:showDLblsOverMax val="0"/>
  </c:chart>
  <c:spPr>
    <a:ln>
      <a:noFill/>
    </a:ln>
  </c:spPr>
  <c:externalData r:id="rId1">
    <c:autoUpdate val="0"/>
  </c:externalData>
  <c:userShapes r:id="rId2"/>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1755603720266684E-2"/>
          <c:y val="1.5999671172066066E-2"/>
          <c:w val="0.9337576285859257"/>
          <c:h val="0.71090655078186848"/>
        </c:manualLayout>
      </c:layout>
      <c:barChart>
        <c:barDir val="col"/>
        <c:grouping val="stacked"/>
        <c:varyColors val="0"/>
        <c:ser>
          <c:idx val="0"/>
          <c:order val="0"/>
          <c:tx>
            <c:strRef>
              <c:f>'GRAF-3-Ciz-občan-ISCO'!$C$34</c:f>
              <c:strCache>
                <c:ptCount val="1"/>
                <c:pt idx="0">
                  <c:v>CZ-ISCO 1-2</c:v>
                </c:pt>
              </c:strCache>
            </c:strRef>
          </c:tx>
          <c:spPr>
            <a:solidFill>
              <a:srgbClr val="66A2D8"/>
            </a:solidFill>
            <a:ln w="6350">
              <a:solidFill>
                <a:schemeClr val="bg1">
                  <a:lumMod val="65000"/>
                </a:schemeClr>
              </a:solidFill>
            </a:ln>
            <a:effectLst/>
          </c:spPr>
          <c:invertIfNegative val="0"/>
          <c:cat>
            <c:strRef>
              <c:f>'GRAF-3-Ciz-občan-ISCO'!$B$35:$B$61</c:f>
              <c:strCache>
                <c:ptCount val="27"/>
                <c:pt idx="0">
                  <c:v>Velká Británie</c:v>
                </c:pt>
                <c:pt idx="1">
                  <c:v>Francie</c:v>
                </c:pt>
                <c:pt idx="2">
                  <c:v>Němec.,Rakous.</c:v>
                </c:pt>
                <c:pt idx="3">
                  <c:v>ESP,PRT,GRC</c:v>
                </c:pt>
                <c:pt idx="4">
                  <c:v>Itálie</c:v>
                </c:pt>
                <c:pt idx="5">
                  <c:v>Ost.státy EU15</c:v>
                </c:pt>
                <c:pt idx="6">
                  <c:v>Slovensko</c:v>
                </c:pt>
                <c:pt idx="7">
                  <c:v>Pobaltské státy</c:v>
                </c:pt>
                <c:pt idx="8">
                  <c:v>Polsko</c:v>
                </c:pt>
                <c:pt idx="9">
                  <c:v>Maďarsko</c:v>
                </c:pt>
                <c:pt idx="10">
                  <c:v>Rumunsko</c:v>
                </c:pt>
                <c:pt idx="11">
                  <c:v>Bulharsko</c:v>
                </c:pt>
                <c:pt idx="12">
                  <c:v>Ost.státy EU</c:v>
                </c:pt>
                <c:pt idx="13">
                  <c:v>USA,Japonsko</c:v>
                </c:pt>
                <c:pt idx="14">
                  <c:v>Korea, Indie</c:v>
                </c:pt>
                <c:pt idx="15">
                  <c:v>Rusko</c:v>
                </c:pt>
                <c:pt idx="16">
                  <c:v>TUR, BIH, MKD</c:v>
                </c:pt>
                <c:pt idx="17">
                  <c:v>Bělorusko</c:v>
                </c:pt>
                <c:pt idx="18">
                  <c:v>Kazachstán</c:v>
                </c:pt>
                <c:pt idx="19">
                  <c:v>Ost.postsovět.st.</c:v>
                </c:pt>
                <c:pt idx="20">
                  <c:v>Srbsko</c:v>
                </c:pt>
                <c:pt idx="21">
                  <c:v>Čína</c:v>
                </c:pt>
                <c:pt idx="22">
                  <c:v>Nepál, Filipíny</c:v>
                </c:pt>
                <c:pt idx="23">
                  <c:v>Moldavsko</c:v>
                </c:pt>
                <c:pt idx="24">
                  <c:v>Ukrajina</c:v>
                </c:pt>
                <c:pt idx="25">
                  <c:v>Vietnam</c:v>
                </c:pt>
                <c:pt idx="26">
                  <c:v>Mongolsko</c:v>
                </c:pt>
              </c:strCache>
            </c:strRef>
          </c:cat>
          <c:val>
            <c:numRef>
              <c:f>'GRAF-3-Ciz-občan-ISCO'!$C$35:$C$61</c:f>
              <c:numCache>
                <c:formatCode>#,##0_ ;\-#,##0\ ;\-\ </c:formatCode>
                <c:ptCount val="27"/>
                <c:pt idx="0">
                  <c:v>67.697431018077978</c:v>
                </c:pt>
                <c:pt idx="1">
                  <c:v>52.983676746052979</c:v>
                </c:pt>
                <c:pt idx="2">
                  <c:v>52.569356872635566</c:v>
                </c:pt>
                <c:pt idx="3">
                  <c:v>44.916600476568597</c:v>
                </c:pt>
                <c:pt idx="4">
                  <c:v>41.812175554506837</c:v>
                </c:pt>
                <c:pt idx="5">
                  <c:v>45.582954273401967</c:v>
                </c:pt>
                <c:pt idx="6">
                  <c:v>16.890489943592321</c:v>
                </c:pt>
                <c:pt idx="7">
                  <c:v>12.224778179428176</c:v>
                </c:pt>
                <c:pt idx="8">
                  <c:v>6.8558446186742685</c:v>
                </c:pt>
                <c:pt idx="9">
                  <c:v>4.0440972799290789</c:v>
                </c:pt>
                <c:pt idx="10">
                  <c:v>3.7189051905938824</c:v>
                </c:pt>
                <c:pt idx="11">
                  <c:v>3.1120632255449729</c:v>
                </c:pt>
                <c:pt idx="12">
                  <c:v>31.487025948103753</c:v>
                </c:pt>
                <c:pt idx="13">
                  <c:v>76.029055690072667</c:v>
                </c:pt>
                <c:pt idx="14">
                  <c:v>50.899470899470913</c:v>
                </c:pt>
                <c:pt idx="15">
                  <c:v>29.923956977461089</c:v>
                </c:pt>
                <c:pt idx="16">
                  <c:v>22.5</c:v>
                </c:pt>
                <c:pt idx="17">
                  <c:v>17.472582253240219</c:v>
                </c:pt>
                <c:pt idx="18">
                  <c:v>15.907710989678204</c:v>
                </c:pt>
                <c:pt idx="19">
                  <c:v>16.799065420560748</c:v>
                </c:pt>
                <c:pt idx="20">
                  <c:v>12.585883822610869</c:v>
                </c:pt>
                <c:pt idx="21">
                  <c:v>11.537384486138333</c:v>
                </c:pt>
                <c:pt idx="22">
                  <c:v>4.8440065681444802</c:v>
                </c:pt>
                <c:pt idx="23">
                  <c:v>3.9727831431079887</c:v>
                </c:pt>
                <c:pt idx="24">
                  <c:v>3.9418264704424955</c:v>
                </c:pt>
                <c:pt idx="25">
                  <c:v>2.2933588150979456</c:v>
                </c:pt>
                <c:pt idx="26">
                  <c:v>1.4893617021276546</c:v>
                </c:pt>
              </c:numCache>
            </c:numRef>
          </c:val>
          <c:extLst>
            <c:ext xmlns:c16="http://schemas.microsoft.com/office/drawing/2014/chart" uri="{C3380CC4-5D6E-409C-BE32-E72D297353CC}">
              <c16:uniqueId val="{00000000-A6B7-4AB0-B44A-152750D9B009}"/>
            </c:ext>
          </c:extLst>
        </c:ser>
        <c:ser>
          <c:idx val="1"/>
          <c:order val="1"/>
          <c:tx>
            <c:strRef>
              <c:f>'GRAF-3-Ciz-občan-ISCO'!$D$34</c:f>
              <c:strCache>
                <c:ptCount val="1"/>
                <c:pt idx="0">
                  <c:v>CZ-ISCO 3</c:v>
                </c:pt>
              </c:strCache>
            </c:strRef>
          </c:tx>
          <c:spPr>
            <a:solidFill>
              <a:srgbClr val="98C0E4"/>
            </a:solidFill>
            <a:ln w="6350">
              <a:solidFill>
                <a:prstClr val="white">
                  <a:lumMod val="65000"/>
                </a:prstClr>
              </a:solidFill>
              <a:prstDash val="solid"/>
            </a:ln>
            <a:effectLst/>
          </c:spPr>
          <c:invertIfNegative val="0"/>
          <c:cat>
            <c:strRef>
              <c:f>'GRAF-3-Ciz-občan-ISCO'!$B$35:$B$61</c:f>
              <c:strCache>
                <c:ptCount val="27"/>
                <c:pt idx="0">
                  <c:v>Velká Británie</c:v>
                </c:pt>
                <c:pt idx="1">
                  <c:v>Francie</c:v>
                </c:pt>
                <c:pt idx="2">
                  <c:v>Němec.,Rakous.</c:v>
                </c:pt>
                <c:pt idx="3">
                  <c:v>ESP,PRT,GRC</c:v>
                </c:pt>
                <c:pt idx="4">
                  <c:v>Itálie</c:v>
                </c:pt>
                <c:pt idx="5">
                  <c:v>Ost.státy EU15</c:v>
                </c:pt>
                <c:pt idx="6">
                  <c:v>Slovensko</c:v>
                </c:pt>
                <c:pt idx="7">
                  <c:v>Pobaltské státy</c:v>
                </c:pt>
                <c:pt idx="8">
                  <c:v>Polsko</c:v>
                </c:pt>
                <c:pt idx="9">
                  <c:v>Maďarsko</c:v>
                </c:pt>
                <c:pt idx="10">
                  <c:v>Rumunsko</c:v>
                </c:pt>
                <c:pt idx="11">
                  <c:v>Bulharsko</c:v>
                </c:pt>
                <c:pt idx="12">
                  <c:v>Ost.státy EU</c:v>
                </c:pt>
                <c:pt idx="13">
                  <c:v>USA,Japonsko</c:v>
                </c:pt>
                <c:pt idx="14">
                  <c:v>Korea, Indie</c:v>
                </c:pt>
                <c:pt idx="15">
                  <c:v>Rusko</c:v>
                </c:pt>
                <c:pt idx="16">
                  <c:v>TUR, BIH, MKD</c:v>
                </c:pt>
                <c:pt idx="17">
                  <c:v>Bělorusko</c:v>
                </c:pt>
                <c:pt idx="18">
                  <c:v>Kazachstán</c:v>
                </c:pt>
                <c:pt idx="19">
                  <c:v>Ost.postsovět.st.</c:v>
                </c:pt>
                <c:pt idx="20">
                  <c:v>Srbsko</c:v>
                </c:pt>
                <c:pt idx="21">
                  <c:v>Čína</c:v>
                </c:pt>
                <c:pt idx="22">
                  <c:v>Nepál, Filipíny</c:v>
                </c:pt>
                <c:pt idx="23">
                  <c:v>Moldavsko</c:v>
                </c:pt>
                <c:pt idx="24">
                  <c:v>Ukrajina</c:v>
                </c:pt>
                <c:pt idx="25">
                  <c:v>Vietnam</c:v>
                </c:pt>
                <c:pt idx="26">
                  <c:v>Mongolsko</c:v>
                </c:pt>
              </c:strCache>
            </c:strRef>
          </c:cat>
          <c:val>
            <c:numRef>
              <c:f>'GRAF-3-Ciz-občan-ISCO'!$D$35:$D$61</c:f>
              <c:numCache>
                <c:formatCode>#,##0_ ;\-#,##0\ ;\-\ </c:formatCode>
                <c:ptCount val="27"/>
                <c:pt idx="0">
                  <c:v>12.916270218839225</c:v>
                </c:pt>
                <c:pt idx="1">
                  <c:v>18.785121755418785</c:v>
                </c:pt>
                <c:pt idx="2">
                  <c:v>20.286885245901626</c:v>
                </c:pt>
                <c:pt idx="3">
                  <c:v>17.851469420174741</c:v>
                </c:pt>
                <c:pt idx="4">
                  <c:v>18.404907975460123</c:v>
                </c:pt>
                <c:pt idx="5">
                  <c:v>22.911180272923087</c:v>
                </c:pt>
                <c:pt idx="6">
                  <c:v>10.069440824114526</c:v>
                </c:pt>
                <c:pt idx="7">
                  <c:v>3.8120276043378194</c:v>
                </c:pt>
                <c:pt idx="8">
                  <c:v>4.5505167498218055</c:v>
                </c:pt>
                <c:pt idx="9">
                  <c:v>2.3821394936568567</c:v>
                </c:pt>
                <c:pt idx="10">
                  <c:v>1.8526497199482981</c:v>
                </c:pt>
                <c:pt idx="11">
                  <c:v>1.962771038994876</c:v>
                </c:pt>
                <c:pt idx="12">
                  <c:v>13.073852295409209</c:v>
                </c:pt>
                <c:pt idx="13">
                  <c:v>11.241784849533033</c:v>
                </c:pt>
                <c:pt idx="14">
                  <c:v>12.301587301587329</c:v>
                </c:pt>
                <c:pt idx="15">
                  <c:v>13.400013701445499</c:v>
                </c:pt>
                <c:pt idx="16">
                  <c:v>9.9484536082474229</c:v>
                </c:pt>
                <c:pt idx="17">
                  <c:v>8.5244267198404788</c:v>
                </c:pt>
                <c:pt idx="18">
                  <c:v>9.4414086217364819</c:v>
                </c:pt>
                <c:pt idx="19">
                  <c:v>8.7383177570093409</c:v>
                </c:pt>
                <c:pt idx="20">
                  <c:v>6.2773266708307309</c:v>
                </c:pt>
                <c:pt idx="21">
                  <c:v>5.0686082329879545</c:v>
                </c:pt>
                <c:pt idx="22">
                  <c:v>3.0788177339901477</c:v>
                </c:pt>
                <c:pt idx="23">
                  <c:v>2.7875329236172082</c:v>
                </c:pt>
                <c:pt idx="24">
                  <c:v>2.1373238855028682</c:v>
                </c:pt>
                <c:pt idx="25">
                  <c:v>1.4970536709667168</c:v>
                </c:pt>
                <c:pt idx="26">
                  <c:v>0.62056737588652366</c:v>
                </c:pt>
              </c:numCache>
            </c:numRef>
          </c:val>
          <c:extLst>
            <c:ext xmlns:c16="http://schemas.microsoft.com/office/drawing/2014/chart" uri="{C3380CC4-5D6E-409C-BE32-E72D297353CC}">
              <c16:uniqueId val="{00000001-A6B7-4AB0-B44A-152750D9B009}"/>
            </c:ext>
          </c:extLst>
        </c:ser>
        <c:ser>
          <c:idx val="2"/>
          <c:order val="2"/>
          <c:tx>
            <c:strRef>
              <c:f>'GRAF-3-Ciz-občan-ISCO'!$E$34</c:f>
              <c:strCache>
                <c:ptCount val="1"/>
                <c:pt idx="0">
                  <c:v>CZ-ISCO 4-6</c:v>
                </c:pt>
              </c:strCache>
            </c:strRef>
          </c:tx>
          <c:spPr>
            <a:solidFill>
              <a:schemeClr val="bg2">
                <a:lumMod val="90000"/>
              </a:schemeClr>
            </a:solidFill>
            <a:ln w="6350" cap="rnd">
              <a:solidFill>
                <a:prstClr val="white">
                  <a:lumMod val="65000"/>
                </a:prstClr>
              </a:solidFill>
              <a:round/>
            </a:ln>
            <a:effectLst/>
          </c:spPr>
          <c:invertIfNegative val="0"/>
          <c:cat>
            <c:strRef>
              <c:f>'GRAF-3-Ciz-občan-ISCO'!$B$35:$B$61</c:f>
              <c:strCache>
                <c:ptCount val="27"/>
                <c:pt idx="0">
                  <c:v>Velká Británie</c:v>
                </c:pt>
                <c:pt idx="1">
                  <c:v>Francie</c:v>
                </c:pt>
                <c:pt idx="2">
                  <c:v>Němec.,Rakous.</c:v>
                </c:pt>
                <c:pt idx="3">
                  <c:v>ESP,PRT,GRC</c:v>
                </c:pt>
                <c:pt idx="4">
                  <c:v>Itálie</c:v>
                </c:pt>
                <c:pt idx="5">
                  <c:v>Ost.státy EU15</c:v>
                </c:pt>
                <c:pt idx="6">
                  <c:v>Slovensko</c:v>
                </c:pt>
                <c:pt idx="7">
                  <c:v>Pobaltské státy</c:v>
                </c:pt>
                <c:pt idx="8">
                  <c:v>Polsko</c:v>
                </c:pt>
                <c:pt idx="9">
                  <c:v>Maďarsko</c:v>
                </c:pt>
                <c:pt idx="10">
                  <c:v>Rumunsko</c:v>
                </c:pt>
                <c:pt idx="11">
                  <c:v>Bulharsko</c:v>
                </c:pt>
                <c:pt idx="12">
                  <c:v>Ost.státy EU</c:v>
                </c:pt>
                <c:pt idx="13">
                  <c:v>USA,Japonsko</c:v>
                </c:pt>
                <c:pt idx="14">
                  <c:v>Korea, Indie</c:v>
                </c:pt>
                <c:pt idx="15">
                  <c:v>Rusko</c:v>
                </c:pt>
                <c:pt idx="16">
                  <c:v>TUR, BIH, MKD</c:v>
                </c:pt>
                <c:pt idx="17">
                  <c:v>Bělorusko</c:v>
                </c:pt>
                <c:pt idx="18">
                  <c:v>Kazachstán</c:v>
                </c:pt>
                <c:pt idx="19">
                  <c:v>Ost.postsovět.st.</c:v>
                </c:pt>
                <c:pt idx="20">
                  <c:v>Srbsko</c:v>
                </c:pt>
                <c:pt idx="21">
                  <c:v>Čína</c:v>
                </c:pt>
                <c:pt idx="22">
                  <c:v>Nepál, Filipíny</c:v>
                </c:pt>
                <c:pt idx="23">
                  <c:v>Moldavsko</c:v>
                </c:pt>
                <c:pt idx="24">
                  <c:v>Ukrajina</c:v>
                </c:pt>
                <c:pt idx="25">
                  <c:v>Vietnam</c:v>
                </c:pt>
                <c:pt idx="26">
                  <c:v>Mongolsko</c:v>
                </c:pt>
              </c:strCache>
            </c:strRef>
          </c:cat>
          <c:val>
            <c:numRef>
              <c:f>'GRAF-3-Ciz-občan-ISCO'!$E$35:$E$61</c:f>
              <c:numCache>
                <c:formatCode>#,##0_ ;\-#,##0\ ;\-\ </c:formatCode>
                <c:ptCount val="27"/>
                <c:pt idx="0">
                  <c:v>16.389153187440531</c:v>
                </c:pt>
                <c:pt idx="1">
                  <c:v>26.063687449826066</c:v>
                </c:pt>
                <c:pt idx="2">
                  <c:v>13.981715006305171</c:v>
                </c:pt>
                <c:pt idx="3">
                  <c:v>22.339158061953935</c:v>
                </c:pt>
                <c:pt idx="4">
                  <c:v>30.061349693251529</c:v>
                </c:pt>
                <c:pt idx="5">
                  <c:v>25.04189609767776</c:v>
                </c:pt>
                <c:pt idx="6">
                  <c:v>19.780208322472326</c:v>
                </c:pt>
                <c:pt idx="7">
                  <c:v>11.436082813013474</c:v>
                </c:pt>
                <c:pt idx="8">
                  <c:v>5.8156628652886724</c:v>
                </c:pt>
                <c:pt idx="9">
                  <c:v>4.6867209572876849</c:v>
                </c:pt>
                <c:pt idx="10">
                  <c:v>3.399170049207465</c:v>
                </c:pt>
                <c:pt idx="11">
                  <c:v>5.8680485192368845</c:v>
                </c:pt>
                <c:pt idx="12">
                  <c:v>26.596806387225527</c:v>
                </c:pt>
                <c:pt idx="13">
                  <c:v>10.757523348322382</c:v>
                </c:pt>
                <c:pt idx="14">
                  <c:v>21.904761904761855</c:v>
                </c:pt>
                <c:pt idx="15">
                  <c:v>34.83592519010756</c:v>
                </c:pt>
                <c:pt idx="16">
                  <c:v>29.742268041237089</c:v>
                </c:pt>
                <c:pt idx="17">
                  <c:v>19.566301096709832</c:v>
                </c:pt>
                <c:pt idx="18">
                  <c:v>38.31208257437757</c:v>
                </c:pt>
                <c:pt idx="19">
                  <c:v>23.761682242990602</c:v>
                </c:pt>
                <c:pt idx="20">
                  <c:v>15.990006246096211</c:v>
                </c:pt>
                <c:pt idx="21">
                  <c:v>72.724726967236066</c:v>
                </c:pt>
                <c:pt idx="22">
                  <c:v>30.706075533661696</c:v>
                </c:pt>
                <c:pt idx="23">
                  <c:v>11.67690956979807</c:v>
                </c:pt>
                <c:pt idx="24">
                  <c:v>11.352262028640821</c:v>
                </c:pt>
                <c:pt idx="25">
                  <c:v>50.031852205765254</c:v>
                </c:pt>
                <c:pt idx="26">
                  <c:v>5.2304964539007104</c:v>
                </c:pt>
              </c:numCache>
            </c:numRef>
          </c:val>
          <c:extLst>
            <c:ext xmlns:c16="http://schemas.microsoft.com/office/drawing/2014/chart" uri="{C3380CC4-5D6E-409C-BE32-E72D297353CC}">
              <c16:uniqueId val="{00000002-A6B7-4AB0-B44A-152750D9B009}"/>
            </c:ext>
          </c:extLst>
        </c:ser>
        <c:ser>
          <c:idx val="3"/>
          <c:order val="3"/>
          <c:tx>
            <c:strRef>
              <c:f>'GRAF-3-Ciz-občan-ISCO'!$F$34</c:f>
              <c:strCache>
                <c:ptCount val="1"/>
                <c:pt idx="0">
                  <c:v>CZ-ISCO 7</c:v>
                </c:pt>
              </c:strCache>
            </c:strRef>
          </c:tx>
          <c:spPr>
            <a:solidFill>
              <a:srgbClr val="93FFC4"/>
            </a:solidFill>
            <a:ln w="6350" cap="rnd">
              <a:solidFill>
                <a:prstClr val="white">
                  <a:lumMod val="65000"/>
                </a:prstClr>
              </a:solidFill>
              <a:prstDash val="solid"/>
              <a:round/>
            </a:ln>
            <a:effectLst/>
          </c:spPr>
          <c:invertIfNegative val="0"/>
          <c:cat>
            <c:strRef>
              <c:f>'GRAF-3-Ciz-občan-ISCO'!$B$35:$B$61</c:f>
              <c:strCache>
                <c:ptCount val="27"/>
                <c:pt idx="0">
                  <c:v>Velká Británie</c:v>
                </c:pt>
                <c:pt idx="1">
                  <c:v>Francie</c:v>
                </c:pt>
                <c:pt idx="2">
                  <c:v>Němec.,Rakous.</c:v>
                </c:pt>
                <c:pt idx="3">
                  <c:v>ESP,PRT,GRC</c:v>
                </c:pt>
                <c:pt idx="4">
                  <c:v>Itálie</c:v>
                </c:pt>
                <c:pt idx="5">
                  <c:v>Ost.státy EU15</c:v>
                </c:pt>
                <c:pt idx="6">
                  <c:v>Slovensko</c:v>
                </c:pt>
                <c:pt idx="7">
                  <c:v>Pobaltské státy</c:v>
                </c:pt>
                <c:pt idx="8">
                  <c:v>Polsko</c:v>
                </c:pt>
                <c:pt idx="9">
                  <c:v>Maďarsko</c:v>
                </c:pt>
                <c:pt idx="10">
                  <c:v>Rumunsko</c:v>
                </c:pt>
                <c:pt idx="11">
                  <c:v>Bulharsko</c:v>
                </c:pt>
                <c:pt idx="12">
                  <c:v>Ost.státy EU</c:v>
                </c:pt>
                <c:pt idx="13">
                  <c:v>USA,Japonsko</c:v>
                </c:pt>
                <c:pt idx="14">
                  <c:v>Korea, Indie</c:v>
                </c:pt>
                <c:pt idx="15">
                  <c:v>Rusko</c:v>
                </c:pt>
                <c:pt idx="16">
                  <c:v>TUR, BIH, MKD</c:v>
                </c:pt>
                <c:pt idx="17">
                  <c:v>Bělorusko</c:v>
                </c:pt>
                <c:pt idx="18">
                  <c:v>Kazachstán</c:v>
                </c:pt>
                <c:pt idx="19">
                  <c:v>Ost.postsovět.st.</c:v>
                </c:pt>
                <c:pt idx="20">
                  <c:v>Srbsko</c:v>
                </c:pt>
                <c:pt idx="21">
                  <c:v>Čína</c:v>
                </c:pt>
                <c:pt idx="22">
                  <c:v>Nepál, Filipíny</c:v>
                </c:pt>
                <c:pt idx="23">
                  <c:v>Moldavsko</c:v>
                </c:pt>
                <c:pt idx="24">
                  <c:v>Ukrajina</c:v>
                </c:pt>
                <c:pt idx="25">
                  <c:v>Vietnam</c:v>
                </c:pt>
                <c:pt idx="26">
                  <c:v>Mongolsko</c:v>
                </c:pt>
              </c:strCache>
            </c:strRef>
          </c:cat>
          <c:val>
            <c:numRef>
              <c:f>'GRAF-3-Ciz-občan-ISCO'!$F$35:$F$61</c:f>
              <c:numCache>
                <c:formatCode>#,##0_ ;\-#,##0\ ;\-\ </c:formatCode>
                <c:ptCount val="27"/>
                <c:pt idx="0">
                  <c:v>0.90390104662226467</c:v>
                </c:pt>
                <c:pt idx="1">
                  <c:v>0.69574525020069811</c:v>
                </c:pt>
                <c:pt idx="2">
                  <c:v>4.9653215636822186</c:v>
                </c:pt>
                <c:pt idx="3">
                  <c:v>2.005559968228753</c:v>
                </c:pt>
                <c:pt idx="4">
                  <c:v>3.3978291647003305</c:v>
                </c:pt>
                <c:pt idx="5">
                  <c:v>1.6040220253770647</c:v>
                </c:pt>
                <c:pt idx="6">
                  <c:v>13.80423109405792</c:v>
                </c:pt>
                <c:pt idx="7">
                  <c:v>8.4784751889582655</c:v>
                </c:pt>
                <c:pt idx="8">
                  <c:v>16.123930862437632</c:v>
                </c:pt>
                <c:pt idx="9">
                  <c:v>9.8000110797185709</c:v>
                </c:pt>
                <c:pt idx="10">
                  <c:v>12.952674663824576</c:v>
                </c:pt>
                <c:pt idx="11">
                  <c:v>10.320470138667769</c:v>
                </c:pt>
                <c:pt idx="12">
                  <c:v>5.2395209580838324</c:v>
                </c:pt>
                <c:pt idx="13">
                  <c:v>0.51885160843998768</c:v>
                </c:pt>
                <c:pt idx="14">
                  <c:v>5.5026455026455015</c:v>
                </c:pt>
                <c:pt idx="15">
                  <c:v>2.3497979036788377</c:v>
                </c:pt>
                <c:pt idx="16">
                  <c:v>6.0567010309278384</c:v>
                </c:pt>
                <c:pt idx="17">
                  <c:v>8.9232303090727818</c:v>
                </c:pt>
                <c:pt idx="18">
                  <c:v>4.462659380692183</c:v>
                </c:pt>
                <c:pt idx="19">
                  <c:v>4.8598130841121598</c:v>
                </c:pt>
                <c:pt idx="20">
                  <c:v>10.46221111805122</c:v>
                </c:pt>
                <c:pt idx="21">
                  <c:v>0.39204704564547782</c:v>
                </c:pt>
                <c:pt idx="22">
                  <c:v>8.4975369458128078</c:v>
                </c:pt>
                <c:pt idx="23">
                  <c:v>14.025460930640936</c:v>
                </c:pt>
                <c:pt idx="24">
                  <c:v>11.927060106040335</c:v>
                </c:pt>
                <c:pt idx="25">
                  <c:v>8.5125019907628605</c:v>
                </c:pt>
                <c:pt idx="26">
                  <c:v>15.780141843971633</c:v>
                </c:pt>
              </c:numCache>
            </c:numRef>
          </c:val>
          <c:extLst>
            <c:ext xmlns:c16="http://schemas.microsoft.com/office/drawing/2014/chart" uri="{C3380CC4-5D6E-409C-BE32-E72D297353CC}">
              <c16:uniqueId val="{00000003-A6B7-4AB0-B44A-152750D9B009}"/>
            </c:ext>
          </c:extLst>
        </c:ser>
        <c:ser>
          <c:idx val="4"/>
          <c:order val="4"/>
          <c:tx>
            <c:strRef>
              <c:f>'GRAF-3-Ciz-občan-ISCO'!$G$34</c:f>
              <c:strCache>
                <c:ptCount val="1"/>
                <c:pt idx="0">
                  <c:v>CZ-ISCO 8</c:v>
                </c:pt>
              </c:strCache>
            </c:strRef>
          </c:tx>
          <c:spPr>
            <a:solidFill>
              <a:srgbClr val="87BF61"/>
            </a:solidFill>
            <a:ln w="6350" cap="rnd">
              <a:solidFill>
                <a:prstClr val="white">
                  <a:lumMod val="65000"/>
                </a:prstClr>
              </a:solidFill>
              <a:round/>
            </a:ln>
            <a:effectLst/>
          </c:spPr>
          <c:invertIfNegative val="0"/>
          <c:cat>
            <c:strRef>
              <c:f>'GRAF-3-Ciz-občan-ISCO'!$B$35:$B$61</c:f>
              <c:strCache>
                <c:ptCount val="27"/>
                <c:pt idx="0">
                  <c:v>Velká Británie</c:v>
                </c:pt>
                <c:pt idx="1">
                  <c:v>Francie</c:v>
                </c:pt>
                <c:pt idx="2">
                  <c:v>Němec.,Rakous.</c:v>
                </c:pt>
                <c:pt idx="3">
                  <c:v>ESP,PRT,GRC</c:v>
                </c:pt>
                <c:pt idx="4">
                  <c:v>Itálie</c:v>
                </c:pt>
                <c:pt idx="5">
                  <c:v>Ost.státy EU15</c:v>
                </c:pt>
                <c:pt idx="6">
                  <c:v>Slovensko</c:v>
                </c:pt>
                <c:pt idx="7">
                  <c:v>Pobaltské státy</c:v>
                </c:pt>
                <c:pt idx="8">
                  <c:v>Polsko</c:v>
                </c:pt>
                <c:pt idx="9">
                  <c:v>Maďarsko</c:v>
                </c:pt>
                <c:pt idx="10">
                  <c:v>Rumunsko</c:v>
                </c:pt>
                <c:pt idx="11">
                  <c:v>Bulharsko</c:v>
                </c:pt>
                <c:pt idx="12">
                  <c:v>Ost.státy EU</c:v>
                </c:pt>
                <c:pt idx="13">
                  <c:v>USA,Japonsko</c:v>
                </c:pt>
                <c:pt idx="14">
                  <c:v>Korea, Indie</c:v>
                </c:pt>
                <c:pt idx="15">
                  <c:v>Rusko</c:v>
                </c:pt>
                <c:pt idx="16">
                  <c:v>TUR, BIH, MKD</c:v>
                </c:pt>
                <c:pt idx="17">
                  <c:v>Bělorusko</c:v>
                </c:pt>
                <c:pt idx="18">
                  <c:v>Kazachstán</c:v>
                </c:pt>
                <c:pt idx="19">
                  <c:v>Ost.postsovět.st.</c:v>
                </c:pt>
                <c:pt idx="20">
                  <c:v>Srbsko</c:v>
                </c:pt>
                <c:pt idx="21">
                  <c:v>Čína</c:v>
                </c:pt>
                <c:pt idx="22">
                  <c:v>Nepál, Filipíny</c:v>
                </c:pt>
                <c:pt idx="23">
                  <c:v>Moldavsko</c:v>
                </c:pt>
                <c:pt idx="24">
                  <c:v>Ukrajina</c:v>
                </c:pt>
                <c:pt idx="25">
                  <c:v>Vietnam</c:v>
                </c:pt>
                <c:pt idx="26">
                  <c:v>Mongolsko</c:v>
                </c:pt>
              </c:strCache>
            </c:strRef>
          </c:cat>
          <c:val>
            <c:numRef>
              <c:f>'GRAF-3-Ciz-občan-ISCO'!$G$35:$G$61</c:f>
              <c:numCache>
                <c:formatCode>#,##0_ ;\-#,##0\ ;\-\ </c:formatCode>
                <c:ptCount val="27"/>
                <c:pt idx="0">
                  <c:v>0.80875356803044718</c:v>
                </c:pt>
                <c:pt idx="1">
                  <c:v>0.85630184640085794</c:v>
                </c:pt>
                <c:pt idx="2">
                  <c:v>4.8707440100882726</c:v>
                </c:pt>
                <c:pt idx="3">
                  <c:v>6.9102462271644169</c:v>
                </c:pt>
                <c:pt idx="4">
                  <c:v>2.406795658329401</c:v>
                </c:pt>
                <c:pt idx="5">
                  <c:v>2.1307158247546067</c:v>
                </c:pt>
                <c:pt idx="6">
                  <c:v>17.947742130561139</c:v>
                </c:pt>
                <c:pt idx="7">
                  <c:v>20.243181071311163</c:v>
                </c:pt>
                <c:pt idx="8">
                  <c:v>45.55416963649315</c:v>
                </c:pt>
                <c:pt idx="9">
                  <c:v>20.253725555370853</c:v>
                </c:pt>
                <c:pt idx="10">
                  <c:v>23.807796095149527</c:v>
                </c:pt>
                <c:pt idx="11">
                  <c:v>31.99779984367304</c:v>
                </c:pt>
                <c:pt idx="12">
                  <c:v>11.676646706586826</c:v>
                </c:pt>
                <c:pt idx="13">
                  <c:v>0.44967139398132139</c:v>
                </c:pt>
                <c:pt idx="14">
                  <c:v>2.7248677248677251</c:v>
                </c:pt>
                <c:pt idx="15">
                  <c:v>6.0560389121052269</c:v>
                </c:pt>
                <c:pt idx="16">
                  <c:v>16.469072164948454</c:v>
                </c:pt>
                <c:pt idx="17">
                  <c:v>25.697906281156531</c:v>
                </c:pt>
                <c:pt idx="18">
                  <c:v>9.9574984820886527</c:v>
                </c:pt>
                <c:pt idx="19">
                  <c:v>13.78504672897197</c:v>
                </c:pt>
                <c:pt idx="20">
                  <c:v>47.345409119300342</c:v>
                </c:pt>
                <c:pt idx="21">
                  <c:v>1.4841781013721647</c:v>
                </c:pt>
                <c:pt idx="22">
                  <c:v>25.205254515599329</c:v>
                </c:pt>
                <c:pt idx="23">
                  <c:v>26.075504828797186</c:v>
                </c:pt>
                <c:pt idx="24">
                  <c:v>24.766694745883086</c:v>
                </c:pt>
                <c:pt idx="25">
                  <c:v>18.896321070234116</c:v>
                </c:pt>
                <c:pt idx="26">
                  <c:v>63.546099290780148</c:v>
                </c:pt>
              </c:numCache>
            </c:numRef>
          </c:val>
          <c:extLst>
            <c:ext xmlns:c16="http://schemas.microsoft.com/office/drawing/2014/chart" uri="{C3380CC4-5D6E-409C-BE32-E72D297353CC}">
              <c16:uniqueId val="{00000004-A6B7-4AB0-B44A-152750D9B009}"/>
            </c:ext>
          </c:extLst>
        </c:ser>
        <c:ser>
          <c:idx val="5"/>
          <c:order val="5"/>
          <c:tx>
            <c:strRef>
              <c:f>'GRAF-3-Ciz-občan-ISCO'!$H$34</c:f>
              <c:strCache>
                <c:ptCount val="1"/>
                <c:pt idx="0">
                  <c:v>CZ-ISCO 9</c:v>
                </c:pt>
              </c:strCache>
            </c:strRef>
          </c:tx>
          <c:spPr>
            <a:solidFill>
              <a:srgbClr val="00B050"/>
            </a:solidFill>
            <a:ln w="6350" cap="rnd">
              <a:solidFill>
                <a:prstClr val="white">
                  <a:lumMod val="65000"/>
                </a:prstClr>
              </a:solidFill>
              <a:prstDash val="solid"/>
              <a:round/>
            </a:ln>
            <a:effectLst/>
          </c:spPr>
          <c:invertIfNegative val="0"/>
          <c:cat>
            <c:strRef>
              <c:f>'GRAF-3-Ciz-občan-ISCO'!$B$35:$B$61</c:f>
              <c:strCache>
                <c:ptCount val="27"/>
                <c:pt idx="0">
                  <c:v>Velká Británie</c:v>
                </c:pt>
                <c:pt idx="1">
                  <c:v>Francie</c:v>
                </c:pt>
                <c:pt idx="2">
                  <c:v>Němec.,Rakous.</c:v>
                </c:pt>
                <c:pt idx="3">
                  <c:v>ESP,PRT,GRC</c:v>
                </c:pt>
                <c:pt idx="4">
                  <c:v>Itálie</c:v>
                </c:pt>
                <c:pt idx="5">
                  <c:v>Ost.státy EU15</c:v>
                </c:pt>
                <c:pt idx="6">
                  <c:v>Slovensko</c:v>
                </c:pt>
                <c:pt idx="7">
                  <c:v>Pobaltské státy</c:v>
                </c:pt>
                <c:pt idx="8">
                  <c:v>Polsko</c:v>
                </c:pt>
                <c:pt idx="9">
                  <c:v>Maďarsko</c:v>
                </c:pt>
                <c:pt idx="10">
                  <c:v>Rumunsko</c:v>
                </c:pt>
                <c:pt idx="11">
                  <c:v>Bulharsko</c:v>
                </c:pt>
                <c:pt idx="12">
                  <c:v>Ost.státy EU</c:v>
                </c:pt>
                <c:pt idx="13">
                  <c:v>USA,Japonsko</c:v>
                </c:pt>
                <c:pt idx="14">
                  <c:v>Korea, Indie</c:v>
                </c:pt>
                <c:pt idx="15">
                  <c:v>Rusko</c:v>
                </c:pt>
                <c:pt idx="16">
                  <c:v>TUR, BIH, MKD</c:v>
                </c:pt>
                <c:pt idx="17">
                  <c:v>Bělorusko</c:v>
                </c:pt>
                <c:pt idx="18">
                  <c:v>Kazachstán</c:v>
                </c:pt>
                <c:pt idx="19">
                  <c:v>Ost.postsovět.st.</c:v>
                </c:pt>
                <c:pt idx="20">
                  <c:v>Srbsko</c:v>
                </c:pt>
                <c:pt idx="21">
                  <c:v>Čína</c:v>
                </c:pt>
                <c:pt idx="22">
                  <c:v>Nepál, Filipíny</c:v>
                </c:pt>
                <c:pt idx="23">
                  <c:v>Moldavsko</c:v>
                </c:pt>
                <c:pt idx="24">
                  <c:v>Ukrajina</c:v>
                </c:pt>
                <c:pt idx="25">
                  <c:v>Vietnam</c:v>
                </c:pt>
                <c:pt idx="26">
                  <c:v>Mongolsko</c:v>
                </c:pt>
              </c:strCache>
            </c:strRef>
          </c:cat>
          <c:val>
            <c:numRef>
              <c:f>'GRAF-3-Ciz-občan-ISCO'!$H$35:$H$61</c:f>
              <c:numCache>
                <c:formatCode>#,##0_ ;\-#,##0\ ;\-\ </c:formatCode>
                <c:ptCount val="27"/>
                <c:pt idx="0">
                  <c:v>1.2607040913415795</c:v>
                </c:pt>
                <c:pt idx="1">
                  <c:v>0.5084292213005086</c:v>
                </c:pt>
                <c:pt idx="2">
                  <c:v>3.3102143757881413</c:v>
                </c:pt>
                <c:pt idx="3">
                  <c:v>5.8578236695790276</c:v>
                </c:pt>
                <c:pt idx="4">
                  <c:v>3.8225578102878717</c:v>
                </c:pt>
                <c:pt idx="5">
                  <c:v>2.5137658606655493</c:v>
                </c:pt>
                <c:pt idx="6">
                  <c:v>21.418219353762364</c:v>
                </c:pt>
                <c:pt idx="7">
                  <c:v>43.739730529083161</c:v>
                </c:pt>
                <c:pt idx="8">
                  <c:v>21.070919458303628</c:v>
                </c:pt>
                <c:pt idx="9">
                  <c:v>58.800066478311294</c:v>
                </c:pt>
                <c:pt idx="10">
                  <c:v>54.250663280346345</c:v>
                </c:pt>
                <c:pt idx="11">
                  <c:v>46.721477578670054</c:v>
                </c:pt>
                <c:pt idx="12">
                  <c:v>11.776447105788424</c:v>
                </c:pt>
                <c:pt idx="13">
                  <c:v>0.89934278796264044</c:v>
                </c:pt>
                <c:pt idx="14">
                  <c:v>6.6402116402116409</c:v>
                </c:pt>
                <c:pt idx="15">
                  <c:v>13.262999246420502</c:v>
                </c:pt>
                <c:pt idx="16">
                  <c:v>15.231958762886554</c:v>
                </c:pt>
                <c:pt idx="17">
                  <c:v>19.765702891325887</c:v>
                </c:pt>
                <c:pt idx="18">
                  <c:v>21.797207043108681</c:v>
                </c:pt>
                <c:pt idx="19">
                  <c:v>31.962616822429805</c:v>
                </c:pt>
                <c:pt idx="20">
                  <c:v>7.2142410993129324</c:v>
                </c:pt>
                <c:pt idx="21">
                  <c:v>8.737048445813457</c:v>
                </c:pt>
                <c:pt idx="22">
                  <c:v>27.66830870279146</c:v>
                </c:pt>
                <c:pt idx="23">
                  <c:v>41.395961369622384</c:v>
                </c:pt>
                <c:pt idx="24">
                  <c:v>45.827758783013728</c:v>
                </c:pt>
                <c:pt idx="25">
                  <c:v>18.745023092849138</c:v>
                </c:pt>
                <c:pt idx="26">
                  <c:v>13.315602836879474</c:v>
                </c:pt>
              </c:numCache>
            </c:numRef>
          </c:val>
          <c:extLst>
            <c:ext xmlns:c16="http://schemas.microsoft.com/office/drawing/2014/chart" uri="{C3380CC4-5D6E-409C-BE32-E72D297353CC}">
              <c16:uniqueId val="{00000005-A6B7-4AB0-B44A-152750D9B009}"/>
            </c:ext>
          </c:extLst>
        </c:ser>
        <c:dLbls>
          <c:showLegendKey val="0"/>
          <c:showVal val="0"/>
          <c:showCatName val="0"/>
          <c:showSerName val="0"/>
          <c:showPercent val="0"/>
          <c:showBubbleSize val="0"/>
        </c:dLbls>
        <c:gapWidth val="66"/>
        <c:overlap val="100"/>
        <c:axId val="102109568"/>
        <c:axId val="102111104"/>
      </c:barChart>
      <c:catAx>
        <c:axId val="102109568"/>
        <c:scaling>
          <c:orientation val="minMax"/>
        </c:scaling>
        <c:delete val="0"/>
        <c:axPos val="b"/>
        <c:numFmt formatCode="General" sourceLinked="1"/>
        <c:majorTickMark val="none"/>
        <c:minorTickMark val="none"/>
        <c:tickLblPos val="low"/>
        <c:spPr>
          <a:noFill/>
          <a:ln w="6350" cap="flat" cmpd="sng" algn="ctr">
            <a:solidFill>
              <a:schemeClr val="tx1">
                <a:lumMod val="95000"/>
                <a:lumOff val="5000"/>
              </a:schemeClr>
            </a:solidFill>
            <a:round/>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cs-CZ"/>
          </a:p>
        </c:txPr>
        <c:crossAx val="102111104"/>
        <c:crossesAt val="100"/>
        <c:auto val="1"/>
        <c:lblAlgn val="ctr"/>
        <c:lblOffset val="10"/>
        <c:noMultiLvlLbl val="0"/>
      </c:catAx>
      <c:valAx>
        <c:axId val="102111104"/>
        <c:scaling>
          <c:orientation val="minMax"/>
          <c:max val="100"/>
          <c:min val="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cs-CZ"/>
          </a:p>
        </c:txPr>
        <c:crossAx val="102109568"/>
        <c:crosses val="autoZero"/>
        <c:crossBetween val="between"/>
        <c:majorUnit val="10"/>
      </c:valAx>
      <c:spPr>
        <a:noFill/>
        <a:ln w="6350">
          <a:solidFill>
            <a:schemeClr val="tx1">
              <a:lumMod val="95000"/>
              <a:lumOff val="5000"/>
            </a:schemeClr>
          </a:solidFill>
        </a:ln>
        <a:effectLst/>
      </c:spPr>
    </c:plotArea>
    <c:legend>
      <c:legendPos val="b"/>
      <c:layout>
        <c:manualLayout>
          <c:xMode val="edge"/>
          <c:yMode val="edge"/>
          <c:x val="6.1513488784477516E-2"/>
          <c:y val="0.95631493740883722"/>
          <c:w val="0.93402672492025263"/>
          <c:h val="4.0748100255487987E-2"/>
        </c:manualLayout>
      </c:layout>
      <c:overlay val="0"/>
      <c:spPr>
        <a:noFill/>
        <a:ln w="6350">
          <a:solidFill>
            <a:schemeClr val="tx1">
              <a:lumMod val="95000"/>
              <a:lumOff val="5000"/>
            </a:schemeClr>
          </a:solid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cs-CZ"/>
        </a:p>
      </c:txPr>
    </c:legend>
    <c:plotVisOnly val="1"/>
    <c:dispBlanksAs val="gap"/>
    <c:showDLblsOverMax val="0"/>
  </c:chart>
  <c:spPr>
    <a:solidFill>
      <a:schemeClr val="bg1"/>
    </a:solidFill>
    <a:ln w="9525" cap="flat" cmpd="sng" algn="ctr">
      <a:noFill/>
      <a:round/>
    </a:ln>
    <a:effectLst/>
  </c:spPr>
  <c:txPr>
    <a:bodyPr/>
    <a:lstStyle/>
    <a:p>
      <a:pPr>
        <a:defRPr/>
      </a:pPr>
      <a:endParaRPr lang="cs-CZ"/>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1755603720266684E-2"/>
          <c:y val="1.5999671172066066E-2"/>
          <c:w val="0.91607291098123966"/>
          <c:h val="0.7529858247119805"/>
        </c:manualLayout>
      </c:layout>
      <c:lineChart>
        <c:grouping val="standard"/>
        <c:varyColors val="0"/>
        <c:ser>
          <c:idx val="0"/>
          <c:order val="0"/>
          <c:tx>
            <c:strRef>
              <c:f>'Graf-9-kvalita míst-1'!$A$3</c:f>
              <c:strCache>
                <c:ptCount val="1"/>
                <c:pt idx="0">
                  <c:v>Práce na zkrácený úvazek (muži)</c:v>
                </c:pt>
              </c:strCache>
            </c:strRef>
          </c:tx>
          <c:spPr>
            <a:ln w="15875">
              <a:solidFill>
                <a:schemeClr val="tx1">
                  <a:lumMod val="95000"/>
                  <a:lumOff val="5000"/>
                </a:schemeClr>
              </a:solidFill>
            </a:ln>
            <a:effectLst/>
          </c:spPr>
          <c:marker>
            <c:symbol val="none"/>
          </c:marker>
          <c:cat>
            <c:strRef>
              <c:f>'Graf-9-kvalita míst-1'!$B$2:$T$2</c:f>
              <c:strCache>
                <c:ptCount val="19"/>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strCache>
            </c:strRef>
          </c:cat>
          <c:val>
            <c:numRef>
              <c:f>'Graf-9-kvalita míst-1'!$B$3:$T$3</c:f>
              <c:numCache>
                <c:formatCode>#\ ##0.0</c:formatCode>
                <c:ptCount val="19"/>
                <c:pt idx="0">
                  <c:v>2.2000000000000002</c:v>
                </c:pt>
                <c:pt idx="1">
                  <c:v>2.2000000000000002</c:v>
                </c:pt>
                <c:pt idx="2">
                  <c:v>2.1</c:v>
                </c:pt>
                <c:pt idx="3">
                  <c:v>2.2999999999999998</c:v>
                </c:pt>
                <c:pt idx="4">
                  <c:v>2.2999999999999998</c:v>
                </c:pt>
                <c:pt idx="5">
                  <c:v>2.1</c:v>
                </c:pt>
                <c:pt idx="6">
                  <c:v>2.2000000000000002</c:v>
                </c:pt>
                <c:pt idx="7">
                  <c:v>2.2999999999999998</c:v>
                </c:pt>
                <c:pt idx="8">
                  <c:v>2.2000000000000002</c:v>
                </c:pt>
                <c:pt idx="9">
                  <c:v>2.8</c:v>
                </c:pt>
                <c:pt idx="10">
                  <c:v>2.9</c:v>
                </c:pt>
                <c:pt idx="11">
                  <c:v>2.5</c:v>
                </c:pt>
                <c:pt idx="12">
                  <c:v>2.9</c:v>
                </c:pt>
                <c:pt idx="13">
                  <c:v>3.3</c:v>
                </c:pt>
                <c:pt idx="14">
                  <c:v>3.3</c:v>
                </c:pt>
                <c:pt idx="15">
                  <c:v>3.1</c:v>
                </c:pt>
                <c:pt idx="16">
                  <c:v>3.3</c:v>
                </c:pt>
                <c:pt idx="17">
                  <c:v>3.5</c:v>
                </c:pt>
                <c:pt idx="18">
                  <c:v>3.8</c:v>
                </c:pt>
              </c:numCache>
            </c:numRef>
          </c:val>
          <c:smooth val="0"/>
          <c:extLst>
            <c:ext xmlns:c16="http://schemas.microsoft.com/office/drawing/2014/chart" uri="{C3380CC4-5D6E-409C-BE32-E72D297353CC}">
              <c16:uniqueId val="{00000000-127F-40C8-AB3E-49F12626A4DD}"/>
            </c:ext>
          </c:extLst>
        </c:ser>
        <c:ser>
          <c:idx val="1"/>
          <c:order val="1"/>
          <c:tx>
            <c:strRef>
              <c:f>'Graf-9-kvalita míst-1'!$A$4</c:f>
              <c:strCache>
                <c:ptCount val="1"/>
                <c:pt idx="0">
                  <c:v>Práce na zkrácený úvazek (ženy)</c:v>
                </c:pt>
              </c:strCache>
            </c:strRef>
          </c:tx>
          <c:spPr>
            <a:ln w="15875">
              <a:solidFill>
                <a:schemeClr val="tx1">
                  <a:lumMod val="95000"/>
                  <a:lumOff val="5000"/>
                </a:schemeClr>
              </a:solidFill>
              <a:prstDash val="sysDash"/>
            </a:ln>
            <a:effectLst/>
          </c:spPr>
          <c:marker>
            <c:symbol val="none"/>
          </c:marker>
          <c:cat>
            <c:strRef>
              <c:f>'Graf-9-kvalita míst-1'!$B$2:$T$2</c:f>
              <c:strCache>
                <c:ptCount val="19"/>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strCache>
            </c:strRef>
          </c:cat>
          <c:val>
            <c:numRef>
              <c:f>'Graf-9-kvalita míst-1'!$B$4:$T$4</c:f>
              <c:numCache>
                <c:formatCode>#\ ##0.0</c:formatCode>
                <c:ptCount val="19"/>
                <c:pt idx="0">
                  <c:v>9.5</c:v>
                </c:pt>
                <c:pt idx="1">
                  <c:v>8.6</c:v>
                </c:pt>
                <c:pt idx="2">
                  <c:v>8.3000000000000007</c:v>
                </c:pt>
                <c:pt idx="3">
                  <c:v>8.5</c:v>
                </c:pt>
                <c:pt idx="4">
                  <c:v>8.5</c:v>
                </c:pt>
                <c:pt idx="5">
                  <c:v>8.6</c:v>
                </c:pt>
                <c:pt idx="6">
                  <c:v>8.6999999999999993</c:v>
                </c:pt>
                <c:pt idx="7">
                  <c:v>8.5</c:v>
                </c:pt>
                <c:pt idx="8">
                  <c:v>8.5</c:v>
                </c:pt>
                <c:pt idx="9">
                  <c:v>9.1999999999999993</c:v>
                </c:pt>
                <c:pt idx="10">
                  <c:v>9.9</c:v>
                </c:pt>
                <c:pt idx="11">
                  <c:v>9.4</c:v>
                </c:pt>
                <c:pt idx="12">
                  <c:v>9.5</c:v>
                </c:pt>
                <c:pt idx="13">
                  <c:v>11</c:v>
                </c:pt>
                <c:pt idx="14">
                  <c:v>10.4</c:v>
                </c:pt>
                <c:pt idx="15">
                  <c:v>10.4</c:v>
                </c:pt>
                <c:pt idx="16">
                  <c:v>11.1</c:v>
                </c:pt>
                <c:pt idx="17">
                  <c:v>12.2</c:v>
                </c:pt>
                <c:pt idx="18">
                  <c:v>12.3</c:v>
                </c:pt>
              </c:numCache>
            </c:numRef>
          </c:val>
          <c:smooth val="0"/>
          <c:extLst>
            <c:ext xmlns:c16="http://schemas.microsoft.com/office/drawing/2014/chart" uri="{C3380CC4-5D6E-409C-BE32-E72D297353CC}">
              <c16:uniqueId val="{00000001-127F-40C8-AB3E-49F12626A4DD}"/>
            </c:ext>
          </c:extLst>
        </c:ser>
        <c:ser>
          <c:idx val="6"/>
          <c:order val="2"/>
          <c:tx>
            <c:strRef>
              <c:f>'Graf-9-kvalita míst-1'!$A$5</c:f>
              <c:strCache>
                <c:ptCount val="1"/>
                <c:pt idx="0">
                  <c:v>Pracující mající dvě zaměstnání (muži)</c:v>
                </c:pt>
              </c:strCache>
            </c:strRef>
          </c:tx>
          <c:spPr>
            <a:ln w="15875">
              <a:solidFill>
                <a:srgbClr val="0070C0"/>
              </a:solidFill>
              <a:prstDash val="solid"/>
            </a:ln>
          </c:spPr>
          <c:marker>
            <c:symbol val="none"/>
          </c:marker>
          <c:cat>
            <c:strRef>
              <c:f>'Graf-9-kvalita míst-1'!$B$2:$T$2</c:f>
              <c:strCache>
                <c:ptCount val="19"/>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strCache>
            </c:strRef>
          </c:cat>
          <c:val>
            <c:numRef>
              <c:f>'Graf-9-kvalita míst-1'!$B$5:$T$5</c:f>
              <c:numCache>
                <c:formatCode>#\ ##0.0</c:formatCode>
                <c:ptCount val="19"/>
                <c:pt idx="0">
                  <c:v>2.9664086628283832</c:v>
                </c:pt>
                <c:pt idx="1">
                  <c:v>2.8669331810394061</c:v>
                </c:pt>
                <c:pt idx="2">
                  <c:v>2.7885156689810469</c:v>
                </c:pt>
                <c:pt idx="3">
                  <c:v>2.7780923262748649</c:v>
                </c:pt>
                <c:pt idx="4">
                  <c:v>2.9552352048558426</c:v>
                </c:pt>
                <c:pt idx="5">
                  <c:v>2.520790981334319</c:v>
                </c:pt>
                <c:pt idx="6">
                  <c:v>2.1773222947591089</c:v>
                </c:pt>
                <c:pt idx="7">
                  <c:v>1.8602330636826914</c:v>
                </c:pt>
                <c:pt idx="8">
                  <c:v>1.9523609946912546</c:v>
                </c:pt>
                <c:pt idx="9">
                  <c:v>2.0080036831108123</c:v>
                </c:pt>
                <c:pt idx="10">
                  <c:v>2.3442804559911372</c:v>
                </c:pt>
                <c:pt idx="11">
                  <c:v>2.1746174617461747</c:v>
                </c:pt>
                <c:pt idx="12">
                  <c:v>2.2566132805470578</c:v>
                </c:pt>
                <c:pt idx="13">
                  <c:v>2.301360057265569</c:v>
                </c:pt>
                <c:pt idx="14">
                  <c:v>2.0589279375221867</c:v>
                </c:pt>
                <c:pt idx="15">
                  <c:v>2.2027984351319914</c:v>
                </c:pt>
                <c:pt idx="16">
                  <c:v>2.429867556575243</c:v>
                </c:pt>
                <c:pt idx="17">
                  <c:v>2.5721928801701077</c:v>
                </c:pt>
                <c:pt idx="18">
                  <c:v>2.5453928389614795</c:v>
                </c:pt>
              </c:numCache>
            </c:numRef>
          </c:val>
          <c:smooth val="0"/>
          <c:extLst>
            <c:ext xmlns:c16="http://schemas.microsoft.com/office/drawing/2014/chart" uri="{C3380CC4-5D6E-409C-BE32-E72D297353CC}">
              <c16:uniqueId val="{00000002-127F-40C8-AB3E-49F12626A4DD}"/>
            </c:ext>
          </c:extLst>
        </c:ser>
        <c:ser>
          <c:idx val="5"/>
          <c:order val="3"/>
          <c:tx>
            <c:strRef>
              <c:f>'Graf-9-kvalita míst-1'!$A$6</c:f>
              <c:strCache>
                <c:ptCount val="1"/>
                <c:pt idx="0">
                  <c:v>Pracující mající dvě zaměstnání (ženy)</c:v>
                </c:pt>
              </c:strCache>
            </c:strRef>
          </c:tx>
          <c:spPr>
            <a:ln w="15875" cap="rnd">
              <a:solidFill>
                <a:srgbClr val="0070C0"/>
              </a:solidFill>
              <a:prstDash val="sysDash"/>
              <a:round/>
            </a:ln>
            <a:effectLst/>
          </c:spPr>
          <c:marker>
            <c:symbol val="none"/>
          </c:marker>
          <c:cat>
            <c:strRef>
              <c:f>'Graf-9-kvalita míst-1'!$B$2:$T$2</c:f>
              <c:strCache>
                <c:ptCount val="19"/>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strCache>
            </c:strRef>
          </c:cat>
          <c:val>
            <c:numRef>
              <c:f>'Graf-9-kvalita míst-1'!$B$6:$T$6</c:f>
              <c:numCache>
                <c:formatCode>#\ ##0.0</c:formatCode>
                <c:ptCount val="19"/>
                <c:pt idx="0">
                  <c:v>2.3582147729487426</c:v>
                </c:pt>
                <c:pt idx="1">
                  <c:v>2.3417721518987342</c:v>
                </c:pt>
                <c:pt idx="2">
                  <c:v>1.8856065367693273</c:v>
                </c:pt>
                <c:pt idx="3">
                  <c:v>2.3465264592765691</c:v>
                </c:pt>
                <c:pt idx="4">
                  <c:v>1.9694082001661535</c:v>
                </c:pt>
                <c:pt idx="5">
                  <c:v>2.2686422152052463</c:v>
                </c:pt>
                <c:pt idx="6">
                  <c:v>2.1044053496956043</c:v>
                </c:pt>
                <c:pt idx="7">
                  <c:v>1.3374923200529327</c:v>
                </c:pt>
                <c:pt idx="8">
                  <c:v>1.5098396671808532</c:v>
                </c:pt>
                <c:pt idx="9">
                  <c:v>1.6631130063965887</c:v>
                </c:pt>
                <c:pt idx="10">
                  <c:v>1.9502611529062246</c:v>
                </c:pt>
                <c:pt idx="11">
                  <c:v>2.0570828560519283</c:v>
                </c:pt>
                <c:pt idx="12">
                  <c:v>2.0175230878522377</c:v>
                </c:pt>
                <c:pt idx="13">
                  <c:v>2.1558562762482505</c:v>
                </c:pt>
                <c:pt idx="14">
                  <c:v>2.3640661938534278</c:v>
                </c:pt>
                <c:pt idx="15">
                  <c:v>2.3995282590946205</c:v>
                </c:pt>
                <c:pt idx="16">
                  <c:v>2.2016888456607275</c:v>
                </c:pt>
                <c:pt idx="17">
                  <c:v>2.6845346517477662</c:v>
                </c:pt>
                <c:pt idx="18">
                  <c:v>2.6328121671707918</c:v>
                </c:pt>
              </c:numCache>
            </c:numRef>
          </c:val>
          <c:smooth val="0"/>
          <c:extLst>
            <c:ext xmlns:c16="http://schemas.microsoft.com/office/drawing/2014/chart" uri="{C3380CC4-5D6E-409C-BE32-E72D297353CC}">
              <c16:uniqueId val="{00000003-127F-40C8-AB3E-49F12626A4DD}"/>
            </c:ext>
          </c:extLst>
        </c:ser>
        <c:ser>
          <c:idx val="2"/>
          <c:order val="4"/>
          <c:tx>
            <c:strRef>
              <c:f>'Graf-9-kvalita míst-1'!$A$7</c:f>
              <c:strCache>
                <c:ptCount val="1"/>
                <c:pt idx="0">
                  <c:v>Pracující z domova (muži)</c:v>
                </c:pt>
              </c:strCache>
            </c:strRef>
          </c:tx>
          <c:spPr>
            <a:ln w="15875" cap="rnd">
              <a:solidFill>
                <a:srgbClr val="BD1B21"/>
              </a:solidFill>
              <a:round/>
            </a:ln>
            <a:effectLst/>
          </c:spPr>
          <c:marker>
            <c:symbol val="none"/>
          </c:marker>
          <c:cat>
            <c:strRef>
              <c:f>'Graf-9-kvalita míst-1'!$B$2:$T$2</c:f>
              <c:strCache>
                <c:ptCount val="19"/>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strCache>
            </c:strRef>
          </c:cat>
          <c:val>
            <c:numRef>
              <c:f>'Graf-9-kvalita míst-1'!$B$7:$T$7</c:f>
              <c:numCache>
                <c:formatCode>#\ ##0.0</c:formatCode>
                <c:ptCount val="19"/>
                <c:pt idx="0">
                  <c:v>11</c:v>
                </c:pt>
                <c:pt idx="1">
                  <c:v>11.1</c:v>
                </c:pt>
                <c:pt idx="2">
                  <c:v>11.1</c:v>
                </c:pt>
                <c:pt idx="3">
                  <c:v>11.5</c:v>
                </c:pt>
                <c:pt idx="4">
                  <c:v>10.8</c:v>
                </c:pt>
                <c:pt idx="5">
                  <c:v>10.5</c:v>
                </c:pt>
                <c:pt idx="6">
                  <c:v>9.1</c:v>
                </c:pt>
                <c:pt idx="7">
                  <c:v>6.8000000000000007</c:v>
                </c:pt>
                <c:pt idx="8">
                  <c:v>6.5</c:v>
                </c:pt>
                <c:pt idx="9">
                  <c:v>7</c:v>
                </c:pt>
                <c:pt idx="10">
                  <c:v>7.5</c:v>
                </c:pt>
                <c:pt idx="11">
                  <c:v>8.1999999999999993</c:v>
                </c:pt>
                <c:pt idx="12">
                  <c:v>8.1999999999999993</c:v>
                </c:pt>
                <c:pt idx="13">
                  <c:v>8.6999999999999993</c:v>
                </c:pt>
                <c:pt idx="14">
                  <c:v>8</c:v>
                </c:pt>
                <c:pt idx="15">
                  <c:v>7.5</c:v>
                </c:pt>
                <c:pt idx="16">
                  <c:v>9.3000000000000007</c:v>
                </c:pt>
                <c:pt idx="17">
                  <c:v>9.6</c:v>
                </c:pt>
                <c:pt idx="18">
                  <c:v>10.199999999999999</c:v>
                </c:pt>
              </c:numCache>
            </c:numRef>
          </c:val>
          <c:smooth val="0"/>
          <c:extLst>
            <c:ext xmlns:c16="http://schemas.microsoft.com/office/drawing/2014/chart" uri="{C3380CC4-5D6E-409C-BE32-E72D297353CC}">
              <c16:uniqueId val="{00000004-127F-40C8-AB3E-49F12626A4DD}"/>
            </c:ext>
          </c:extLst>
        </c:ser>
        <c:ser>
          <c:idx val="3"/>
          <c:order val="5"/>
          <c:tx>
            <c:strRef>
              <c:f>'Graf-9-kvalita míst-1'!$A$8</c:f>
              <c:strCache>
                <c:ptCount val="1"/>
                <c:pt idx="0">
                  <c:v>Pracující z domova  (ženy)</c:v>
                </c:pt>
              </c:strCache>
            </c:strRef>
          </c:tx>
          <c:spPr>
            <a:ln w="15875" cap="rnd">
              <a:solidFill>
                <a:srgbClr val="BD1B21"/>
              </a:solidFill>
              <a:prstDash val="sysDash"/>
              <a:round/>
            </a:ln>
            <a:effectLst/>
          </c:spPr>
          <c:marker>
            <c:symbol val="none"/>
          </c:marker>
          <c:cat>
            <c:strRef>
              <c:f>'Graf-9-kvalita míst-1'!$B$2:$T$2</c:f>
              <c:strCache>
                <c:ptCount val="19"/>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strCache>
            </c:strRef>
          </c:cat>
          <c:val>
            <c:numRef>
              <c:f>'Graf-9-kvalita míst-1'!$B$8:$T$8</c:f>
              <c:numCache>
                <c:formatCode>#\ ##0.0</c:formatCode>
                <c:ptCount val="19"/>
                <c:pt idx="0">
                  <c:v>10.3</c:v>
                </c:pt>
                <c:pt idx="1">
                  <c:v>10</c:v>
                </c:pt>
                <c:pt idx="2">
                  <c:v>10.3</c:v>
                </c:pt>
                <c:pt idx="3">
                  <c:v>11</c:v>
                </c:pt>
                <c:pt idx="4">
                  <c:v>10.1</c:v>
                </c:pt>
                <c:pt idx="5">
                  <c:v>10</c:v>
                </c:pt>
                <c:pt idx="6">
                  <c:v>9</c:v>
                </c:pt>
                <c:pt idx="7">
                  <c:v>7</c:v>
                </c:pt>
                <c:pt idx="8">
                  <c:v>6.9</c:v>
                </c:pt>
                <c:pt idx="9">
                  <c:v>6.9</c:v>
                </c:pt>
                <c:pt idx="10">
                  <c:v>7.4</c:v>
                </c:pt>
                <c:pt idx="11">
                  <c:v>7.7</c:v>
                </c:pt>
                <c:pt idx="12">
                  <c:v>8.3000000000000007</c:v>
                </c:pt>
                <c:pt idx="13">
                  <c:v>7.9</c:v>
                </c:pt>
                <c:pt idx="14">
                  <c:v>8.3000000000000007</c:v>
                </c:pt>
                <c:pt idx="15">
                  <c:v>8.5</c:v>
                </c:pt>
                <c:pt idx="16">
                  <c:v>8.8000000000000007</c:v>
                </c:pt>
                <c:pt idx="17">
                  <c:v>9.5</c:v>
                </c:pt>
                <c:pt idx="18">
                  <c:v>9.1000000000000014</c:v>
                </c:pt>
              </c:numCache>
            </c:numRef>
          </c:val>
          <c:smooth val="0"/>
          <c:extLst>
            <c:ext xmlns:c16="http://schemas.microsoft.com/office/drawing/2014/chart" uri="{C3380CC4-5D6E-409C-BE32-E72D297353CC}">
              <c16:uniqueId val="{00000005-127F-40C8-AB3E-49F12626A4DD}"/>
            </c:ext>
          </c:extLst>
        </c:ser>
        <c:dLbls>
          <c:showLegendKey val="0"/>
          <c:showVal val="0"/>
          <c:showCatName val="0"/>
          <c:showSerName val="0"/>
          <c:showPercent val="0"/>
          <c:showBubbleSize val="0"/>
        </c:dLbls>
        <c:marker val="1"/>
        <c:smooth val="0"/>
        <c:axId val="143485184"/>
        <c:axId val="143495168"/>
      </c:lineChart>
      <c:lineChart>
        <c:grouping val="standard"/>
        <c:varyColors val="0"/>
        <c:ser>
          <c:idx val="4"/>
          <c:order val="6"/>
          <c:tx>
            <c:strRef>
              <c:f>'Graf-9-kvalita míst-1'!$A$9</c:f>
              <c:strCache>
                <c:ptCount val="1"/>
                <c:pt idx="0">
                  <c:v>Prac. z domova (sebezam. muži, pr. osa)</c:v>
                </c:pt>
              </c:strCache>
            </c:strRef>
          </c:tx>
          <c:spPr>
            <a:ln w="15875" cap="rnd">
              <a:noFill/>
              <a:round/>
            </a:ln>
            <a:effectLst/>
          </c:spPr>
          <c:marker>
            <c:symbol val="triangle"/>
            <c:size val="5"/>
            <c:spPr>
              <a:solidFill>
                <a:srgbClr val="BD1B21"/>
              </a:solidFill>
              <a:ln>
                <a:noFill/>
              </a:ln>
            </c:spPr>
          </c:marker>
          <c:cat>
            <c:strRef>
              <c:f>'Graf-9-kvalita míst-1'!$B$2:$T$2</c:f>
              <c:strCache>
                <c:ptCount val="19"/>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strCache>
            </c:strRef>
          </c:cat>
          <c:val>
            <c:numRef>
              <c:f>'Graf-9-kvalita míst-1'!$B$9:$T$9</c:f>
              <c:numCache>
                <c:formatCode>#\ ##0.0</c:formatCode>
                <c:ptCount val="19"/>
                <c:pt idx="0">
                  <c:v>35.799999999999997</c:v>
                </c:pt>
                <c:pt idx="1">
                  <c:v>36.1</c:v>
                </c:pt>
                <c:pt idx="2">
                  <c:v>37.700000000000003</c:v>
                </c:pt>
                <c:pt idx="3">
                  <c:v>38.299999999999997</c:v>
                </c:pt>
                <c:pt idx="4">
                  <c:v>34.700000000000003</c:v>
                </c:pt>
                <c:pt idx="5">
                  <c:v>36.9</c:v>
                </c:pt>
                <c:pt idx="6">
                  <c:v>31.4</c:v>
                </c:pt>
                <c:pt idx="7">
                  <c:v>24.200000000000003</c:v>
                </c:pt>
                <c:pt idx="8">
                  <c:v>24.700000000000003</c:v>
                </c:pt>
                <c:pt idx="9">
                  <c:v>25.4</c:v>
                </c:pt>
                <c:pt idx="10">
                  <c:v>26.1</c:v>
                </c:pt>
                <c:pt idx="11">
                  <c:v>27.3</c:v>
                </c:pt>
                <c:pt idx="12">
                  <c:v>28.4</c:v>
                </c:pt>
                <c:pt idx="13">
                  <c:v>29.3</c:v>
                </c:pt>
                <c:pt idx="14">
                  <c:v>26.5</c:v>
                </c:pt>
                <c:pt idx="15">
                  <c:v>27.6</c:v>
                </c:pt>
                <c:pt idx="16">
                  <c:v>30.1</c:v>
                </c:pt>
                <c:pt idx="17">
                  <c:v>32</c:v>
                </c:pt>
                <c:pt idx="18">
                  <c:v>32.200000000000003</c:v>
                </c:pt>
              </c:numCache>
            </c:numRef>
          </c:val>
          <c:smooth val="0"/>
          <c:extLst>
            <c:ext xmlns:c16="http://schemas.microsoft.com/office/drawing/2014/chart" uri="{C3380CC4-5D6E-409C-BE32-E72D297353CC}">
              <c16:uniqueId val="{00000006-127F-40C8-AB3E-49F12626A4DD}"/>
            </c:ext>
          </c:extLst>
        </c:ser>
        <c:ser>
          <c:idx val="7"/>
          <c:order val="7"/>
          <c:tx>
            <c:strRef>
              <c:f>'Graf-9-kvalita míst-1'!$A$10</c:f>
              <c:strCache>
                <c:ptCount val="1"/>
                <c:pt idx="0">
                  <c:v>Prac. z domova (sebezam. ženy, pr. osa)</c:v>
                </c:pt>
              </c:strCache>
            </c:strRef>
          </c:tx>
          <c:spPr>
            <a:ln w="19050">
              <a:noFill/>
            </a:ln>
          </c:spPr>
          <c:marker>
            <c:symbol val="diamond"/>
            <c:size val="5"/>
          </c:marker>
          <c:cat>
            <c:strRef>
              <c:f>'Graf-9-kvalita míst-1'!$B$2:$T$2</c:f>
              <c:strCache>
                <c:ptCount val="19"/>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strCache>
            </c:strRef>
          </c:cat>
          <c:val>
            <c:numRef>
              <c:f>'Graf-9-kvalita míst-1'!$B$10:$T$10</c:f>
              <c:numCache>
                <c:formatCode>#\ ##0.0</c:formatCode>
                <c:ptCount val="19"/>
                <c:pt idx="0">
                  <c:v>53.400000000000006</c:v>
                </c:pt>
                <c:pt idx="1">
                  <c:v>51</c:v>
                </c:pt>
                <c:pt idx="2">
                  <c:v>55.3</c:v>
                </c:pt>
                <c:pt idx="3">
                  <c:v>55.9</c:v>
                </c:pt>
                <c:pt idx="4">
                  <c:v>53.3</c:v>
                </c:pt>
                <c:pt idx="5">
                  <c:v>53.3</c:v>
                </c:pt>
                <c:pt idx="6">
                  <c:v>49</c:v>
                </c:pt>
                <c:pt idx="7">
                  <c:v>39.400000000000006</c:v>
                </c:pt>
                <c:pt idx="8">
                  <c:v>40.400000000000006</c:v>
                </c:pt>
                <c:pt idx="9">
                  <c:v>41.7</c:v>
                </c:pt>
                <c:pt idx="10">
                  <c:v>42.7</c:v>
                </c:pt>
                <c:pt idx="11">
                  <c:v>43.7</c:v>
                </c:pt>
                <c:pt idx="12">
                  <c:v>43.3</c:v>
                </c:pt>
                <c:pt idx="13">
                  <c:v>44.8</c:v>
                </c:pt>
                <c:pt idx="14">
                  <c:v>47.400000000000006</c:v>
                </c:pt>
                <c:pt idx="15">
                  <c:v>48.300000000000004</c:v>
                </c:pt>
                <c:pt idx="16">
                  <c:v>44.3</c:v>
                </c:pt>
                <c:pt idx="17">
                  <c:v>50.900000000000006</c:v>
                </c:pt>
                <c:pt idx="18">
                  <c:v>48.9</c:v>
                </c:pt>
              </c:numCache>
            </c:numRef>
          </c:val>
          <c:smooth val="0"/>
          <c:extLst>
            <c:ext xmlns:c16="http://schemas.microsoft.com/office/drawing/2014/chart" uri="{C3380CC4-5D6E-409C-BE32-E72D297353CC}">
              <c16:uniqueId val="{00000007-127F-40C8-AB3E-49F12626A4DD}"/>
            </c:ext>
          </c:extLst>
        </c:ser>
        <c:dLbls>
          <c:showLegendKey val="0"/>
          <c:showVal val="0"/>
          <c:showCatName val="0"/>
          <c:showSerName val="0"/>
          <c:showPercent val="0"/>
          <c:showBubbleSize val="0"/>
        </c:dLbls>
        <c:marker val="1"/>
        <c:smooth val="0"/>
        <c:axId val="143498240"/>
        <c:axId val="143496704"/>
      </c:lineChart>
      <c:catAx>
        <c:axId val="143485184"/>
        <c:scaling>
          <c:orientation val="minMax"/>
        </c:scaling>
        <c:delete val="0"/>
        <c:axPos val="b"/>
        <c:numFmt formatCode="General" sourceLinked="1"/>
        <c:majorTickMark val="none"/>
        <c:minorTickMark val="none"/>
        <c:tickLblPos val="low"/>
        <c:spPr>
          <a:noFill/>
          <a:ln w="6350" cap="flat" cmpd="sng" algn="ctr">
            <a:solidFill>
              <a:schemeClr val="tx1">
                <a:lumMod val="95000"/>
                <a:lumOff val="5000"/>
              </a:schemeClr>
            </a:solidFill>
            <a:round/>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cs-CZ"/>
          </a:p>
        </c:txPr>
        <c:crossAx val="143495168"/>
        <c:crossesAt val="100"/>
        <c:auto val="1"/>
        <c:lblAlgn val="ctr"/>
        <c:lblOffset val="10"/>
        <c:noMultiLvlLbl val="0"/>
      </c:catAx>
      <c:valAx>
        <c:axId val="143495168"/>
        <c:scaling>
          <c:orientation val="minMax"/>
          <c:max val="20"/>
          <c:min val="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cs-CZ"/>
          </a:p>
        </c:txPr>
        <c:crossAx val="143485184"/>
        <c:crosses val="autoZero"/>
        <c:crossBetween val="between"/>
        <c:majorUnit val="2"/>
      </c:valAx>
      <c:valAx>
        <c:axId val="143496704"/>
        <c:scaling>
          <c:orientation val="minMax"/>
          <c:max val="60"/>
          <c:min val="0"/>
        </c:scaling>
        <c:delete val="0"/>
        <c:axPos val="r"/>
        <c:numFmt formatCode="#,##0" sourceLinked="0"/>
        <c:majorTickMark val="out"/>
        <c:minorTickMark val="none"/>
        <c:tickLblPos val="nextTo"/>
        <c:txPr>
          <a:bodyPr/>
          <a:lstStyle/>
          <a:p>
            <a:pPr>
              <a:defRPr sz="800">
                <a:latin typeface="Arial" panose="020B0604020202020204" pitchFamily="34" charset="0"/>
                <a:cs typeface="Arial" panose="020B0604020202020204" pitchFamily="34" charset="0"/>
              </a:defRPr>
            </a:pPr>
            <a:endParaRPr lang="cs-CZ"/>
          </a:p>
        </c:txPr>
        <c:crossAx val="143498240"/>
        <c:crosses val="max"/>
        <c:crossBetween val="between"/>
        <c:majorUnit val="6"/>
      </c:valAx>
      <c:catAx>
        <c:axId val="143498240"/>
        <c:scaling>
          <c:orientation val="minMax"/>
        </c:scaling>
        <c:delete val="1"/>
        <c:axPos val="b"/>
        <c:numFmt formatCode="General" sourceLinked="1"/>
        <c:majorTickMark val="out"/>
        <c:minorTickMark val="none"/>
        <c:tickLblPos val="none"/>
        <c:crossAx val="143496704"/>
        <c:crosses val="autoZero"/>
        <c:auto val="1"/>
        <c:lblAlgn val="ctr"/>
        <c:lblOffset val="100"/>
        <c:noMultiLvlLbl val="0"/>
      </c:catAx>
      <c:spPr>
        <a:noFill/>
        <a:ln w="6350">
          <a:solidFill>
            <a:schemeClr val="tx1">
              <a:lumMod val="95000"/>
              <a:lumOff val="5000"/>
            </a:schemeClr>
          </a:solidFill>
        </a:ln>
        <a:effectLst/>
      </c:spPr>
    </c:plotArea>
    <c:legend>
      <c:legendPos val="b"/>
      <c:layout>
        <c:manualLayout>
          <c:xMode val="edge"/>
          <c:yMode val="edge"/>
          <c:x val="6.3773672672740476E-3"/>
          <c:y val="0.84682531891978641"/>
          <c:w val="0.98455646120120255"/>
          <c:h val="0.1423462707780026"/>
        </c:manualLayout>
      </c:layout>
      <c:overlay val="0"/>
      <c:spPr>
        <a:noFill/>
        <a:ln w="6350">
          <a:solidFill>
            <a:schemeClr val="tx1">
              <a:lumMod val="95000"/>
              <a:lumOff val="5000"/>
            </a:schemeClr>
          </a:solid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cs-CZ"/>
        </a:p>
      </c:txPr>
    </c:legend>
    <c:plotVisOnly val="1"/>
    <c:dispBlanksAs val="gap"/>
    <c:showDLblsOverMax val="0"/>
  </c:chart>
  <c:spPr>
    <a:solidFill>
      <a:schemeClr val="bg1"/>
    </a:solidFill>
    <a:ln w="9525" cap="flat" cmpd="sng" algn="ctr">
      <a:noFill/>
      <a:round/>
    </a:ln>
    <a:effectLst/>
  </c:spPr>
  <c:txPr>
    <a:bodyPr/>
    <a:lstStyle/>
    <a:p>
      <a:pPr>
        <a:defRPr/>
      </a:pPr>
      <a:endParaRPr lang="cs-CZ"/>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1755603720266684E-2"/>
          <c:y val="1.5999671172066066E-2"/>
          <c:w val="0.91607291098123966"/>
          <c:h val="0.67940895225934594"/>
        </c:manualLayout>
      </c:layout>
      <c:lineChart>
        <c:grouping val="standard"/>
        <c:varyColors val="0"/>
        <c:ser>
          <c:idx val="0"/>
          <c:order val="0"/>
          <c:tx>
            <c:strRef>
              <c:f>'Graf-10-kvalita míst-2'!$A$4</c:f>
              <c:strCache>
                <c:ptCount val="1"/>
                <c:pt idx="0">
                  <c:v>Práce v sobotu nebo neděli (% zaměstnaných)*</c:v>
                </c:pt>
              </c:strCache>
            </c:strRef>
          </c:tx>
          <c:spPr>
            <a:ln w="15875">
              <a:solidFill>
                <a:srgbClr val="F8A124"/>
              </a:solidFill>
            </a:ln>
            <a:effectLst/>
          </c:spPr>
          <c:marker>
            <c:symbol val="none"/>
          </c:marker>
          <c:cat>
            <c:strRef>
              <c:f>'Graf-10-kvalita míst-2'!$B$3:$T$3</c:f>
              <c:strCache>
                <c:ptCount val="19"/>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strCache>
            </c:strRef>
          </c:cat>
          <c:val>
            <c:numRef>
              <c:f>'Graf-10-kvalita míst-2'!$B$4:$T$4</c:f>
              <c:numCache>
                <c:formatCode>General</c:formatCode>
                <c:ptCount val="19"/>
                <c:pt idx="2" formatCode="#\ ##0.0">
                  <c:v>7</c:v>
                </c:pt>
                <c:pt idx="3" formatCode="#\ ##0.0">
                  <c:v>9.4</c:v>
                </c:pt>
                <c:pt idx="4" formatCode="#\ ##0.0">
                  <c:v>11</c:v>
                </c:pt>
                <c:pt idx="5" formatCode="#\ ##0.0">
                  <c:v>11.1</c:v>
                </c:pt>
                <c:pt idx="6" formatCode="#\ ##0.0">
                  <c:v>19.5</c:v>
                </c:pt>
                <c:pt idx="7" formatCode="#\ ##0.0">
                  <c:v>23.5</c:v>
                </c:pt>
                <c:pt idx="8" formatCode="#\ ##0.0">
                  <c:v>23.8</c:v>
                </c:pt>
                <c:pt idx="9" formatCode="#\ ##0.0">
                  <c:v>21.1</c:v>
                </c:pt>
                <c:pt idx="10" formatCode="#\ ##0.0">
                  <c:v>22.2</c:v>
                </c:pt>
                <c:pt idx="11" formatCode="#\ ##0.0">
                  <c:v>22.9</c:v>
                </c:pt>
                <c:pt idx="12" formatCode="#\ ##0.0">
                  <c:v>21.6</c:v>
                </c:pt>
                <c:pt idx="13" formatCode="#\ ##0.0">
                  <c:v>20</c:v>
                </c:pt>
                <c:pt idx="14" formatCode="#\ ##0.0">
                  <c:v>19.3</c:v>
                </c:pt>
                <c:pt idx="15" formatCode="#\ ##0.0">
                  <c:v>19.7</c:v>
                </c:pt>
                <c:pt idx="16" formatCode="#\ ##0.0">
                  <c:v>18.7</c:v>
                </c:pt>
                <c:pt idx="17" formatCode="#\ ##0.0">
                  <c:v>17.8</c:v>
                </c:pt>
                <c:pt idx="18" formatCode="#\ ##0.0">
                  <c:v>16.899999999999999</c:v>
                </c:pt>
              </c:numCache>
            </c:numRef>
          </c:val>
          <c:smooth val="0"/>
          <c:extLst>
            <c:ext xmlns:c16="http://schemas.microsoft.com/office/drawing/2014/chart" uri="{C3380CC4-5D6E-409C-BE32-E72D297353CC}">
              <c16:uniqueId val="{00000000-4D2B-4F1D-AFD8-D7AC3244E78D}"/>
            </c:ext>
          </c:extLst>
        </c:ser>
        <c:ser>
          <c:idx val="1"/>
          <c:order val="1"/>
          <c:tx>
            <c:strRef>
              <c:f>'Graf-10-kvalita míst-2'!$A$5</c:f>
              <c:strCache>
                <c:ptCount val="1"/>
                <c:pt idx="0">
                  <c:v>Práce na směny (% zaměstnanců)*</c:v>
                </c:pt>
              </c:strCache>
            </c:strRef>
          </c:tx>
          <c:spPr>
            <a:ln w="15875">
              <a:solidFill>
                <a:srgbClr val="7030A0"/>
              </a:solidFill>
              <a:prstDash val="solid"/>
            </a:ln>
            <a:effectLst/>
          </c:spPr>
          <c:marker>
            <c:symbol val="none"/>
          </c:marker>
          <c:cat>
            <c:strRef>
              <c:f>'Graf-10-kvalita míst-2'!$B$3:$T$3</c:f>
              <c:strCache>
                <c:ptCount val="19"/>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strCache>
            </c:strRef>
          </c:cat>
          <c:val>
            <c:numRef>
              <c:f>'Graf-10-kvalita míst-2'!$B$5:$T$5</c:f>
              <c:numCache>
                <c:formatCode>#\ ##0.0</c:formatCode>
                <c:ptCount val="19"/>
                <c:pt idx="1">
                  <c:v>26.8</c:v>
                </c:pt>
                <c:pt idx="2">
                  <c:v>28.3</c:v>
                </c:pt>
                <c:pt idx="3">
                  <c:v>29.5</c:v>
                </c:pt>
                <c:pt idx="4">
                  <c:v>29</c:v>
                </c:pt>
                <c:pt idx="5">
                  <c:v>29.3</c:v>
                </c:pt>
                <c:pt idx="6">
                  <c:v>30</c:v>
                </c:pt>
                <c:pt idx="7">
                  <c:v>29.7</c:v>
                </c:pt>
                <c:pt idx="8">
                  <c:v>29</c:v>
                </c:pt>
                <c:pt idx="9">
                  <c:v>27.6</c:v>
                </c:pt>
                <c:pt idx="10">
                  <c:v>28.2</c:v>
                </c:pt>
                <c:pt idx="11">
                  <c:v>29.1</c:v>
                </c:pt>
                <c:pt idx="12">
                  <c:v>28.1</c:v>
                </c:pt>
                <c:pt idx="13">
                  <c:v>28.7</c:v>
                </c:pt>
                <c:pt idx="14">
                  <c:v>28.8</c:v>
                </c:pt>
                <c:pt idx="15">
                  <c:v>29.9</c:v>
                </c:pt>
                <c:pt idx="16">
                  <c:v>29</c:v>
                </c:pt>
                <c:pt idx="17">
                  <c:v>28.3</c:v>
                </c:pt>
                <c:pt idx="18">
                  <c:v>28</c:v>
                </c:pt>
              </c:numCache>
            </c:numRef>
          </c:val>
          <c:smooth val="0"/>
          <c:extLst>
            <c:ext xmlns:c16="http://schemas.microsoft.com/office/drawing/2014/chart" uri="{C3380CC4-5D6E-409C-BE32-E72D297353CC}">
              <c16:uniqueId val="{00000001-4D2B-4F1D-AFD8-D7AC3244E78D}"/>
            </c:ext>
          </c:extLst>
        </c:ser>
        <c:ser>
          <c:idx val="2"/>
          <c:order val="2"/>
          <c:tx>
            <c:strRef>
              <c:f>'Graf-10-kvalita míst-2'!$A$6</c:f>
              <c:strCache>
                <c:ptCount val="1"/>
                <c:pt idx="0">
                  <c:v>Práce v nočních hodinách (% zaměstnaných)*</c:v>
                </c:pt>
              </c:strCache>
            </c:strRef>
          </c:tx>
          <c:spPr>
            <a:ln w="15875" cap="rnd">
              <a:solidFill>
                <a:srgbClr val="3B3838"/>
              </a:solidFill>
              <a:round/>
            </a:ln>
            <a:effectLst/>
          </c:spPr>
          <c:marker>
            <c:symbol val="none"/>
          </c:marker>
          <c:cat>
            <c:strRef>
              <c:f>'Graf-10-kvalita míst-2'!$B$3:$T$3</c:f>
              <c:strCache>
                <c:ptCount val="19"/>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strCache>
            </c:strRef>
          </c:cat>
          <c:val>
            <c:numRef>
              <c:f>'Graf-10-kvalita míst-2'!$B$6:$T$6</c:f>
              <c:numCache>
                <c:formatCode>General</c:formatCode>
                <c:ptCount val="19"/>
                <c:pt idx="2" formatCode="#\ ##0.0">
                  <c:v>4</c:v>
                </c:pt>
                <c:pt idx="3" formatCode="#\ ##0.0">
                  <c:v>4.9000000000000004</c:v>
                </c:pt>
                <c:pt idx="4" formatCode="#\ ##0.0">
                  <c:v>6</c:v>
                </c:pt>
                <c:pt idx="5" formatCode="#\ ##0.0">
                  <c:v>6.2</c:v>
                </c:pt>
                <c:pt idx="6" formatCode="#\ ##0.0">
                  <c:v>6.1</c:v>
                </c:pt>
                <c:pt idx="7" formatCode="#\ ##0.0">
                  <c:v>5.4</c:v>
                </c:pt>
                <c:pt idx="8" formatCode="#\ ##0.0">
                  <c:v>5.2</c:v>
                </c:pt>
                <c:pt idx="9" formatCode="#\ ##0.0">
                  <c:v>4.5999999999999996</c:v>
                </c:pt>
                <c:pt idx="10" formatCode="#\ ##0.0">
                  <c:v>4.7</c:v>
                </c:pt>
                <c:pt idx="11" formatCode="#\ ##0.0">
                  <c:v>5.5</c:v>
                </c:pt>
                <c:pt idx="12" formatCode="#\ ##0.0">
                  <c:v>4.7</c:v>
                </c:pt>
                <c:pt idx="13" formatCode="#\ ##0.0">
                  <c:v>5</c:v>
                </c:pt>
                <c:pt idx="14" formatCode="#\ ##0.0">
                  <c:v>4.4000000000000004</c:v>
                </c:pt>
                <c:pt idx="15" formatCode="#\ ##0.0">
                  <c:v>5.3</c:v>
                </c:pt>
                <c:pt idx="16" formatCode="#\ ##0.0">
                  <c:v>5.0999999999999996</c:v>
                </c:pt>
                <c:pt idx="17" formatCode="#\ ##0.0">
                  <c:v>5.2</c:v>
                </c:pt>
                <c:pt idx="18" formatCode="#\ ##0.0">
                  <c:v>5</c:v>
                </c:pt>
              </c:numCache>
            </c:numRef>
          </c:val>
          <c:smooth val="0"/>
          <c:extLst>
            <c:ext xmlns:c16="http://schemas.microsoft.com/office/drawing/2014/chart" uri="{C3380CC4-5D6E-409C-BE32-E72D297353CC}">
              <c16:uniqueId val="{00000002-4D2B-4F1D-AFD8-D7AC3244E78D}"/>
            </c:ext>
          </c:extLst>
        </c:ser>
        <c:ser>
          <c:idx val="3"/>
          <c:order val="3"/>
          <c:tx>
            <c:strRef>
              <c:f>'Graf-10-kvalita míst-2'!$A$7</c:f>
              <c:strCache>
                <c:ptCount val="1"/>
                <c:pt idx="0">
                  <c:v>Pracovní doba nad 48 hod. týdně (% zaměstnaných)*</c:v>
                </c:pt>
              </c:strCache>
            </c:strRef>
          </c:tx>
          <c:spPr>
            <a:ln w="15875" cap="rnd">
              <a:solidFill>
                <a:srgbClr val="BD1B21"/>
              </a:solidFill>
              <a:prstDash val="solid"/>
              <a:round/>
            </a:ln>
            <a:effectLst/>
          </c:spPr>
          <c:marker>
            <c:symbol val="none"/>
          </c:marker>
          <c:cat>
            <c:strRef>
              <c:f>'Graf-10-kvalita míst-2'!$B$3:$T$3</c:f>
              <c:strCache>
                <c:ptCount val="19"/>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strCache>
            </c:strRef>
          </c:cat>
          <c:val>
            <c:numRef>
              <c:f>'Graf-10-kvalita míst-2'!$B$7:$T$7</c:f>
              <c:numCache>
                <c:formatCode>#\ ##0.0</c:formatCode>
                <c:ptCount val="19"/>
                <c:pt idx="0">
                  <c:v>18.3</c:v>
                </c:pt>
                <c:pt idx="1">
                  <c:v>14.2</c:v>
                </c:pt>
                <c:pt idx="2">
                  <c:v>15.8</c:v>
                </c:pt>
                <c:pt idx="3">
                  <c:v>17.7</c:v>
                </c:pt>
                <c:pt idx="4">
                  <c:v>17.100000000000001</c:v>
                </c:pt>
                <c:pt idx="5">
                  <c:v>16.5</c:v>
                </c:pt>
                <c:pt idx="6">
                  <c:v>16.399999999999999</c:v>
                </c:pt>
                <c:pt idx="7">
                  <c:v>16.899999999999999</c:v>
                </c:pt>
                <c:pt idx="8">
                  <c:v>17.3</c:v>
                </c:pt>
                <c:pt idx="9">
                  <c:v>16.7</c:v>
                </c:pt>
                <c:pt idx="10">
                  <c:v>16.2</c:v>
                </c:pt>
                <c:pt idx="11">
                  <c:v>15</c:v>
                </c:pt>
                <c:pt idx="12">
                  <c:v>14.3</c:v>
                </c:pt>
                <c:pt idx="13">
                  <c:v>13.2</c:v>
                </c:pt>
                <c:pt idx="14">
                  <c:v>12.1</c:v>
                </c:pt>
                <c:pt idx="15">
                  <c:v>12.2</c:v>
                </c:pt>
                <c:pt idx="16">
                  <c:v>11.8</c:v>
                </c:pt>
                <c:pt idx="17">
                  <c:v>11.5</c:v>
                </c:pt>
                <c:pt idx="18">
                  <c:v>11.4</c:v>
                </c:pt>
              </c:numCache>
            </c:numRef>
          </c:val>
          <c:smooth val="0"/>
          <c:extLst>
            <c:ext xmlns:c16="http://schemas.microsoft.com/office/drawing/2014/chart" uri="{C3380CC4-5D6E-409C-BE32-E72D297353CC}">
              <c16:uniqueId val="{00000003-4D2B-4F1D-AFD8-D7AC3244E78D}"/>
            </c:ext>
          </c:extLst>
        </c:ser>
        <c:ser>
          <c:idx val="4"/>
          <c:order val="4"/>
          <c:tx>
            <c:strRef>
              <c:f>'Graf-10-kvalita míst-2'!$A$8</c:f>
              <c:strCache>
                <c:ptCount val="1"/>
                <c:pt idx="0">
                  <c:v>Nedobrovolná práce na zkrácený úvazek (% zaměstnaných)**</c:v>
                </c:pt>
              </c:strCache>
            </c:strRef>
          </c:tx>
          <c:spPr>
            <a:ln w="15875" cap="rnd">
              <a:solidFill>
                <a:srgbClr val="7DBB2D"/>
              </a:solidFill>
              <a:round/>
            </a:ln>
            <a:effectLst/>
          </c:spPr>
          <c:marker>
            <c:symbol val="none"/>
          </c:marker>
          <c:cat>
            <c:strRef>
              <c:f>'Graf-10-kvalita míst-2'!$B$3:$T$3</c:f>
              <c:strCache>
                <c:ptCount val="19"/>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strCache>
            </c:strRef>
          </c:cat>
          <c:val>
            <c:numRef>
              <c:f>'Graf-10-kvalita míst-2'!$B$8:$T$8</c:f>
              <c:numCache>
                <c:formatCode>#\ ##0.0</c:formatCode>
                <c:ptCount val="19"/>
                <c:pt idx="0">
                  <c:v>0.46559999999999996</c:v>
                </c:pt>
                <c:pt idx="1">
                  <c:v>0.48840000000000006</c:v>
                </c:pt>
                <c:pt idx="2">
                  <c:v>0.47729999999999995</c:v>
                </c:pt>
                <c:pt idx="3">
                  <c:v>0.69299999999999995</c:v>
                </c:pt>
                <c:pt idx="4">
                  <c:v>0.65560000000000007</c:v>
                </c:pt>
                <c:pt idx="5">
                  <c:v>0.79200000000000004</c:v>
                </c:pt>
                <c:pt idx="6">
                  <c:v>0.78759999999999997</c:v>
                </c:pt>
                <c:pt idx="7">
                  <c:v>0.65120000000000011</c:v>
                </c:pt>
                <c:pt idx="8">
                  <c:v>0.60199999999999998</c:v>
                </c:pt>
                <c:pt idx="9">
                  <c:v>0.69600000000000006</c:v>
                </c:pt>
                <c:pt idx="10">
                  <c:v>0.80579999999999996</c:v>
                </c:pt>
                <c:pt idx="11">
                  <c:v>0.88360000000000005</c:v>
                </c:pt>
                <c:pt idx="12">
                  <c:v>1</c:v>
                </c:pt>
                <c:pt idx="13">
                  <c:v>0.98019999999999985</c:v>
                </c:pt>
                <c:pt idx="14">
                  <c:v>1.1605000000000001</c:v>
                </c:pt>
                <c:pt idx="15">
                  <c:v>0.86919999999999986</c:v>
                </c:pt>
                <c:pt idx="16">
                  <c:v>0.80940000000000001</c:v>
                </c:pt>
                <c:pt idx="17">
                  <c:v>0.56419999999999992</c:v>
                </c:pt>
                <c:pt idx="18">
                  <c:v>0.40949999999999998</c:v>
                </c:pt>
              </c:numCache>
            </c:numRef>
          </c:val>
          <c:smooth val="0"/>
          <c:extLst>
            <c:ext xmlns:c16="http://schemas.microsoft.com/office/drawing/2014/chart" uri="{C3380CC4-5D6E-409C-BE32-E72D297353CC}">
              <c16:uniqueId val="{00000004-4D2B-4F1D-AFD8-D7AC3244E78D}"/>
            </c:ext>
          </c:extLst>
        </c:ser>
        <c:ser>
          <c:idx val="5"/>
          <c:order val="5"/>
          <c:tx>
            <c:strRef>
              <c:f>'Graf-10-kvalita míst-2'!$A$9</c:f>
              <c:strCache>
                <c:ptCount val="1"/>
                <c:pt idx="0">
                  <c:v>Nedobrovolná práce na dobu určitou (% zaměstnanců)***</c:v>
                </c:pt>
              </c:strCache>
            </c:strRef>
          </c:tx>
          <c:spPr>
            <a:ln w="15875" cap="rnd">
              <a:solidFill>
                <a:srgbClr val="0071BC"/>
              </a:solidFill>
              <a:prstDash val="solid"/>
              <a:round/>
            </a:ln>
            <a:effectLst/>
          </c:spPr>
          <c:marker>
            <c:symbol val="none"/>
          </c:marker>
          <c:cat>
            <c:strRef>
              <c:f>'Graf-10-kvalita míst-2'!$B$3:$T$3</c:f>
              <c:strCache>
                <c:ptCount val="19"/>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strCache>
            </c:strRef>
          </c:cat>
          <c:val>
            <c:numRef>
              <c:f>'Graf-10-kvalita míst-2'!$B$9:$T$9</c:f>
              <c:numCache>
                <c:formatCode>#\ ##0.0</c:formatCode>
                <c:ptCount val="19"/>
                <c:pt idx="0">
                  <c:v>3.2039999999999997</c:v>
                </c:pt>
                <c:pt idx="1">
                  <c:v>3.4018000000000002</c:v>
                </c:pt>
                <c:pt idx="2">
                  <c:v>4.9574999999999996</c:v>
                </c:pt>
                <c:pt idx="3">
                  <c:v>5.924500000000001</c:v>
                </c:pt>
                <c:pt idx="4">
                  <c:v>6.3184000000000005</c:v>
                </c:pt>
                <c:pt idx="5">
                  <c:v>5.4826000000000006</c:v>
                </c:pt>
                <c:pt idx="6">
                  <c:v>5.4239999999999995</c:v>
                </c:pt>
                <c:pt idx="7">
                  <c:v>4.9530000000000003</c:v>
                </c:pt>
                <c:pt idx="8">
                  <c:v>4.8744000000000005</c:v>
                </c:pt>
                <c:pt idx="9">
                  <c:v>5.04</c:v>
                </c:pt>
                <c:pt idx="10">
                  <c:v>6.1663999999999994</c:v>
                </c:pt>
                <c:pt idx="11">
                  <c:v>6.4</c:v>
                </c:pt>
                <c:pt idx="12">
                  <c:v>6.8392000000000008</c:v>
                </c:pt>
                <c:pt idx="13">
                  <c:v>7.4983999999999993</c:v>
                </c:pt>
                <c:pt idx="14">
                  <c:v>7.9927999999999999</c:v>
                </c:pt>
                <c:pt idx="15">
                  <c:v>8.39</c:v>
                </c:pt>
                <c:pt idx="16">
                  <c:v>7.7405999999999988</c:v>
                </c:pt>
                <c:pt idx="17">
                  <c:v>7.4016000000000002</c:v>
                </c:pt>
                <c:pt idx="18">
                  <c:v>5.0988000000000007</c:v>
                </c:pt>
              </c:numCache>
            </c:numRef>
          </c:val>
          <c:smooth val="0"/>
          <c:extLst>
            <c:ext xmlns:c16="http://schemas.microsoft.com/office/drawing/2014/chart" uri="{C3380CC4-5D6E-409C-BE32-E72D297353CC}">
              <c16:uniqueId val="{00000005-4D2B-4F1D-AFD8-D7AC3244E78D}"/>
            </c:ext>
          </c:extLst>
        </c:ser>
        <c:ser>
          <c:idx val="6"/>
          <c:order val="6"/>
          <c:tx>
            <c:strRef>
              <c:f>'Graf-10-kvalita míst-2'!$A$10</c:f>
              <c:strCache>
                <c:ptCount val="1"/>
                <c:pt idx="0">
                  <c:v>Agenturní praocvníci na dobu určitou (% zaměstnanců)</c:v>
                </c:pt>
              </c:strCache>
            </c:strRef>
          </c:tx>
          <c:spPr>
            <a:ln w="15875">
              <a:solidFill>
                <a:srgbClr val="48AEE7"/>
              </a:solidFill>
            </a:ln>
          </c:spPr>
          <c:marker>
            <c:symbol val="none"/>
          </c:marker>
          <c:cat>
            <c:strRef>
              <c:f>'Graf-10-kvalita míst-2'!$B$3:$T$3</c:f>
              <c:strCache>
                <c:ptCount val="19"/>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strCache>
            </c:strRef>
          </c:cat>
          <c:val>
            <c:numRef>
              <c:f>'Graf-10-kvalita míst-2'!$B$10:$T$10</c:f>
              <c:numCache>
                <c:formatCode>General</c:formatCode>
                <c:ptCount val="19"/>
                <c:pt idx="8" formatCode="#\ ##0.0">
                  <c:v>0.9</c:v>
                </c:pt>
                <c:pt idx="9" formatCode="#\ ##0.0">
                  <c:v>1</c:v>
                </c:pt>
                <c:pt idx="10" formatCode="#\ ##0.0">
                  <c:v>1.1000000000000001</c:v>
                </c:pt>
                <c:pt idx="11" formatCode="#\ ##0.0">
                  <c:v>1.3</c:v>
                </c:pt>
                <c:pt idx="12" formatCode="#\ ##0.0">
                  <c:v>1.6</c:v>
                </c:pt>
                <c:pt idx="13" formatCode="#\ ##0.0">
                  <c:v>1.4</c:v>
                </c:pt>
                <c:pt idx="14" formatCode="#\ ##0.0">
                  <c:v>1.7</c:v>
                </c:pt>
                <c:pt idx="15" formatCode="#\ ##0.0">
                  <c:v>1.9</c:v>
                </c:pt>
                <c:pt idx="16" formatCode="#\ ##0.0">
                  <c:v>1.3</c:v>
                </c:pt>
                <c:pt idx="17" formatCode="#\ ##0.0">
                  <c:v>1.5</c:v>
                </c:pt>
                <c:pt idx="18" formatCode="#\ ##0.0">
                  <c:v>1.1000000000000001</c:v>
                </c:pt>
              </c:numCache>
            </c:numRef>
          </c:val>
          <c:smooth val="0"/>
          <c:extLst>
            <c:ext xmlns:c16="http://schemas.microsoft.com/office/drawing/2014/chart" uri="{C3380CC4-5D6E-409C-BE32-E72D297353CC}">
              <c16:uniqueId val="{00000006-4D2B-4F1D-AFD8-D7AC3244E78D}"/>
            </c:ext>
          </c:extLst>
        </c:ser>
        <c:dLbls>
          <c:showLegendKey val="0"/>
          <c:showVal val="0"/>
          <c:showCatName val="0"/>
          <c:showSerName val="0"/>
          <c:showPercent val="0"/>
          <c:showBubbleSize val="0"/>
        </c:dLbls>
        <c:smooth val="0"/>
        <c:axId val="143713408"/>
        <c:axId val="143714944"/>
      </c:lineChart>
      <c:catAx>
        <c:axId val="143713408"/>
        <c:scaling>
          <c:orientation val="minMax"/>
        </c:scaling>
        <c:delete val="0"/>
        <c:axPos val="b"/>
        <c:numFmt formatCode="General" sourceLinked="1"/>
        <c:majorTickMark val="none"/>
        <c:minorTickMark val="none"/>
        <c:tickLblPos val="low"/>
        <c:spPr>
          <a:noFill/>
          <a:ln w="6350" cap="flat" cmpd="sng" algn="ctr">
            <a:solidFill>
              <a:schemeClr val="tx1">
                <a:lumMod val="95000"/>
                <a:lumOff val="5000"/>
              </a:schemeClr>
            </a:solidFill>
            <a:round/>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cs-CZ"/>
          </a:p>
        </c:txPr>
        <c:crossAx val="143714944"/>
        <c:crossesAt val="100"/>
        <c:auto val="1"/>
        <c:lblAlgn val="ctr"/>
        <c:lblOffset val="10"/>
        <c:noMultiLvlLbl val="0"/>
      </c:catAx>
      <c:valAx>
        <c:axId val="143714944"/>
        <c:scaling>
          <c:orientation val="minMax"/>
          <c:max val="31"/>
          <c:min val="0"/>
        </c:scaling>
        <c:delete val="0"/>
        <c:axPos val="l"/>
        <c:majorGridlines>
          <c:spPr>
            <a:ln w="9525" cap="flat" cmpd="sng" algn="ctr">
              <a:solidFill>
                <a:schemeClr val="tx1">
                  <a:lumMod val="15000"/>
                  <a:lumOff val="85000"/>
                </a:schemeClr>
              </a:solidFill>
              <a:round/>
            </a:ln>
            <a:effectLst/>
          </c:spPr>
        </c:majorGridlines>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cs-CZ"/>
          </a:p>
        </c:txPr>
        <c:crossAx val="143713408"/>
        <c:crosses val="autoZero"/>
        <c:crossBetween val="between"/>
        <c:majorUnit val="2.5"/>
      </c:valAx>
      <c:spPr>
        <a:noFill/>
        <a:ln w="6350">
          <a:solidFill>
            <a:schemeClr val="tx1">
              <a:lumMod val="95000"/>
              <a:lumOff val="5000"/>
            </a:schemeClr>
          </a:solidFill>
        </a:ln>
        <a:effectLst/>
      </c:spPr>
    </c:plotArea>
    <c:legend>
      <c:legendPos val="b"/>
      <c:layout>
        <c:manualLayout>
          <c:xMode val="edge"/>
          <c:yMode val="edge"/>
          <c:x val="6.9821525490735684E-2"/>
          <c:y val="0.78042704121444284"/>
          <c:w val="0.91031354443305867"/>
          <c:h val="0.20874427183088601"/>
        </c:manualLayout>
      </c:layout>
      <c:overlay val="0"/>
      <c:spPr>
        <a:noFill/>
        <a:ln w="6350">
          <a:solidFill>
            <a:schemeClr val="tx1">
              <a:lumMod val="95000"/>
              <a:lumOff val="5000"/>
            </a:schemeClr>
          </a:solid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cs-CZ"/>
        </a:p>
      </c:txPr>
    </c:legend>
    <c:plotVisOnly val="1"/>
    <c:dispBlanksAs val="gap"/>
    <c:showDLblsOverMax val="0"/>
  </c:chart>
  <c:spPr>
    <a:solidFill>
      <a:schemeClr val="bg1"/>
    </a:solidFill>
    <a:ln w="9525" cap="flat" cmpd="sng" algn="ctr">
      <a:noFill/>
      <a:round/>
    </a:ln>
    <a:effectLst/>
  </c:spPr>
  <c:txPr>
    <a:bodyPr/>
    <a:lstStyle/>
    <a:p>
      <a:pPr>
        <a:defRPr/>
      </a:pPr>
      <a:endParaRPr lang="cs-CZ"/>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1755603720266684E-2"/>
          <c:y val="1.5999671172066066E-2"/>
          <c:w val="0.93268898439375625"/>
          <c:h val="0.80899084911683339"/>
        </c:manualLayout>
      </c:layout>
      <c:barChart>
        <c:barDir val="col"/>
        <c:grouping val="clustered"/>
        <c:varyColors val="0"/>
        <c:ser>
          <c:idx val="2"/>
          <c:order val="3"/>
          <c:tx>
            <c:strRef>
              <c:f>'Graf-11-kvalita míst-3'!$D$17</c:f>
              <c:strCache>
                <c:ptCount val="1"/>
                <c:pt idx="0">
                  <c:v>rok 2018 (muži)</c:v>
                </c:pt>
              </c:strCache>
            </c:strRef>
          </c:tx>
          <c:spPr>
            <a:solidFill>
              <a:srgbClr val="48AEE7"/>
            </a:solidFill>
            <a:ln w="15875" cap="rnd">
              <a:noFill/>
              <a:round/>
            </a:ln>
            <a:effectLst/>
          </c:spPr>
          <c:invertIfNegative val="0"/>
          <c:cat>
            <c:strRef>
              <c:f>'Graf-11-kvalita míst-3'!$A$18:$A$26</c:f>
              <c:strCache>
                <c:ptCount val="9"/>
                <c:pt idx="0">
                  <c:v>15–19 
let </c:v>
                </c:pt>
                <c:pt idx="1">
                  <c:v>20–24</c:v>
                </c:pt>
                <c:pt idx="2">
                  <c:v>25–29</c:v>
                </c:pt>
                <c:pt idx="3">
                  <c:v>30–39</c:v>
                </c:pt>
                <c:pt idx="4">
                  <c:v>40–49</c:v>
                </c:pt>
                <c:pt idx="5">
                  <c:v>50–54</c:v>
                </c:pt>
                <c:pt idx="6">
                  <c:v>55–59</c:v>
                </c:pt>
                <c:pt idx="7">
                  <c:v>60–64</c:v>
                </c:pt>
                <c:pt idx="8">
                  <c:v>65–74 
let</c:v>
                </c:pt>
              </c:strCache>
            </c:strRef>
          </c:cat>
          <c:val>
            <c:numRef>
              <c:f>'Graf-11-kvalita míst-3'!$D$18:$D$26</c:f>
              <c:numCache>
                <c:formatCode>#\ ##0.0</c:formatCode>
                <c:ptCount val="9"/>
                <c:pt idx="0">
                  <c:v>45.29999999999999</c:v>
                </c:pt>
                <c:pt idx="1">
                  <c:v>40.168582089552238</c:v>
                </c:pt>
                <c:pt idx="2">
                  <c:v>34.283333333333331</c:v>
                </c:pt>
                <c:pt idx="3">
                  <c:v>29.64352523786485</c:v>
                </c:pt>
                <c:pt idx="4">
                  <c:v>27.689448178833821</c:v>
                </c:pt>
                <c:pt idx="5">
                  <c:v>26.757793764988016</c:v>
                </c:pt>
                <c:pt idx="6">
                  <c:v>27.284908321579682</c:v>
                </c:pt>
                <c:pt idx="7">
                  <c:v>22.139357429718842</c:v>
                </c:pt>
                <c:pt idx="8">
                  <c:v>14.512658227848114</c:v>
                </c:pt>
              </c:numCache>
            </c:numRef>
          </c:val>
          <c:extLst>
            <c:ext xmlns:c16="http://schemas.microsoft.com/office/drawing/2014/chart" uri="{C3380CC4-5D6E-409C-BE32-E72D297353CC}">
              <c16:uniqueId val="{00000000-41FA-4322-97DD-01F75BE3A337}"/>
            </c:ext>
          </c:extLst>
        </c:ser>
        <c:ser>
          <c:idx val="5"/>
          <c:order val="5"/>
          <c:tx>
            <c:strRef>
              <c:f>'Graf-11-kvalita míst-3'!$G$17</c:f>
              <c:strCache>
                <c:ptCount val="1"/>
                <c:pt idx="0">
                  <c:v>rok 2018 (ženy)</c:v>
                </c:pt>
              </c:strCache>
            </c:strRef>
          </c:tx>
          <c:spPr>
            <a:solidFill>
              <a:srgbClr val="F8A124"/>
            </a:solidFill>
            <a:ln w="15875" cap="rnd">
              <a:noFill/>
              <a:prstDash val="solid"/>
              <a:round/>
            </a:ln>
            <a:effectLst/>
          </c:spPr>
          <c:invertIfNegative val="0"/>
          <c:cat>
            <c:strRef>
              <c:f>'Graf-11-kvalita míst-3'!$A$18:$A$26</c:f>
              <c:strCache>
                <c:ptCount val="9"/>
                <c:pt idx="0">
                  <c:v>15–19 
let </c:v>
                </c:pt>
                <c:pt idx="1">
                  <c:v>20–24</c:v>
                </c:pt>
                <c:pt idx="2">
                  <c:v>25–29</c:v>
                </c:pt>
                <c:pt idx="3">
                  <c:v>30–39</c:v>
                </c:pt>
                <c:pt idx="4">
                  <c:v>40–49</c:v>
                </c:pt>
                <c:pt idx="5">
                  <c:v>50–54</c:v>
                </c:pt>
                <c:pt idx="6">
                  <c:v>55–59</c:v>
                </c:pt>
                <c:pt idx="7">
                  <c:v>60–64</c:v>
                </c:pt>
                <c:pt idx="8">
                  <c:v>65–74 
let</c:v>
                </c:pt>
              </c:strCache>
            </c:strRef>
          </c:cat>
          <c:val>
            <c:numRef>
              <c:f>'Graf-11-kvalita míst-3'!$G$18:$G$26</c:f>
              <c:numCache>
                <c:formatCode>#\ ##0.0</c:formatCode>
                <c:ptCount val="9"/>
                <c:pt idx="0">
                  <c:v>34</c:v>
                </c:pt>
                <c:pt idx="1">
                  <c:v>42.097420634920638</c:v>
                </c:pt>
                <c:pt idx="2">
                  <c:v>27.940029761904771</c:v>
                </c:pt>
                <c:pt idx="3">
                  <c:v>21.988639308855291</c:v>
                </c:pt>
                <c:pt idx="4">
                  <c:v>27.399999999999991</c:v>
                </c:pt>
                <c:pt idx="5">
                  <c:v>29.435840707964612</c:v>
                </c:pt>
                <c:pt idx="6">
                  <c:v>24.930769230769219</c:v>
                </c:pt>
                <c:pt idx="7">
                  <c:v>18.80744466800807</c:v>
                </c:pt>
                <c:pt idx="8">
                  <c:v>16.608433734939858</c:v>
                </c:pt>
              </c:numCache>
            </c:numRef>
          </c:val>
          <c:extLst>
            <c:ext xmlns:c16="http://schemas.microsoft.com/office/drawing/2014/chart" uri="{C3380CC4-5D6E-409C-BE32-E72D297353CC}">
              <c16:uniqueId val="{00000001-41FA-4322-97DD-01F75BE3A337}"/>
            </c:ext>
          </c:extLst>
        </c:ser>
        <c:dLbls>
          <c:showLegendKey val="0"/>
          <c:showVal val="0"/>
          <c:showCatName val="0"/>
          <c:showSerName val="0"/>
          <c:showPercent val="0"/>
          <c:showBubbleSize val="0"/>
        </c:dLbls>
        <c:gapWidth val="150"/>
        <c:axId val="143728000"/>
        <c:axId val="143742080"/>
      </c:barChart>
      <c:lineChart>
        <c:grouping val="standard"/>
        <c:varyColors val="0"/>
        <c:ser>
          <c:idx val="1"/>
          <c:order val="0"/>
          <c:tx>
            <c:strRef>
              <c:f>'Graf-11-kvalita míst-3'!$C$17</c:f>
              <c:strCache>
                <c:ptCount val="1"/>
                <c:pt idx="0">
                  <c:v>rok 2013 (muži)</c:v>
                </c:pt>
              </c:strCache>
            </c:strRef>
          </c:tx>
          <c:spPr>
            <a:ln w="15875">
              <a:solidFill>
                <a:srgbClr val="0071BC"/>
              </a:solidFill>
              <a:prstDash val="dash"/>
            </a:ln>
            <a:effectLst/>
          </c:spPr>
          <c:marker>
            <c:symbol val="none"/>
          </c:marker>
          <c:cat>
            <c:strRef>
              <c:f>'Graf-11-kvalita míst-3'!$A$18:$A$26</c:f>
              <c:strCache>
                <c:ptCount val="9"/>
                <c:pt idx="0">
                  <c:v>15–19 
let </c:v>
                </c:pt>
                <c:pt idx="1">
                  <c:v>20–24</c:v>
                </c:pt>
                <c:pt idx="2">
                  <c:v>25–29</c:v>
                </c:pt>
                <c:pt idx="3">
                  <c:v>30–39</c:v>
                </c:pt>
                <c:pt idx="4">
                  <c:v>40–49</c:v>
                </c:pt>
                <c:pt idx="5">
                  <c:v>50–54</c:v>
                </c:pt>
                <c:pt idx="6">
                  <c:v>55–59</c:v>
                </c:pt>
                <c:pt idx="7">
                  <c:v>60–64</c:v>
                </c:pt>
                <c:pt idx="8">
                  <c:v>65–74 
let</c:v>
                </c:pt>
              </c:strCache>
            </c:strRef>
          </c:cat>
          <c:val>
            <c:numRef>
              <c:f>'Graf-11-kvalita míst-3'!$C$18:$C$26</c:f>
              <c:numCache>
                <c:formatCode>#\ ##0.0</c:formatCode>
                <c:ptCount val="9"/>
                <c:pt idx="0">
                  <c:v>35.5</c:v>
                </c:pt>
                <c:pt idx="1">
                  <c:v>37.305319865319866</c:v>
                </c:pt>
                <c:pt idx="2">
                  <c:v>30.995653802922433</c:v>
                </c:pt>
                <c:pt idx="3">
                  <c:v>28.382781456953648</c:v>
                </c:pt>
                <c:pt idx="4">
                  <c:v>27.711362785473607</c:v>
                </c:pt>
                <c:pt idx="5">
                  <c:v>29.25651376146789</c:v>
                </c:pt>
                <c:pt idx="6">
                  <c:v>24.382302483069974</c:v>
                </c:pt>
                <c:pt idx="7">
                  <c:v>22.935161870503581</c:v>
                </c:pt>
                <c:pt idx="8">
                  <c:v>11.182677165354468</c:v>
                </c:pt>
              </c:numCache>
            </c:numRef>
          </c:val>
          <c:smooth val="0"/>
          <c:extLst>
            <c:ext xmlns:c16="http://schemas.microsoft.com/office/drawing/2014/chart" uri="{C3380CC4-5D6E-409C-BE32-E72D297353CC}">
              <c16:uniqueId val="{00000002-41FA-4322-97DD-01F75BE3A337}"/>
            </c:ext>
          </c:extLst>
        </c:ser>
        <c:ser>
          <c:idx val="4"/>
          <c:order val="1"/>
          <c:tx>
            <c:strRef>
              <c:f>'Graf-11-kvalita míst-3'!$F$17</c:f>
              <c:strCache>
                <c:ptCount val="1"/>
                <c:pt idx="0">
                  <c:v>rok 2013 (ženy)</c:v>
                </c:pt>
              </c:strCache>
            </c:strRef>
          </c:tx>
          <c:spPr>
            <a:ln w="15875" cap="rnd">
              <a:solidFill>
                <a:srgbClr val="BD1B21"/>
              </a:solidFill>
              <a:prstDash val="dash"/>
              <a:round/>
            </a:ln>
            <a:effectLst/>
          </c:spPr>
          <c:marker>
            <c:symbol val="none"/>
          </c:marker>
          <c:cat>
            <c:strRef>
              <c:f>'Graf-11-kvalita míst-3'!$A$18:$A$26</c:f>
              <c:strCache>
                <c:ptCount val="9"/>
                <c:pt idx="0">
                  <c:v>15–19 
let </c:v>
                </c:pt>
                <c:pt idx="1">
                  <c:v>20–24</c:v>
                </c:pt>
                <c:pt idx="2">
                  <c:v>25–29</c:v>
                </c:pt>
                <c:pt idx="3">
                  <c:v>30–39</c:v>
                </c:pt>
                <c:pt idx="4">
                  <c:v>40–49</c:v>
                </c:pt>
                <c:pt idx="5">
                  <c:v>50–54</c:v>
                </c:pt>
                <c:pt idx="6">
                  <c:v>55–59</c:v>
                </c:pt>
                <c:pt idx="7">
                  <c:v>60–64</c:v>
                </c:pt>
                <c:pt idx="8">
                  <c:v>65–74 
let</c:v>
                </c:pt>
              </c:strCache>
            </c:strRef>
          </c:cat>
          <c:val>
            <c:numRef>
              <c:f>'Graf-11-kvalita míst-3'!$F$18:$F$26</c:f>
              <c:numCache>
                <c:formatCode>#\ ##0.0</c:formatCode>
                <c:ptCount val="9"/>
                <c:pt idx="0">
                  <c:v>21</c:v>
                </c:pt>
                <c:pt idx="1">
                  <c:v>41.252054794520554</c:v>
                </c:pt>
                <c:pt idx="2">
                  <c:v>28.35798403193613</c:v>
                </c:pt>
                <c:pt idx="3">
                  <c:v>29.42719807730823</c:v>
                </c:pt>
                <c:pt idx="4">
                  <c:v>29.750410447761201</c:v>
                </c:pt>
                <c:pt idx="5">
                  <c:v>28.058468983721951</c:v>
                </c:pt>
                <c:pt idx="6">
                  <c:v>24.768621700879763</c:v>
                </c:pt>
                <c:pt idx="7">
                  <c:v>11.762934362934201</c:v>
                </c:pt>
                <c:pt idx="8">
                  <c:v>6.4072874493929861</c:v>
                </c:pt>
              </c:numCache>
            </c:numRef>
          </c:val>
          <c:smooth val="0"/>
          <c:extLst>
            <c:ext xmlns:c16="http://schemas.microsoft.com/office/drawing/2014/chart" uri="{C3380CC4-5D6E-409C-BE32-E72D297353CC}">
              <c16:uniqueId val="{00000003-41FA-4322-97DD-01F75BE3A337}"/>
            </c:ext>
          </c:extLst>
        </c:ser>
        <c:ser>
          <c:idx val="0"/>
          <c:order val="2"/>
          <c:tx>
            <c:strRef>
              <c:f>'Graf-11-kvalita míst-3'!$B$17</c:f>
              <c:strCache>
                <c:ptCount val="1"/>
                <c:pt idx="0">
                  <c:v>rok 2008 (muži)</c:v>
                </c:pt>
              </c:strCache>
            </c:strRef>
          </c:tx>
          <c:spPr>
            <a:ln w="15875">
              <a:noFill/>
              <a:prstDash val="sysDot"/>
            </a:ln>
            <a:effectLst/>
          </c:spPr>
          <c:marker>
            <c:symbol val="circle"/>
            <c:size val="5"/>
            <c:spPr>
              <a:solidFill>
                <a:srgbClr val="0071BC"/>
              </a:solidFill>
              <a:ln>
                <a:noFill/>
              </a:ln>
            </c:spPr>
          </c:marker>
          <c:cat>
            <c:strRef>
              <c:f>'Graf-11-kvalita míst-3'!$A$18:$A$26</c:f>
              <c:strCache>
                <c:ptCount val="9"/>
                <c:pt idx="0">
                  <c:v>15–19 
let </c:v>
                </c:pt>
                <c:pt idx="1">
                  <c:v>20–24</c:v>
                </c:pt>
                <c:pt idx="2">
                  <c:v>25–29</c:v>
                </c:pt>
                <c:pt idx="3">
                  <c:v>30–39</c:v>
                </c:pt>
                <c:pt idx="4">
                  <c:v>40–49</c:v>
                </c:pt>
                <c:pt idx="5">
                  <c:v>50–54</c:v>
                </c:pt>
                <c:pt idx="6">
                  <c:v>55–59</c:v>
                </c:pt>
                <c:pt idx="7">
                  <c:v>60–64</c:v>
                </c:pt>
                <c:pt idx="8">
                  <c:v>65–74 
let</c:v>
                </c:pt>
              </c:strCache>
            </c:strRef>
          </c:cat>
          <c:val>
            <c:numRef>
              <c:f>'Graf-11-kvalita míst-3'!$B$18:$B$26</c:f>
              <c:numCache>
                <c:formatCode>#\ ##0.0</c:formatCode>
                <c:ptCount val="9"/>
                <c:pt idx="0">
                  <c:v>31.7</c:v>
                </c:pt>
                <c:pt idx="1">
                  <c:v>38.915982721382285</c:v>
                </c:pt>
                <c:pt idx="2">
                  <c:v>32.557330766762909</c:v>
                </c:pt>
                <c:pt idx="3">
                  <c:v>30.695100121359225</c:v>
                </c:pt>
                <c:pt idx="4">
                  <c:v>27.403935040599624</c:v>
                </c:pt>
                <c:pt idx="5">
                  <c:v>28.946044864226682</c:v>
                </c:pt>
                <c:pt idx="6">
                  <c:v>25.389840881272953</c:v>
                </c:pt>
                <c:pt idx="7">
                  <c:v>25.647534516765198</c:v>
                </c:pt>
                <c:pt idx="8">
                  <c:v>20.069827586207598</c:v>
                </c:pt>
              </c:numCache>
            </c:numRef>
          </c:val>
          <c:smooth val="0"/>
          <c:extLst>
            <c:ext xmlns:c16="http://schemas.microsoft.com/office/drawing/2014/chart" uri="{C3380CC4-5D6E-409C-BE32-E72D297353CC}">
              <c16:uniqueId val="{00000004-41FA-4322-97DD-01F75BE3A337}"/>
            </c:ext>
          </c:extLst>
        </c:ser>
        <c:ser>
          <c:idx val="3"/>
          <c:order val="4"/>
          <c:tx>
            <c:strRef>
              <c:f>'Graf-11-kvalita míst-3'!$E$17</c:f>
              <c:strCache>
                <c:ptCount val="1"/>
                <c:pt idx="0">
                  <c:v>rok 2008 (ženy)</c:v>
                </c:pt>
              </c:strCache>
            </c:strRef>
          </c:tx>
          <c:spPr>
            <a:ln w="12700" cap="rnd">
              <a:noFill/>
              <a:prstDash val="sysDash"/>
              <a:round/>
            </a:ln>
            <a:effectLst/>
          </c:spPr>
          <c:marker>
            <c:symbol val="circle"/>
            <c:size val="5"/>
            <c:spPr>
              <a:solidFill>
                <a:srgbClr val="BD1B21"/>
              </a:solidFill>
              <a:ln>
                <a:noFill/>
              </a:ln>
            </c:spPr>
          </c:marker>
          <c:cat>
            <c:strRef>
              <c:f>'Graf-11-kvalita míst-3'!$A$18:$A$26</c:f>
              <c:strCache>
                <c:ptCount val="9"/>
                <c:pt idx="0">
                  <c:v>15–19 
let </c:v>
                </c:pt>
                <c:pt idx="1">
                  <c:v>20–24</c:v>
                </c:pt>
                <c:pt idx="2">
                  <c:v>25–29</c:v>
                </c:pt>
                <c:pt idx="3">
                  <c:v>30–39</c:v>
                </c:pt>
                <c:pt idx="4">
                  <c:v>40–49</c:v>
                </c:pt>
                <c:pt idx="5">
                  <c:v>50–54</c:v>
                </c:pt>
                <c:pt idx="6">
                  <c:v>55–59</c:v>
                </c:pt>
                <c:pt idx="7">
                  <c:v>60–64</c:v>
                </c:pt>
                <c:pt idx="8">
                  <c:v>65–74 
let</c:v>
                </c:pt>
              </c:strCache>
            </c:strRef>
          </c:cat>
          <c:val>
            <c:numRef>
              <c:f>'Graf-11-kvalita míst-3'!$E$18:$E$26</c:f>
              <c:numCache>
                <c:formatCode>#\ ##0.0</c:formatCode>
                <c:ptCount val="9"/>
                <c:pt idx="0">
                  <c:v>48.100000000000009</c:v>
                </c:pt>
                <c:pt idx="1">
                  <c:v>38.965641410352589</c:v>
                </c:pt>
                <c:pt idx="2">
                  <c:v>26.102792553191495</c:v>
                </c:pt>
                <c:pt idx="3">
                  <c:v>26.6398418972332</c:v>
                </c:pt>
                <c:pt idx="4">
                  <c:v>28.630794831636653</c:v>
                </c:pt>
                <c:pt idx="5">
                  <c:v>27.988993482983339</c:v>
                </c:pt>
                <c:pt idx="6">
                  <c:v>26.266322650733315</c:v>
                </c:pt>
                <c:pt idx="7">
                  <c:v>15.643207126948683</c:v>
                </c:pt>
                <c:pt idx="8">
                  <c:v>16.20679012345667</c:v>
                </c:pt>
              </c:numCache>
            </c:numRef>
          </c:val>
          <c:smooth val="0"/>
          <c:extLst>
            <c:ext xmlns:c16="http://schemas.microsoft.com/office/drawing/2014/chart" uri="{C3380CC4-5D6E-409C-BE32-E72D297353CC}">
              <c16:uniqueId val="{00000005-41FA-4322-97DD-01F75BE3A337}"/>
            </c:ext>
          </c:extLst>
        </c:ser>
        <c:dLbls>
          <c:showLegendKey val="0"/>
          <c:showVal val="0"/>
          <c:showCatName val="0"/>
          <c:showSerName val="0"/>
          <c:showPercent val="0"/>
          <c:showBubbleSize val="0"/>
        </c:dLbls>
        <c:marker val="1"/>
        <c:smooth val="0"/>
        <c:axId val="143728000"/>
        <c:axId val="143742080"/>
      </c:lineChart>
      <c:catAx>
        <c:axId val="143728000"/>
        <c:scaling>
          <c:orientation val="minMax"/>
        </c:scaling>
        <c:delete val="0"/>
        <c:axPos val="b"/>
        <c:numFmt formatCode="General" sourceLinked="1"/>
        <c:majorTickMark val="none"/>
        <c:minorTickMark val="none"/>
        <c:tickLblPos val="low"/>
        <c:spPr>
          <a:noFill/>
          <a:ln w="6350" cap="flat" cmpd="sng" algn="ctr">
            <a:solidFill>
              <a:schemeClr val="tx1">
                <a:lumMod val="95000"/>
                <a:lumOff val="5000"/>
              </a:schemeClr>
            </a:solidFill>
            <a:round/>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cs-CZ"/>
          </a:p>
        </c:txPr>
        <c:crossAx val="143742080"/>
        <c:crossesAt val="0"/>
        <c:auto val="1"/>
        <c:lblAlgn val="ctr"/>
        <c:lblOffset val="10"/>
        <c:noMultiLvlLbl val="0"/>
      </c:catAx>
      <c:valAx>
        <c:axId val="143742080"/>
        <c:scaling>
          <c:orientation val="minMax"/>
          <c:max val="50"/>
          <c:min val="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cs-CZ"/>
          </a:p>
        </c:txPr>
        <c:crossAx val="143728000"/>
        <c:crosses val="autoZero"/>
        <c:crossBetween val="between"/>
        <c:majorUnit val="5"/>
      </c:valAx>
      <c:spPr>
        <a:noFill/>
        <a:ln w="6350">
          <a:solidFill>
            <a:schemeClr val="tx1">
              <a:lumMod val="95000"/>
              <a:lumOff val="5000"/>
            </a:schemeClr>
          </a:solidFill>
        </a:ln>
        <a:effectLst/>
      </c:spPr>
    </c:plotArea>
    <c:legend>
      <c:legendPos val="b"/>
      <c:layout>
        <c:manualLayout>
          <c:xMode val="edge"/>
          <c:yMode val="edge"/>
          <c:x val="0.13351647357204802"/>
          <c:y val="0.87146541817407963"/>
          <c:w val="0.71245666900934401"/>
          <c:h val="0.11953862523941264"/>
        </c:manualLayout>
      </c:layout>
      <c:overlay val="0"/>
      <c:spPr>
        <a:noFill/>
        <a:ln w="6350">
          <a:solidFill>
            <a:schemeClr val="tx1">
              <a:lumMod val="95000"/>
              <a:lumOff val="5000"/>
            </a:schemeClr>
          </a:solid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cs-CZ"/>
        </a:p>
      </c:txPr>
    </c:legend>
    <c:plotVisOnly val="1"/>
    <c:dispBlanksAs val="gap"/>
    <c:showDLblsOverMax val="0"/>
  </c:chart>
  <c:spPr>
    <a:solidFill>
      <a:schemeClr val="bg1"/>
    </a:solidFill>
    <a:ln w="9525" cap="flat" cmpd="sng" algn="ctr">
      <a:noFill/>
      <a:round/>
    </a:ln>
    <a:effectLst/>
  </c:spPr>
  <c:txPr>
    <a:bodyPr/>
    <a:lstStyle/>
    <a:p>
      <a:pPr>
        <a:defRPr/>
      </a:pPr>
      <a:endParaRPr lang="cs-CZ"/>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1755603720266684E-2"/>
          <c:y val="1.5999671172066066E-2"/>
          <c:w val="0.92706101605535451"/>
          <c:h val="0.69848835180176183"/>
        </c:manualLayout>
      </c:layout>
      <c:lineChart>
        <c:grouping val="standard"/>
        <c:varyColors val="0"/>
        <c:ser>
          <c:idx val="0"/>
          <c:order val="0"/>
          <c:tx>
            <c:strRef>
              <c:f>'Graf-12-kvalita míst-4'!$C$87</c:f>
              <c:strCache>
                <c:ptCount val="1"/>
                <c:pt idx="0">
                  <c:v>Všichni pracovníci</c:v>
                </c:pt>
              </c:strCache>
            </c:strRef>
          </c:tx>
          <c:spPr>
            <a:ln w="15875">
              <a:noFill/>
            </a:ln>
            <a:effectLst/>
          </c:spPr>
          <c:marker>
            <c:symbol val="dash"/>
            <c:size val="8"/>
            <c:spPr>
              <a:solidFill>
                <a:schemeClr val="tx1">
                  <a:lumMod val="95000"/>
                  <a:lumOff val="5000"/>
                </a:schemeClr>
              </a:solidFill>
              <a:ln>
                <a:noFill/>
              </a:ln>
            </c:spPr>
          </c:marker>
          <c:cat>
            <c:multiLvlStrRef>
              <c:f>'Graf-12-kvalita míst-4'!$A$88:$B$117</c:f>
              <c:multiLvlStrCache>
                <c:ptCount val="30"/>
                <c:lvl>
                  <c:pt idx="0">
                    <c:v>2008</c:v>
                  </c:pt>
                  <c:pt idx="1">
                    <c:v>2013</c:v>
                  </c:pt>
                  <c:pt idx="2">
                    <c:v>2018</c:v>
                  </c:pt>
                  <c:pt idx="3">
                    <c:v>2008</c:v>
                  </c:pt>
                  <c:pt idx="4">
                    <c:v>2013</c:v>
                  </c:pt>
                  <c:pt idx="5">
                    <c:v>2018</c:v>
                  </c:pt>
                  <c:pt idx="6">
                    <c:v>2008</c:v>
                  </c:pt>
                  <c:pt idx="7">
                    <c:v>2013</c:v>
                  </c:pt>
                  <c:pt idx="8">
                    <c:v>2018</c:v>
                  </c:pt>
                  <c:pt idx="9">
                    <c:v>2008</c:v>
                  </c:pt>
                  <c:pt idx="10">
                    <c:v>2013</c:v>
                  </c:pt>
                  <c:pt idx="11">
                    <c:v>2018</c:v>
                  </c:pt>
                  <c:pt idx="12">
                    <c:v>2008</c:v>
                  </c:pt>
                  <c:pt idx="13">
                    <c:v>2013</c:v>
                  </c:pt>
                  <c:pt idx="14">
                    <c:v>2018</c:v>
                  </c:pt>
                  <c:pt idx="15">
                    <c:v>2008</c:v>
                  </c:pt>
                  <c:pt idx="16">
                    <c:v>2013</c:v>
                  </c:pt>
                  <c:pt idx="17">
                    <c:v>2018</c:v>
                  </c:pt>
                  <c:pt idx="18">
                    <c:v>2008</c:v>
                  </c:pt>
                  <c:pt idx="19">
                    <c:v>2013</c:v>
                  </c:pt>
                  <c:pt idx="20">
                    <c:v>2018</c:v>
                  </c:pt>
                  <c:pt idx="21">
                    <c:v>2008</c:v>
                  </c:pt>
                  <c:pt idx="22">
                    <c:v>2013</c:v>
                  </c:pt>
                  <c:pt idx="23">
                    <c:v>2018</c:v>
                  </c:pt>
                  <c:pt idx="24">
                    <c:v>2008</c:v>
                  </c:pt>
                  <c:pt idx="25">
                    <c:v>2013</c:v>
                  </c:pt>
                  <c:pt idx="26">
                    <c:v>2018</c:v>
                  </c:pt>
                  <c:pt idx="27">
                    <c:v>2008</c:v>
                  </c:pt>
                  <c:pt idx="28">
                    <c:v>2013</c:v>
                  </c:pt>
                  <c:pt idx="29">
                    <c:v>2018</c:v>
                  </c:pt>
                </c:lvl>
                <c:lvl>
                  <c:pt idx="0">
                    <c:v>Zákonod.
a řídící 
pracovn.</c:v>
                  </c:pt>
                  <c:pt idx="3">
                    <c:v>Specia-
listé</c:v>
                  </c:pt>
                  <c:pt idx="6">
                    <c:v>Technič. 
a odbor. 
pracovn.</c:v>
                  </c:pt>
                  <c:pt idx="9">
                    <c:v>Úředníci</c:v>
                  </c:pt>
                  <c:pt idx="12">
                    <c:v>Pracovn. 
ve služb. 
a prodeji</c:v>
                  </c:pt>
                  <c:pt idx="15">
                    <c:v>Kvalifik.
pracov.v 
zeměděl., 
lesn.,ryb.</c:v>
                  </c:pt>
                  <c:pt idx="18">
                    <c:v>Řemesln.
a opraváři</c:v>
                  </c:pt>
                  <c:pt idx="21">
                    <c:v>Obsluha 
strojů a 
zařízení, 
montéři</c:v>
                  </c:pt>
                  <c:pt idx="24">
                    <c:v>Pomocn.,
nekvalif. 
pracovn.</c:v>
                  </c:pt>
                  <c:pt idx="27">
                    <c:v>Všechny 
třídy
zaměst-
nání</c:v>
                  </c:pt>
                </c:lvl>
              </c:multiLvlStrCache>
            </c:multiLvlStrRef>
          </c:cat>
          <c:val>
            <c:numRef>
              <c:f>'Graf-12-kvalita míst-4'!$C$88:$C$117</c:f>
              <c:numCache>
                <c:formatCode>#\ ##0.0</c:formatCode>
                <c:ptCount val="30"/>
                <c:pt idx="0">
                  <c:v>43.4</c:v>
                </c:pt>
                <c:pt idx="1">
                  <c:v>36.5</c:v>
                </c:pt>
                <c:pt idx="2">
                  <c:v>32.700000000000003</c:v>
                </c:pt>
                <c:pt idx="3">
                  <c:v>20.399999999999999</c:v>
                </c:pt>
                <c:pt idx="4">
                  <c:v>12.4</c:v>
                </c:pt>
                <c:pt idx="5">
                  <c:v>11.6</c:v>
                </c:pt>
                <c:pt idx="6">
                  <c:v>14.8</c:v>
                </c:pt>
                <c:pt idx="7">
                  <c:v>12.1</c:v>
                </c:pt>
                <c:pt idx="8">
                  <c:v>8.6</c:v>
                </c:pt>
                <c:pt idx="9">
                  <c:v>4.3</c:v>
                </c:pt>
                <c:pt idx="10">
                  <c:v>3.5</c:v>
                </c:pt>
                <c:pt idx="11">
                  <c:v>2.8</c:v>
                </c:pt>
                <c:pt idx="12">
                  <c:v>14.4</c:v>
                </c:pt>
                <c:pt idx="13">
                  <c:v>11.6</c:v>
                </c:pt>
                <c:pt idx="14">
                  <c:v>11.2</c:v>
                </c:pt>
                <c:pt idx="15">
                  <c:v>30.7</c:v>
                </c:pt>
                <c:pt idx="16">
                  <c:v>26.1</c:v>
                </c:pt>
                <c:pt idx="17">
                  <c:v>27.3</c:v>
                </c:pt>
                <c:pt idx="18">
                  <c:v>21.8</c:v>
                </c:pt>
                <c:pt idx="19">
                  <c:v>18.100000000000001</c:v>
                </c:pt>
                <c:pt idx="20">
                  <c:v>16.399999999999999</c:v>
                </c:pt>
                <c:pt idx="21">
                  <c:v>12.9</c:v>
                </c:pt>
                <c:pt idx="22">
                  <c:v>11</c:v>
                </c:pt>
                <c:pt idx="23">
                  <c:v>9.6</c:v>
                </c:pt>
                <c:pt idx="24">
                  <c:v>5.3</c:v>
                </c:pt>
                <c:pt idx="25">
                  <c:v>3.7</c:v>
                </c:pt>
                <c:pt idx="26">
                  <c:v>2.9</c:v>
                </c:pt>
                <c:pt idx="27">
                  <c:v>17.3</c:v>
                </c:pt>
                <c:pt idx="28">
                  <c:v>13.2</c:v>
                </c:pt>
                <c:pt idx="29">
                  <c:v>11.4</c:v>
                </c:pt>
              </c:numCache>
            </c:numRef>
          </c:val>
          <c:smooth val="0"/>
          <c:extLst>
            <c:ext xmlns:c16="http://schemas.microsoft.com/office/drawing/2014/chart" uri="{C3380CC4-5D6E-409C-BE32-E72D297353CC}">
              <c16:uniqueId val="{00000000-825A-4932-9AFF-CD5855285756}"/>
            </c:ext>
          </c:extLst>
        </c:ser>
        <c:ser>
          <c:idx val="1"/>
          <c:order val="1"/>
          <c:tx>
            <c:strRef>
              <c:f>'Graf-12-kvalita míst-4'!$D$87</c:f>
              <c:strCache>
                <c:ptCount val="1"/>
                <c:pt idx="0">
                  <c:v>Zaměstnanci</c:v>
                </c:pt>
              </c:strCache>
            </c:strRef>
          </c:tx>
          <c:spPr>
            <a:ln w="15875">
              <a:noFill/>
              <a:prstDash val="solid"/>
            </a:ln>
            <a:effectLst/>
          </c:spPr>
          <c:marker>
            <c:symbol val="dash"/>
            <c:size val="5"/>
            <c:spPr>
              <a:noFill/>
              <a:ln>
                <a:solidFill>
                  <a:srgbClr val="0071BC"/>
                </a:solidFill>
              </a:ln>
            </c:spPr>
          </c:marker>
          <c:cat>
            <c:multiLvlStrRef>
              <c:f>'Graf-12-kvalita míst-4'!$A$88:$B$117</c:f>
              <c:multiLvlStrCache>
                <c:ptCount val="30"/>
                <c:lvl>
                  <c:pt idx="0">
                    <c:v>2008</c:v>
                  </c:pt>
                  <c:pt idx="1">
                    <c:v>2013</c:v>
                  </c:pt>
                  <c:pt idx="2">
                    <c:v>2018</c:v>
                  </c:pt>
                  <c:pt idx="3">
                    <c:v>2008</c:v>
                  </c:pt>
                  <c:pt idx="4">
                    <c:v>2013</c:v>
                  </c:pt>
                  <c:pt idx="5">
                    <c:v>2018</c:v>
                  </c:pt>
                  <c:pt idx="6">
                    <c:v>2008</c:v>
                  </c:pt>
                  <c:pt idx="7">
                    <c:v>2013</c:v>
                  </c:pt>
                  <c:pt idx="8">
                    <c:v>2018</c:v>
                  </c:pt>
                  <c:pt idx="9">
                    <c:v>2008</c:v>
                  </c:pt>
                  <c:pt idx="10">
                    <c:v>2013</c:v>
                  </c:pt>
                  <c:pt idx="11">
                    <c:v>2018</c:v>
                  </c:pt>
                  <c:pt idx="12">
                    <c:v>2008</c:v>
                  </c:pt>
                  <c:pt idx="13">
                    <c:v>2013</c:v>
                  </c:pt>
                  <c:pt idx="14">
                    <c:v>2018</c:v>
                  </c:pt>
                  <c:pt idx="15">
                    <c:v>2008</c:v>
                  </c:pt>
                  <c:pt idx="16">
                    <c:v>2013</c:v>
                  </c:pt>
                  <c:pt idx="17">
                    <c:v>2018</c:v>
                  </c:pt>
                  <c:pt idx="18">
                    <c:v>2008</c:v>
                  </c:pt>
                  <c:pt idx="19">
                    <c:v>2013</c:v>
                  </c:pt>
                  <c:pt idx="20">
                    <c:v>2018</c:v>
                  </c:pt>
                  <c:pt idx="21">
                    <c:v>2008</c:v>
                  </c:pt>
                  <c:pt idx="22">
                    <c:v>2013</c:v>
                  </c:pt>
                  <c:pt idx="23">
                    <c:v>2018</c:v>
                  </c:pt>
                  <c:pt idx="24">
                    <c:v>2008</c:v>
                  </c:pt>
                  <c:pt idx="25">
                    <c:v>2013</c:v>
                  </c:pt>
                  <c:pt idx="26">
                    <c:v>2018</c:v>
                  </c:pt>
                  <c:pt idx="27">
                    <c:v>2008</c:v>
                  </c:pt>
                  <c:pt idx="28">
                    <c:v>2013</c:v>
                  </c:pt>
                  <c:pt idx="29">
                    <c:v>2018</c:v>
                  </c:pt>
                </c:lvl>
                <c:lvl>
                  <c:pt idx="0">
                    <c:v>Zákonod.
a řídící 
pracovn.</c:v>
                  </c:pt>
                  <c:pt idx="3">
                    <c:v>Specia-
listé</c:v>
                  </c:pt>
                  <c:pt idx="6">
                    <c:v>Technič. 
a odbor. 
pracovn.</c:v>
                  </c:pt>
                  <c:pt idx="9">
                    <c:v>Úředníci</c:v>
                  </c:pt>
                  <c:pt idx="12">
                    <c:v>Pracovn. 
ve služb. 
a prodeji</c:v>
                  </c:pt>
                  <c:pt idx="15">
                    <c:v>Kvalifik.
pracov.v 
zeměděl., 
lesn.,ryb.</c:v>
                  </c:pt>
                  <c:pt idx="18">
                    <c:v>Řemesln.
a opraváři</c:v>
                  </c:pt>
                  <c:pt idx="21">
                    <c:v>Obsluha 
strojů a 
zařízení, 
montéři</c:v>
                  </c:pt>
                  <c:pt idx="24">
                    <c:v>Pomocn.,
nekvalif. 
pracovn.</c:v>
                  </c:pt>
                  <c:pt idx="27">
                    <c:v>Všechny 
třídy
zaměst-
nání</c:v>
                  </c:pt>
                </c:lvl>
              </c:multiLvlStrCache>
            </c:multiLvlStrRef>
          </c:cat>
          <c:val>
            <c:numRef>
              <c:f>'Graf-12-kvalita míst-4'!$D$88:$D$117</c:f>
              <c:numCache>
                <c:formatCode>#\ ##0.0</c:formatCode>
                <c:ptCount val="30"/>
                <c:pt idx="0">
                  <c:v>27.3</c:v>
                </c:pt>
                <c:pt idx="1">
                  <c:v>23.4</c:v>
                </c:pt>
                <c:pt idx="2">
                  <c:v>22.8</c:v>
                </c:pt>
                <c:pt idx="3">
                  <c:v>13</c:v>
                </c:pt>
                <c:pt idx="4">
                  <c:v>8.1</c:v>
                </c:pt>
                <c:pt idx="5">
                  <c:v>7</c:v>
                </c:pt>
                <c:pt idx="6">
                  <c:v>9.1</c:v>
                </c:pt>
                <c:pt idx="7">
                  <c:v>6.8</c:v>
                </c:pt>
                <c:pt idx="8">
                  <c:v>4.8</c:v>
                </c:pt>
                <c:pt idx="9">
                  <c:v>3.1</c:v>
                </c:pt>
                <c:pt idx="10">
                  <c:v>2.2999999999999998</c:v>
                </c:pt>
                <c:pt idx="11">
                  <c:v>1.7</c:v>
                </c:pt>
                <c:pt idx="12">
                  <c:v>9</c:v>
                </c:pt>
                <c:pt idx="13">
                  <c:v>6.3</c:v>
                </c:pt>
                <c:pt idx="14">
                  <c:v>4.5</c:v>
                </c:pt>
                <c:pt idx="15">
                  <c:v>6.3</c:v>
                </c:pt>
                <c:pt idx="16">
                  <c:v>7</c:v>
                </c:pt>
                <c:pt idx="17">
                  <c:v>7</c:v>
                </c:pt>
                <c:pt idx="18">
                  <c:v>8</c:v>
                </c:pt>
                <c:pt idx="19">
                  <c:v>5.9</c:v>
                </c:pt>
                <c:pt idx="20">
                  <c:v>4.5</c:v>
                </c:pt>
                <c:pt idx="21">
                  <c:v>10</c:v>
                </c:pt>
                <c:pt idx="22">
                  <c:v>8.6</c:v>
                </c:pt>
                <c:pt idx="23">
                  <c:v>7.5</c:v>
                </c:pt>
                <c:pt idx="24">
                  <c:v>4.3</c:v>
                </c:pt>
                <c:pt idx="25">
                  <c:v>2.6</c:v>
                </c:pt>
                <c:pt idx="26">
                  <c:v>2</c:v>
                </c:pt>
                <c:pt idx="27">
                  <c:v>9.6</c:v>
                </c:pt>
                <c:pt idx="28">
                  <c:v>7</c:v>
                </c:pt>
                <c:pt idx="29">
                  <c:v>5.7</c:v>
                </c:pt>
              </c:numCache>
            </c:numRef>
          </c:val>
          <c:smooth val="0"/>
          <c:extLst>
            <c:ext xmlns:c16="http://schemas.microsoft.com/office/drawing/2014/chart" uri="{C3380CC4-5D6E-409C-BE32-E72D297353CC}">
              <c16:uniqueId val="{00000001-825A-4932-9AFF-CD5855285756}"/>
            </c:ext>
          </c:extLst>
        </c:ser>
        <c:ser>
          <c:idx val="2"/>
          <c:order val="2"/>
          <c:tx>
            <c:strRef>
              <c:f>'Graf-12-kvalita míst-4'!$E$87</c:f>
              <c:strCache>
                <c:ptCount val="1"/>
                <c:pt idx="0">
                  <c:v>Podnikatelé se zaměstnanci</c:v>
                </c:pt>
              </c:strCache>
            </c:strRef>
          </c:tx>
          <c:spPr>
            <a:ln w="15875" cap="rnd">
              <a:noFill/>
              <a:round/>
            </a:ln>
            <a:effectLst/>
          </c:spPr>
          <c:marker>
            <c:symbol val="diamond"/>
            <c:size val="5"/>
            <c:spPr>
              <a:solidFill>
                <a:srgbClr val="00B050"/>
              </a:solidFill>
              <a:ln>
                <a:noFill/>
              </a:ln>
            </c:spPr>
          </c:marker>
          <c:cat>
            <c:multiLvlStrRef>
              <c:f>'Graf-12-kvalita míst-4'!$A$88:$B$117</c:f>
              <c:multiLvlStrCache>
                <c:ptCount val="30"/>
                <c:lvl>
                  <c:pt idx="0">
                    <c:v>2008</c:v>
                  </c:pt>
                  <c:pt idx="1">
                    <c:v>2013</c:v>
                  </c:pt>
                  <c:pt idx="2">
                    <c:v>2018</c:v>
                  </c:pt>
                  <c:pt idx="3">
                    <c:v>2008</c:v>
                  </c:pt>
                  <c:pt idx="4">
                    <c:v>2013</c:v>
                  </c:pt>
                  <c:pt idx="5">
                    <c:v>2018</c:v>
                  </c:pt>
                  <c:pt idx="6">
                    <c:v>2008</c:v>
                  </c:pt>
                  <c:pt idx="7">
                    <c:v>2013</c:v>
                  </c:pt>
                  <c:pt idx="8">
                    <c:v>2018</c:v>
                  </c:pt>
                  <c:pt idx="9">
                    <c:v>2008</c:v>
                  </c:pt>
                  <c:pt idx="10">
                    <c:v>2013</c:v>
                  </c:pt>
                  <c:pt idx="11">
                    <c:v>2018</c:v>
                  </c:pt>
                  <c:pt idx="12">
                    <c:v>2008</c:v>
                  </c:pt>
                  <c:pt idx="13">
                    <c:v>2013</c:v>
                  </c:pt>
                  <c:pt idx="14">
                    <c:v>2018</c:v>
                  </c:pt>
                  <c:pt idx="15">
                    <c:v>2008</c:v>
                  </c:pt>
                  <c:pt idx="16">
                    <c:v>2013</c:v>
                  </c:pt>
                  <c:pt idx="17">
                    <c:v>2018</c:v>
                  </c:pt>
                  <c:pt idx="18">
                    <c:v>2008</c:v>
                  </c:pt>
                  <c:pt idx="19">
                    <c:v>2013</c:v>
                  </c:pt>
                  <c:pt idx="20">
                    <c:v>2018</c:v>
                  </c:pt>
                  <c:pt idx="21">
                    <c:v>2008</c:v>
                  </c:pt>
                  <c:pt idx="22">
                    <c:v>2013</c:v>
                  </c:pt>
                  <c:pt idx="23">
                    <c:v>2018</c:v>
                  </c:pt>
                  <c:pt idx="24">
                    <c:v>2008</c:v>
                  </c:pt>
                  <c:pt idx="25">
                    <c:v>2013</c:v>
                  </c:pt>
                  <c:pt idx="26">
                    <c:v>2018</c:v>
                  </c:pt>
                  <c:pt idx="27">
                    <c:v>2008</c:v>
                  </c:pt>
                  <c:pt idx="28">
                    <c:v>2013</c:v>
                  </c:pt>
                  <c:pt idx="29">
                    <c:v>2018</c:v>
                  </c:pt>
                </c:lvl>
                <c:lvl>
                  <c:pt idx="0">
                    <c:v>Zákonod.
a řídící 
pracovn.</c:v>
                  </c:pt>
                  <c:pt idx="3">
                    <c:v>Specia-
listé</c:v>
                  </c:pt>
                  <c:pt idx="6">
                    <c:v>Technič. 
a odbor. 
pracovn.</c:v>
                  </c:pt>
                  <c:pt idx="9">
                    <c:v>Úředníci</c:v>
                  </c:pt>
                  <c:pt idx="12">
                    <c:v>Pracovn. 
ve služb. 
a prodeji</c:v>
                  </c:pt>
                  <c:pt idx="15">
                    <c:v>Kvalifik.
pracov.v 
zeměděl., 
lesn.,ryb.</c:v>
                  </c:pt>
                  <c:pt idx="18">
                    <c:v>Řemesln.
a opraváři</c:v>
                  </c:pt>
                  <c:pt idx="21">
                    <c:v>Obsluha 
strojů a 
zařízení, 
montéři</c:v>
                  </c:pt>
                  <c:pt idx="24">
                    <c:v>Pomocn.,
nekvalif. 
pracovn.</c:v>
                  </c:pt>
                  <c:pt idx="27">
                    <c:v>Všechny 
třídy
zaměst-
nání</c:v>
                  </c:pt>
                </c:lvl>
              </c:multiLvlStrCache>
            </c:multiLvlStrRef>
          </c:cat>
          <c:val>
            <c:numRef>
              <c:f>'Graf-12-kvalita míst-4'!$E$88:$E$117</c:f>
              <c:numCache>
                <c:formatCode>#\ ##0.0</c:formatCode>
                <c:ptCount val="30"/>
                <c:pt idx="0">
                  <c:v>77.5</c:v>
                </c:pt>
                <c:pt idx="1">
                  <c:v>71.400000000000006</c:v>
                </c:pt>
                <c:pt idx="2">
                  <c:v>60.5</c:v>
                </c:pt>
                <c:pt idx="3">
                  <c:v>51.2</c:v>
                </c:pt>
                <c:pt idx="4">
                  <c:v>29.9</c:v>
                </c:pt>
                <c:pt idx="5">
                  <c:v>35.700000000000003</c:v>
                </c:pt>
                <c:pt idx="6">
                  <c:v>58</c:v>
                </c:pt>
                <c:pt idx="7">
                  <c:v>54.7</c:v>
                </c:pt>
                <c:pt idx="8">
                  <c:v>54.5</c:v>
                </c:pt>
                <c:pt idx="12">
                  <c:v>57.8</c:v>
                </c:pt>
                <c:pt idx="13">
                  <c:v>51.8</c:v>
                </c:pt>
                <c:pt idx="14">
                  <c:v>40.6</c:v>
                </c:pt>
                <c:pt idx="18">
                  <c:v>77.400000000000006</c:v>
                </c:pt>
                <c:pt idx="19">
                  <c:v>61.3</c:v>
                </c:pt>
                <c:pt idx="20">
                  <c:v>54.6</c:v>
                </c:pt>
                <c:pt idx="27">
                  <c:v>69.400000000000006</c:v>
                </c:pt>
                <c:pt idx="28">
                  <c:v>57.5</c:v>
                </c:pt>
                <c:pt idx="29">
                  <c:v>51.7</c:v>
                </c:pt>
              </c:numCache>
            </c:numRef>
          </c:val>
          <c:smooth val="0"/>
          <c:extLst>
            <c:ext xmlns:c16="http://schemas.microsoft.com/office/drawing/2014/chart" uri="{C3380CC4-5D6E-409C-BE32-E72D297353CC}">
              <c16:uniqueId val="{00000002-825A-4932-9AFF-CD5855285756}"/>
            </c:ext>
          </c:extLst>
        </c:ser>
        <c:ser>
          <c:idx val="3"/>
          <c:order val="3"/>
          <c:tx>
            <c:strRef>
              <c:f>'Graf-12-kvalita míst-4'!$F$87</c:f>
              <c:strCache>
                <c:ptCount val="1"/>
                <c:pt idx="0">
                  <c:v>Podnikatelé bez zaměstnanců</c:v>
                </c:pt>
              </c:strCache>
            </c:strRef>
          </c:tx>
          <c:spPr>
            <a:ln w="15875" cap="rnd">
              <a:noFill/>
              <a:prstDash val="solid"/>
              <a:round/>
            </a:ln>
            <a:effectLst/>
          </c:spPr>
          <c:marker>
            <c:symbol val="circle"/>
            <c:size val="5"/>
            <c:spPr>
              <a:solidFill>
                <a:srgbClr val="C5FFDF"/>
              </a:solidFill>
              <a:ln>
                <a:solidFill>
                  <a:srgbClr val="00B050"/>
                </a:solidFill>
              </a:ln>
            </c:spPr>
          </c:marker>
          <c:cat>
            <c:multiLvlStrRef>
              <c:f>'Graf-12-kvalita míst-4'!$A$88:$B$117</c:f>
              <c:multiLvlStrCache>
                <c:ptCount val="30"/>
                <c:lvl>
                  <c:pt idx="0">
                    <c:v>2008</c:v>
                  </c:pt>
                  <c:pt idx="1">
                    <c:v>2013</c:v>
                  </c:pt>
                  <c:pt idx="2">
                    <c:v>2018</c:v>
                  </c:pt>
                  <c:pt idx="3">
                    <c:v>2008</c:v>
                  </c:pt>
                  <c:pt idx="4">
                    <c:v>2013</c:v>
                  </c:pt>
                  <c:pt idx="5">
                    <c:v>2018</c:v>
                  </c:pt>
                  <c:pt idx="6">
                    <c:v>2008</c:v>
                  </c:pt>
                  <c:pt idx="7">
                    <c:v>2013</c:v>
                  </c:pt>
                  <c:pt idx="8">
                    <c:v>2018</c:v>
                  </c:pt>
                  <c:pt idx="9">
                    <c:v>2008</c:v>
                  </c:pt>
                  <c:pt idx="10">
                    <c:v>2013</c:v>
                  </c:pt>
                  <c:pt idx="11">
                    <c:v>2018</c:v>
                  </c:pt>
                  <c:pt idx="12">
                    <c:v>2008</c:v>
                  </c:pt>
                  <c:pt idx="13">
                    <c:v>2013</c:v>
                  </c:pt>
                  <c:pt idx="14">
                    <c:v>2018</c:v>
                  </c:pt>
                  <c:pt idx="15">
                    <c:v>2008</c:v>
                  </c:pt>
                  <c:pt idx="16">
                    <c:v>2013</c:v>
                  </c:pt>
                  <c:pt idx="17">
                    <c:v>2018</c:v>
                  </c:pt>
                  <c:pt idx="18">
                    <c:v>2008</c:v>
                  </c:pt>
                  <c:pt idx="19">
                    <c:v>2013</c:v>
                  </c:pt>
                  <c:pt idx="20">
                    <c:v>2018</c:v>
                  </c:pt>
                  <c:pt idx="21">
                    <c:v>2008</c:v>
                  </c:pt>
                  <c:pt idx="22">
                    <c:v>2013</c:v>
                  </c:pt>
                  <c:pt idx="23">
                    <c:v>2018</c:v>
                  </c:pt>
                  <c:pt idx="24">
                    <c:v>2008</c:v>
                  </c:pt>
                  <c:pt idx="25">
                    <c:v>2013</c:v>
                  </c:pt>
                  <c:pt idx="26">
                    <c:v>2018</c:v>
                  </c:pt>
                  <c:pt idx="27">
                    <c:v>2008</c:v>
                  </c:pt>
                  <c:pt idx="28">
                    <c:v>2013</c:v>
                  </c:pt>
                  <c:pt idx="29">
                    <c:v>2018</c:v>
                  </c:pt>
                </c:lvl>
                <c:lvl>
                  <c:pt idx="0">
                    <c:v>Zákonod.
a řídící 
pracovn.</c:v>
                  </c:pt>
                  <c:pt idx="3">
                    <c:v>Specia-
listé</c:v>
                  </c:pt>
                  <c:pt idx="6">
                    <c:v>Technič. 
a odbor. 
pracovn.</c:v>
                  </c:pt>
                  <c:pt idx="9">
                    <c:v>Úředníci</c:v>
                  </c:pt>
                  <c:pt idx="12">
                    <c:v>Pracovn. 
ve služb. 
a prodeji</c:v>
                  </c:pt>
                  <c:pt idx="15">
                    <c:v>Kvalifik.
pracov.v 
zeměděl., 
lesn.,ryb.</c:v>
                  </c:pt>
                  <c:pt idx="18">
                    <c:v>Řemesln.
a opraváři</c:v>
                  </c:pt>
                  <c:pt idx="21">
                    <c:v>Obsluha 
strojů a 
zařízení, 
montéři</c:v>
                  </c:pt>
                  <c:pt idx="24">
                    <c:v>Pomocn.,
nekvalif. 
pracovn.</c:v>
                  </c:pt>
                  <c:pt idx="27">
                    <c:v>Všechny 
třídy
zaměst-
nání</c:v>
                  </c:pt>
                </c:lvl>
              </c:multiLvlStrCache>
            </c:multiLvlStrRef>
          </c:cat>
          <c:val>
            <c:numRef>
              <c:f>'Graf-12-kvalita míst-4'!$F$88:$F$117</c:f>
              <c:numCache>
                <c:formatCode>#\ ##0.0</c:formatCode>
                <c:ptCount val="30"/>
                <c:pt idx="0">
                  <c:v>67.900000000000006</c:v>
                </c:pt>
                <c:pt idx="1">
                  <c:v>59.6</c:v>
                </c:pt>
                <c:pt idx="2">
                  <c:v>38.6</c:v>
                </c:pt>
                <c:pt idx="3">
                  <c:v>49.7</c:v>
                </c:pt>
                <c:pt idx="4">
                  <c:v>33.200000000000003</c:v>
                </c:pt>
                <c:pt idx="5">
                  <c:v>32.299999999999997</c:v>
                </c:pt>
                <c:pt idx="6">
                  <c:v>49.4</c:v>
                </c:pt>
                <c:pt idx="7">
                  <c:v>37.5</c:v>
                </c:pt>
                <c:pt idx="8">
                  <c:v>32.9</c:v>
                </c:pt>
                <c:pt idx="9">
                  <c:v>54.1</c:v>
                </c:pt>
                <c:pt idx="10">
                  <c:v>23.1</c:v>
                </c:pt>
                <c:pt idx="11">
                  <c:v>18.399999999999999</c:v>
                </c:pt>
                <c:pt idx="12">
                  <c:v>40.700000000000003</c:v>
                </c:pt>
                <c:pt idx="13">
                  <c:v>27.9</c:v>
                </c:pt>
                <c:pt idx="14">
                  <c:v>33.200000000000003</c:v>
                </c:pt>
                <c:pt idx="15">
                  <c:v>66.8</c:v>
                </c:pt>
                <c:pt idx="16">
                  <c:v>52.2</c:v>
                </c:pt>
                <c:pt idx="17">
                  <c:v>48.4</c:v>
                </c:pt>
                <c:pt idx="18">
                  <c:v>64.900000000000006</c:v>
                </c:pt>
                <c:pt idx="19">
                  <c:v>50.3</c:v>
                </c:pt>
                <c:pt idx="20">
                  <c:v>48.3</c:v>
                </c:pt>
                <c:pt idx="21">
                  <c:v>61.7</c:v>
                </c:pt>
                <c:pt idx="22">
                  <c:v>50.7</c:v>
                </c:pt>
                <c:pt idx="23">
                  <c:v>49.8</c:v>
                </c:pt>
                <c:pt idx="27">
                  <c:v>55.7</c:v>
                </c:pt>
                <c:pt idx="28">
                  <c:v>40.1</c:v>
                </c:pt>
                <c:pt idx="29">
                  <c:v>38.4</c:v>
                </c:pt>
              </c:numCache>
            </c:numRef>
          </c:val>
          <c:smooth val="0"/>
          <c:extLst>
            <c:ext xmlns:c16="http://schemas.microsoft.com/office/drawing/2014/chart" uri="{C3380CC4-5D6E-409C-BE32-E72D297353CC}">
              <c16:uniqueId val="{00000003-825A-4932-9AFF-CD5855285756}"/>
            </c:ext>
          </c:extLst>
        </c:ser>
        <c:dLbls>
          <c:showLegendKey val="0"/>
          <c:showVal val="0"/>
          <c:showCatName val="0"/>
          <c:showSerName val="0"/>
          <c:showPercent val="0"/>
          <c:showBubbleSize val="0"/>
        </c:dLbls>
        <c:marker val="1"/>
        <c:smooth val="0"/>
        <c:axId val="143962880"/>
        <c:axId val="143964416"/>
      </c:lineChart>
      <c:catAx>
        <c:axId val="143962880"/>
        <c:scaling>
          <c:orientation val="minMax"/>
        </c:scaling>
        <c:delete val="0"/>
        <c:axPos val="b"/>
        <c:numFmt formatCode="General" sourceLinked="1"/>
        <c:majorTickMark val="none"/>
        <c:minorTickMark val="none"/>
        <c:tickLblPos val="low"/>
        <c:spPr>
          <a:noFill/>
          <a:ln w="6350" cap="flat" cmpd="sng" algn="ctr">
            <a:solidFill>
              <a:schemeClr val="tx1">
                <a:lumMod val="95000"/>
                <a:lumOff val="5000"/>
              </a:schemeClr>
            </a:solidFill>
            <a:round/>
          </a:ln>
          <a:effectLst/>
        </c:spPr>
        <c:txPr>
          <a:bodyPr rot="-5400000" spcFirstLastPara="1" vertOverflow="ellipsis" vert="horz" wrap="square" anchor="ctr" anchorCtr="1"/>
          <a:lstStyle/>
          <a:p>
            <a:pPr>
              <a:defRPr sz="75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cs-CZ"/>
          </a:p>
        </c:txPr>
        <c:crossAx val="143964416"/>
        <c:crossesAt val="0"/>
        <c:auto val="1"/>
        <c:lblAlgn val="ctr"/>
        <c:lblOffset val="10"/>
        <c:noMultiLvlLbl val="0"/>
      </c:catAx>
      <c:valAx>
        <c:axId val="143964416"/>
        <c:scaling>
          <c:orientation val="minMax"/>
          <c:max val="80"/>
          <c:min val="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75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cs-CZ"/>
          </a:p>
        </c:txPr>
        <c:crossAx val="143962880"/>
        <c:crosses val="autoZero"/>
        <c:crossBetween val="between"/>
        <c:majorUnit val="10"/>
      </c:valAx>
      <c:spPr>
        <a:noFill/>
        <a:ln w="6350">
          <a:solidFill>
            <a:schemeClr val="tx1">
              <a:lumMod val="95000"/>
              <a:lumOff val="5000"/>
            </a:schemeClr>
          </a:solidFill>
        </a:ln>
        <a:effectLst/>
      </c:spPr>
    </c:plotArea>
    <c:legend>
      <c:legendPos val="b"/>
      <c:layout>
        <c:manualLayout>
          <c:xMode val="edge"/>
          <c:yMode val="edge"/>
          <c:x val="4.7800648986321435E-2"/>
          <c:y val="0.93708030669489295"/>
          <c:w val="0.92787555651307696"/>
          <c:h val="5.6731007673620854E-2"/>
        </c:manualLayout>
      </c:layout>
      <c:overlay val="0"/>
      <c:spPr>
        <a:noFill/>
        <a:ln w="6350">
          <a:solidFill>
            <a:schemeClr val="tx1">
              <a:lumMod val="95000"/>
              <a:lumOff val="5000"/>
            </a:schemeClr>
          </a:solidFill>
        </a:ln>
        <a:effectLst/>
      </c:spPr>
      <c:txPr>
        <a:bodyPr rot="0" spcFirstLastPara="1" vertOverflow="ellipsis" vert="horz" wrap="square" anchor="ctr" anchorCtr="1"/>
        <a:lstStyle/>
        <a:p>
          <a:pPr>
            <a:defRPr sz="75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cs-CZ"/>
        </a:p>
      </c:txPr>
    </c:legend>
    <c:plotVisOnly val="1"/>
    <c:dispBlanksAs val="gap"/>
    <c:showDLblsOverMax val="0"/>
  </c:chart>
  <c:spPr>
    <a:solidFill>
      <a:schemeClr val="bg1"/>
    </a:solidFill>
    <a:ln w="9525" cap="flat" cmpd="sng" algn="ctr">
      <a:noFill/>
      <a:round/>
    </a:ln>
    <a:effectLst/>
  </c:spPr>
  <c:txPr>
    <a:bodyPr/>
    <a:lstStyle/>
    <a:p>
      <a:pPr>
        <a:defRPr/>
      </a:pPr>
      <a:endParaRPr lang="cs-CZ"/>
    </a:p>
  </c:txPr>
  <c:externalData r:id="rId1">
    <c:autoUpdate val="0"/>
  </c:externalData>
  <c:userShapes r:id="rId2"/>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4126922658553294E-2"/>
          <c:y val="1.6217039710696039E-2"/>
          <c:w val="0.90038296843058951"/>
          <c:h val="0.76861571072347712"/>
        </c:manualLayout>
      </c:layout>
      <c:barChart>
        <c:barDir val="col"/>
        <c:grouping val="clustered"/>
        <c:varyColors val="0"/>
        <c:ser>
          <c:idx val="0"/>
          <c:order val="0"/>
          <c:tx>
            <c:strRef>
              <c:f>'R-GRAF-1'!$C$2</c:f>
              <c:strCache>
                <c:ptCount val="1"/>
                <c:pt idx="0">
                  <c:v>Obecná míra nezam. mužů (sez.očištěno)</c:v>
                </c:pt>
              </c:strCache>
            </c:strRef>
          </c:tx>
          <c:spPr>
            <a:solidFill>
              <a:schemeClr val="accent1">
                <a:lumMod val="40000"/>
                <a:lumOff val="60000"/>
              </a:schemeClr>
            </a:solidFill>
            <a:ln>
              <a:noFill/>
            </a:ln>
            <a:effectLst/>
          </c:spPr>
          <c:invertIfNegative val="0"/>
          <c:cat>
            <c:multiLvlStrRef>
              <c:f>'R-GRAF-1'!$A$15:$B$58</c:f>
              <c:multiLvlStrCache>
                <c:ptCount val="44"/>
                <c:lvl>
                  <c:pt idx="0">
                    <c:v>1q</c:v>
                  </c:pt>
                  <c:pt idx="1">
                    <c:v>2q</c:v>
                  </c:pt>
                  <c:pt idx="2">
                    <c:v>3q</c:v>
                  </c:pt>
                  <c:pt idx="3">
                    <c:v>4q</c:v>
                  </c:pt>
                  <c:pt idx="4">
                    <c:v>1q</c:v>
                  </c:pt>
                  <c:pt idx="5">
                    <c:v>2q</c:v>
                  </c:pt>
                  <c:pt idx="6">
                    <c:v>3q</c:v>
                  </c:pt>
                  <c:pt idx="7">
                    <c:v>4q</c:v>
                  </c:pt>
                  <c:pt idx="8">
                    <c:v>1q</c:v>
                  </c:pt>
                  <c:pt idx="9">
                    <c:v>2q</c:v>
                  </c:pt>
                  <c:pt idx="10">
                    <c:v>3q</c:v>
                  </c:pt>
                  <c:pt idx="11">
                    <c:v>4q</c:v>
                  </c:pt>
                  <c:pt idx="12">
                    <c:v>1q</c:v>
                  </c:pt>
                  <c:pt idx="13">
                    <c:v>2q</c:v>
                  </c:pt>
                  <c:pt idx="14">
                    <c:v>3q</c:v>
                  </c:pt>
                  <c:pt idx="15">
                    <c:v>4q</c:v>
                  </c:pt>
                  <c:pt idx="16">
                    <c:v>1q</c:v>
                  </c:pt>
                  <c:pt idx="17">
                    <c:v>2q</c:v>
                  </c:pt>
                  <c:pt idx="18">
                    <c:v>3q</c:v>
                  </c:pt>
                  <c:pt idx="19">
                    <c:v>4q</c:v>
                  </c:pt>
                  <c:pt idx="20">
                    <c:v>1q</c:v>
                  </c:pt>
                  <c:pt idx="21">
                    <c:v>2q</c:v>
                  </c:pt>
                  <c:pt idx="22">
                    <c:v>3q</c:v>
                  </c:pt>
                  <c:pt idx="23">
                    <c:v>4q</c:v>
                  </c:pt>
                  <c:pt idx="24">
                    <c:v>1q</c:v>
                  </c:pt>
                  <c:pt idx="25">
                    <c:v>2q</c:v>
                  </c:pt>
                  <c:pt idx="26">
                    <c:v>3q</c:v>
                  </c:pt>
                  <c:pt idx="27">
                    <c:v>4q</c:v>
                  </c:pt>
                  <c:pt idx="28">
                    <c:v>1q</c:v>
                  </c:pt>
                  <c:pt idx="29">
                    <c:v>2q</c:v>
                  </c:pt>
                  <c:pt idx="30">
                    <c:v>3q</c:v>
                  </c:pt>
                  <c:pt idx="31">
                    <c:v>4q</c:v>
                  </c:pt>
                  <c:pt idx="32">
                    <c:v>1q</c:v>
                  </c:pt>
                  <c:pt idx="33">
                    <c:v>2q</c:v>
                  </c:pt>
                  <c:pt idx="34">
                    <c:v>3q</c:v>
                  </c:pt>
                  <c:pt idx="35">
                    <c:v>4q</c:v>
                  </c:pt>
                  <c:pt idx="36">
                    <c:v>1q</c:v>
                  </c:pt>
                  <c:pt idx="37">
                    <c:v>2q</c:v>
                  </c:pt>
                  <c:pt idx="38">
                    <c:v>3q</c:v>
                  </c:pt>
                  <c:pt idx="39">
                    <c:v>4q</c:v>
                  </c:pt>
                  <c:pt idx="40">
                    <c:v>1q</c:v>
                  </c:pt>
                  <c:pt idx="41">
                    <c:v>2q</c:v>
                  </c:pt>
                  <c:pt idx="42">
                    <c:v>3q</c:v>
                  </c:pt>
                  <c:pt idx="43">
                    <c:v>4q</c:v>
                  </c:pt>
                </c:lvl>
                <c:lvl>
                  <c:pt idx="0">
                    <c:v>2008</c:v>
                  </c:pt>
                  <c:pt idx="4">
                    <c:v>2009</c:v>
                  </c:pt>
                  <c:pt idx="8">
                    <c:v>2010</c:v>
                  </c:pt>
                  <c:pt idx="12">
                    <c:v>2011</c:v>
                  </c:pt>
                  <c:pt idx="16">
                    <c:v>2012</c:v>
                  </c:pt>
                  <c:pt idx="20">
                    <c:v>2013</c:v>
                  </c:pt>
                  <c:pt idx="24">
                    <c:v>2014</c:v>
                  </c:pt>
                  <c:pt idx="28">
                    <c:v>2015</c:v>
                  </c:pt>
                  <c:pt idx="32">
                    <c:v>2016</c:v>
                  </c:pt>
                  <c:pt idx="36">
                    <c:v>2017</c:v>
                  </c:pt>
                  <c:pt idx="40">
                    <c:v>2018</c:v>
                  </c:pt>
                </c:lvl>
              </c:multiLvlStrCache>
            </c:multiLvlStrRef>
          </c:cat>
          <c:val>
            <c:numRef>
              <c:f>'R-GRAF-1'!$C$15:$C$58</c:f>
              <c:numCache>
                <c:formatCode>0.0</c:formatCode>
                <c:ptCount val="44"/>
                <c:pt idx="0">
                  <c:v>3.5498653401100477</c:v>
                </c:pt>
                <c:pt idx="1">
                  <c:v>3.5738967037997185</c:v>
                </c:pt>
                <c:pt idx="2">
                  <c:v>3.3538637144449761</c:v>
                </c:pt>
                <c:pt idx="3">
                  <c:v>3.5088252255163987</c:v>
                </c:pt>
                <c:pt idx="4">
                  <c:v>4.8006478551845246</c:v>
                </c:pt>
                <c:pt idx="5">
                  <c:v>5.7292656672342757</c:v>
                </c:pt>
                <c:pt idx="6">
                  <c:v>6.5363907539593704</c:v>
                </c:pt>
                <c:pt idx="7">
                  <c:v>6.7516107925747555</c:v>
                </c:pt>
                <c:pt idx="8">
                  <c:v>7.1263678976295308</c:v>
                </c:pt>
                <c:pt idx="9">
                  <c:v>6.5043573330995086</c:v>
                </c:pt>
                <c:pt idx="10">
                  <c:v>6.1993358198549622</c:v>
                </c:pt>
                <c:pt idx="11">
                  <c:v>6.0943249966264679</c:v>
                </c:pt>
                <c:pt idx="12">
                  <c:v>6.0860426805396886</c:v>
                </c:pt>
                <c:pt idx="13">
                  <c:v>5.9929547206600349</c:v>
                </c:pt>
                <c:pt idx="14">
                  <c:v>5.7823050553378019</c:v>
                </c:pt>
                <c:pt idx="15">
                  <c:v>5.7100659568446508</c:v>
                </c:pt>
                <c:pt idx="16">
                  <c:v>6.02727955783359</c:v>
                </c:pt>
                <c:pt idx="17">
                  <c:v>5.9801991116901618</c:v>
                </c:pt>
                <c:pt idx="18">
                  <c:v>6.0714082820509283</c:v>
                </c:pt>
                <c:pt idx="19">
                  <c:v>6.2755079700524901</c:v>
                </c:pt>
                <c:pt idx="20">
                  <c:v>6.3011673484306847</c:v>
                </c:pt>
                <c:pt idx="21">
                  <c:v>5.8899211790282271</c:v>
                </c:pt>
                <c:pt idx="22">
                  <c:v>5.9411999927545418</c:v>
                </c:pt>
                <c:pt idx="23">
                  <c:v>5.7805880439812753</c:v>
                </c:pt>
                <c:pt idx="24">
                  <c:v>5.56313882463908</c:v>
                </c:pt>
                <c:pt idx="25">
                  <c:v>5.2118065771894395</c:v>
                </c:pt>
                <c:pt idx="26">
                  <c:v>4.9498235070503371</c:v>
                </c:pt>
                <c:pt idx="27">
                  <c:v>5.0472504936505054</c:v>
                </c:pt>
                <c:pt idx="28">
                  <c:v>5.0164918651748751</c:v>
                </c:pt>
                <c:pt idx="29">
                  <c:v>4.3664610563359973</c:v>
                </c:pt>
                <c:pt idx="30">
                  <c:v>4.0815877344228548</c:v>
                </c:pt>
                <c:pt idx="31">
                  <c:v>3.7855648426987494</c:v>
                </c:pt>
                <c:pt idx="32">
                  <c:v>3.6339450601730454</c:v>
                </c:pt>
                <c:pt idx="33">
                  <c:v>3.5887698490473325</c:v>
                </c:pt>
                <c:pt idx="34">
                  <c:v>3.3909726803485629</c:v>
                </c:pt>
                <c:pt idx="35">
                  <c:v>3.1637517899353704</c:v>
                </c:pt>
                <c:pt idx="36">
                  <c:v>2.6970312894957953</c:v>
                </c:pt>
                <c:pt idx="37">
                  <c:v>2.4866350589973574</c:v>
                </c:pt>
                <c:pt idx="38">
                  <c:v>2.2634173041213308</c:v>
                </c:pt>
                <c:pt idx="39">
                  <c:v>2.0444046287812201</c:v>
                </c:pt>
                <c:pt idx="40">
                  <c:v>1.887300203487505</c:v>
                </c:pt>
                <c:pt idx="41">
                  <c:v>1.8557523249194618</c:v>
                </c:pt>
                <c:pt idx="42">
                  <c:v>1.9103402712066877</c:v>
                </c:pt>
                <c:pt idx="43">
                  <c:v>1.6628735982176008</c:v>
                </c:pt>
              </c:numCache>
            </c:numRef>
          </c:val>
          <c:extLst>
            <c:ext xmlns:c16="http://schemas.microsoft.com/office/drawing/2014/chart" uri="{C3380CC4-5D6E-409C-BE32-E72D297353CC}">
              <c16:uniqueId val="{00000000-23DB-4EE3-A33C-FD26EF5021D0}"/>
            </c:ext>
          </c:extLst>
        </c:ser>
        <c:ser>
          <c:idx val="1"/>
          <c:order val="1"/>
          <c:tx>
            <c:strRef>
              <c:f>'R-GRAF-1'!$D$2</c:f>
              <c:strCache>
                <c:ptCount val="1"/>
                <c:pt idx="0">
                  <c:v>Obecná míra nezam. žen (sez.očištěno)</c:v>
                </c:pt>
              </c:strCache>
            </c:strRef>
          </c:tx>
          <c:spPr>
            <a:solidFill>
              <a:schemeClr val="accent2">
                <a:lumMod val="40000"/>
                <a:lumOff val="60000"/>
              </a:schemeClr>
            </a:solidFill>
            <a:ln>
              <a:noFill/>
            </a:ln>
            <a:effectLst/>
          </c:spPr>
          <c:invertIfNegative val="0"/>
          <c:cat>
            <c:multiLvlStrRef>
              <c:f>'R-GRAF-1'!$A$15:$B$58</c:f>
              <c:multiLvlStrCache>
                <c:ptCount val="44"/>
                <c:lvl>
                  <c:pt idx="0">
                    <c:v>1q</c:v>
                  </c:pt>
                  <c:pt idx="1">
                    <c:v>2q</c:v>
                  </c:pt>
                  <c:pt idx="2">
                    <c:v>3q</c:v>
                  </c:pt>
                  <c:pt idx="3">
                    <c:v>4q</c:v>
                  </c:pt>
                  <c:pt idx="4">
                    <c:v>1q</c:v>
                  </c:pt>
                  <c:pt idx="5">
                    <c:v>2q</c:v>
                  </c:pt>
                  <c:pt idx="6">
                    <c:v>3q</c:v>
                  </c:pt>
                  <c:pt idx="7">
                    <c:v>4q</c:v>
                  </c:pt>
                  <c:pt idx="8">
                    <c:v>1q</c:v>
                  </c:pt>
                  <c:pt idx="9">
                    <c:v>2q</c:v>
                  </c:pt>
                  <c:pt idx="10">
                    <c:v>3q</c:v>
                  </c:pt>
                  <c:pt idx="11">
                    <c:v>4q</c:v>
                  </c:pt>
                  <c:pt idx="12">
                    <c:v>1q</c:v>
                  </c:pt>
                  <c:pt idx="13">
                    <c:v>2q</c:v>
                  </c:pt>
                  <c:pt idx="14">
                    <c:v>3q</c:v>
                  </c:pt>
                  <c:pt idx="15">
                    <c:v>4q</c:v>
                  </c:pt>
                  <c:pt idx="16">
                    <c:v>1q</c:v>
                  </c:pt>
                  <c:pt idx="17">
                    <c:v>2q</c:v>
                  </c:pt>
                  <c:pt idx="18">
                    <c:v>3q</c:v>
                  </c:pt>
                  <c:pt idx="19">
                    <c:v>4q</c:v>
                  </c:pt>
                  <c:pt idx="20">
                    <c:v>1q</c:v>
                  </c:pt>
                  <c:pt idx="21">
                    <c:v>2q</c:v>
                  </c:pt>
                  <c:pt idx="22">
                    <c:v>3q</c:v>
                  </c:pt>
                  <c:pt idx="23">
                    <c:v>4q</c:v>
                  </c:pt>
                  <c:pt idx="24">
                    <c:v>1q</c:v>
                  </c:pt>
                  <c:pt idx="25">
                    <c:v>2q</c:v>
                  </c:pt>
                  <c:pt idx="26">
                    <c:v>3q</c:v>
                  </c:pt>
                  <c:pt idx="27">
                    <c:v>4q</c:v>
                  </c:pt>
                  <c:pt idx="28">
                    <c:v>1q</c:v>
                  </c:pt>
                  <c:pt idx="29">
                    <c:v>2q</c:v>
                  </c:pt>
                  <c:pt idx="30">
                    <c:v>3q</c:v>
                  </c:pt>
                  <c:pt idx="31">
                    <c:v>4q</c:v>
                  </c:pt>
                  <c:pt idx="32">
                    <c:v>1q</c:v>
                  </c:pt>
                  <c:pt idx="33">
                    <c:v>2q</c:v>
                  </c:pt>
                  <c:pt idx="34">
                    <c:v>3q</c:v>
                  </c:pt>
                  <c:pt idx="35">
                    <c:v>4q</c:v>
                  </c:pt>
                  <c:pt idx="36">
                    <c:v>1q</c:v>
                  </c:pt>
                  <c:pt idx="37">
                    <c:v>2q</c:v>
                  </c:pt>
                  <c:pt idx="38">
                    <c:v>3q</c:v>
                  </c:pt>
                  <c:pt idx="39">
                    <c:v>4q</c:v>
                  </c:pt>
                  <c:pt idx="40">
                    <c:v>1q</c:v>
                  </c:pt>
                  <c:pt idx="41">
                    <c:v>2q</c:v>
                  </c:pt>
                  <c:pt idx="42">
                    <c:v>3q</c:v>
                  </c:pt>
                  <c:pt idx="43">
                    <c:v>4q</c:v>
                  </c:pt>
                </c:lvl>
                <c:lvl>
                  <c:pt idx="0">
                    <c:v>2008</c:v>
                  </c:pt>
                  <c:pt idx="4">
                    <c:v>2009</c:v>
                  </c:pt>
                  <c:pt idx="8">
                    <c:v>2010</c:v>
                  </c:pt>
                  <c:pt idx="12">
                    <c:v>2011</c:v>
                  </c:pt>
                  <c:pt idx="16">
                    <c:v>2012</c:v>
                  </c:pt>
                  <c:pt idx="20">
                    <c:v>2013</c:v>
                  </c:pt>
                  <c:pt idx="24">
                    <c:v>2014</c:v>
                  </c:pt>
                  <c:pt idx="28">
                    <c:v>2015</c:v>
                  </c:pt>
                  <c:pt idx="32">
                    <c:v>2016</c:v>
                  </c:pt>
                  <c:pt idx="36">
                    <c:v>2017</c:v>
                  </c:pt>
                  <c:pt idx="40">
                    <c:v>2018</c:v>
                  </c:pt>
                </c:lvl>
              </c:multiLvlStrCache>
            </c:multiLvlStrRef>
          </c:cat>
          <c:val>
            <c:numRef>
              <c:f>'R-GRAF-1'!$D$15:$D$58</c:f>
              <c:numCache>
                <c:formatCode>0.0</c:formatCode>
                <c:ptCount val="44"/>
                <c:pt idx="0">
                  <c:v>5.9124985129013261</c:v>
                </c:pt>
                <c:pt idx="1">
                  <c:v>5.4644991165591392</c:v>
                </c:pt>
                <c:pt idx="2">
                  <c:v>5.5149446439675271</c:v>
                </c:pt>
                <c:pt idx="3">
                  <c:v>5.7735824038400994</c:v>
                </c:pt>
                <c:pt idx="4">
                  <c:v>6.8319988937107539</c:v>
                </c:pt>
                <c:pt idx="5">
                  <c:v>7.7098478774986932</c:v>
                </c:pt>
                <c:pt idx="6">
                  <c:v>8.4536787359854824</c:v>
                </c:pt>
                <c:pt idx="7">
                  <c:v>8.4347152674162942</c:v>
                </c:pt>
                <c:pt idx="8">
                  <c:v>8.7720668763705714</c:v>
                </c:pt>
                <c:pt idx="9">
                  <c:v>8.5926140869273144</c:v>
                </c:pt>
                <c:pt idx="10">
                  <c:v>8.4930869050901379</c:v>
                </c:pt>
                <c:pt idx="11">
                  <c:v>8.2864260049795533</c:v>
                </c:pt>
                <c:pt idx="12">
                  <c:v>8.183669559717563</c:v>
                </c:pt>
                <c:pt idx="13">
                  <c:v>8.1315840356138729</c:v>
                </c:pt>
                <c:pt idx="14">
                  <c:v>7.7877338251490924</c:v>
                </c:pt>
                <c:pt idx="15">
                  <c:v>7.7218397451717635</c:v>
                </c:pt>
                <c:pt idx="16">
                  <c:v>8.0474969805089511</c:v>
                </c:pt>
                <c:pt idx="17">
                  <c:v>8.1757565289441896</c:v>
                </c:pt>
                <c:pt idx="18">
                  <c:v>8.336043936886421</c:v>
                </c:pt>
                <c:pt idx="19">
                  <c:v>8.5385395424432158</c:v>
                </c:pt>
                <c:pt idx="20">
                  <c:v>8.5139545455336023</c:v>
                </c:pt>
                <c:pt idx="21">
                  <c:v>8.4029218485076331</c:v>
                </c:pt>
                <c:pt idx="22">
                  <c:v>8.3875615126917307</c:v>
                </c:pt>
                <c:pt idx="23">
                  <c:v>8.2645386114614823</c:v>
                </c:pt>
                <c:pt idx="24">
                  <c:v>8.0347089492041626</c:v>
                </c:pt>
                <c:pt idx="25">
                  <c:v>7.6393503111608512</c:v>
                </c:pt>
                <c:pt idx="26">
                  <c:v>7.3103130834632823</c:v>
                </c:pt>
                <c:pt idx="27">
                  <c:v>7.0236250795111834</c:v>
                </c:pt>
                <c:pt idx="28">
                  <c:v>6.9006494227083364</c:v>
                </c:pt>
                <c:pt idx="29">
                  <c:v>6.2221574229511489</c:v>
                </c:pt>
                <c:pt idx="30">
                  <c:v>5.9471071819032906</c:v>
                </c:pt>
                <c:pt idx="31">
                  <c:v>5.6471045810734433</c:v>
                </c:pt>
                <c:pt idx="32">
                  <c:v>5.0805239032447984</c:v>
                </c:pt>
                <c:pt idx="33">
                  <c:v>4.813222112951018</c:v>
                </c:pt>
                <c:pt idx="34">
                  <c:v>4.81205959579846</c:v>
                </c:pt>
                <c:pt idx="35">
                  <c:v>4.3674719828309838</c:v>
                </c:pt>
                <c:pt idx="36">
                  <c:v>4.2771717559376725</c:v>
                </c:pt>
                <c:pt idx="37">
                  <c:v>3.9220759277590411</c:v>
                </c:pt>
                <c:pt idx="38">
                  <c:v>3.3887781531516015</c:v>
                </c:pt>
                <c:pt idx="39">
                  <c:v>3.0621392993981016</c:v>
                </c:pt>
                <c:pt idx="40">
                  <c:v>2.926227587511947</c:v>
                </c:pt>
                <c:pt idx="41">
                  <c:v>2.8751564162614911</c:v>
                </c:pt>
                <c:pt idx="42">
                  <c:v>2.8427039747882614</c:v>
                </c:pt>
                <c:pt idx="43">
                  <c:v>2.6577763373324834</c:v>
                </c:pt>
              </c:numCache>
            </c:numRef>
          </c:val>
          <c:extLst>
            <c:ext xmlns:c16="http://schemas.microsoft.com/office/drawing/2014/chart" uri="{C3380CC4-5D6E-409C-BE32-E72D297353CC}">
              <c16:uniqueId val="{00000001-23DB-4EE3-A33C-FD26EF5021D0}"/>
            </c:ext>
          </c:extLst>
        </c:ser>
        <c:dLbls>
          <c:showLegendKey val="0"/>
          <c:showVal val="0"/>
          <c:showCatName val="0"/>
          <c:showSerName val="0"/>
          <c:showPercent val="0"/>
          <c:showBubbleSize val="0"/>
        </c:dLbls>
        <c:gapWidth val="150"/>
        <c:axId val="91373952"/>
        <c:axId val="91375488"/>
      </c:barChart>
      <c:lineChart>
        <c:grouping val="standard"/>
        <c:varyColors val="0"/>
        <c:ser>
          <c:idx val="2"/>
          <c:order val="2"/>
          <c:tx>
            <c:strRef>
              <c:f>'R-GRAF-1'!$E$2</c:f>
              <c:strCache>
                <c:ptCount val="1"/>
                <c:pt idx="0">
                  <c:v>Obecná míra nezaměstnanosti celkem</c:v>
                </c:pt>
              </c:strCache>
            </c:strRef>
          </c:tx>
          <c:spPr>
            <a:ln w="15875" cap="rnd">
              <a:solidFill>
                <a:schemeClr val="bg1">
                  <a:lumMod val="50000"/>
                </a:schemeClr>
              </a:solidFill>
              <a:round/>
            </a:ln>
            <a:effectLst/>
          </c:spPr>
          <c:marker>
            <c:symbol val="none"/>
          </c:marker>
          <c:cat>
            <c:multiLvlStrRef>
              <c:f>'R-GRAF-1'!$A$15:$B$58</c:f>
              <c:multiLvlStrCache>
                <c:ptCount val="44"/>
                <c:lvl>
                  <c:pt idx="0">
                    <c:v>1q</c:v>
                  </c:pt>
                  <c:pt idx="1">
                    <c:v>2q</c:v>
                  </c:pt>
                  <c:pt idx="2">
                    <c:v>3q</c:v>
                  </c:pt>
                  <c:pt idx="3">
                    <c:v>4q</c:v>
                  </c:pt>
                  <c:pt idx="4">
                    <c:v>1q</c:v>
                  </c:pt>
                  <c:pt idx="5">
                    <c:v>2q</c:v>
                  </c:pt>
                  <c:pt idx="6">
                    <c:v>3q</c:v>
                  </c:pt>
                  <c:pt idx="7">
                    <c:v>4q</c:v>
                  </c:pt>
                  <c:pt idx="8">
                    <c:v>1q</c:v>
                  </c:pt>
                  <c:pt idx="9">
                    <c:v>2q</c:v>
                  </c:pt>
                  <c:pt idx="10">
                    <c:v>3q</c:v>
                  </c:pt>
                  <c:pt idx="11">
                    <c:v>4q</c:v>
                  </c:pt>
                  <c:pt idx="12">
                    <c:v>1q</c:v>
                  </c:pt>
                  <c:pt idx="13">
                    <c:v>2q</c:v>
                  </c:pt>
                  <c:pt idx="14">
                    <c:v>3q</c:v>
                  </c:pt>
                  <c:pt idx="15">
                    <c:v>4q</c:v>
                  </c:pt>
                  <c:pt idx="16">
                    <c:v>1q</c:v>
                  </c:pt>
                  <c:pt idx="17">
                    <c:v>2q</c:v>
                  </c:pt>
                  <c:pt idx="18">
                    <c:v>3q</c:v>
                  </c:pt>
                  <c:pt idx="19">
                    <c:v>4q</c:v>
                  </c:pt>
                  <c:pt idx="20">
                    <c:v>1q</c:v>
                  </c:pt>
                  <c:pt idx="21">
                    <c:v>2q</c:v>
                  </c:pt>
                  <c:pt idx="22">
                    <c:v>3q</c:v>
                  </c:pt>
                  <c:pt idx="23">
                    <c:v>4q</c:v>
                  </c:pt>
                  <c:pt idx="24">
                    <c:v>1q</c:v>
                  </c:pt>
                  <c:pt idx="25">
                    <c:v>2q</c:v>
                  </c:pt>
                  <c:pt idx="26">
                    <c:v>3q</c:v>
                  </c:pt>
                  <c:pt idx="27">
                    <c:v>4q</c:v>
                  </c:pt>
                  <c:pt idx="28">
                    <c:v>1q</c:v>
                  </c:pt>
                  <c:pt idx="29">
                    <c:v>2q</c:v>
                  </c:pt>
                  <c:pt idx="30">
                    <c:v>3q</c:v>
                  </c:pt>
                  <c:pt idx="31">
                    <c:v>4q</c:v>
                  </c:pt>
                  <c:pt idx="32">
                    <c:v>1q</c:v>
                  </c:pt>
                  <c:pt idx="33">
                    <c:v>2q</c:v>
                  </c:pt>
                  <c:pt idx="34">
                    <c:v>3q</c:v>
                  </c:pt>
                  <c:pt idx="35">
                    <c:v>4q</c:v>
                  </c:pt>
                  <c:pt idx="36">
                    <c:v>1q</c:v>
                  </c:pt>
                  <c:pt idx="37">
                    <c:v>2q</c:v>
                  </c:pt>
                  <c:pt idx="38">
                    <c:v>3q</c:v>
                  </c:pt>
                  <c:pt idx="39">
                    <c:v>4q</c:v>
                  </c:pt>
                  <c:pt idx="40">
                    <c:v>1q</c:v>
                  </c:pt>
                  <c:pt idx="41">
                    <c:v>2q</c:v>
                  </c:pt>
                  <c:pt idx="42">
                    <c:v>3q</c:v>
                  </c:pt>
                  <c:pt idx="43">
                    <c:v>4q</c:v>
                  </c:pt>
                </c:lvl>
                <c:lvl>
                  <c:pt idx="0">
                    <c:v>2008</c:v>
                  </c:pt>
                  <c:pt idx="4">
                    <c:v>2009</c:v>
                  </c:pt>
                  <c:pt idx="8">
                    <c:v>2010</c:v>
                  </c:pt>
                  <c:pt idx="12">
                    <c:v>2011</c:v>
                  </c:pt>
                  <c:pt idx="16">
                    <c:v>2012</c:v>
                  </c:pt>
                  <c:pt idx="20">
                    <c:v>2013</c:v>
                  </c:pt>
                  <c:pt idx="24">
                    <c:v>2014</c:v>
                  </c:pt>
                  <c:pt idx="28">
                    <c:v>2015</c:v>
                  </c:pt>
                  <c:pt idx="32">
                    <c:v>2016</c:v>
                  </c:pt>
                  <c:pt idx="36">
                    <c:v>2017</c:v>
                  </c:pt>
                  <c:pt idx="40">
                    <c:v>2018</c:v>
                  </c:pt>
                </c:lvl>
              </c:multiLvlStrCache>
            </c:multiLvlStrRef>
          </c:cat>
          <c:val>
            <c:numRef>
              <c:f>'R-GRAF-1'!$E$15:$E$58</c:f>
              <c:numCache>
                <c:formatCode>#\ ##0.0</c:formatCode>
                <c:ptCount val="44"/>
                <c:pt idx="0">
                  <c:v>4.6999639709187502</c:v>
                </c:pt>
                <c:pt idx="1">
                  <c:v>4.2143659188007678</c:v>
                </c:pt>
                <c:pt idx="2">
                  <c:v>4.2741270316468416</c:v>
                </c:pt>
                <c:pt idx="3">
                  <c:v>4.3833278575253649</c:v>
                </c:pt>
                <c:pt idx="4">
                  <c:v>5.7678447833988091</c:v>
                </c:pt>
                <c:pt idx="5">
                  <c:v>6.33022574644973</c:v>
                </c:pt>
                <c:pt idx="6">
                  <c:v>7.2906179642971507</c:v>
                </c:pt>
                <c:pt idx="7">
                  <c:v>7.2473113396650994</c:v>
                </c:pt>
                <c:pt idx="8">
                  <c:v>8.0483847843271601</c:v>
                </c:pt>
                <c:pt idx="9">
                  <c:v>7.1292854754297208</c:v>
                </c:pt>
                <c:pt idx="10">
                  <c:v>7.0788000079001447</c:v>
                </c:pt>
                <c:pt idx="11">
                  <c:v>6.872991512252673</c:v>
                </c:pt>
                <c:pt idx="12">
                  <c:v>7.1631339801283431</c:v>
                </c:pt>
                <c:pt idx="13">
                  <c:v>6.7213658952868407</c:v>
                </c:pt>
                <c:pt idx="14">
                  <c:v>6.5421858630296637</c:v>
                </c:pt>
                <c:pt idx="15">
                  <c:v>6.4230779401213605</c:v>
                </c:pt>
                <c:pt idx="16">
                  <c:v>7.0945710820963459</c:v>
                </c:pt>
                <c:pt idx="17">
                  <c:v>6.6978086843177058</c:v>
                </c:pt>
                <c:pt idx="18">
                  <c:v>6.9572876491758961</c:v>
                </c:pt>
                <c:pt idx="19">
                  <c:v>7.1661799323346722</c:v>
                </c:pt>
                <c:pt idx="20">
                  <c:v>7.4433581968998714</c:v>
                </c:pt>
                <c:pt idx="21">
                  <c:v>6.74149911023824</c:v>
                </c:pt>
                <c:pt idx="22">
                  <c:v>6.9423714128953709</c:v>
                </c:pt>
                <c:pt idx="23">
                  <c:v>6.6888804024801187</c:v>
                </c:pt>
                <c:pt idx="24">
                  <c:v>6.7762954360144816</c:v>
                </c:pt>
                <c:pt idx="25">
                  <c:v>6.0330468641498696</c:v>
                </c:pt>
                <c:pt idx="26">
                  <c:v>5.8908269697659597</c:v>
                </c:pt>
                <c:pt idx="27">
                  <c:v>5.7355190219650387</c:v>
                </c:pt>
                <c:pt idx="28">
                  <c:v>5.9631510095214653</c:v>
                </c:pt>
                <c:pt idx="29">
                  <c:v>4.9338387525808391</c:v>
                </c:pt>
                <c:pt idx="30">
                  <c:v>4.8371126526112906</c:v>
                </c:pt>
                <c:pt idx="31">
                  <c:v>4.4596438986175686</c:v>
                </c:pt>
                <c:pt idx="32">
                  <c:v>4.3484362640424976</c:v>
                </c:pt>
                <c:pt idx="33">
                  <c:v>3.9289026871834518</c:v>
                </c:pt>
                <c:pt idx="34">
                  <c:v>3.9710450735543481</c:v>
                </c:pt>
                <c:pt idx="35">
                  <c:v>3.5648916842726752</c:v>
                </c:pt>
                <c:pt idx="36">
                  <c:v>3.4484836416686893</c:v>
                </c:pt>
                <c:pt idx="37">
                  <c:v>2.9640317235410896</c:v>
                </c:pt>
                <c:pt idx="38">
                  <c:v>2.7750619800626297</c:v>
                </c:pt>
                <c:pt idx="39">
                  <c:v>2.3872243044602537</c:v>
                </c:pt>
                <c:pt idx="40">
                  <c:v>2.4084302610244142</c:v>
                </c:pt>
                <c:pt idx="41">
                  <c:v>2.1861508604035613</c:v>
                </c:pt>
                <c:pt idx="42">
                  <c:v>2.3480201797545011</c:v>
                </c:pt>
                <c:pt idx="43">
                  <c:v>2.0421267206175955</c:v>
                </c:pt>
              </c:numCache>
            </c:numRef>
          </c:val>
          <c:smooth val="0"/>
          <c:extLst>
            <c:ext xmlns:c16="http://schemas.microsoft.com/office/drawing/2014/chart" uri="{C3380CC4-5D6E-409C-BE32-E72D297353CC}">
              <c16:uniqueId val="{00000002-23DB-4EE3-A33C-FD26EF5021D0}"/>
            </c:ext>
          </c:extLst>
        </c:ser>
        <c:ser>
          <c:idx val="3"/>
          <c:order val="3"/>
          <c:tx>
            <c:strRef>
              <c:f>'R-GRAF-1'!$F$2</c:f>
              <c:strCache>
                <c:ptCount val="1"/>
                <c:pt idx="0">
                  <c:v>Podíl nezaměstnaných dle ÚP*</c:v>
                </c:pt>
              </c:strCache>
            </c:strRef>
          </c:tx>
          <c:spPr>
            <a:ln w="15875" cap="rnd">
              <a:solidFill>
                <a:schemeClr val="bg1">
                  <a:lumMod val="50000"/>
                </a:schemeClr>
              </a:solidFill>
              <a:prstDash val="sysDash"/>
              <a:round/>
            </a:ln>
            <a:effectLst/>
          </c:spPr>
          <c:marker>
            <c:symbol val="none"/>
          </c:marker>
          <c:cat>
            <c:multiLvlStrRef>
              <c:f>'R-GRAF-1'!$A$15:$B$58</c:f>
              <c:multiLvlStrCache>
                <c:ptCount val="44"/>
                <c:lvl>
                  <c:pt idx="0">
                    <c:v>1q</c:v>
                  </c:pt>
                  <c:pt idx="1">
                    <c:v>2q</c:v>
                  </c:pt>
                  <c:pt idx="2">
                    <c:v>3q</c:v>
                  </c:pt>
                  <c:pt idx="3">
                    <c:v>4q</c:v>
                  </c:pt>
                  <c:pt idx="4">
                    <c:v>1q</c:v>
                  </c:pt>
                  <c:pt idx="5">
                    <c:v>2q</c:v>
                  </c:pt>
                  <c:pt idx="6">
                    <c:v>3q</c:v>
                  </c:pt>
                  <c:pt idx="7">
                    <c:v>4q</c:v>
                  </c:pt>
                  <c:pt idx="8">
                    <c:v>1q</c:v>
                  </c:pt>
                  <c:pt idx="9">
                    <c:v>2q</c:v>
                  </c:pt>
                  <c:pt idx="10">
                    <c:v>3q</c:v>
                  </c:pt>
                  <c:pt idx="11">
                    <c:v>4q</c:v>
                  </c:pt>
                  <c:pt idx="12">
                    <c:v>1q</c:v>
                  </c:pt>
                  <c:pt idx="13">
                    <c:v>2q</c:v>
                  </c:pt>
                  <c:pt idx="14">
                    <c:v>3q</c:v>
                  </c:pt>
                  <c:pt idx="15">
                    <c:v>4q</c:v>
                  </c:pt>
                  <c:pt idx="16">
                    <c:v>1q</c:v>
                  </c:pt>
                  <c:pt idx="17">
                    <c:v>2q</c:v>
                  </c:pt>
                  <c:pt idx="18">
                    <c:v>3q</c:v>
                  </c:pt>
                  <c:pt idx="19">
                    <c:v>4q</c:v>
                  </c:pt>
                  <c:pt idx="20">
                    <c:v>1q</c:v>
                  </c:pt>
                  <c:pt idx="21">
                    <c:v>2q</c:v>
                  </c:pt>
                  <c:pt idx="22">
                    <c:v>3q</c:v>
                  </c:pt>
                  <c:pt idx="23">
                    <c:v>4q</c:v>
                  </c:pt>
                  <c:pt idx="24">
                    <c:v>1q</c:v>
                  </c:pt>
                  <c:pt idx="25">
                    <c:v>2q</c:v>
                  </c:pt>
                  <c:pt idx="26">
                    <c:v>3q</c:v>
                  </c:pt>
                  <c:pt idx="27">
                    <c:v>4q</c:v>
                  </c:pt>
                  <c:pt idx="28">
                    <c:v>1q</c:v>
                  </c:pt>
                  <c:pt idx="29">
                    <c:v>2q</c:v>
                  </c:pt>
                  <c:pt idx="30">
                    <c:v>3q</c:v>
                  </c:pt>
                  <c:pt idx="31">
                    <c:v>4q</c:v>
                  </c:pt>
                  <c:pt idx="32">
                    <c:v>1q</c:v>
                  </c:pt>
                  <c:pt idx="33">
                    <c:v>2q</c:v>
                  </c:pt>
                  <c:pt idx="34">
                    <c:v>3q</c:v>
                  </c:pt>
                  <c:pt idx="35">
                    <c:v>4q</c:v>
                  </c:pt>
                  <c:pt idx="36">
                    <c:v>1q</c:v>
                  </c:pt>
                  <c:pt idx="37">
                    <c:v>2q</c:v>
                  </c:pt>
                  <c:pt idx="38">
                    <c:v>3q</c:v>
                  </c:pt>
                  <c:pt idx="39">
                    <c:v>4q</c:v>
                  </c:pt>
                  <c:pt idx="40">
                    <c:v>1q</c:v>
                  </c:pt>
                  <c:pt idx="41">
                    <c:v>2q</c:v>
                  </c:pt>
                  <c:pt idx="42">
                    <c:v>3q</c:v>
                  </c:pt>
                  <c:pt idx="43">
                    <c:v>4q</c:v>
                  </c:pt>
                </c:lvl>
                <c:lvl>
                  <c:pt idx="0">
                    <c:v>2008</c:v>
                  </c:pt>
                  <c:pt idx="4">
                    <c:v>2009</c:v>
                  </c:pt>
                  <c:pt idx="8">
                    <c:v>2010</c:v>
                  </c:pt>
                  <c:pt idx="12">
                    <c:v>2011</c:v>
                  </c:pt>
                  <c:pt idx="16">
                    <c:v>2012</c:v>
                  </c:pt>
                  <c:pt idx="20">
                    <c:v>2013</c:v>
                  </c:pt>
                  <c:pt idx="24">
                    <c:v>2014</c:v>
                  </c:pt>
                  <c:pt idx="28">
                    <c:v>2015</c:v>
                  </c:pt>
                  <c:pt idx="32">
                    <c:v>2016</c:v>
                  </c:pt>
                  <c:pt idx="36">
                    <c:v>2017</c:v>
                  </c:pt>
                  <c:pt idx="40">
                    <c:v>2018</c:v>
                  </c:pt>
                </c:lvl>
              </c:multiLvlStrCache>
            </c:multiLvlStrRef>
          </c:cat>
          <c:val>
            <c:numRef>
              <c:f>'R-GRAF-1'!$F$15:$F$58</c:f>
              <c:numCache>
                <c:formatCode>0.0</c:formatCode>
                <c:ptCount val="44"/>
                <c:pt idx="0">
                  <c:v>4.4292662686227757</c:v>
                </c:pt>
                <c:pt idx="1">
                  <c:v>3.8624293685657167</c:v>
                </c:pt>
                <c:pt idx="2">
                  <c:v>3.998046330821786</c:v>
                </c:pt>
                <c:pt idx="3">
                  <c:v>4.1618745694947279</c:v>
                </c:pt>
                <c:pt idx="4">
                  <c:v>5.5531105544233226</c:v>
                </c:pt>
                <c:pt idx="5">
                  <c:v>6.0356281358614767</c:v>
                </c:pt>
                <c:pt idx="6">
                  <c:v>6.5010320494838076</c:v>
                </c:pt>
                <c:pt idx="7">
                  <c:v>6.7631225655566753</c:v>
                </c:pt>
                <c:pt idx="8">
                  <c:v>7.5924393948536997</c:v>
                </c:pt>
                <c:pt idx="9">
                  <c:v>6.8045727854448499</c:v>
                </c:pt>
                <c:pt idx="10">
                  <c:v>6.6464665434043804</c:v>
                </c:pt>
                <c:pt idx="11">
                  <c:v>6.8597066525350741</c:v>
                </c:pt>
                <c:pt idx="12">
                  <c:v>7.4136150425745457</c:v>
                </c:pt>
                <c:pt idx="13">
                  <c:v>6.483216248071769</c:v>
                </c:pt>
                <c:pt idx="14">
                  <c:v>6.3766785163980435</c:v>
                </c:pt>
                <c:pt idx="15">
                  <c:v>6.4221343883515836</c:v>
                </c:pt>
                <c:pt idx="16">
                  <c:v>7.1270437985059703</c:v>
                </c:pt>
                <c:pt idx="17">
                  <c:v>6.4769018338604978</c:v>
                </c:pt>
                <c:pt idx="18">
                  <c:v>6.5600119834226556</c:v>
                </c:pt>
                <c:pt idx="19">
                  <c:v>6.9613101523913059</c:v>
                </c:pt>
                <c:pt idx="20">
                  <c:v>8.019067943749949</c:v>
                </c:pt>
                <c:pt idx="21">
                  <c:v>7.4977737635911597</c:v>
                </c:pt>
                <c:pt idx="22">
                  <c:v>7.5390616451125547</c:v>
                </c:pt>
                <c:pt idx="23">
                  <c:v>7.8154194285338292</c:v>
                </c:pt>
                <c:pt idx="24">
                  <c:v>8.5154408018848731</c:v>
                </c:pt>
                <c:pt idx="25">
                  <c:v>7.5981749344212508</c:v>
                </c:pt>
                <c:pt idx="26">
                  <c:v>7.3571089212078435</c:v>
                </c:pt>
                <c:pt idx="27">
                  <c:v>7.2193574917379273</c:v>
                </c:pt>
                <c:pt idx="28">
                  <c:v>7.4622580257098434</c:v>
                </c:pt>
                <c:pt idx="29">
                  <c:v>6.4252374030262489</c:v>
                </c:pt>
                <c:pt idx="30">
                  <c:v>6.1690391869493029</c:v>
                </c:pt>
                <c:pt idx="31">
                  <c:v>6.0113265809025611</c:v>
                </c:pt>
                <c:pt idx="32">
                  <c:v>6.2864366393767162</c:v>
                </c:pt>
                <c:pt idx="33">
                  <c:v>5.4369603668984601</c:v>
                </c:pt>
                <c:pt idx="34">
                  <c:v>5.2882043549691407</c:v>
                </c:pt>
                <c:pt idx="35">
                  <c:v>5.0194630220205214</c:v>
                </c:pt>
                <c:pt idx="36">
                  <c:v>5.0747015366450379</c:v>
                </c:pt>
                <c:pt idx="37">
                  <c:v>4.1581243929363936</c:v>
                </c:pt>
                <c:pt idx="38">
                  <c:v>3.9496869182633128</c:v>
                </c:pt>
                <c:pt idx="39">
                  <c:v>3.6291276540886561</c:v>
                </c:pt>
                <c:pt idx="40" formatCode="#\ ##0.0">
                  <c:v>3.7116010025658617</c:v>
                </c:pt>
                <c:pt idx="41" formatCode="#\ ##0.0">
                  <c:v>3.0506596353596791</c:v>
                </c:pt>
                <c:pt idx="42" formatCode="#\ ##0.0">
                  <c:v>3.0260248487007857</c:v>
                </c:pt>
                <c:pt idx="43" formatCode="#\ ##0.0">
                  <c:v>2.903918193245314</c:v>
                </c:pt>
              </c:numCache>
            </c:numRef>
          </c:val>
          <c:smooth val="0"/>
          <c:extLst>
            <c:ext xmlns:c16="http://schemas.microsoft.com/office/drawing/2014/chart" uri="{C3380CC4-5D6E-409C-BE32-E72D297353CC}">
              <c16:uniqueId val="{00000003-23DB-4EE3-A33C-FD26EF5021D0}"/>
            </c:ext>
          </c:extLst>
        </c:ser>
        <c:dLbls>
          <c:showLegendKey val="0"/>
          <c:showVal val="0"/>
          <c:showCatName val="0"/>
          <c:showSerName val="0"/>
          <c:showPercent val="0"/>
          <c:showBubbleSize val="0"/>
        </c:dLbls>
        <c:marker val="1"/>
        <c:smooth val="0"/>
        <c:axId val="91373952"/>
        <c:axId val="91375488"/>
      </c:lineChart>
      <c:lineChart>
        <c:grouping val="standard"/>
        <c:varyColors val="0"/>
        <c:ser>
          <c:idx val="4"/>
          <c:order val="4"/>
          <c:tx>
            <c:strRef>
              <c:f>'R-GRAF-1'!$G$2</c:f>
              <c:strCache>
                <c:ptCount val="1"/>
                <c:pt idx="0">
                  <c:v>Ekon. neaktiv. chtějící pracovat (pr. osa)**</c:v>
                </c:pt>
              </c:strCache>
            </c:strRef>
          </c:tx>
          <c:spPr>
            <a:ln w="15875" cap="rnd">
              <a:solidFill>
                <a:srgbClr val="00B050"/>
              </a:solidFill>
              <a:round/>
            </a:ln>
            <a:effectLst/>
          </c:spPr>
          <c:marker>
            <c:symbol val="none"/>
          </c:marker>
          <c:cat>
            <c:multiLvlStrRef>
              <c:f>'R-GRAF-1'!$A$15:$B$58</c:f>
              <c:multiLvlStrCache>
                <c:ptCount val="44"/>
                <c:lvl>
                  <c:pt idx="0">
                    <c:v>1q</c:v>
                  </c:pt>
                  <c:pt idx="1">
                    <c:v>2q</c:v>
                  </c:pt>
                  <c:pt idx="2">
                    <c:v>3q</c:v>
                  </c:pt>
                  <c:pt idx="3">
                    <c:v>4q</c:v>
                  </c:pt>
                  <c:pt idx="4">
                    <c:v>1q</c:v>
                  </c:pt>
                  <c:pt idx="5">
                    <c:v>2q</c:v>
                  </c:pt>
                  <c:pt idx="6">
                    <c:v>3q</c:v>
                  </c:pt>
                  <c:pt idx="7">
                    <c:v>4q</c:v>
                  </c:pt>
                  <c:pt idx="8">
                    <c:v>1q</c:v>
                  </c:pt>
                  <c:pt idx="9">
                    <c:v>2q</c:v>
                  </c:pt>
                  <c:pt idx="10">
                    <c:v>3q</c:v>
                  </c:pt>
                  <c:pt idx="11">
                    <c:v>4q</c:v>
                  </c:pt>
                  <c:pt idx="12">
                    <c:v>1q</c:v>
                  </c:pt>
                  <c:pt idx="13">
                    <c:v>2q</c:v>
                  </c:pt>
                  <c:pt idx="14">
                    <c:v>3q</c:v>
                  </c:pt>
                  <c:pt idx="15">
                    <c:v>4q</c:v>
                  </c:pt>
                  <c:pt idx="16">
                    <c:v>1q</c:v>
                  </c:pt>
                  <c:pt idx="17">
                    <c:v>2q</c:v>
                  </c:pt>
                  <c:pt idx="18">
                    <c:v>3q</c:v>
                  </c:pt>
                  <c:pt idx="19">
                    <c:v>4q</c:v>
                  </c:pt>
                  <c:pt idx="20">
                    <c:v>1q</c:v>
                  </c:pt>
                  <c:pt idx="21">
                    <c:v>2q</c:v>
                  </c:pt>
                  <c:pt idx="22">
                    <c:v>3q</c:v>
                  </c:pt>
                  <c:pt idx="23">
                    <c:v>4q</c:v>
                  </c:pt>
                  <c:pt idx="24">
                    <c:v>1q</c:v>
                  </c:pt>
                  <c:pt idx="25">
                    <c:v>2q</c:v>
                  </c:pt>
                  <c:pt idx="26">
                    <c:v>3q</c:v>
                  </c:pt>
                  <c:pt idx="27">
                    <c:v>4q</c:v>
                  </c:pt>
                  <c:pt idx="28">
                    <c:v>1q</c:v>
                  </c:pt>
                  <c:pt idx="29">
                    <c:v>2q</c:v>
                  </c:pt>
                  <c:pt idx="30">
                    <c:v>3q</c:v>
                  </c:pt>
                  <c:pt idx="31">
                    <c:v>4q</c:v>
                  </c:pt>
                  <c:pt idx="32">
                    <c:v>1q</c:v>
                  </c:pt>
                  <c:pt idx="33">
                    <c:v>2q</c:v>
                  </c:pt>
                  <c:pt idx="34">
                    <c:v>3q</c:v>
                  </c:pt>
                  <c:pt idx="35">
                    <c:v>4q</c:v>
                  </c:pt>
                  <c:pt idx="36">
                    <c:v>1q</c:v>
                  </c:pt>
                  <c:pt idx="37">
                    <c:v>2q</c:v>
                  </c:pt>
                  <c:pt idx="38">
                    <c:v>3q</c:v>
                  </c:pt>
                  <c:pt idx="39">
                    <c:v>4q</c:v>
                  </c:pt>
                  <c:pt idx="40">
                    <c:v>1q</c:v>
                  </c:pt>
                  <c:pt idx="41">
                    <c:v>2q</c:v>
                  </c:pt>
                  <c:pt idx="42">
                    <c:v>3q</c:v>
                  </c:pt>
                  <c:pt idx="43">
                    <c:v>4q</c:v>
                  </c:pt>
                </c:lvl>
                <c:lvl>
                  <c:pt idx="0">
                    <c:v>2008</c:v>
                  </c:pt>
                  <c:pt idx="4">
                    <c:v>2009</c:v>
                  </c:pt>
                  <c:pt idx="8">
                    <c:v>2010</c:v>
                  </c:pt>
                  <c:pt idx="12">
                    <c:v>2011</c:v>
                  </c:pt>
                  <c:pt idx="16">
                    <c:v>2012</c:v>
                  </c:pt>
                  <c:pt idx="20">
                    <c:v>2013</c:v>
                  </c:pt>
                  <c:pt idx="24">
                    <c:v>2014</c:v>
                  </c:pt>
                  <c:pt idx="28">
                    <c:v>2015</c:v>
                  </c:pt>
                  <c:pt idx="32">
                    <c:v>2016</c:v>
                  </c:pt>
                  <c:pt idx="36">
                    <c:v>2017</c:v>
                  </c:pt>
                  <c:pt idx="40">
                    <c:v>2018</c:v>
                  </c:pt>
                </c:lvl>
              </c:multiLvlStrCache>
            </c:multiLvlStrRef>
          </c:cat>
          <c:val>
            <c:numRef>
              <c:f>'R-GRAF-1'!$G$15:$G$58</c:f>
              <c:numCache>
                <c:formatCode>#\ ##0.0</c:formatCode>
                <c:ptCount val="44"/>
                <c:pt idx="0">
                  <c:v>186.5</c:v>
                </c:pt>
                <c:pt idx="1">
                  <c:v>188.9</c:v>
                </c:pt>
                <c:pt idx="2">
                  <c:v>187.2</c:v>
                </c:pt>
                <c:pt idx="3">
                  <c:v>174.5</c:v>
                </c:pt>
                <c:pt idx="4">
                  <c:v>185.8</c:v>
                </c:pt>
                <c:pt idx="5">
                  <c:v>180.5</c:v>
                </c:pt>
                <c:pt idx="6">
                  <c:v>182.9</c:v>
                </c:pt>
                <c:pt idx="7">
                  <c:v>169.1</c:v>
                </c:pt>
                <c:pt idx="8">
                  <c:v>180.8</c:v>
                </c:pt>
                <c:pt idx="9">
                  <c:v>181.1</c:v>
                </c:pt>
                <c:pt idx="10">
                  <c:v>169.9</c:v>
                </c:pt>
                <c:pt idx="11">
                  <c:v>169.2</c:v>
                </c:pt>
                <c:pt idx="12">
                  <c:v>189.9</c:v>
                </c:pt>
                <c:pt idx="13">
                  <c:v>179.8</c:v>
                </c:pt>
                <c:pt idx="14">
                  <c:v>185</c:v>
                </c:pt>
                <c:pt idx="15">
                  <c:v>179.4</c:v>
                </c:pt>
                <c:pt idx="16">
                  <c:v>192.1</c:v>
                </c:pt>
                <c:pt idx="17">
                  <c:v>172.4</c:v>
                </c:pt>
                <c:pt idx="18">
                  <c:v>162.19999999999999</c:v>
                </c:pt>
                <c:pt idx="19">
                  <c:v>152.5</c:v>
                </c:pt>
                <c:pt idx="20">
                  <c:v>166</c:v>
                </c:pt>
                <c:pt idx="21">
                  <c:v>145.80000000000001</c:v>
                </c:pt>
                <c:pt idx="22">
                  <c:v>136.1</c:v>
                </c:pt>
                <c:pt idx="23">
                  <c:v>136.9</c:v>
                </c:pt>
                <c:pt idx="24">
                  <c:v>143</c:v>
                </c:pt>
                <c:pt idx="25">
                  <c:v>135.30000000000001</c:v>
                </c:pt>
                <c:pt idx="26">
                  <c:v>127.5</c:v>
                </c:pt>
                <c:pt idx="27">
                  <c:v>125.9</c:v>
                </c:pt>
                <c:pt idx="28">
                  <c:v>136.80000000000001</c:v>
                </c:pt>
                <c:pt idx="29">
                  <c:v>140</c:v>
                </c:pt>
                <c:pt idx="30">
                  <c:v>132.5</c:v>
                </c:pt>
                <c:pt idx="31">
                  <c:v>128.69999999999999</c:v>
                </c:pt>
                <c:pt idx="32">
                  <c:v>139.1</c:v>
                </c:pt>
                <c:pt idx="33">
                  <c:v>124.7</c:v>
                </c:pt>
                <c:pt idx="34">
                  <c:v>127.4</c:v>
                </c:pt>
                <c:pt idx="35">
                  <c:v>126.1</c:v>
                </c:pt>
                <c:pt idx="36">
                  <c:v>132.1</c:v>
                </c:pt>
                <c:pt idx="37">
                  <c:v>118.3</c:v>
                </c:pt>
                <c:pt idx="38">
                  <c:v>119.2</c:v>
                </c:pt>
                <c:pt idx="39">
                  <c:v>117.6</c:v>
                </c:pt>
                <c:pt idx="40">
                  <c:v>112.1</c:v>
                </c:pt>
                <c:pt idx="41">
                  <c:v>106.8</c:v>
                </c:pt>
                <c:pt idx="42">
                  <c:v>109.1</c:v>
                </c:pt>
                <c:pt idx="43">
                  <c:v>100.3</c:v>
                </c:pt>
              </c:numCache>
            </c:numRef>
          </c:val>
          <c:smooth val="0"/>
          <c:extLst>
            <c:ext xmlns:c16="http://schemas.microsoft.com/office/drawing/2014/chart" uri="{C3380CC4-5D6E-409C-BE32-E72D297353CC}">
              <c16:uniqueId val="{00000004-23DB-4EE3-A33C-FD26EF5021D0}"/>
            </c:ext>
          </c:extLst>
        </c:ser>
        <c:dLbls>
          <c:showLegendKey val="0"/>
          <c:showVal val="0"/>
          <c:showCatName val="0"/>
          <c:showSerName val="0"/>
          <c:showPercent val="0"/>
          <c:showBubbleSize val="0"/>
        </c:dLbls>
        <c:marker val="1"/>
        <c:smooth val="0"/>
        <c:axId val="91382912"/>
        <c:axId val="91377024"/>
      </c:lineChart>
      <c:catAx>
        <c:axId val="91373952"/>
        <c:scaling>
          <c:orientation val="minMax"/>
        </c:scaling>
        <c:delete val="0"/>
        <c:axPos val="b"/>
        <c:numFmt formatCode="General" sourceLinked="1"/>
        <c:majorTickMark val="none"/>
        <c:minorTickMark val="none"/>
        <c:tickLblPos val="nextTo"/>
        <c:spPr>
          <a:noFill/>
          <a:ln w="9525" cap="flat" cmpd="sng" algn="ctr">
            <a:solidFill>
              <a:schemeClr val="tx1">
                <a:lumMod val="95000"/>
                <a:lumOff val="5000"/>
              </a:schemeClr>
            </a:solidFill>
            <a:round/>
          </a:ln>
          <a:effectLst/>
        </c:spPr>
        <c:txPr>
          <a:bodyPr rot="-5400000" spcFirstLastPara="1" vertOverflow="ellipsis" wrap="square" anchor="ctr" anchorCtr="1"/>
          <a:lstStyle/>
          <a:p>
            <a:pPr>
              <a:defRPr sz="7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cs-CZ"/>
          </a:p>
        </c:txPr>
        <c:crossAx val="91375488"/>
        <c:crosses val="autoZero"/>
        <c:auto val="1"/>
        <c:lblAlgn val="ctr"/>
        <c:lblOffset val="0"/>
        <c:noMultiLvlLbl val="0"/>
      </c:catAx>
      <c:valAx>
        <c:axId val="91375488"/>
        <c:scaling>
          <c:orientation val="minMax"/>
          <c:max val="1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w="6350">
            <a:solidFill>
              <a:schemeClr val="bg1">
                <a:lumMod val="75000"/>
              </a:schemeClr>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cs-CZ"/>
          </a:p>
        </c:txPr>
        <c:crossAx val="91373952"/>
        <c:crosses val="autoZero"/>
        <c:crossBetween val="between"/>
        <c:majorUnit val="1"/>
      </c:valAx>
      <c:valAx>
        <c:axId val="91377024"/>
        <c:scaling>
          <c:orientation val="minMax"/>
          <c:max val="200"/>
        </c:scaling>
        <c:delete val="0"/>
        <c:axPos val="r"/>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cs-CZ"/>
          </a:p>
        </c:txPr>
        <c:crossAx val="91382912"/>
        <c:crosses val="max"/>
        <c:crossBetween val="between"/>
        <c:majorUnit val="20"/>
      </c:valAx>
      <c:catAx>
        <c:axId val="91382912"/>
        <c:scaling>
          <c:orientation val="minMax"/>
        </c:scaling>
        <c:delete val="1"/>
        <c:axPos val="b"/>
        <c:numFmt formatCode="General" sourceLinked="1"/>
        <c:majorTickMark val="out"/>
        <c:minorTickMark val="none"/>
        <c:tickLblPos val="nextTo"/>
        <c:crossAx val="91377024"/>
        <c:crosses val="autoZero"/>
        <c:auto val="1"/>
        <c:lblAlgn val="ctr"/>
        <c:lblOffset val="100"/>
        <c:noMultiLvlLbl val="0"/>
      </c:catAx>
      <c:spPr>
        <a:noFill/>
        <a:ln>
          <a:solidFill>
            <a:schemeClr val="tx1">
              <a:lumMod val="95000"/>
              <a:lumOff val="5000"/>
            </a:schemeClr>
          </a:solidFill>
        </a:ln>
        <a:effectLst/>
      </c:spPr>
    </c:plotArea>
    <c:legend>
      <c:legendPos val="b"/>
      <c:layout>
        <c:manualLayout>
          <c:xMode val="edge"/>
          <c:yMode val="edge"/>
          <c:x val="1.7187965916143261E-2"/>
          <c:y val="0.87403147083808286"/>
          <c:w val="0.94706760611166074"/>
          <c:h val="0.11512849124965271"/>
        </c:manualLayout>
      </c:layout>
      <c:overlay val="0"/>
      <c:spPr>
        <a:noFill/>
        <a:ln w="6350">
          <a:solidFill>
            <a:schemeClr val="tx1">
              <a:lumMod val="95000"/>
              <a:lumOff val="5000"/>
            </a:schemeClr>
          </a:solidFill>
        </a:ln>
        <a:effectLst/>
      </c:spPr>
      <c:txPr>
        <a:bodyPr rot="0" spcFirstLastPara="1" vertOverflow="ellipsis" vert="horz" wrap="square" anchor="ctr" anchorCtr="1"/>
        <a:lstStyle/>
        <a:p>
          <a:pPr>
            <a:defRPr sz="75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cs-CZ"/>
        </a:p>
      </c:txPr>
    </c:legend>
    <c:plotVisOnly val="1"/>
    <c:dispBlanksAs val="gap"/>
    <c:showDLblsOverMax val="0"/>
  </c:chart>
  <c:spPr>
    <a:solidFill>
      <a:schemeClr val="bg1"/>
    </a:solidFill>
    <a:ln w="9525" cap="flat" cmpd="sng" algn="ctr">
      <a:noFill/>
      <a:round/>
    </a:ln>
    <a:effectLst/>
  </c:spPr>
  <c:txPr>
    <a:bodyPr/>
    <a:lstStyle/>
    <a:p>
      <a:pPr>
        <a:defRPr/>
      </a:pPr>
      <a:endParaRPr lang="cs-CZ"/>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8545448133762548E-2"/>
          <c:y val="2.7530680286585799E-2"/>
          <c:w val="0.94125127833109157"/>
          <c:h val="0.76069007590267435"/>
        </c:manualLayout>
      </c:layout>
      <c:barChart>
        <c:barDir val="col"/>
        <c:grouping val="clustered"/>
        <c:varyColors val="0"/>
        <c:ser>
          <c:idx val="5"/>
          <c:order val="5"/>
          <c:tx>
            <c:strRef>
              <c:f>'R-GRAF-3'!$A$11</c:f>
              <c:strCache>
                <c:ptCount val="1"/>
                <c:pt idx="0">
                  <c:v>Základní vzdělání a bez vzdělání</c:v>
                </c:pt>
              </c:strCache>
            </c:strRef>
          </c:tx>
          <c:spPr>
            <a:solidFill>
              <a:srgbClr val="E6E6E6"/>
            </a:solidFill>
            <a:ln>
              <a:noFill/>
            </a:ln>
            <a:effectLst/>
          </c:spPr>
          <c:invertIfNegative val="0"/>
          <c:cat>
            <c:numRef>
              <c:f>'R-GRAF-3'!$B$5:$O$5</c:f>
              <c:numCache>
                <c:formatCode>General</c:formatCode>
                <c:ptCount val="14"/>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numCache>
            </c:numRef>
          </c:cat>
          <c:val>
            <c:numRef>
              <c:f>'R-GRAF-3'!$B$11:$O$11</c:f>
              <c:numCache>
                <c:formatCode>#\ ##0.0</c:formatCode>
                <c:ptCount val="14"/>
                <c:pt idx="0">
                  <c:v>26.684288596941681</c:v>
                </c:pt>
                <c:pt idx="1">
                  <c:v>24.453937757877391</c:v>
                </c:pt>
                <c:pt idx="2">
                  <c:v>20.076135815373746</c:v>
                </c:pt>
                <c:pt idx="3">
                  <c:v>19.035407570034348</c:v>
                </c:pt>
                <c:pt idx="4">
                  <c:v>24.077660894622888</c:v>
                </c:pt>
                <c:pt idx="5">
                  <c:v>25.001281841202349</c:v>
                </c:pt>
                <c:pt idx="6">
                  <c:v>24.325447680523425</c:v>
                </c:pt>
                <c:pt idx="7">
                  <c:v>28.476511948953064</c:v>
                </c:pt>
                <c:pt idx="8">
                  <c:v>25.628411500311611</c:v>
                </c:pt>
                <c:pt idx="9">
                  <c:v>22.075592385260034</c:v>
                </c:pt>
                <c:pt idx="10">
                  <c:v>22.655876137729447</c:v>
                </c:pt>
                <c:pt idx="11">
                  <c:v>20.444448760398622</c:v>
                </c:pt>
                <c:pt idx="12">
                  <c:v>13.034840426810279</c:v>
                </c:pt>
                <c:pt idx="13">
                  <c:v>10.636580086709555</c:v>
                </c:pt>
              </c:numCache>
            </c:numRef>
          </c:val>
          <c:extLst>
            <c:ext xmlns:c16="http://schemas.microsoft.com/office/drawing/2014/chart" uri="{C3380CC4-5D6E-409C-BE32-E72D297353CC}">
              <c16:uniqueId val="{00000000-A802-4126-88AC-0BB1F2FB5A67}"/>
            </c:ext>
          </c:extLst>
        </c:ser>
        <c:ser>
          <c:idx val="6"/>
          <c:order val="6"/>
          <c:tx>
            <c:strRef>
              <c:f>'R-GRAF-3'!$A$12</c:f>
              <c:strCache>
                <c:ptCount val="1"/>
                <c:pt idx="0">
                  <c:v>Střední vzdělání bez maturity</c:v>
                </c:pt>
              </c:strCache>
            </c:strRef>
          </c:tx>
          <c:spPr>
            <a:solidFill>
              <a:srgbClr val="CFCFCF"/>
            </a:solidFill>
            <a:ln>
              <a:noFill/>
            </a:ln>
            <a:effectLst/>
          </c:spPr>
          <c:invertIfNegative val="0"/>
          <c:cat>
            <c:numRef>
              <c:f>'R-GRAF-3'!$B$5:$O$5</c:f>
              <c:numCache>
                <c:formatCode>General</c:formatCode>
                <c:ptCount val="14"/>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numCache>
            </c:numRef>
          </c:cat>
          <c:val>
            <c:numRef>
              <c:f>'R-GRAF-3'!$B$12:$O$12</c:f>
              <c:numCache>
                <c:formatCode>#\ ##0.0</c:formatCode>
                <c:ptCount val="14"/>
                <c:pt idx="0">
                  <c:v>8.9274203027975858</c:v>
                </c:pt>
                <c:pt idx="1">
                  <c:v>7.7429207535617497</c:v>
                </c:pt>
                <c:pt idx="2">
                  <c:v>5.90148952645416</c:v>
                </c:pt>
                <c:pt idx="3">
                  <c:v>4.4278727023805518</c:v>
                </c:pt>
                <c:pt idx="4">
                  <c:v>7.3830839709405103</c:v>
                </c:pt>
                <c:pt idx="5">
                  <c:v>8.4558991391630833</c:v>
                </c:pt>
                <c:pt idx="6">
                  <c:v>7.7330753067120837</c:v>
                </c:pt>
                <c:pt idx="7">
                  <c:v>7.9948530036617029</c:v>
                </c:pt>
                <c:pt idx="8">
                  <c:v>8.3604375341145474</c:v>
                </c:pt>
                <c:pt idx="9">
                  <c:v>7.2869270740470098</c:v>
                </c:pt>
                <c:pt idx="10">
                  <c:v>5.7578047604341025</c:v>
                </c:pt>
                <c:pt idx="11">
                  <c:v>4.2706738059850764</c:v>
                </c:pt>
                <c:pt idx="12">
                  <c:v>3.3841213996583916</c:v>
                </c:pt>
                <c:pt idx="13">
                  <c:v>2.4482233806294689</c:v>
                </c:pt>
              </c:numCache>
            </c:numRef>
          </c:val>
          <c:extLst>
            <c:ext xmlns:c16="http://schemas.microsoft.com/office/drawing/2014/chart" uri="{C3380CC4-5D6E-409C-BE32-E72D297353CC}">
              <c16:uniqueId val="{00000001-A802-4126-88AC-0BB1F2FB5A67}"/>
            </c:ext>
          </c:extLst>
        </c:ser>
        <c:ser>
          <c:idx val="7"/>
          <c:order val="7"/>
          <c:tx>
            <c:strRef>
              <c:f>'R-GRAF-3'!$A$13</c:f>
              <c:strCache>
                <c:ptCount val="1"/>
                <c:pt idx="0">
                  <c:v>Vysokoškolské vzdělání </c:v>
                </c:pt>
              </c:strCache>
            </c:strRef>
          </c:tx>
          <c:spPr>
            <a:solidFill>
              <a:schemeClr val="bg1">
                <a:lumMod val="65000"/>
              </a:schemeClr>
            </a:solidFill>
            <a:ln>
              <a:noFill/>
            </a:ln>
            <a:effectLst/>
          </c:spPr>
          <c:invertIfNegative val="0"/>
          <c:cat>
            <c:numRef>
              <c:f>'R-GRAF-3'!$B$5:$O$5</c:f>
              <c:numCache>
                <c:formatCode>General</c:formatCode>
                <c:ptCount val="14"/>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numCache>
            </c:numRef>
          </c:cat>
          <c:val>
            <c:numRef>
              <c:f>'R-GRAF-3'!$B$13:$O$13</c:f>
              <c:numCache>
                <c:formatCode>#\ ##0.0</c:formatCode>
                <c:ptCount val="14"/>
                <c:pt idx="0">
                  <c:v>2.3332550655531294</c:v>
                </c:pt>
                <c:pt idx="1">
                  <c:v>2.4025800001033302</c:v>
                </c:pt>
                <c:pt idx="2">
                  <c:v>1.6556087720550887</c:v>
                </c:pt>
                <c:pt idx="3">
                  <c:v>1.6434784688050392</c:v>
                </c:pt>
                <c:pt idx="4">
                  <c:v>2.4088959362192428</c:v>
                </c:pt>
                <c:pt idx="5">
                  <c:v>2.7677584170026179</c:v>
                </c:pt>
                <c:pt idx="6">
                  <c:v>2.7832966337510419</c:v>
                </c:pt>
                <c:pt idx="7">
                  <c:v>2.8612007633792476</c:v>
                </c:pt>
                <c:pt idx="8">
                  <c:v>2.7599463972411682</c:v>
                </c:pt>
                <c:pt idx="9">
                  <c:v>2.8507910167116175</c:v>
                </c:pt>
                <c:pt idx="10">
                  <c:v>2.3888991030378168</c:v>
                </c:pt>
                <c:pt idx="11">
                  <c:v>1.884376205791001</c:v>
                </c:pt>
                <c:pt idx="12">
                  <c:v>1.4859782159970694</c:v>
                </c:pt>
                <c:pt idx="13">
                  <c:v>1.1912731943249437</c:v>
                </c:pt>
              </c:numCache>
            </c:numRef>
          </c:val>
          <c:extLst>
            <c:ext xmlns:c16="http://schemas.microsoft.com/office/drawing/2014/chart" uri="{C3380CC4-5D6E-409C-BE32-E72D297353CC}">
              <c16:uniqueId val="{00000002-A802-4126-88AC-0BB1F2FB5A67}"/>
            </c:ext>
          </c:extLst>
        </c:ser>
        <c:dLbls>
          <c:showLegendKey val="0"/>
          <c:showVal val="0"/>
          <c:showCatName val="0"/>
          <c:showSerName val="0"/>
          <c:showPercent val="0"/>
          <c:showBubbleSize val="0"/>
        </c:dLbls>
        <c:gapWidth val="150"/>
        <c:axId val="74482432"/>
        <c:axId val="74483968"/>
      </c:barChart>
      <c:lineChart>
        <c:grouping val="standard"/>
        <c:varyColors val="0"/>
        <c:ser>
          <c:idx val="0"/>
          <c:order val="0"/>
          <c:tx>
            <c:strRef>
              <c:f>'R-GRAF-3'!$A$6</c:f>
              <c:strCache>
                <c:ptCount val="1"/>
                <c:pt idx="0">
                  <c:v>20  až  24  let</c:v>
                </c:pt>
              </c:strCache>
            </c:strRef>
          </c:tx>
          <c:spPr>
            <a:ln w="15875" cap="rnd">
              <a:solidFill>
                <a:srgbClr val="7030A0"/>
              </a:solidFill>
              <a:round/>
            </a:ln>
            <a:effectLst/>
          </c:spPr>
          <c:marker>
            <c:symbol val="none"/>
          </c:marker>
          <c:cat>
            <c:numRef>
              <c:f>'R-GRAF-3'!$B$5:$O$5</c:f>
              <c:numCache>
                <c:formatCode>General</c:formatCode>
                <c:ptCount val="14"/>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numCache>
            </c:numRef>
          </c:cat>
          <c:val>
            <c:numRef>
              <c:f>'R-GRAF-3'!$B$6:$O$6</c:f>
              <c:numCache>
                <c:formatCode>#\ ##0.0</c:formatCode>
                <c:ptCount val="14"/>
                <c:pt idx="0">
                  <c:v>15.770165947418558</c:v>
                </c:pt>
                <c:pt idx="1">
                  <c:v>14.535519477091672</c:v>
                </c:pt>
                <c:pt idx="2">
                  <c:v>8.7873560995691644</c:v>
                </c:pt>
                <c:pt idx="3">
                  <c:v>8.0194881928316324</c:v>
                </c:pt>
                <c:pt idx="4">
                  <c:v>14.295602150335446</c:v>
                </c:pt>
                <c:pt idx="5">
                  <c:v>15.949281324158282</c:v>
                </c:pt>
                <c:pt idx="6">
                  <c:v>15.432575267349455</c:v>
                </c:pt>
                <c:pt idx="7">
                  <c:v>16.722654370155745</c:v>
                </c:pt>
                <c:pt idx="8">
                  <c:v>16.841213833523387</c:v>
                </c:pt>
                <c:pt idx="9">
                  <c:v>13.628618935711797</c:v>
                </c:pt>
                <c:pt idx="10">
                  <c:v>10.744109603599107</c:v>
                </c:pt>
                <c:pt idx="11">
                  <c:v>9.2131596862792318</c:v>
                </c:pt>
                <c:pt idx="12">
                  <c:v>6.494553765107451</c:v>
                </c:pt>
                <c:pt idx="13">
                  <c:v>5.5767799529238316</c:v>
                </c:pt>
              </c:numCache>
            </c:numRef>
          </c:val>
          <c:smooth val="0"/>
          <c:extLst>
            <c:ext xmlns:c16="http://schemas.microsoft.com/office/drawing/2014/chart" uri="{C3380CC4-5D6E-409C-BE32-E72D297353CC}">
              <c16:uniqueId val="{00000003-A802-4126-88AC-0BB1F2FB5A67}"/>
            </c:ext>
          </c:extLst>
        </c:ser>
        <c:ser>
          <c:idx val="1"/>
          <c:order val="1"/>
          <c:tx>
            <c:strRef>
              <c:f>'R-GRAF-3'!$A$7</c:f>
              <c:strCache>
                <c:ptCount val="1"/>
                <c:pt idx="0">
                  <c:v>25  až  29  let</c:v>
                </c:pt>
              </c:strCache>
            </c:strRef>
          </c:tx>
          <c:spPr>
            <a:ln w="15875" cap="rnd">
              <a:solidFill>
                <a:srgbClr val="0071B7"/>
              </a:solidFill>
              <a:round/>
            </a:ln>
            <a:effectLst/>
          </c:spPr>
          <c:marker>
            <c:symbol val="none"/>
          </c:marker>
          <c:cat>
            <c:numRef>
              <c:f>'R-GRAF-3'!$B$5:$O$5</c:f>
              <c:numCache>
                <c:formatCode>General</c:formatCode>
                <c:ptCount val="14"/>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numCache>
            </c:numRef>
          </c:cat>
          <c:val>
            <c:numRef>
              <c:f>'R-GRAF-3'!$B$7:$O$7</c:f>
              <c:numCache>
                <c:formatCode>#\ ##0.0</c:formatCode>
                <c:ptCount val="14"/>
                <c:pt idx="0">
                  <c:v>8.4891085008639369</c:v>
                </c:pt>
                <c:pt idx="1">
                  <c:v>6.565029471283462</c:v>
                </c:pt>
                <c:pt idx="2">
                  <c:v>5.2061403186154118</c:v>
                </c:pt>
                <c:pt idx="3">
                  <c:v>4.0640761909900993</c:v>
                </c:pt>
                <c:pt idx="4">
                  <c:v>8.2068466146143138</c:v>
                </c:pt>
                <c:pt idx="5">
                  <c:v>9.3952147308880658</c:v>
                </c:pt>
                <c:pt idx="6">
                  <c:v>7.8589086948069671</c:v>
                </c:pt>
                <c:pt idx="7">
                  <c:v>8.911557820171419</c:v>
                </c:pt>
                <c:pt idx="8">
                  <c:v>8.1377523497886539</c:v>
                </c:pt>
                <c:pt idx="9">
                  <c:v>7.4305697588882609</c:v>
                </c:pt>
                <c:pt idx="10">
                  <c:v>6.7113492043069307</c:v>
                </c:pt>
                <c:pt idx="11">
                  <c:v>5.5158509780097411</c:v>
                </c:pt>
                <c:pt idx="12">
                  <c:v>3.4850999119104964</c:v>
                </c:pt>
                <c:pt idx="13">
                  <c:v>3.1298477136060301</c:v>
                </c:pt>
              </c:numCache>
            </c:numRef>
          </c:val>
          <c:smooth val="0"/>
          <c:extLst>
            <c:ext xmlns:c16="http://schemas.microsoft.com/office/drawing/2014/chart" uri="{C3380CC4-5D6E-409C-BE32-E72D297353CC}">
              <c16:uniqueId val="{00000004-A802-4126-88AC-0BB1F2FB5A67}"/>
            </c:ext>
          </c:extLst>
        </c:ser>
        <c:ser>
          <c:idx val="2"/>
          <c:order val="2"/>
          <c:tx>
            <c:strRef>
              <c:f>'R-GRAF-3'!$A$8</c:f>
              <c:strCache>
                <c:ptCount val="1"/>
                <c:pt idx="0">
                  <c:v>50  až  54  let</c:v>
                </c:pt>
              </c:strCache>
            </c:strRef>
          </c:tx>
          <c:spPr>
            <a:ln w="15875" cap="rnd">
              <a:solidFill>
                <a:srgbClr val="7DBB2D"/>
              </a:solidFill>
              <a:round/>
            </a:ln>
            <a:effectLst/>
          </c:spPr>
          <c:marker>
            <c:symbol val="none"/>
          </c:marker>
          <c:cat>
            <c:numRef>
              <c:f>'R-GRAF-3'!$B$5:$O$5</c:f>
              <c:numCache>
                <c:formatCode>General</c:formatCode>
                <c:ptCount val="14"/>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numCache>
            </c:numRef>
          </c:cat>
          <c:val>
            <c:numRef>
              <c:f>'R-GRAF-3'!$B$8:$O$8</c:f>
              <c:numCache>
                <c:formatCode>#\ ##0.0</c:formatCode>
                <c:ptCount val="14"/>
                <c:pt idx="0">
                  <c:v>7.5638538921984484</c:v>
                </c:pt>
                <c:pt idx="1">
                  <c:v>6.6078044903824402</c:v>
                </c:pt>
                <c:pt idx="2">
                  <c:v>5.3151358687263359</c:v>
                </c:pt>
                <c:pt idx="3">
                  <c:v>3.9390036543921321</c:v>
                </c:pt>
                <c:pt idx="4">
                  <c:v>5.6097057256509562</c:v>
                </c:pt>
                <c:pt idx="5">
                  <c:v>6.5977915990961131</c:v>
                </c:pt>
                <c:pt idx="6">
                  <c:v>6.1805033785087646</c:v>
                </c:pt>
                <c:pt idx="7">
                  <c:v>6.0626917601139114</c:v>
                </c:pt>
                <c:pt idx="8">
                  <c:v>5.8331672798318115</c:v>
                </c:pt>
                <c:pt idx="9">
                  <c:v>5.0080765727972452</c:v>
                </c:pt>
                <c:pt idx="10">
                  <c:v>4.1937500779646699</c:v>
                </c:pt>
                <c:pt idx="11">
                  <c:v>3.3913242593864052</c:v>
                </c:pt>
                <c:pt idx="12">
                  <c:v>2.6232708355297865</c:v>
                </c:pt>
                <c:pt idx="13">
                  <c:v>1.7903104083108781</c:v>
                </c:pt>
              </c:numCache>
            </c:numRef>
          </c:val>
          <c:smooth val="0"/>
          <c:extLst>
            <c:ext xmlns:c16="http://schemas.microsoft.com/office/drawing/2014/chart" uri="{C3380CC4-5D6E-409C-BE32-E72D297353CC}">
              <c16:uniqueId val="{00000005-A802-4126-88AC-0BB1F2FB5A67}"/>
            </c:ext>
          </c:extLst>
        </c:ser>
        <c:ser>
          <c:idx val="3"/>
          <c:order val="3"/>
          <c:tx>
            <c:strRef>
              <c:f>'R-GRAF-3'!$A$9</c:f>
              <c:strCache>
                <c:ptCount val="1"/>
                <c:pt idx="0">
                  <c:v>55  až  59  let</c:v>
                </c:pt>
              </c:strCache>
            </c:strRef>
          </c:tx>
          <c:spPr>
            <a:ln w="15875" cap="rnd">
              <a:solidFill>
                <a:srgbClr val="BD1B21"/>
              </a:solidFill>
              <a:round/>
            </a:ln>
            <a:effectLst/>
          </c:spPr>
          <c:marker>
            <c:symbol val="none"/>
          </c:marker>
          <c:cat>
            <c:numRef>
              <c:f>'R-GRAF-3'!$B$5:$O$5</c:f>
              <c:numCache>
                <c:formatCode>General</c:formatCode>
                <c:ptCount val="14"/>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numCache>
            </c:numRef>
          </c:cat>
          <c:val>
            <c:numRef>
              <c:f>'R-GRAF-3'!$B$9:$O$9</c:f>
              <c:numCache>
                <c:formatCode>#\ ##0.0</c:formatCode>
                <c:ptCount val="14"/>
                <c:pt idx="0">
                  <c:v>5.7559973035496323</c:v>
                </c:pt>
                <c:pt idx="1">
                  <c:v>5.9715744663489225</c:v>
                </c:pt>
                <c:pt idx="2">
                  <c:v>5.3633741511249937</c:v>
                </c:pt>
                <c:pt idx="3">
                  <c:v>4.4267042728243577</c:v>
                </c:pt>
                <c:pt idx="4">
                  <c:v>6.2417466480280792</c:v>
                </c:pt>
                <c:pt idx="5">
                  <c:v>7.3825306013210241</c:v>
                </c:pt>
                <c:pt idx="6">
                  <c:v>6.6345342674990562</c:v>
                </c:pt>
                <c:pt idx="7">
                  <c:v>6.5960183234314211</c:v>
                </c:pt>
                <c:pt idx="8">
                  <c:v>6.433958440237701</c:v>
                </c:pt>
                <c:pt idx="9">
                  <c:v>5.4551641472442842</c:v>
                </c:pt>
                <c:pt idx="10">
                  <c:v>5.0921965147300083</c:v>
                </c:pt>
                <c:pt idx="11">
                  <c:v>4.1711479013553054</c:v>
                </c:pt>
                <c:pt idx="12">
                  <c:v>2.7332393752964137</c:v>
                </c:pt>
                <c:pt idx="13">
                  <c:v>2.1429009581432759</c:v>
                </c:pt>
              </c:numCache>
            </c:numRef>
          </c:val>
          <c:smooth val="0"/>
          <c:extLst>
            <c:ext xmlns:c16="http://schemas.microsoft.com/office/drawing/2014/chart" uri="{C3380CC4-5D6E-409C-BE32-E72D297353CC}">
              <c16:uniqueId val="{00000006-A802-4126-88AC-0BB1F2FB5A67}"/>
            </c:ext>
          </c:extLst>
        </c:ser>
        <c:ser>
          <c:idx val="4"/>
          <c:order val="4"/>
          <c:tx>
            <c:strRef>
              <c:f>'R-GRAF-3'!$A$10</c:f>
              <c:strCache>
                <c:ptCount val="1"/>
                <c:pt idx="0">
                  <c:v>60  až 64 let</c:v>
                </c:pt>
              </c:strCache>
            </c:strRef>
          </c:tx>
          <c:spPr>
            <a:ln w="15875" cap="rnd">
              <a:solidFill>
                <a:srgbClr val="F8A124"/>
              </a:solidFill>
              <a:round/>
            </a:ln>
            <a:effectLst/>
          </c:spPr>
          <c:marker>
            <c:symbol val="none"/>
          </c:marker>
          <c:cat>
            <c:numRef>
              <c:f>'R-GRAF-3'!$B$5:$O$5</c:f>
              <c:numCache>
                <c:formatCode>General</c:formatCode>
                <c:ptCount val="14"/>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numCache>
            </c:numRef>
          </c:cat>
          <c:val>
            <c:numRef>
              <c:f>'R-GRAF-3'!$B$10:$O$10</c:f>
              <c:numCache>
                <c:formatCode>#\ ##0.0</c:formatCode>
                <c:ptCount val="14"/>
                <c:pt idx="0">
                  <c:v>2.9914508107086206</c:v>
                </c:pt>
                <c:pt idx="1">
                  <c:v>2.9631219692283994</c:v>
                </c:pt>
                <c:pt idx="2">
                  <c:v>2.4666031277549463</c:v>
                </c:pt>
                <c:pt idx="3">
                  <c:v>2.3483802534087062</c:v>
                </c:pt>
                <c:pt idx="4">
                  <c:v>4.0439116370297468</c:v>
                </c:pt>
                <c:pt idx="5">
                  <c:v>3.967300023501072</c:v>
                </c:pt>
                <c:pt idx="6">
                  <c:v>3.517917041076684</c:v>
                </c:pt>
                <c:pt idx="7">
                  <c:v>3.7830047464324332</c:v>
                </c:pt>
                <c:pt idx="8">
                  <c:v>4.2807095014966219</c:v>
                </c:pt>
                <c:pt idx="9">
                  <c:v>3.6973535760156224</c:v>
                </c:pt>
                <c:pt idx="10">
                  <c:v>2.8397550054035752</c:v>
                </c:pt>
                <c:pt idx="11">
                  <c:v>3.1519985347404167</c:v>
                </c:pt>
                <c:pt idx="12">
                  <c:v>1.8182758151534448</c:v>
                </c:pt>
                <c:pt idx="13">
                  <c:v>1.6604021346665228</c:v>
                </c:pt>
              </c:numCache>
            </c:numRef>
          </c:val>
          <c:smooth val="0"/>
          <c:extLst>
            <c:ext xmlns:c16="http://schemas.microsoft.com/office/drawing/2014/chart" uri="{C3380CC4-5D6E-409C-BE32-E72D297353CC}">
              <c16:uniqueId val="{00000007-A802-4126-88AC-0BB1F2FB5A67}"/>
            </c:ext>
          </c:extLst>
        </c:ser>
        <c:dLbls>
          <c:showLegendKey val="0"/>
          <c:showVal val="0"/>
          <c:showCatName val="0"/>
          <c:showSerName val="0"/>
          <c:showPercent val="0"/>
          <c:showBubbleSize val="0"/>
        </c:dLbls>
        <c:marker val="1"/>
        <c:smooth val="0"/>
        <c:axId val="74482432"/>
        <c:axId val="74483968"/>
      </c:lineChart>
      <c:catAx>
        <c:axId val="74482432"/>
        <c:scaling>
          <c:orientation val="minMax"/>
        </c:scaling>
        <c:delete val="0"/>
        <c:axPos val="b"/>
        <c:numFmt formatCode="General" sourceLinked="1"/>
        <c:majorTickMark val="none"/>
        <c:minorTickMark val="none"/>
        <c:tickLblPos val="nextTo"/>
        <c:spPr>
          <a:noFill/>
          <a:ln w="6350" cap="flat" cmpd="sng" algn="ctr">
            <a:solidFill>
              <a:schemeClr val="tx1">
                <a:lumMod val="95000"/>
                <a:lumOff val="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cs-CZ"/>
          </a:p>
        </c:txPr>
        <c:crossAx val="74483968"/>
        <c:crosses val="autoZero"/>
        <c:auto val="1"/>
        <c:lblAlgn val="ctr"/>
        <c:lblOffset val="0"/>
        <c:noMultiLvlLbl val="0"/>
      </c:catAx>
      <c:valAx>
        <c:axId val="74483968"/>
        <c:scaling>
          <c:orientation val="minMax"/>
          <c:max val="3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cs-CZ"/>
          </a:p>
        </c:txPr>
        <c:crossAx val="74482432"/>
        <c:crosses val="autoZero"/>
        <c:crossBetween val="between"/>
      </c:valAx>
      <c:spPr>
        <a:noFill/>
        <a:ln w="6350">
          <a:solidFill>
            <a:schemeClr val="tx1">
              <a:lumMod val="95000"/>
              <a:lumOff val="5000"/>
            </a:schemeClr>
          </a:solidFill>
        </a:ln>
        <a:effectLst/>
      </c:spPr>
    </c:plotArea>
    <c:legend>
      <c:legendPos val="b"/>
      <c:layout>
        <c:manualLayout>
          <c:xMode val="edge"/>
          <c:yMode val="edge"/>
          <c:x val="5.2715704203001493E-2"/>
          <c:y val="0.83924288959646642"/>
          <c:w val="0.9305252870262618"/>
          <c:h val="0.14672310074587977"/>
        </c:manualLayout>
      </c:layout>
      <c:overlay val="0"/>
      <c:spPr>
        <a:noFill/>
        <a:ln w="6350">
          <a:solidFill>
            <a:schemeClr val="tx1">
              <a:lumMod val="95000"/>
              <a:lumOff val="5000"/>
            </a:schemeClr>
          </a:solid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cs-CZ"/>
        </a:p>
      </c:txPr>
    </c:legend>
    <c:plotVisOnly val="1"/>
    <c:dispBlanksAs val="gap"/>
    <c:showDLblsOverMax val="0"/>
  </c:chart>
  <c:spPr>
    <a:solidFill>
      <a:schemeClr val="bg1"/>
    </a:solidFill>
    <a:ln w="9525" cap="flat" cmpd="sng" algn="ctr">
      <a:noFill/>
      <a:round/>
    </a:ln>
    <a:effectLst/>
  </c:spPr>
  <c:txPr>
    <a:bodyPr/>
    <a:lstStyle/>
    <a:p>
      <a:pPr>
        <a:defRPr/>
      </a:pPr>
      <a:endParaRPr lang="cs-CZ"/>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1755603720266684E-2"/>
          <c:y val="1.5071293591253618E-2"/>
          <c:w val="0.91388216708127057"/>
          <c:h val="0.72906805340278646"/>
        </c:manualLayout>
      </c:layout>
      <c:lineChart>
        <c:grouping val="standard"/>
        <c:varyColors val="0"/>
        <c:ser>
          <c:idx val="0"/>
          <c:order val="0"/>
          <c:tx>
            <c:strRef>
              <c:f>'Graf-2-Míry EA dle vzdělání'!$C$20</c:f>
              <c:strCache>
                <c:ptCount val="1"/>
                <c:pt idx="0">
                  <c:v>Vzdělání celkem, rok 2018</c:v>
                </c:pt>
              </c:strCache>
            </c:strRef>
          </c:tx>
          <c:spPr>
            <a:ln w="15875" cap="rnd">
              <a:solidFill>
                <a:schemeClr val="tx1">
                  <a:lumMod val="95000"/>
                  <a:lumOff val="5000"/>
                </a:schemeClr>
              </a:solidFill>
              <a:round/>
            </a:ln>
            <a:effectLst/>
          </c:spPr>
          <c:marker>
            <c:symbol val="none"/>
          </c:marker>
          <c:dPt>
            <c:idx val="12"/>
            <c:bubble3D val="0"/>
            <c:spPr>
              <a:ln w="15875" cap="rnd">
                <a:noFill/>
                <a:round/>
              </a:ln>
              <a:effectLst/>
            </c:spPr>
            <c:extLst>
              <c:ext xmlns:c16="http://schemas.microsoft.com/office/drawing/2014/chart" uri="{C3380CC4-5D6E-409C-BE32-E72D297353CC}">
                <c16:uniqueId val="{00000001-1B53-44C8-8667-81036A13AA9B}"/>
              </c:ext>
            </c:extLst>
          </c:dPt>
          <c:cat>
            <c:multiLvlStrRef>
              <c:f>'Graf-2-Míry EA dle vzdělání'!$A$21:$B$44</c:f>
              <c:multiLvlStrCache>
                <c:ptCount val="24"/>
                <c:lvl>
                  <c:pt idx="0">
                    <c:v>15-19</c:v>
                  </c:pt>
                  <c:pt idx="1">
                    <c:v>20-24</c:v>
                  </c:pt>
                  <c:pt idx="2">
                    <c:v>25-29</c:v>
                  </c:pt>
                  <c:pt idx="3">
                    <c:v>30-34</c:v>
                  </c:pt>
                  <c:pt idx="4">
                    <c:v>35-39</c:v>
                  </c:pt>
                  <c:pt idx="5">
                    <c:v>40-44</c:v>
                  </c:pt>
                  <c:pt idx="6">
                    <c:v>45-49</c:v>
                  </c:pt>
                  <c:pt idx="7">
                    <c:v>50-54</c:v>
                  </c:pt>
                  <c:pt idx="8">
                    <c:v>55-59</c:v>
                  </c:pt>
                  <c:pt idx="9">
                    <c:v>60-64</c:v>
                  </c:pt>
                  <c:pt idx="10">
                    <c:v>65-69</c:v>
                  </c:pt>
                  <c:pt idx="11">
                    <c:v>70-74</c:v>
                  </c:pt>
                  <c:pt idx="12">
                    <c:v>15-19</c:v>
                  </c:pt>
                  <c:pt idx="13">
                    <c:v>20-24</c:v>
                  </c:pt>
                  <c:pt idx="14">
                    <c:v>25-29</c:v>
                  </c:pt>
                  <c:pt idx="15">
                    <c:v>30-34</c:v>
                  </c:pt>
                  <c:pt idx="16">
                    <c:v>35-39</c:v>
                  </c:pt>
                  <c:pt idx="17">
                    <c:v>40-44</c:v>
                  </c:pt>
                  <c:pt idx="18">
                    <c:v>45-49</c:v>
                  </c:pt>
                  <c:pt idx="19">
                    <c:v>50-54</c:v>
                  </c:pt>
                  <c:pt idx="20">
                    <c:v>55-59</c:v>
                  </c:pt>
                  <c:pt idx="21">
                    <c:v>60-64</c:v>
                  </c:pt>
                  <c:pt idx="22">
                    <c:v>65-69</c:v>
                  </c:pt>
                  <c:pt idx="23">
                    <c:v>70-74</c:v>
                  </c:pt>
                </c:lvl>
                <c:lvl>
                  <c:pt idx="0">
                    <c:v>muži</c:v>
                  </c:pt>
                  <c:pt idx="12">
                    <c:v>ženy</c:v>
                  </c:pt>
                </c:lvl>
              </c:multiLvlStrCache>
            </c:multiLvlStrRef>
          </c:cat>
          <c:val>
            <c:numRef>
              <c:f>'Graf-2-Míry EA dle vzdělání'!$C$21:$C$44</c:f>
              <c:numCache>
                <c:formatCode>#\ ##0.0</c:formatCode>
                <c:ptCount val="24"/>
                <c:pt idx="0">
                  <c:v>6.7</c:v>
                </c:pt>
                <c:pt idx="1">
                  <c:v>59.7</c:v>
                </c:pt>
                <c:pt idx="2">
                  <c:v>92.9</c:v>
                </c:pt>
                <c:pt idx="3">
                  <c:v>97.5</c:v>
                </c:pt>
                <c:pt idx="4">
                  <c:v>97.1</c:v>
                </c:pt>
                <c:pt idx="5">
                  <c:v>96.7</c:v>
                </c:pt>
                <c:pt idx="6">
                  <c:v>95.9</c:v>
                </c:pt>
                <c:pt idx="7">
                  <c:v>94.6</c:v>
                </c:pt>
                <c:pt idx="8">
                  <c:v>90.6</c:v>
                </c:pt>
                <c:pt idx="9">
                  <c:v>60.9</c:v>
                </c:pt>
                <c:pt idx="10">
                  <c:v>17.5</c:v>
                </c:pt>
                <c:pt idx="11">
                  <c:v>9</c:v>
                </c:pt>
                <c:pt idx="12">
                  <c:v>5.0999999999999996</c:v>
                </c:pt>
                <c:pt idx="13">
                  <c:v>45.4</c:v>
                </c:pt>
                <c:pt idx="14">
                  <c:v>69.900000000000006</c:v>
                </c:pt>
                <c:pt idx="15">
                  <c:v>65.5</c:v>
                </c:pt>
                <c:pt idx="16">
                  <c:v>80.5</c:v>
                </c:pt>
                <c:pt idx="17">
                  <c:v>89</c:v>
                </c:pt>
                <c:pt idx="18">
                  <c:v>93.4</c:v>
                </c:pt>
                <c:pt idx="19">
                  <c:v>92.7</c:v>
                </c:pt>
                <c:pt idx="20">
                  <c:v>84.9</c:v>
                </c:pt>
                <c:pt idx="21">
                  <c:v>34.4</c:v>
                </c:pt>
                <c:pt idx="22">
                  <c:v>11.1</c:v>
                </c:pt>
                <c:pt idx="23">
                  <c:v>5.0999999999999996</c:v>
                </c:pt>
              </c:numCache>
            </c:numRef>
          </c:val>
          <c:smooth val="0"/>
          <c:extLst>
            <c:ext xmlns:c16="http://schemas.microsoft.com/office/drawing/2014/chart" uri="{C3380CC4-5D6E-409C-BE32-E72D297353CC}">
              <c16:uniqueId val="{00000002-1B53-44C8-8667-81036A13AA9B}"/>
            </c:ext>
          </c:extLst>
        </c:ser>
        <c:ser>
          <c:idx val="1"/>
          <c:order val="1"/>
          <c:tx>
            <c:strRef>
              <c:f>'Graf-2-Míry EA dle vzdělání'!$D$20</c:f>
              <c:strCache>
                <c:ptCount val="1"/>
                <c:pt idx="0">
                  <c:v>Základní vzdělání a bez vzděl. (0–2)</c:v>
                </c:pt>
              </c:strCache>
            </c:strRef>
          </c:tx>
          <c:spPr>
            <a:ln w="12700" cap="rnd">
              <a:solidFill>
                <a:srgbClr val="0070C0"/>
              </a:solidFill>
              <a:prstDash val="solid"/>
              <a:round/>
            </a:ln>
            <a:effectLst/>
          </c:spPr>
          <c:marker>
            <c:symbol val="none"/>
          </c:marker>
          <c:dPt>
            <c:idx val="12"/>
            <c:bubble3D val="0"/>
            <c:spPr>
              <a:ln w="12700" cap="rnd">
                <a:noFill/>
                <a:prstDash val="solid"/>
                <a:round/>
              </a:ln>
              <a:effectLst/>
            </c:spPr>
            <c:extLst>
              <c:ext xmlns:c16="http://schemas.microsoft.com/office/drawing/2014/chart" uri="{C3380CC4-5D6E-409C-BE32-E72D297353CC}">
                <c16:uniqueId val="{00000004-1B53-44C8-8667-81036A13AA9B}"/>
              </c:ext>
            </c:extLst>
          </c:dPt>
          <c:cat>
            <c:multiLvlStrRef>
              <c:f>'Graf-2-Míry EA dle vzdělání'!$A$21:$B$44</c:f>
              <c:multiLvlStrCache>
                <c:ptCount val="24"/>
                <c:lvl>
                  <c:pt idx="0">
                    <c:v>15-19</c:v>
                  </c:pt>
                  <c:pt idx="1">
                    <c:v>20-24</c:v>
                  </c:pt>
                  <c:pt idx="2">
                    <c:v>25-29</c:v>
                  </c:pt>
                  <c:pt idx="3">
                    <c:v>30-34</c:v>
                  </c:pt>
                  <c:pt idx="4">
                    <c:v>35-39</c:v>
                  </c:pt>
                  <c:pt idx="5">
                    <c:v>40-44</c:v>
                  </c:pt>
                  <c:pt idx="6">
                    <c:v>45-49</c:v>
                  </c:pt>
                  <c:pt idx="7">
                    <c:v>50-54</c:v>
                  </c:pt>
                  <c:pt idx="8">
                    <c:v>55-59</c:v>
                  </c:pt>
                  <c:pt idx="9">
                    <c:v>60-64</c:v>
                  </c:pt>
                  <c:pt idx="10">
                    <c:v>65-69</c:v>
                  </c:pt>
                  <c:pt idx="11">
                    <c:v>70-74</c:v>
                  </c:pt>
                  <c:pt idx="12">
                    <c:v>15-19</c:v>
                  </c:pt>
                  <c:pt idx="13">
                    <c:v>20-24</c:v>
                  </c:pt>
                  <c:pt idx="14">
                    <c:v>25-29</c:v>
                  </c:pt>
                  <c:pt idx="15">
                    <c:v>30-34</c:v>
                  </c:pt>
                  <c:pt idx="16">
                    <c:v>35-39</c:v>
                  </c:pt>
                  <c:pt idx="17">
                    <c:v>40-44</c:v>
                  </c:pt>
                  <c:pt idx="18">
                    <c:v>45-49</c:v>
                  </c:pt>
                  <c:pt idx="19">
                    <c:v>50-54</c:v>
                  </c:pt>
                  <c:pt idx="20">
                    <c:v>55-59</c:v>
                  </c:pt>
                  <c:pt idx="21">
                    <c:v>60-64</c:v>
                  </c:pt>
                  <c:pt idx="22">
                    <c:v>65-69</c:v>
                  </c:pt>
                  <c:pt idx="23">
                    <c:v>70-74</c:v>
                  </c:pt>
                </c:lvl>
                <c:lvl>
                  <c:pt idx="0">
                    <c:v>muži</c:v>
                  </c:pt>
                  <c:pt idx="12">
                    <c:v>ženy</c:v>
                  </c:pt>
                </c:lvl>
              </c:multiLvlStrCache>
            </c:multiLvlStrRef>
          </c:cat>
          <c:val>
            <c:numRef>
              <c:f>'Graf-2-Míry EA dle vzdělání'!$D$21:$D$44</c:f>
              <c:numCache>
                <c:formatCode>#\ ##0.0</c:formatCode>
                <c:ptCount val="24"/>
                <c:pt idx="0">
                  <c:v>2.9</c:v>
                </c:pt>
                <c:pt idx="1">
                  <c:v>59.1</c:v>
                </c:pt>
                <c:pt idx="2">
                  <c:v>71.900000000000006</c:v>
                </c:pt>
                <c:pt idx="3">
                  <c:v>79.400000000000006</c:v>
                </c:pt>
                <c:pt idx="4">
                  <c:v>78.5</c:v>
                </c:pt>
                <c:pt idx="5">
                  <c:v>78.7</c:v>
                </c:pt>
                <c:pt idx="6">
                  <c:v>77.599999999999994</c:v>
                </c:pt>
                <c:pt idx="7">
                  <c:v>65.599999999999994</c:v>
                </c:pt>
                <c:pt idx="8">
                  <c:v>61</c:v>
                </c:pt>
                <c:pt idx="9">
                  <c:v>35.299999999999997</c:v>
                </c:pt>
                <c:pt idx="10">
                  <c:v>5.7</c:v>
                </c:pt>
                <c:pt idx="11">
                  <c:v>2.4</c:v>
                </c:pt>
                <c:pt idx="12">
                  <c:v>2.5</c:v>
                </c:pt>
                <c:pt idx="13">
                  <c:v>40.799999999999997</c:v>
                </c:pt>
                <c:pt idx="14">
                  <c:v>42.2</c:v>
                </c:pt>
                <c:pt idx="15">
                  <c:v>46.7</c:v>
                </c:pt>
                <c:pt idx="16">
                  <c:v>64.900000000000006</c:v>
                </c:pt>
                <c:pt idx="17">
                  <c:v>64.5</c:v>
                </c:pt>
                <c:pt idx="18">
                  <c:v>72.8</c:v>
                </c:pt>
                <c:pt idx="19">
                  <c:v>73.900000000000006</c:v>
                </c:pt>
                <c:pt idx="20">
                  <c:v>63.4</c:v>
                </c:pt>
                <c:pt idx="21">
                  <c:v>15.7</c:v>
                </c:pt>
                <c:pt idx="22">
                  <c:v>4.8</c:v>
                </c:pt>
                <c:pt idx="23">
                  <c:v>2.4</c:v>
                </c:pt>
              </c:numCache>
            </c:numRef>
          </c:val>
          <c:smooth val="0"/>
          <c:extLst>
            <c:ext xmlns:c16="http://schemas.microsoft.com/office/drawing/2014/chart" uri="{C3380CC4-5D6E-409C-BE32-E72D297353CC}">
              <c16:uniqueId val="{00000005-1B53-44C8-8667-81036A13AA9B}"/>
            </c:ext>
          </c:extLst>
        </c:ser>
        <c:ser>
          <c:idx val="2"/>
          <c:order val="2"/>
          <c:tx>
            <c:strRef>
              <c:f>'Graf-2-Míry EA dle vzdělání'!$E$20</c:f>
              <c:strCache>
                <c:ptCount val="1"/>
                <c:pt idx="0">
                  <c:v>Střední vzdělání (3–4)</c:v>
                </c:pt>
              </c:strCache>
            </c:strRef>
          </c:tx>
          <c:spPr>
            <a:ln w="12700" cap="rnd">
              <a:solidFill>
                <a:srgbClr val="00B050"/>
              </a:solidFill>
              <a:prstDash val="solid"/>
              <a:round/>
            </a:ln>
            <a:effectLst/>
          </c:spPr>
          <c:marker>
            <c:symbol val="none"/>
          </c:marker>
          <c:dPt>
            <c:idx val="12"/>
            <c:bubble3D val="0"/>
            <c:spPr>
              <a:ln w="12700" cap="rnd">
                <a:noFill/>
                <a:prstDash val="solid"/>
                <a:round/>
              </a:ln>
              <a:effectLst/>
            </c:spPr>
            <c:extLst>
              <c:ext xmlns:c16="http://schemas.microsoft.com/office/drawing/2014/chart" uri="{C3380CC4-5D6E-409C-BE32-E72D297353CC}">
                <c16:uniqueId val="{00000007-1B53-44C8-8667-81036A13AA9B}"/>
              </c:ext>
            </c:extLst>
          </c:dPt>
          <c:cat>
            <c:multiLvlStrRef>
              <c:f>'Graf-2-Míry EA dle vzdělání'!$A$21:$B$44</c:f>
              <c:multiLvlStrCache>
                <c:ptCount val="24"/>
                <c:lvl>
                  <c:pt idx="0">
                    <c:v>15-19</c:v>
                  </c:pt>
                  <c:pt idx="1">
                    <c:v>20-24</c:v>
                  </c:pt>
                  <c:pt idx="2">
                    <c:v>25-29</c:v>
                  </c:pt>
                  <c:pt idx="3">
                    <c:v>30-34</c:v>
                  </c:pt>
                  <c:pt idx="4">
                    <c:v>35-39</c:v>
                  </c:pt>
                  <c:pt idx="5">
                    <c:v>40-44</c:v>
                  </c:pt>
                  <c:pt idx="6">
                    <c:v>45-49</c:v>
                  </c:pt>
                  <c:pt idx="7">
                    <c:v>50-54</c:v>
                  </c:pt>
                  <c:pt idx="8">
                    <c:v>55-59</c:v>
                  </c:pt>
                  <c:pt idx="9">
                    <c:v>60-64</c:v>
                  </c:pt>
                  <c:pt idx="10">
                    <c:v>65-69</c:v>
                  </c:pt>
                  <c:pt idx="11">
                    <c:v>70-74</c:v>
                  </c:pt>
                  <c:pt idx="12">
                    <c:v>15-19</c:v>
                  </c:pt>
                  <c:pt idx="13">
                    <c:v>20-24</c:v>
                  </c:pt>
                  <c:pt idx="14">
                    <c:v>25-29</c:v>
                  </c:pt>
                  <c:pt idx="15">
                    <c:v>30-34</c:v>
                  </c:pt>
                  <c:pt idx="16">
                    <c:v>35-39</c:v>
                  </c:pt>
                  <c:pt idx="17">
                    <c:v>40-44</c:v>
                  </c:pt>
                  <c:pt idx="18">
                    <c:v>45-49</c:v>
                  </c:pt>
                  <c:pt idx="19">
                    <c:v>50-54</c:v>
                  </c:pt>
                  <c:pt idx="20">
                    <c:v>55-59</c:v>
                  </c:pt>
                  <c:pt idx="21">
                    <c:v>60-64</c:v>
                  </c:pt>
                  <c:pt idx="22">
                    <c:v>65-69</c:v>
                  </c:pt>
                  <c:pt idx="23">
                    <c:v>70-74</c:v>
                  </c:pt>
                </c:lvl>
                <c:lvl>
                  <c:pt idx="0">
                    <c:v>muži</c:v>
                  </c:pt>
                  <c:pt idx="12">
                    <c:v>ženy</c:v>
                  </c:pt>
                </c:lvl>
              </c:multiLvlStrCache>
            </c:multiLvlStrRef>
          </c:cat>
          <c:val>
            <c:numRef>
              <c:f>'Graf-2-Míry EA dle vzdělání'!$E$21:$E$44</c:f>
              <c:numCache>
                <c:formatCode>#\ ##0.0</c:formatCode>
                <c:ptCount val="24"/>
                <c:pt idx="0">
                  <c:v>38.9</c:v>
                </c:pt>
                <c:pt idx="1">
                  <c:v>62.1</c:v>
                </c:pt>
                <c:pt idx="2">
                  <c:v>95.5</c:v>
                </c:pt>
                <c:pt idx="3">
                  <c:v>98.3</c:v>
                </c:pt>
                <c:pt idx="4">
                  <c:v>97.7</c:v>
                </c:pt>
                <c:pt idx="5">
                  <c:v>97</c:v>
                </c:pt>
                <c:pt idx="6">
                  <c:v>96</c:v>
                </c:pt>
                <c:pt idx="7">
                  <c:v>94.9</c:v>
                </c:pt>
                <c:pt idx="8">
                  <c:v>90.6</c:v>
                </c:pt>
                <c:pt idx="9">
                  <c:v>58.6</c:v>
                </c:pt>
                <c:pt idx="10">
                  <c:v>14.1</c:v>
                </c:pt>
                <c:pt idx="11">
                  <c:v>7.2</c:v>
                </c:pt>
                <c:pt idx="12">
                  <c:v>27.6</c:v>
                </c:pt>
                <c:pt idx="13">
                  <c:v>44.7</c:v>
                </c:pt>
                <c:pt idx="14">
                  <c:v>67.599999999999994</c:v>
                </c:pt>
                <c:pt idx="15">
                  <c:v>67.5</c:v>
                </c:pt>
                <c:pt idx="16">
                  <c:v>82.3</c:v>
                </c:pt>
                <c:pt idx="17">
                  <c:v>90.5</c:v>
                </c:pt>
                <c:pt idx="18">
                  <c:v>93.5</c:v>
                </c:pt>
                <c:pt idx="19">
                  <c:v>93.1</c:v>
                </c:pt>
                <c:pt idx="20">
                  <c:v>85.7</c:v>
                </c:pt>
                <c:pt idx="21">
                  <c:v>32.200000000000003</c:v>
                </c:pt>
                <c:pt idx="22">
                  <c:v>10.1</c:v>
                </c:pt>
                <c:pt idx="23">
                  <c:v>5.0999999999999996</c:v>
                </c:pt>
              </c:numCache>
            </c:numRef>
          </c:val>
          <c:smooth val="0"/>
          <c:extLst>
            <c:ext xmlns:c16="http://schemas.microsoft.com/office/drawing/2014/chart" uri="{C3380CC4-5D6E-409C-BE32-E72D297353CC}">
              <c16:uniqueId val="{00000008-1B53-44C8-8667-81036A13AA9B}"/>
            </c:ext>
          </c:extLst>
        </c:ser>
        <c:ser>
          <c:idx val="3"/>
          <c:order val="3"/>
          <c:tx>
            <c:strRef>
              <c:f>'Graf-2-Míry EA dle vzdělání'!$F$20</c:f>
              <c:strCache>
                <c:ptCount val="1"/>
                <c:pt idx="0">
                  <c:v>Terciární vzdělání (5–8)</c:v>
                </c:pt>
              </c:strCache>
            </c:strRef>
          </c:tx>
          <c:spPr>
            <a:ln w="12700" cap="rnd">
              <a:solidFill>
                <a:schemeClr val="accent6">
                  <a:lumMod val="75000"/>
                </a:schemeClr>
              </a:solidFill>
              <a:prstDash val="solid"/>
              <a:round/>
            </a:ln>
            <a:effectLst/>
          </c:spPr>
          <c:marker>
            <c:symbol val="none"/>
          </c:marker>
          <c:cat>
            <c:multiLvlStrRef>
              <c:f>'Graf-2-Míry EA dle vzdělání'!$A$21:$B$44</c:f>
              <c:multiLvlStrCache>
                <c:ptCount val="24"/>
                <c:lvl>
                  <c:pt idx="0">
                    <c:v>15-19</c:v>
                  </c:pt>
                  <c:pt idx="1">
                    <c:v>20-24</c:v>
                  </c:pt>
                  <c:pt idx="2">
                    <c:v>25-29</c:v>
                  </c:pt>
                  <c:pt idx="3">
                    <c:v>30-34</c:v>
                  </c:pt>
                  <c:pt idx="4">
                    <c:v>35-39</c:v>
                  </c:pt>
                  <c:pt idx="5">
                    <c:v>40-44</c:v>
                  </c:pt>
                  <c:pt idx="6">
                    <c:v>45-49</c:v>
                  </c:pt>
                  <c:pt idx="7">
                    <c:v>50-54</c:v>
                  </c:pt>
                  <c:pt idx="8">
                    <c:v>55-59</c:v>
                  </c:pt>
                  <c:pt idx="9">
                    <c:v>60-64</c:v>
                  </c:pt>
                  <c:pt idx="10">
                    <c:v>65-69</c:v>
                  </c:pt>
                  <c:pt idx="11">
                    <c:v>70-74</c:v>
                  </c:pt>
                  <c:pt idx="12">
                    <c:v>15-19</c:v>
                  </c:pt>
                  <c:pt idx="13">
                    <c:v>20-24</c:v>
                  </c:pt>
                  <c:pt idx="14">
                    <c:v>25-29</c:v>
                  </c:pt>
                  <c:pt idx="15">
                    <c:v>30-34</c:v>
                  </c:pt>
                  <c:pt idx="16">
                    <c:v>35-39</c:v>
                  </c:pt>
                  <c:pt idx="17">
                    <c:v>40-44</c:v>
                  </c:pt>
                  <c:pt idx="18">
                    <c:v>45-49</c:v>
                  </c:pt>
                  <c:pt idx="19">
                    <c:v>50-54</c:v>
                  </c:pt>
                  <c:pt idx="20">
                    <c:v>55-59</c:v>
                  </c:pt>
                  <c:pt idx="21">
                    <c:v>60-64</c:v>
                  </c:pt>
                  <c:pt idx="22">
                    <c:v>65-69</c:v>
                  </c:pt>
                  <c:pt idx="23">
                    <c:v>70-74</c:v>
                  </c:pt>
                </c:lvl>
                <c:lvl>
                  <c:pt idx="0">
                    <c:v>muži</c:v>
                  </c:pt>
                  <c:pt idx="12">
                    <c:v>ženy</c:v>
                  </c:pt>
                </c:lvl>
              </c:multiLvlStrCache>
            </c:multiLvlStrRef>
          </c:cat>
          <c:val>
            <c:numRef>
              <c:f>'Graf-2-Míry EA dle vzdělání'!$F$21:$F$44</c:f>
              <c:numCache>
                <c:formatCode>#\ ##0.0</c:formatCode>
                <c:ptCount val="24"/>
                <c:pt idx="1">
                  <c:v>38.200000000000003</c:v>
                </c:pt>
                <c:pt idx="2">
                  <c:v>91</c:v>
                </c:pt>
                <c:pt idx="3">
                  <c:v>99.6</c:v>
                </c:pt>
                <c:pt idx="4">
                  <c:v>99.8</c:v>
                </c:pt>
                <c:pt idx="5">
                  <c:v>99.2</c:v>
                </c:pt>
                <c:pt idx="6">
                  <c:v>99</c:v>
                </c:pt>
                <c:pt idx="7">
                  <c:v>98.7</c:v>
                </c:pt>
                <c:pt idx="8">
                  <c:v>97.6</c:v>
                </c:pt>
                <c:pt idx="9">
                  <c:v>77</c:v>
                </c:pt>
                <c:pt idx="10">
                  <c:v>39.9</c:v>
                </c:pt>
                <c:pt idx="11">
                  <c:v>20.100000000000001</c:v>
                </c:pt>
                <c:pt idx="13">
                  <c:v>51.6</c:v>
                </c:pt>
                <c:pt idx="14">
                  <c:v>78.2</c:v>
                </c:pt>
                <c:pt idx="15">
                  <c:v>65.2</c:v>
                </c:pt>
                <c:pt idx="16">
                  <c:v>79.900000000000006</c:v>
                </c:pt>
                <c:pt idx="17">
                  <c:v>89.3</c:v>
                </c:pt>
                <c:pt idx="18">
                  <c:v>97.6</c:v>
                </c:pt>
                <c:pt idx="19">
                  <c:v>97.9</c:v>
                </c:pt>
                <c:pt idx="20">
                  <c:v>94.3</c:v>
                </c:pt>
                <c:pt idx="21">
                  <c:v>66</c:v>
                </c:pt>
                <c:pt idx="22">
                  <c:v>30.1</c:v>
                </c:pt>
                <c:pt idx="23">
                  <c:v>11.3</c:v>
                </c:pt>
              </c:numCache>
            </c:numRef>
          </c:val>
          <c:smooth val="0"/>
          <c:extLst>
            <c:ext xmlns:c16="http://schemas.microsoft.com/office/drawing/2014/chart" uri="{C3380CC4-5D6E-409C-BE32-E72D297353CC}">
              <c16:uniqueId val="{00000009-1B53-44C8-8667-81036A13AA9B}"/>
            </c:ext>
          </c:extLst>
        </c:ser>
        <c:ser>
          <c:idx val="4"/>
          <c:order val="4"/>
          <c:tx>
            <c:strRef>
              <c:f>'Graf-2-Míry EA dle vzdělání'!$G$20</c:f>
              <c:strCache>
                <c:ptCount val="1"/>
                <c:pt idx="0">
                  <c:v>Vzdělání celkem, rok 2008</c:v>
                </c:pt>
              </c:strCache>
            </c:strRef>
          </c:tx>
          <c:spPr>
            <a:ln w="12700" cap="rnd">
              <a:noFill/>
              <a:prstDash val="sysDot"/>
              <a:round/>
            </a:ln>
            <a:effectLst/>
          </c:spPr>
          <c:marker>
            <c:symbol val="diamond"/>
            <c:size val="4"/>
            <c:spPr>
              <a:solidFill>
                <a:schemeClr val="tx1">
                  <a:lumMod val="95000"/>
                  <a:lumOff val="5000"/>
                </a:schemeClr>
              </a:solidFill>
              <a:ln w="9525">
                <a:noFill/>
              </a:ln>
              <a:effectLst/>
            </c:spPr>
          </c:marker>
          <c:cat>
            <c:multiLvlStrRef>
              <c:f>'Graf-2-Míry EA dle vzdělání'!$A$21:$B$44</c:f>
              <c:multiLvlStrCache>
                <c:ptCount val="24"/>
                <c:lvl>
                  <c:pt idx="0">
                    <c:v>15-19</c:v>
                  </c:pt>
                  <c:pt idx="1">
                    <c:v>20-24</c:v>
                  </c:pt>
                  <c:pt idx="2">
                    <c:v>25-29</c:v>
                  </c:pt>
                  <c:pt idx="3">
                    <c:v>30-34</c:v>
                  </c:pt>
                  <c:pt idx="4">
                    <c:v>35-39</c:v>
                  </c:pt>
                  <c:pt idx="5">
                    <c:v>40-44</c:v>
                  </c:pt>
                  <c:pt idx="6">
                    <c:v>45-49</c:v>
                  </c:pt>
                  <c:pt idx="7">
                    <c:v>50-54</c:v>
                  </c:pt>
                  <c:pt idx="8">
                    <c:v>55-59</c:v>
                  </c:pt>
                  <c:pt idx="9">
                    <c:v>60-64</c:v>
                  </c:pt>
                  <c:pt idx="10">
                    <c:v>65-69</c:v>
                  </c:pt>
                  <c:pt idx="11">
                    <c:v>70-74</c:v>
                  </c:pt>
                  <c:pt idx="12">
                    <c:v>15-19</c:v>
                  </c:pt>
                  <c:pt idx="13">
                    <c:v>20-24</c:v>
                  </c:pt>
                  <c:pt idx="14">
                    <c:v>25-29</c:v>
                  </c:pt>
                  <c:pt idx="15">
                    <c:v>30-34</c:v>
                  </c:pt>
                  <c:pt idx="16">
                    <c:v>35-39</c:v>
                  </c:pt>
                  <c:pt idx="17">
                    <c:v>40-44</c:v>
                  </c:pt>
                  <c:pt idx="18">
                    <c:v>45-49</c:v>
                  </c:pt>
                  <c:pt idx="19">
                    <c:v>50-54</c:v>
                  </c:pt>
                  <c:pt idx="20">
                    <c:v>55-59</c:v>
                  </c:pt>
                  <c:pt idx="21">
                    <c:v>60-64</c:v>
                  </c:pt>
                  <c:pt idx="22">
                    <c:v>65-69</c:v>
                  </c:pt>
                  <c:pt idx="23">
                    <c:v>70-74</c:v>
                  </c:pt>
                </c:lvl>
                <c:lvl>
                  <c:pt idx="0">
                    <c:v>muži</c:v>
                  </c:pt>
                  <c:pt idx="12">
                    <c:v>ženy</c:v>
                  </c:pt>
                </c:lvl>
              </c:multiLvlStrCache>
            </c:multiLvlStrRef>
          </c:cat>
          <c:val>
            <c:numRef>
              <c:f>'Graf-2-Míry EA dle vzdělání'!$G$21:$G$44</c:f>
              <c:numCache>
                <c:formatCode>#\ ##0.0</c:formatCode>
                <c:ptCount val="24"/>
                <c:pt idx="0">
                  <c:v>8.4</c:v>
                </c:pt>
                <c:pt idx="1">
                  <c:v>60.8</c:v>
                </c:pt>
                <c:pt idx="2">
                  <c:v>90.9</c:v>
                </c:pt>
                <c:pt idx="3">
                  <c:v>96.8</c:v>
                </c:pt>
                <c:pt idx="4">
                  <c:v>97.6</c:v>
                </c:pt>
                <c:pt idx="5">
                  <c:v>96.5</c:v>
                </c:pt>
                <c:pt idx="6">
                  <c:v>94.6</c:v>
                </c:pt>
                <c:pt idx="7">
                  <c:v>91.7</c:v>
                </c:pt>
                <c:pt idx="8">
                  <c:v>84.8</c:v>
                </c:pt>
                <c:pt idx="9">
                  <c:v>40.700000000000003</c:v>
                </c:pt>
                <c:pt idx="10">
                  <c:v>13.3</c:v>
                </c:pt>
                <c:pt idx="11">
                  <c:v>5.9</c:v>
                </c:pt>
                <c:pt idx="12">
                  <c:v>6.3</c:v>
                </c:pt>
                <c:pt idx="13">
                  <c:v>44.4</c:v>
                </c:pt>
                <c:pt idx="14">
                  <c:v>66.400000000000006</c:v>
                </c:pt>
                <c:pt idx="15">
                  <c:v>66</c:v>
                </c:pt>
                <c:pt idx="16">
                  <c:v>80</c:v>
                </c:pt>
                <c:pt idx="17">
                  <c:v>91</c:v>
                </c:pt>
                <c:pt idx="18">
                  <c:v>92.5</c:v>
                </c:pt>
                <c:pt idx="19">
                  <c:v>87.7</c:v>
                </c:pt>
                <c:pt idx="20">
                  <c:v>55.7</c:v>
                </c:pt>
                <c:pt idx="21">
                  <c:v>15.1</c:v>
                </c:pt>
                <c:pt idx="22">
                  <c:v>6.5</c:v>
                </c:pt>
                <c:pt idx="23">
                  <c:v>2.5</c:v>
                </c:pt>
              </c:numCache>
            </c:numRef>
          </c:val>
          <c:smooth val="0"/>
          <c:extLst>
            <c:ext xmlns:c16="http://schemas.microsoft.com/office/drawing/2014/chart" uri="{C3380CC4-5D6E-409C-BE32-E72D297353CC}">
              <c16:uniqueId val="{0000000A-1B53-44C8-8667-81036A13AA9B}"/>
            </c:ext>
          </c:extLst>
        </c:ser>
        <c:ser>
          <c:idx val="5"/>
          <c:order val="5"/>
          <c:tx>
            <c:strRef>
              <c:f>'Graf-2-Míry EA dle vzdělání'!$H$20</c:f>
              <c:strCache>
                <c:ptCount val="1"/>
                <c:pt idx="0">
                  <c:v>Základní vzdělání a bez vzděl. (0–2)</c:v>
                </c:pt>
              </c:strCache>
            </c:strRef>
          </c:tx>
          <c:spPr>
            <a:ln w="12700" cap="rnd">
              <a:noFill/>
              <a:prstDash val="sysDot"/>
              <a:round/>
            </a:ln>
            <a:effectLst/>
          </c:spPr>
          <c:marker>
            <c:symbol val="diamond"/>
            <c:size val="4"/>
            <c:spPr>
              <a:solidFill>
                <a:srgbClr val="0070C0"/>
              </a:solidFill>
              <a:ln w="9525">
                <a:noFill/>
              </a:ln>
              <a:effectLst/>
            </c:spPr>
          </c:marker>
          <c:cat>
            <c:multiLvlStrRef>
              <c:f>'Graf-2-Míry EA dle vzdělání'!$A$21:$B$44</c:f>
              <c:multiLvlStrCache>
                <c:ptCount val="24"/>
                <c:lvl>
                  <c:pt idx="0">
                    <c:v>15-19</c:v>
                  </c:pt>
                  <c:pt idx="1">
                    <c:v>20-24</c:v>
                  </c:pt>
                  <c:pt idx="2">
                    <c:v>25-29</c:v>
                  </c:pt>
                  <c:pt idx="3">
                    <c:v>30-34</c:v>
                  </c:pt>
                  <c:pt idx="4">
                    <c:v>35-39</c:v>
                  </c:pt>
                  <c:pt idx="5">
                    <c:v>40-44</c:v>
                  </c:pt>
                  <c:pt idx="6">
                    <c:v>45-49</c:v>
                  </c:pt>
                  <c:pt idx="7">
                    <c:v>50-54</c:v>
                  </c:pt>
                  <c:pt idx="8">
                    <c:v>55-59</c:v>
                  </c:pt>
                  <c:pt idx="9">
                    <c:v>60-64</c:v>
                  </c:pt>
                  <c:pt idx="10">
                    <c:v>65-69</c:v>
                  </c:pt>
                  <c:pt idx="11">
                    <c:v>70-74</c:v>
                  </c:pt>
                  <c:pt idx="12">
                    <c:v>15-19</c:v>
                  </c:pt>
                  <c:pt idx="13">
                    <c:v>20-24</c:v>
                  </c:pt>
                  <c:pt idx="14">
                    <c:v>25-29</c:v>
                  </c:pt>
                  <c:pt idx="15">
                    <c:v>30-34</c:v>
                  </c:pt>
                  <c:pt idx="16">
                    <c:v>35-39</c:v>
                  </c:pt>
                  <c:pt idx="17">
                    <c:v>40-44</c:v>
                  </c:pt>
                  <c:pt idx="18">
                    <c:v>45-49</c:v>
                  </c:pt>
                  <c:pt idx="19">
                    <c:v>50-54</c:v>
                  </c:pt>
                  <c:pt idx="20">
                    <c:v>55-59</c:v>
                  </c:pt>
                  <c:pt idx="21">
                    <c:v>60-64</c:v>
                  </c:pt>
                  <c:pt idx="22">
                    <c:v>65-69</c:v>
                  </c:pt>
                  <c:pt idx="23">
                    <c:v>70-74</c:v>
                  </c:pt>
                </c:lvl>
                <c:lvl>
                  <c:pt idx="0">
                    <c:v>muži</c:v>
                  </c:pt>
                  <c:pt idx="12">
                    <c:v>ženy</c:v>
                  </c:pt>
                </c:lvl>
              </c:multiLvlStrCache>
            </c:multiLvlStrRef>
          </c:cat>
          <c:val>
            <c:numRef>
              <c:f>'Graf-2-Míry EA dle vzdělání'!$H$21:$H$44</c:f>
              <c:numCache>
                <c:formatCode>#\ ##0.0</c:formatCode>
                <c:ptCount val="24"/>
                <c:pt idx="0">
                  <c:v>3</c:v>
                </c:pt>
                <c:pt idx="1">
                  <c:v>53.7</c:v>
                </c:pt>
                <c:pt idx="2">
                  <c:v>78.7</c:v>
                </c:pt>
                <c:pt idx="3">
                  <c:v>78.900000000000006</c:v>
                </c:pt>
                <c:pt idx="4">
                  <c:v>81.599999999999994</c:v>
                </c:pt>
                <c:pt idx="5">
                  <c:v>76.5</c:v>
                </c:pt>
                <c:pt idx="6">
                  <c:v>75.099999999999994</c:v>
                </c:pt>
                <c:pt idx="7">
                  <c:v>74.400000000000006</c:v>
                </c:pt>
                <c:pt idx="8">
                  <c:v>66.8</c:v>
                </c:pt>
                <c:pt idx="9">
                  <c:v>26.9</c:v>
                </c:pt>
                <c:pt idx="10">
                  <c:v>3</c:v>
                </c:pt>
                <c:pt idx="11">
                  <c:v>1</c:v>
                </c:pt>
                <c:pt idx="12">
                  <c:v>2.5</c:v>
                </c:pt>
                <c:pt idx="13">
                  <c:v>29.5</c:v>
                </c:pt>
                <c:pt idx="14">
                  <c:v>42.7</c:v>
                </c:pt>
                <c:pt idx="15">
                  <c:v>59.9</c:v>
                </c:pt>
                <c:pt idx="16">
                  <c:v>62</c:v>
                </c:pt>
                <c:pt idx="17">
                  <c:v>75.599999999999994</c:v>
                </c:pt>
                <c:pt idx="18">
                  <c:v>81.099999999999994</c:v>
                </c:pt>
                <c:pt idx="19">
                  <c:v>76.400000000000006</c:v>
                </c:pt>
                <c:pt idx="20">
                  <c:v>40</c:v>
                </c:pt>
                <c:pt idx="21">
                  <c:v>7.9</c:v>
                </c:pt>
                <c:pt idx="22">
                  <c:v>4.0999999999999996</c:v>
                </c:pt>
                <c:pt idx="23">
                  <c:v>1.1000000000000001</c:v>
                </c:pt>
              </c:numCache>
            </c:numRef>
          </c:val>
          <c:smooth val="0"/>
          <c:extLst>
            <c:ext xmlns:c16="http://schemas.microsoft.com/office/drawing/2014/chart" uri="{C3380CC4-5D6E-409C-BE32-E72D297353CC}">
              <c16:uniqueId val="{0000000B-1B53-44C8-8667-81036A13AA9B}"/>
            </c:ext>
          </c:extLst>
        </c:ser>
        <c:ser>
          <c:idx val="6"/>
          <c:order val="6"/>
          <c:tx>
            <c:strRef>
              <c:f>'Graf-2-Míry EA dle vzdělání'!$I$20</c:f>
              <c:strCache>
                <c:ptCount val="1"/>
                <c:pt idx="0">
                  <c:v>Střední vzdělání (3–4)</c:v>
                </c:pt>
              </c:strCache>
            </c:strRef>
          </c:tx>
          <c:spPr>
            <a:ln w="12700" cap="rnd">
              <a:noFill/>
              <a:prstDash val="sysDot"/>
              <a:round/>
            </a:ln>
            <a:effectLst/>
          </c:spPr>
          <c:marker>
            <c:symbol val="diamond"/>
            <c:size val="4"/>
            <c:spPr>
              <a:solidFill>
                <a:srgbClr val="00B050"/>
              </a:solidFill>
              <a:ln w="9525">
                <a:noFill/>
              </a:ln>
              <a:effectLst/>
            </c:spPr>
          </c:marker>
          <c:cat>
            <c:multiLvlStrRef>
              <c:f>'Graf-2-Míry EA dle vzdělání'!$A$21:$B$44</c:f>
              <c:multiLvlStrCache>
                <c:ptCount val="24"/>
                <c:lvl>
                  <c:pt idx="0">
                    <c:v>15-19</c:v>
                  </c:pt>
                  <c:pt idx="1">
                    <c:v>20-24</c:v>
                  </c:pt>
                  <c:pt idx="2">
                    <c:v>25-29</c:v>
                  </c:pt>
                  <c:pt idx="3">
                    <c:v>30-34</c:v>
                  </c:pt>
                  <c:pt idx="4">
                    <c:v>35-39</c:v>
                  </c:pt>
                  <c:pt idx="5">
                    <c:v>40-44</c:v>
                  </c:pt>
                  <c:pt idx="6">
                    <c:v>45-49</c:v>
                  </c:pt>
                  <c:pt idx="7">
                    <c:v>50-54</c:v>
                  </c:pt>
                  <c:pt idx="8">
                    <c:v>55-59</c:v>
                  </c:pt>
                  <c:pt idx="9">
                    <c:v>60-64</c:v>
                  </c:pt>
                  <c:pt idx="10">
                    <c:v>65-69</c:v>
                  </c:pt>
                  <c:pt idx="11">
                    <c:v>70-74</c:v>
                  </c:pt>
                  <c:pt idx="12">
                    <c:v>15-19</c:v>
                  </c:pt>
                  <c:pt idx="13">
                    <c:v>20-24</c:v>
                  </c:pt>
                  <c:pt idx="14">
                    <c:v>25-29</c:v>
                  </c:pt>
                  <c:pt idx="15">
                    <c:v>30-34</c:v>
                  </c:pt>
                  <c:pt idx="16">
                    <c:v>35-39</c:v>
                  </c:pt>
                  <c:pt idx="17">
                    <c:v>40-44</c:v>
                  </c:pt>
                  <c:pt idx="18">
                    <c:v>45-49</c:v>
                  </c:pt>
                  <c:pt idx="19">
                    <c:v>50-54</c:v>
                  </c:pt>
                  <c:pt idx="20">
                    <c:v>55-59</c:v>
                  </c:pt>
                  <c:pt idx="21">
                    <c:v>60-64</c:v>
                  </c:pt>
                  <c:pt idx="22">
                    <c:v>65-69</c:v>
                  </c:pt>
                  <c:pt idx="23">
                    <c:v>70-74</c:v>
                  </c:pt>
                </c:lvl>
                <c:lvl>
                  <c:pt idx="0">
                    <c:v>muži</c:v>
                  </c:pt>
                  <c:pt idx="12">
                    <c:v>ženy</c:v>
                  </c:pt>
                </c:lvl>
              </c:multiLvlStrCache>
            </c:multiLvlStrRef>
          </c:cat>
          <c:val>
            <c:numRef>
              <c:f>'Graf-2-Míry EA dle vzdělání'!$I$21:$I$44</c:f>
              <c:numCache>
                <c:formatCode>#\ ##0.0</c:formatCode>
                <c:ptCount val="24"/>
                <c:pt idx="0">
                  <c:v>46.7</c:v>
                </c:pt>
                <c:pt idx="1">
                  <c:v>62.9</c:v>
                </c:pt>
                <c:pt idx="2">
                  <c:v>92.6</c:v>
                </c:pt>
                <c:pt idx="3">
                  <c:v>97.6</c:v>
                </c:pt>
                <c:pt idx="4">
                  <c:v>98.3</c:v>
                </c:pt>
                <c:pt idx="5">
                  <c:v>97.2</c:v>
                </c:pt>
                <c:pt idx="6">
                  <c:v>94.9</c:v>
                </c:pt>
                <c:pt idx="7">
                  <c:v>91.7</c:v>
                </c:pt>
                <c:pt idx="8">
                  <c:v>84.7</c:v>
                </c:pt>
                <c:pt idx="9">
                  <c:v>38</c:v>
                </c:pt>
                <c:pt idx="10">
                  <c:v>10.3</c:v>
                </c:pt>
                <c:pt idx="11">
                  <c:v>4.8</c:v>
                </c:pt>
                <c:pt idx="12">
                  <c:v>34.1</c:v>
                </c:pt>
                <c:pt idx="13">
                  <c:v>44.9</c:v>
                </c:pt>
                <c:pt idx="14">
                  <c:v>64</c:v>
                </c:pt>
                <c:pt idx="15">
                  <c:v>67.400000000000006</c:v>
                </c:pt>
                <c:pt idx="16">
                  <c:v>81.900000000000006</c:v>
                </c:pt>
                <c:pt idx="17">
                  <c:v>92.5</c:v>
                </c:pt>
                <c:pt idx="18">
                  <c:v>93.8</c:v>
                </c:pt>
                <c:pt idx="19">
                  <c:v>89.3</c:v>
                </c:pt>
                <c:pt idx="20">
                  <c:v>57</c:v>
                </c:pt>
                <c:pt idx="21">
                  <c:v>14.8</c:v>
                </c:pt>
                <c:pt idx="22">
                  <c:v>6.5</c:v>
                </c:pt>
                <c:pt idx="23">
                  <c:v>2.8</c:v>
                </c:pt>
              </c:numCache>
            </c:numRef>
          </c:val>
          <c:smooth val="0"/>
          <c:extLst>
            <c:ext xmlns:c16="http://schemas.microsoft.com/office/drawing/2014/chart" uri="{C3380CC4-5D6E-409C-BE32-E72D297353CC}">
              <c16:uniqueId val="{0000000C-1B53-44C8-8667-81036A13AA9B}"/>
            </c:ext>
          </c:extLst>
        </c:ser>
        <c:ser>
          <c:idx val="7"/>
          <c:order val="7"/>
          <c:tx>
            <c:strRef>
              <c:f>'Graf-2-Míry EA dle vzdělání'!$J$20</c:f>
              <c:strCache>
                <c:ptCount val="1"/>
                <c:pt idx="0">
                  <c:v>Terciární vzdělání (5–8)</c:v>
                </c:pt>
              </c:strCache>
            </c:strRef>
          </c:tx>
          <c:spPr>
            <a:ln w="12700" cap="rnd">
              <a:noFill/>
              <a:prstDash val="sysDot"/>
              <a:round/>
            </a:ln>
            <a:effectLst/>
          </c:spPr>
          <c:marker>
            <c:symbol val="diamond"/>
            <c:size val="4"/>
            <c:spPr>
              <a:solidFill>
                <a:schemeClr val="accent6">
                  <a:lumMod val="75000"/>
                </a:schemeClr>
              </a:solidFill>
              <a:ln w="9525">
                <a:noFill/>
              </a:ln>
              <a:effectLst/>
            </c:spPr>
          </c:marker>
          <c:cat>
            <c:multiLvlStrRef>
              <c:f>'Graf-2-Míry EA dle vzdělání'!$A$21:$B$44</c:f>
              <c:multiLvlStrCache>
                <c:ptCount val="24"/>
                <c:lvl>
                  <c:pt idx="0">
                    <c:v>15-19</c:v>
                  </c:pt>
                  <c:pt idx="1">
                    <c:v>20-24</c:v>
                  </c:pt>
                  <c:pt idx="2">
                    <c:v>25-29</c:v>
                  </c:pt>
                  <c:pt idx="3">
                    <c:v>30-34</c:v>
                  </c:pt>
                  <c:pt idx="4">
                    <c:v>35-39</c:v>
                  </c:pt>
                  <c:pt idx="5">
                    <c:v>40-44</c:v>
                  </c:pt>
                  <c:pt idx="6">
                    <c:v>45-49</c:v>
                  </c:pt>
                  <c:pt idx="7">
                    <c:v>50-54</c:v>
                  </c:pt>
                  <c:pt idx="8">
                    <c:v>55-59</c:v>
                  </c:pt>
                  <c:pt idx="9">
                    <c:v>60-64</c:v>
                  </c:pt>
                  <c:pt idx="10">
                    <c:v>65-69</c:v>
                  </c:pt>
                  <c:pt idx="11">
                    <c:v>70-74</c:v>
                  </c:pt>
                  <c:pt idx="12">
                    <c:v>15-19</c:v>
                  </c:pt>
                  <c:pt idx="13">
                    <c:v>20-24</c:v>
                  </c:pt>
                  <c:pt idx="14">
                    <c:v>25-29</c:v>
                  </c:pt>
                  <c:pt idx="15">
                    <c:v>30-34</c:v>
                  </c:pt>
                  <c:pt idx="16">
                    <c:v>35-39</c:v>
                  </c:pt>
                  <c:pt idx="17">
                    <c:v>40-44</c:v>
                  </c:pt>
                  <c:pt idx="18">
                    <c:v>45-49</c:v>
                  </c:pt>
                  <c:pt idx="19">
                    <c:v>50-54</c:v>
                  </c:pt>
                  <c:pt idx="20">
                    <c:v>55-59</c:v>
                  </c:pt>
                  <c:pt idx="21">
                    <c:v>60-64</c:v>
                  </c:pt>
                  <c:pt idx="22">
                    <c:v>65-69</c:v>
                  </c:pt>
                  <c:pt idx="23">
                    <c:v>70-74</c:v>
                  </c:pt>
                </c:lvl>
                <c:lvl>
                  <c:pt idx="0">
                    <c:v>muži</c:v>
                  </c:pt>
                  <c:pt idx="12">
                    <c:v>ženy</c:v>
                  </c:pt>
                </c:lvl>
              </c:multiLvlStrCache>
            </c:multiLvlStrRef>
          </c:cat>
          <c:val>
            <c:numRef>
              <c:f>'Graf-2-Míry EA dle vzdělání'!$J$21:$J$44</c:f>
              <c:numCache>
                <c:formatCode>#\ ##0.0</c:formatCode>
                <c:ptCount val="24"/>
                <c:pt idx="1">
                  <c:v>33.6</c:v>
                </c:pt>
                <c:pt idx="2">
                  <c:v>87.3</c:v>
                </c:pt>
                <c:pt idx="3">
                  <c:v>98.5</c:v>
                </c:pt>
                <c:pt idx="4">
                  <c:v>99.6</c:v>
                </c:pt>
                <c:pt idx="5">
                  <c:v>99.2</c:v>
                </c:pt>
                <c:pt idx="6">
                  <c:v>98.9</c:v>
                </c:pt>
                <c:pt idx="7">
                  <c:v>98.2</c:v>
                </c:pt>
                <c:pt idx="8">
                  <c:v>96</c:v>
                </c:pt>
                <c:pt idx="9">
                  <c:v>64.2</c:v>
                </c:pt>
                <c:pt idx="10">
                  <c:v>37.9</c:v>
                </c:pt>
                <c:pt idx="11">
                  <c:v>19.5</c:v>
                </c:pt>
                <c:pt idx="13">
                  <c:v>53.7</c:v>
                </c:pt>
                <c:pt idx="14">
                  <c:v>79</c:v>
                </c:pt>
                <c:pt idx="15">
                  <c:v>61.7</c:v>
                </c:pt>
                <c:pt idx="16">
                  <c:v>75.8</c:v>
                </c:pt>
                <c:pt idx="17">
                  <c:v>92.5</c:v>
                </c:pt>
                <c:pt idx="18">
                  <c:v>95.3</c:v>
                </c:pt>
                <c:pt idx="19">
                  <c:v>95</c:v>
                </c:pt>
                <c:pt idx="20">
                  <c:v>88</c:v>
                </c:pt>
                <c:pt idx="21">
                  <c:v>37</c:v>
                </c:pt>
                <c:pt idx="22">
                  <c:v>18.5</c:v>
                </c:pt>
                <c:pt idx="23">
                  <c:v>11.7</c:v>
                </c:pt>
              </c:numCache>
            </c:numRef>
          </c:val>
          <c:smooth val="0"/>
          <c:extLst>
            <c:ext xmlns:c16="http://schemas.microsoft.com/office/drawing/2014/chart" uri="{C3380CC4-5D6E-409C-BE32-E72D297353CC}">
              <c16:uniqueId val="{0000000D-1B53-44C8-8667-81036A13AA9B}"/>
            </c:ext>
          </c:extLst>
        </c:ser>
        <c:dLbls>
          <c:showLegendKey val="0"/>
          <c:showVal val="0"/>
          <c:showCatName val="0"/>
          <c:showSerName val="0"/>
          <c:showPercent val="0"/>
          <c:showBubbleSize val="0"/>
        </c:dLbls>
        <c:smooth val="0"/>
        <c:axId val="355665792"/>
        <c:axId val="355667328"/>
      </c:lineChart>
      <c:catAx>
        <c:axId val="355665792"/>
        <c:scaling>
          <c:orientation val="minMax"/>
        </c:scaling>
        <c:delete val="0"/>
        <c:axPos val="b"/>
        <c:numFmt formatCode="General" sourceLinked="1"/>
        <c:majorTickMark val="none"/>
        <c:minorTickMark val="none"/>
        <c:tickLblPos val="nextTo"/>
        <c:spPr>
          <a:noFill/>
          <a:ln w="6350" cap="flat" cmpd="sng" algn="ctr">
            <a:solidFill>
              <a:schemeClr val="tx1">
                <a:lumMod val="95000"/>
                <a:lumOff val="5000"/>
              </a:schemeClr>
            </a:solidFill>
            <a:round/>
          </a:ln>
          <a:effectLst/>
        </c:spPr>
        <c:txPr>
          <a:bodyPr rot="-5400000" spcFirstLastPara="1" vertOverflow="ellipsis"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cs-CZ"/>
          </a:p>
        </c:txPr>
        <c:crossAx val="355667328"/>
        <c:crosses val="autoZero"/>
        <c:auto val="1"/>
        <c:lblAlgn val="ctr"/>
        <c:lblOffset val="0"/>
        <c:noMultiLvlLbl val="0"/>
      </c:catAx>
      <c:valAx>
        <c:axId val="355667328"/>
        <c:scaling>
          <c:orientation val="minMax"/>
          <c:max val="100"/>
          <c:min val="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cs-CZ"/>
          </a:p>
        </c:txPr>
        <c:crossAx val="355665792"/>
        <c:crosses val="autoZero"/>
        <c:crossBetween val="between"/>
        <c:majorUnit val="10"/>
      </c:valAx>
      <c:spPr>
        <a:noFill/>
        <a:ln w="6350">
          <a:solidFill>
            <a:schemeClr val="tx1">
              <a:lumMod val="95000"/>
              <a:lumOff val="5000"/>
            </a:schemeClr>
          </a:solidFill>
        </a:ln>
        <a:effectLst/>
      </c:spPr>
    </c:plotArea>
    <c:legend>
      <c:legendPos val="b"/>
      <c:layout>
        <c:manualLayout>
          <c:xMode val="edge"/>
          <c:yMode val="edge"/>
          <c:x val="5.6512860559410488E-2"/>
          <c:y val="0.87451626073861277"/>
          <c:w val="0.91225013899202889"/>
          <c:h val="0.11876560654886728"/>
        </c:manualLayout>
      </c:layout>
      <c:overlay val="0"/>
      <c:spPr>
        <a:noFill/>
        <a:ln w="6350">
          <a:solidFill>
            <a:schemeClr val="tx1">
              <a:lumMod val="95000"/>
              <a:lumOff val="5000"/>
            </a:schemeClr>
          </a:solid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cs-CZ"/>
        </a:p>
      </c:txPr>
    </c:legend>
    <c:plotVisOnly val="1"/>
    <c:dispBlanksAs val="gap"/>
    <c:showDLblsOverMax val="0"/>
  </c:chart>
  <c:spPr>
    <a:solidFill>
      <a:schemeClr val="bg1"/>
    </a:solidFill>
    <a:ln w="9525" cap="flat" cmpd="sng" algn="ctr">
      <a:noFill/>
      <a:round/>
    </a:ln>
    <a:effectLst/>
  </c:spPr>
  <c:txPr>
    <a:bodyPr/>
    <a:lstStyle/>
    <a:p>
      <a:pPr>
        <a:defRPr/>
      </a:pPr>
      <a:endParaRPr lang="cs-CZ"/>
    </a:p>
  </c:txPr>
  <c:externalData r:id="rId1">
    <c:autoUpdate val="0"/>
  </c:externalData>
  <c:userShapes r:id="rId2"/>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6626534809030705E-2"/>
          <c:y val="2.0119113922553743E-2"/>
          <c:w val="0.88528948528697038"/>
          <c:h val="0.7618641533203202"/>
        </c:manualLayout>
      </c:layout>
      <c:barChart>
        <c:barDir val="col"/>
        <c:grouping val="stacked"/>
        <c:varyColors val="0"/>
        <c:ser>
          <c:idx val="0"/>
          <c:order val="0"/>
          <c:tx>
            <c:strRef>
              <c:f>'R-GRAF-2'!$A$7</c:f>
              <c:strCache>
                <c:ptCount val="1"/>
                <c:pt idx="0">
                  <c:v>Zaměstnaný → Nezaměstnaný (q/q-1)</c:v>
                </c:pt>
              </c:strCache>
            </c:strRef>
          </c:tx>
          <c:spPr>
            <a:solidFill>
              <a:schemeClr val="accent2">
                <a:lumMod val="60000"/>
                <a:lumOff val="40000"/>
              </a:schemeClr>
            </a:solidFill>
            <a:ln>
              <a:noFill/>
            </a:ln>
            <a:effectLst/>
          </c:spPr>
          <c:invertIfNegative val="0"/>
          <c:cat>
            <c:multiLvlStrRef>
              <c:f>'R-GRAF-2'!$B$5:$AJ$6</c:f>
              <c:multiLvlStrCache>
                <c:ptCount val="35"/>
                <c:lvl>
                  <c:pt idx="0">
                    <c:v>2q</c:v>
                  </c:pt>
                  <c:pt idx="1">
                    <c:v>3q</c:v>
                  </c:pt>
                  <c:pt idx="2">
                    <c:v>4q</c:v>
                  </c:pt>
                  <c:pt idx="3">
                    <c:v>1q</c:v>
                  </c:pt>
                  <c:pt idx="4">
                    <c:v>2q</c:v>
                  </c:pt>
                  <c:pt idx="5">
                    <c:v>3q</c:v>
                  </c:pt>
                  <c:pt idx="6">
                    <c:v>4q</c:v>
                  </c:pt>
                  <c:pt idx="7">
                    <c:v>1q</c:v>
                  </c:pt>
                  <c:pt idx="8">
                    <c:v>2q</c:v>
                  </c:pt>
                  <c:pt idx="9">
                    <c:v>3q</c:v>
                  </c:pt>
                  <c:pt idx="10">
                    <c:v>4q</c:v>
                  </c:pt>
                  <c:pt idx="11">
                    <c:v>1q</c:v>
                  </c:pt>
                  <c:pt idx="12">
                    <c:v>2q</c:v>
                  </c:pt>
                  <c:pt idx="13">
                    <c:v>3q</c:v>
                  </c:pt>
                  <c:pt idx="14">
                    <c:v>4q</c:v>
                  </c:pt>
                  <c:pt idx="15">
                    <c:v>1q</c:v>
                  </c:pt>
                  <c:pt idx="16">
                    <c:v>2q</c:v>
                  </c:pt>
                  <c:pt idx="17">
                    <c:v>3q</c:v>
                  </c:pt>
                  <c:pt idx="18">
                    <c:v>4q</c:v>
                  </c:pt>
                  <c:pt idx="19">
                    <c:v>1q</c:v>
                  </c:pt>
                  <c:pt idx="20">
                    <c:v>2q</c:v>
                  </c:pt>
                  <c:pt idx="21">
                    <c:v>3q</c:v>
                  </c:pt>
                  <c:pt idx="22">
                    <c:v>4q</c:v>
                  </c:pt>
                  <c:pt idx="23">
                    <c:v>1q</c:v>
                  </c:pt>
                  <c:pt idx="24">
                    <c:v>2q</c:v>
                  </c:pt>
                  <c:pt idx="25">
                    <c:v>3q</c:v>
                  </c:pt>
                  <c:pt idx="26">
                    <c:v>4q</c:v>
                  </c:pt>
                  <c:pt idx="27">
                    <c:v>1q</c:v>
                  </c:pt>
                  <c:pt idx="28">
                    <c:v>2q</c:v>
                  </c:pt>
                  <c:pt idx="29">
                    <c:v>3q</c:v>
                  </c:pt>
                  <c:pt idx="30">
                    <c:v>4q</c:v>
                  </c:pt>
                  <c:pt idx="31">
                    <c:v>1q</c:v>
                  </c:pt>
                  <c:pt idx="32">
                    <c:v>2q</c:v>
                  </c:pt>
                  <c:pt idx="33">
                    <c:v>3q</c:v>
                  </c:pt>
                  <c:pt idx="34">
                    <c:v>4q</c:v>
                  </c:pt>
                </c:lvl>
                <c:lvl>
                  <c:pt idx="0">
                    <c:v>2010</c:v>
                  </c:pt>
                  <c:pt idx="3">
                    <c:v>2011</c:v>
                  </c:pt>
                  <c:pt idx="7">
                    <c:v>2012</c:v>
                  </c:pt>
                  <c:pt idx="11">
                    <c:v>2013</c:v>
                  </c:pt>
                  <c:pt idx="15">
                    <c:v>2014</c:v>
                  </c:pt>
                  <c:pt idx="19">
                    <c:v>2015</c:v>
                  </c:pt>
                  <c:pt idx="23">
                    <c:v>2016</c:v>
                  </c:pt>
                  <c:pt idx="27">
                    <c:v>2017</c:v>
                  </c:pt>
                  <c:pt idx="31">
                    <c:v>2018</c:v>
                  </c:pt>
                </c:lvl>
              </c:multiLvlStrCache>
            </c:multiLvlStrRef>
          </c:cat>
          <c:val>
            <c:numRef>
              <c:f>'R-GRAF-2'!$B$7:$AJ$7</c:f>
              <c:numCache>
                <c:formatCode>#,##0</c:formatCode>
                <c:ptCount val="35"/>
                <c:pt idx="0">
                  <c:v>34</c:v>
                </c:pt>
                <c:pt idx="1">
                  <c:v>37</c:v>
                </c:pt>
                <c:pt idx="2">
                  <c:v>44</c:v>
                </c:pt>
                <c:pt idx="3">
                  <c:v>78</c:v>
                </c:pt>
                <c:pt idx="4">
                  <c:v>36</c:v>
                </c:pt>
                <c:pt idx="5">
                  <c:v>35</c:v>
                </c:pt>
                <c:pt idx="6">
                  <c:v>42</c:v>
                </c:pt>
                <c:pt idx="7">
                  <c:v>69</c:v>
                </c:pt>
                <c:pt idx="8">
                  <c:v>35</c:v>
                </c:pt>
                <c:pt idx="9">
                  <c:v>37</c:v>
                </c:pt>
                <c:pt idx="10">
                  <c:v>51</c:v>
                </c:pt>
                <c:pt idx="11">
                  <c:v>56</c:v>
                </c:pt>
                <c:pt idx="12">
                  <c:v>29</c:v>
                </c:pt>
                <c:pt idx="13">
                  <c:v>41</c:v>
                </c:pt>
                <c:pt idx="14">
                  <c:v>46</c:v>
                </c:pt>
                <c:pt idx="15">
                  <c:v>66</c:v>
                </c:pt>
                <c:pt idx="16">
                  <c:v>31</c:v>
                </c:pt>
                <c:pt idx="17">
                  <c:v>27</c:v>
                </c:pt>
                <c:pt idx="18">
                  <c:v>35</c:v>
                </c:pt>
                <c:pt idx="19">
                  <c:v>54</c:v>
                </c:pt>
                <c:pt idx="20">
                  <c:v>24</c:v>
                </c:pt>
                <c:pt idx="21">
                  <c:v>26</c:v>
                </c:pt>
                <c:pt idx="22">
                  <c:v>22</c:v>
                </c:pt>
                <c:pt idx="23">
                  <c:v>31</c:v>
                </c:pt>
                <c:pt idx="24">
                  <c:v>20</c:v>
                </c:pt>
                <c:pt idx="25">
                  <c:v>27</c:v>
                </c:pt>
                <c:pt idx="26">
                  <c:v>21</c:v>
                </c:pt>
                <c:pt idx="27">
                  <c:v>33</c:v>
                </c:pt>
                <c:pt idx="28">
                  <c:v>22</c:v>
                </c:pt>
                <c:pt idx="29">
                  <c:v>22</c:v>
                </c:pt>
                <c:pt idx="30">
                  <c:v>20</c:v>
                </c:pt>
                <c:pt idx="31">
                  <c:v>23</c:v>
                </c:pt>
                <c:pt idx="32">
                  <c:v>16</c:v>
                </c:pt>
                <c:pt idx="33">
                  <c:v>20</c:v>
                </c:pt>
                <c:pt idx="34">
                  <c:v>15</c:v>
                </c:pt>
              </c:numCache>
            </c:numRef>
          </c:val>
          <c:extLst>
            <c:ext xmlns:c16="http://schemas.microsoft.com/office/drawing/2014/chart" uri="{C3380CC4-5D6E-409C-BE32-E72D297353CC}">
              <c16:uniqueId val="{00000000-AC59-43DE-A125-CD89EE82DCD7}"/>
            </c:ext>
          </c:extLst>
        </c:ser>
        <c:ser>
          <c:idx val="1"/>
          <c:order val="1"/>
          <c:tx>
            <c:strRef>
              <c:f>'R-GRAF-2'!$A$8</c:f>
              <c:strCache>
                <c:ptCount val="1"/>
                <c:pt idx="0">
                  <c:v>Nezaměstnaný → Zaměstnaný (q/q-1)</c:v>
                </c:pt>
              </c:strCache>
            </c:strRef>
          </c:tx>
          <c:spPr>
            <a:solidFill>
              <a:srgbClr val="00B050"/>
            </a:solidFill>
            <a:ln>
              <a:noFill/>
            </a:ln>
            <a:effectLst/>
          </c:spPr>
          <c:invertIfNegative val="0"/>
          <c:cat>
            <c:multiLvlStrRef>
              <c:f>'R-GRAF-2'!$B$5:$AJ$6</c:f>
              <c:multiLvlStrCache>
                <c:ptCount val="35"/>
                <c:lvl>
                  <c:pt idx="0">
                    <c:v>2q</c:v>
                  </c:pt>
                  <c:pt idx="1">
                    <c:v>3q</c:v>
                  </c:pt>
                  <c:pt idx="2">
                    <c:v>4q</c:v>
                  </c:pt>
                  <c:pt idx="3">
                    <c:v>1q</c:v>
                  </c:pt>
                  <c:pt idx="4">
                    <c:v>2q</c:v>
                  </c:pt>
                  <c:pt idx="5">
                    <c:v>3q</c:v>
                  </c:pt>
                  <c:pt idx="6">
                    <c:v>4q</c:v>
                  </c:pt>
                  <c:pt idx="7">
                    <c:v>1q</c:v>
                  </c:pt>
                  <c:pt idx="8">
                    <c:v>2q</c:v>
                  </c:pt>
                  <c:pt idx="9">
                    <c:v>3q</c:v>
                  </c:pt>
                  <c:pt idx="10">
                    <c:v>4q</c:v>
                  </c:pt>
                  <c:pt idx="11">
                    <c:v>1q</c:v>
                  </c:pt>
                  <c:pt idx="12">
                    <c:v>2q</c:v>
                  </c:pt>
                  <c:pt idx="13">
                    <c:v>3q</c:v>
                  </c:pt>
                  <c:pt idx="14">
                    <c:v>4q</c:v>
                  </c:pt>
                  <c:pt idx="15">
                    <c:v>1q</c:v>
                  </c:pt>
                  <c:pt idx="16">
                    <c:v>2q</c:v>
                  </c:pt>
                  <c:pt idx="17">
                    <c:v>3q</c:v>
                  </c:pt>
                  <c:pt idx="18">
                    <c:v>4q</c:v>
                  </c:pt>
                  <c:pt idx="19">
                    <c:v>1q</c:v>
                  </c:pt>
                  <c:pt idx="20">
                    <c:v>2q</c:v>
                  </c:pt>
                  <c:pt idx="21">
                    <c:v>3q</c:v>
                  </c:pt>
                  <c:pt idx="22">
                    <c:v>4q</c:v>
                  </c:pt>
                  <c:pt idx="23">
                    <c:v>1q</c:v>
                  </c:pt>
                  <c:pt idx="24">
                    <c:v>2q</c:v>
                  </c:pt>
                  <c:pt idx="25">
                    <c:v>3q</c:v>
                  </c:pt>
                  <c:pt idx="26">
                    <c:v>4q</c:v>
                  </c:pt>
                  <c:pt idx="27">
                    <c:v>1q</c:v>
                  </c:pt>
                  <c:pt idx="28">
                    <c:v>2q</c:v>
                  </c:pt>
                  <c:pt idx="29">
                    <c:v>3q</c:v>
                  </c:pt>
                  <c:pt idx="30">
                    <c:v>4q</c:v>
                  </c:pt>
                  <c:pt idx="31">
                    <c:v>1q</c:v>
                  </c:pt>
                  <c:pt idx="32">
                    <c:v>2q</c:v>
                  </c:pt>
                  <c:pt idx="33">
                    <c:v>3q</c:v>
                  </c:pt>
                  <c:pt idx="34">
                    <c:v>4q</c:v>
                  </c:pt>
                </c:lvl>
                <c:lvl>
                  <c:pt idx="0">
                    <c:v>2010</c:v>
                  </c:pt>
                  <c:pt idx="3">
                    <c:v>2011</c:v>
                  </c:pt>
                  <c:pt idx="7">
                    <c:v>2012</c:v>
                  </c:pt>
                  <c:pt idx="11">
                    <c:v>2013</c:v>
                  </c:pt>
                  <c:pt idx="15">
                    <c:v>2014</c:v>
                  </c:pt>
                  <c:pt idx="19">
                    <c:v>2015</c:v>
                  </c:pt>
                  <c:pt idx="23">
                    <c:v>2016</c:v>
                  </c:pt>
                  <c:pt idx="27">
                    <c:v>2017</c:v>
                  </c:pt>
                  <c:pt idx="31">
                    <c:v>2018</c:v>
                  </c:pt>
                </c:lvl>
              </c:multiLvlStrCache>
            </c:multiLvlStrRef>
          </c:cat>
          <c:val>
            <c:numRef>
              <c:f>'R-GRAF-2'!$B$8:$AJ$8</c:f>
              <c:numCache>
                <c:formatCode>#,##0</c:formatCode>
                <c:ptCount val="35"/>
                <c:pt idx="0">
                  <c:v>-84</c:v>
                </c:pt>
                <c:pt idx="1">
                  <c:v>-59</c:v>
                </c:pt>
                <c:pt idx="2">
                  <c:v>-62</c:v>
                </c:pt>
                <c:pt idx="3">
                  <c:v>-49</c:v>
                </c:pt>
                <c:pt idx="4">
                  <c:v>-74</c:v>
                </c:pt>
                <c:pt idx="5">
                  <c:v>-59</c:v>
                </c:pt>
                <c:pt idx="6">
                  <c:v>-57</c:v>
                </c:pt>
                <c:pt idx="7">
                  <c:v>-44</c:v>
                </c:pt>
                <c:pt idx="8">
                  <c:v>-70</c:v>
                </c:pt>
                <c:pt idx="9">
                  <c:v>-53</c:v>
                </c:pt>
                <c:pt idx="10">
                  <c:v>-52</c:v>
                </c:pt>
                <c:pt idx="11">
                  <c:v>-48</c:v>
                </c:pt>
                <c:pt idx="12">
                  <c:v>-73</c:v>
                </c:pt>
                <c:pt idx="13">
                  <c:v>-50</c:v>
                </c:pt>
                <c:pt idx="14">
                  <c:v>-57</c:v>
                </c:pt>
                <c:pt idx="15">
                  <c:v>-58</c:v>
                </c:pt>
                <c:pt idx="16">
                  <c:v>-78</c:v>
                </c:pt>
                <c:pt idx="17">
                  <c:v>-56</c:v>
                </c:pt>
                <c:pt idx="18">
                  <c:v>-52</c:v>
                </c:pt>
                <c:pt idx="19">
                  <c:v>-45</c:v>
                </c:pt>
                <c:pt idx="20">
                  <c:v>-70</c:v>
                </c:pt>
                <c:pt idx="21">
                  <c:v>-44</c:v>
                </c:pt>
                <c:pt idx="22">
                  <c:v>-44</c:v>
                </c:pt>
                <c:pt idx="23">
                  <c:v>-44</c:v>
                </c:pt>
                <c:pt idx="24">
                  <c:v>-51</c:v>
                </c:pt>
                <c:pt idx="25">
                  <c:v>-40</c:v>
                </c:pt>
                <c:pt idx="26">
                  <c:v>-51</c:v>
                </c:pt>
                <c:pt idx="27">
                  <c:v>-39</c:v>
                </c:pt>
                <c:pt idx="28">
                  <c:v>-45</c:v>
                </c:pt>
                <c:pt idx="29">
                  <c:v>-47</c:v>
                </c:pt>
                <c:pt idx="30">
                  <c:v>-38</c:v>
                </c:pt>
                <c:pt idx="31">
                  <c:v>-31</c:v>
                </c:pt>
                <c:pt idx="32">
                  <c:v>-37</c:v>
                </c:pt>
                <c:pt idx="33">
                  <c:v>-24</c:v>
                </c:pt>
                <c:pt idx="34">
                  <c:v>-38</c:v>
                </c:pt>
              </c:numCache>
            </c:numRef>
          </c:val>
          <c:extLst>
            <c:ext xmlns:c16="http://schemas.microsoft.com/office/drawing/2014/chart" uri="{C3380CC4-5D6E-409C-BE32-E72D297353CC}">
              <c16:uniqueId val="{00000001-AC59-43DE-A125-CD89EE82DCD7}"/>
            </c:ext>
          </c:extLst>
        </c:ser>
        <c:ser>
          <c:idx val="2"/>
          <c:order val="2"/>
          <c:tx>
            <c:strRef>
              <c:f>'R-GRAF-2'!$A$9</c:f>
              <c:strCache>
                <c:ptCount val="1"/>
                <c:pt idx="0">
                  <c:v>Ek. neaktivní → Nezaměstnaný (q/q-1)</c:v>
                </c:pt>
              </c:strCache>
            </c:strRef>
          </c:tx>
          <c:spPr>
            <a:solidFill>
              <a:schemeClr val="accent6">
                <a:lumMod val="40000"/>
                <a:lumOff val="60000"/>
              </a:schemeClr>
            </a:solidFill>
            <a:ln>
              <a:noFill/>
            </a:ln>
            <a:effectLst/>
          </c:spPr>
          <c:invertIfNegative val="0"/>
          <c:cat>
            <c:multiLvlStrRef>
              <c:f>'R-GRAF-2'!$B$5:$AJ$6</c:f>
              <c:multiLvlStrCache>
                <c:ptCount val="35"/>
                <c:lvl>
                  <c:pt idx="0">
                    <c:v>2q</c:v>
                  </c:pt>
                  <c:pt idx="1">
                    <c:v>3q</c:v>
                  </c:pt>
                  <c:pt idx="2">
                    <c:v>4q</c:v>
                  </c:pt>
                  <c:pt idx="3">
                    <c:v>1q</c:v>
                  </c:pt>
                  <c:pt idx="4">
                    <c:v>2q</c:v>
                  </c:pt>
                  <c:pt idx="5">
                    <c:v>3q</c:v>
                  </c:pt>
                  <c:pt idx="6">
                    <c:v>4q</c:v>
                  </c:pt>
                  <c:pt idx="7">
                    <c:v>1q</c:v>
                  </c:pt>
                  <c:pt idx="8">
                    <c:v>2q</c:v>
                  </c:pt>
                  <c:pt idx="9">
                    <c:v>3q</c:v>
                  </c:pt>
                  <c:pt idx="10">
                    <c:v>4q</c:v>
                  </c:pt>
                  <c:pt idx="11">
                    <c:v>1q</c:v>
                  </c:pt>
                  <c:pt idx="12">
                    <c:v>2q</c:v>
                  </c:pt>
                  <c:pt idx="13">
                    <c:v>3q</c:v>
                  </c:pt>
                  <c:pt idx="14">
                    <c:v>4q</c:v>
                  </c:pt>
                  <c:pt idx="15">
                    <c:v>1q</c:v>
                  </c:pt>
                  <c:pt idx="16">
                    <c:v>2q</c:v>
                  </c:pt>
                  <c:pt idx="17">
                    <c:v>3q</c:v>
                  </c:pt>
                  <c:pt idx="18">
                    <c:v>4q</c:v>
                  </c:pt>
                  <c:pt idx="19">
                    <c:v>1q</c:v>
                  </c:pt>
                  <c:pt idx="20">
                    <c:v>2q</c:v>
                  </c:pt>
                  <c:pt idx="21">
                    <c:v>3q</c:v>
                  </c:pt>
                  <c:pt idx="22">
                    <c:v>4q</c:v>
                  </c:pt>
                  <c:pt idx="23">
                    <c:v>1q</c:v>
                  </c:pt>
                  <c:pt idx="24">
                    <c:v>2q</c:v>
                  </c:pt>
                  <c:pt idx="25">
                    <c:v>3q</c:v>
                  </c:pt>
                  <c:pt idx="26">
                    <c:v>4q</c:v>
                  </c:pt>
                  <c:pt idx="27">
                    <c:v>1q</c:v>
                  </c:pt>
                  <c:pt idx="28">
                    <c:v>2q</c:v>
                  </c:pt>
                  <c:pt idx="29">
                    <c:v>3q</c:v>
                  </c:pt>
                  <c:pt idx="30">
                    <c:v>4q</c:v>
                  </c:pt>
                  <c:pt idx="31">
                    <c:v>1q</c:v>
                  </c:pt>
                  <c:pt idx="32">
                    <c:v>2q</c:v>
                  </c:pt>
                  <c:pt idx="33">
                    <c:v>3q</c:v>
                  </c:pt>
                  <c:pt idx="34">
                    <c:v>4q</c:v>
                  </c:pt>
                </c:lvl>
                <c:lvl>
                  <c:pt idx="0">
                    <c:v>2010</c:v>
                  </c:pt>
                  <c:pt idx="3">
                    <c:v>2011</c:v>
                  </c:pt>
                  <c:pt idx="7">
                    <c:v>2012</c:v>
                  </c:pt>
                  <c:pt idx="11">
                    <c:v>2013</c:v>
                  </c:pt>
                  <c:pt idx="15">
                    <c:v>2014</c:v>
                  </c:pt>
                  <c:pt idx="19">
                    <c:v>2015</c:v>
                  </c:pt>
                  <c:pt idx="23">
                    <c:v>2016</c:v>
                  </c:pt>
                  <c:pt idx="27">
                    <c:v>2017</c:v>
                  </c:pt>
                  <c:pt idx="31">
                    <c:v>2018</c:v>
                  </c:pt>
                </c:lvl>
              </c:multiLvlStrCache>
            </c:multiLvlStrRef>
          </c:cat>
          <c:val>
            <c:numRef>
              <c:f>'R-GRAF-2'!$B$9:$AJ$9</c:f>
              <c:numCache>
                <c:formatCode>#,##0</c:formatCode>
                <c:ptCount val="35"/>
                <c:pt idx="0">
                  <c:v>25</c:v>
                </c:pt>
                <c:pt idx="1">
                  <c:v>41</c:v>
                </c:pt>
                <c:pt idx="2">
                  <c:v>31</c:v>
                </c:pt>
                <c:pt idx="3">
                  <c:v>40</c:v>
                </c:pt>
                <c:pt idx="4">
                  <c:v>55</c:v>
                </c:pt>
                <c:pt idx="5">
                  <c:v>69</c:v>
                </c:pt>
                <c:pt idx="6">
                  <c:v>56</c:v>
                </c:pt>
                <c:pt idx="7">
                  <c:v>47</c:v>
                </c:pt>
                <c:pt idx="8">
                  <c:v>52</c:v>
                </c:pt>
                <c:pt idx="9">
                  <c:v>73</c:v>
                </c:pt>
                <c:pt idx="10">
                  <c:v>54</c:v>
                </c:pt>
                <c:pt idx="11">
                  <c:v>43</c:v>
                </c:pt>
                <c:pt idx="12">
                  <c:v>57</c:v>
                </c:pt>
                <c:pt idx="13">
                  <c:v>62</c:v>
                </c:pt>
                <c:pt idx="14">
                  <c:v>43</c:v>
                </c:pt>
                <c:pt idx="15">
                  <c:v>42</c:v>
                </c:pt>
                <c:pt idx="16">
                  <c:v>49</c:v>
                </c:pt>
                <c:pt idx="17">
                  <c:v>66</c:v>
                </c:pt>
                <c:pt idx="18">
                  <c:v>52</c:v>
                </c:pt>
                <c:pt idx="19">
                  <c:v>37</c:v>
                </c:pt>
                <c:pt idx="20">
                  <c:v>38</c:v>
                </c:pt>
                <c:pt idx="21">
                  <c:v>55</c:v>
                </c:pt>
                <c:pt idx="22">
                  <c:v>37</c:v>
                </c:pt>
                <c:pt idx="23">
                  <c:v>37</c:v>
                </c:pt>
                <c:pt idx="24">
                  <c:v>39</c:v>
                </c:pt>
                <c:pt idx="25">
                  <c:v>49</c:v>
                </c:pt>
                <c:pt idx="26">
                  <c:v>38</c:v>
                </c:pt>
                <c:pt idx="27">
                  <c:v>31</c:v>
                </c:pt>
                <c:pt idx="28">
                  <c:v>26</c:v>
                </c:pt>
                <c:pt idx="29">
                  <c:v>41</c:v>
                </c:pt>
                <c:pt idx="30">
                  <c:v>26</c:v>
                </c:pt>
                <c:pt idx="31">
                  <c:v>28</c:v>
                </c:pt>
                <c:pt idx="32">
                  <c:v>29</c:v>
                </c:pt>
                <c:pt idx="33">
                  <c:v>34</c:v>
                </c:pt>
                <c:pt idx="34">
                  <c:v>32</c:v>
                </c:pt>
              </c:numCache>
            </c:numRef>
          </c:val>
          <c:extLst>
            <c:ext xmlns:c16="http://schemas.microsoft.com/office/drawing/2014/chart" uri="{C3380CC4-5D6E-409C-BE32-E72D297353CC}">
              <c16:uniqueId val="{00000002-AC59-43DE-A125-CD89EE82DCD7}"/>
            </c:ext>
          </c:extLst>
        </c:ser>
        <c:ser>
          <c:idx val="3"/>
          <c:order val="3"/>
          <c:tx>
            <c:strRef>
              <c:f>'R-GRAF-2'!$A$10</c:f>
              <c:strCache>
                <c:ptCount val="1"/>
                <c:pt idx="0">
                  <c:v>Nezaměstnaný → Ek. neaktivní (q/q-1)</c:v>
                </c:pt>
              </c:strCache>
            </c:strRef>
          </c:tx>
          <c:spPr>
            <a:solidFill>
              <a:srgbClr val="92D050"/>
            </a:solidFill>
            <a:ln>
              <a:noFill/>
            </a:ln>
            <a:effectLst/>
          </c:spPr>
          <c:invertIfNegative val="0"/>
          <c:cat>
            <c:multiLvlStrRef>
              <c:f>'R-GRAF-2'!$B$5:$AJ$6</c:f>
              <c:multiLvlStrCache>
                <c:ptCount val="35"/>
                <c:lvl>
                  <c:pt idx="0">
                    <c:v>2q</c:v>
                  </c:pt>
                  <c:pt idx="1">
                    <c:v>3q</c:v>
                  </c:pt>
                  <c:pt idx="2">
                    <c:v>4q</c:v>
                  </c:pt>
                  <c:pt idx="3">
                    <c:v>1q</c:v>
                  </c:pt>
                  <c:pt idx="4">
                    <c:v>2q</c:v>
                  </c:pt>
                  <c:pt idx="5">
                    <c:v>3q</c:v>
                  </c:pt>
                  <c:pt idx="6">
                    <c:v>4q</c:v>
                  </c:pt>
                  <c:pt idx="7">
                    <c:v>1q</c:v>
                  </c:pt>
                  <c:pt idx="8">
                    <c:v>2q</c:v>
                  </c:pt>
                  <c:pt idx="9">
                    <c:v>3q</c:v>
                  </c:pt>
                  <c:pt idx="10">
                    <c:v>4q</c:v>
                  </c:pt>
                  <c:pt idx="11">
                    <c:v>1q</c:v>
                  </c:pt>
                  <c:pt idx="12">
                    <c:v>2q</c:v>
                  </c:pt>
                  <c:pt idx="13">
                    <c:v>3q</c:v>
                  </c:pt>
                  <c:pt idx="14">
                    <c:v>4q</c:v>
                  </c:pt>
                  <c:pt idx="15">
                    <c:v>1q</c:v>
                  </c:pt>
                  <c:pt idx="16">
                    <c:v>2q</c:v>
                  </c:pt>
                  <c:pt idx="17">
                    <c:v>3q</c:v>
                  </c:pt>
                  <c:pt idx="18">
                    <c:v>4q</c:v>
                  </c:pt>
                  <c:pt idx="19">
                    <c:v>1q</c:v>
                  </c:pt>
                  <c:pt idx="20">
                    <c:v>2q</c:v>
                  </c:pt>
                  <c:pt idx="21">
                    <c:v>3q</c:v>
                  </c:pt>
                  <c:pt idx="22">
                    <c:v>4q</c:v>
                  </c:pt>
                  <c:pt idx="23">
                    <c:v>1q</c:v>
                  </c:pt>
                  <c:pt idx="24">
                    <c:v>2q</c:v>
                  </c:pt>
                  <c:pt idx="25">
                    <c:v>3q</c:v>
                  </c:pt>
                  <c:pt idx="26">
                    <c:v>4q</c:v>
                  </c:pt>
                  <c:pt idx="27">
                    <c:v>1q</c:v>
                  </c:pt>
                  <c:pt idx="28">
                    <c:v>2q</c:v>
                  </c:pt>
                  <c:pt idx="29">
                    <c:v>3q</c:v>
                  </c:pt>
                  <c:pt idx="30">
                    <c:v>4q</c:v>
                  </c:pt>
                  <c:pt idx="31">
                    <c:v>1q</c:v>
                  </c:pt>
                  <c:pt idx="32">
                    <c:v>2q</c:v>
                  </c:pt>
                  <c:pt idx="33">
                    <c:v>3q</c:v>
                  </c:pt>
                  <c:pt idx="34">
                    <c:v>4q</c:v>
                  </c:pt>
                </c:lvl>
                <c:lvl>
                  <c:pt idx="0">
                    <c:v>2010</c:v>
                  </c:pt>
                  <c:pt idx="3">
                    <c:v>2011</c:v>
                  </c:pt>
                  <c:pt idx="7">
                    <c:v>2012</c:v>
                  </c:pt>
                  <c:pt idx="11">
                    <c:v>2013</c:v>
                  </c:pt>
                  <c:pt idx="15">
                    <c:v>2014</c:v>
                  </c:pt>
                  <c:pt idx="19">
                    <c:v>2015</c:v>
                  </c:pt>
                  <c:pt idx="23">
                    <c:v>2016</c:v>
                  </c:pt>
                  <c:pt idx="27">
                    <c:v>2017</c:v>
                  </c:pt>
                  <c:pt idx="31">
                    <c:v>2018</c:v>
                  </c:pt>
                </c:lvl>
              </c:multiLvlStrCache>
            </c:multiLvlStrRef>
          </c:cat>
          <c:val>
            <c:numRef>
              <c:f>'R-GRAF-2'!$B$10:$AJ$10</c:f>
              <c:numCache>
                <c:formatCode>#,##0</c:formatCode>
                <c:ptCount val="35"/>
                <c:pt idx="0">
                  <c:v>-22</c:v>
                </c:pt>
                <c:pt idx="1">
                  <c:v>-20</c:v>
                </c:pt>
                <c:pt idx="2">
                  <c:v>-24</c:v>
                </c:pt>
                <c:pt idx="3">
                  <c:v>-59</c:v>
                </c:pt>
                <c:pt idx="4">
                  <c:v>-39</c:v>
                </c:pt>
                <c:pt idx="5">
                  <c:v>-53</c:v>
                </c:pt>
                <c:pt idx="6">
                  <c:v>-48</c:v>
                </c:pt>
                <c:pt idx="7">
                  <c:v>-38</c:v>
                </c:pt>
                <c:pt idx="8">
                  <c:v>-35</c:v>
                </c:pt>
                <c:pt idx="9">
                  <c:v>-40</c:v>
                </c:pt>
                <c:pt idx="10">
                  <c:v>-42</c:v>
                </c:pt>
                <c:pt idx="11">
                  <c:v>-38</c:v>
                </c:pt>
                <c:pt idx="12">
                  <c:v>-48</c:v>
                </c:pt>
                <c:pt idx="13">
                  <c:v>-42</c:v>
                </c:pt>
                <c:pt idx="14">
                  <c:v>-46</c:v>
                </c:pt>
                <c:pt idx="15">
                  <c:v>-46</c:v>
                </c:pt>
                <c:pt idx="16">
                  <c:v>-41</c:v>
                </c:pt>
                <c:pt idx="17">
                  <c:v>-43</c:v>
                </c:pt>
                <c:pt idx="18">
                  <c:v>-42</c:v>
                </c:pt>
                <c:pt idx="19">
                  <c:v>-35</c:v>
                </c:pt>
                <c:pt idx="20">
                  <c:v>-46</c:v>
                </c:pt>
                <c:pt idx="21">
                  <c:v>-41</c:v>
                </c:pt>
                <c:pt idx="22">
                  <c:v>-36</c:v>
                </c:pt>
                <c:pt idx="23">
                  <c:v>-30</c:v>
                </c:pt>
                <c:pt idx="24">
                  <c:v>-30</c:v>
                </c:pt>
                <c:pt idx="25">
                  <c:v>-32</c:v>
                </c:pt>
                <c:pt idx="26">
                  <c:v>-31</c:v>
                </c:pt>
                <c:pt idx="27">
                  <c:v>-32</c:v>
                </c:pt>
                <c:pt idx="28">
                  <c:v>-28</c:v>
                </c:pt>
                <c:pt idx="29">
                  <c:v>-25</c:v>
                </c:pt>
                <c:pt idx="30">
                  <c:v>-28</c:v>
                </c:pt>
                <c:pt idx="31">
                  <c:v>-20</c:v>
                </c:pt>
                <c:pt idx="32">
                  <c:v>-19</c:v>
                </c:pt>
                <c:pt idx="33">
                  <c:v>-22</c:v>
                </c:pt>
                <c:pt idx="34">
                  <c:v>-25</c:v>
                </c:pt>
              </c:numCache>
            </c:numRef>
          </c:val>
          <c:extLst>
            <c:ext xmlns:c16="http://schemas.microsoft.com/office/drawing/2014/chart" uri="{C3380CC4-5D6E-409C-BE32-E72D297353CC}">
              <c16:uniqueId val="{00000003-AC59-43DE-A125-CD89EE82DCD7}"/>
            </c:ext>
          </c:extLst>
        </c:ser>
        <c:dLbls>
          <c:showLegendKey val="0"/>
          <c:showVal val="0"/>
          <c:showCatName val="0"/>
          <c:showSerName val="0"/>
          <c:showPercent val="0"/>
          <c:showBubbleSize val="0"/>
        </c:dLbls>
        <c:gapWidth val="84"/>
        <c:overlap val="100"/>
        <c:axId val="92033408"/>
        <c:axId val="92035328"/>
      </c:barChart>
      <c:lineChart>
        <c:grouping val="standard"/>
        <c:varyColors val="0"/>
        <c:ser>
          <c:idx val="5"/>
          <c:order val="4"/>
          <c:tx>
            <c:strRef>
              <c:f>'R-GRAF-2'!$A$11</c:f>
              <c:strCache>
                <c:ptCount val="1"/>
                <c:pt idx="0">
                  <c:v>% nez. setrvávajících v nez. (q/q-1, pr. osa)</c:v>
                </c:pt>
              </c:strCache>
            </c:strRef>
          </c:tx>
          <c:spPr>
            <a:ln w="15875" cap="rnd">
              <a:solidFill>
                <a:schemeClr val="tx1">
                  <a:lumMod val="95000"/>
                  <a:lumOff val="5000"/>
                </a:schemeClr>
              </a:solidFill>
              <a:round/>
            </a:ln>
            <a:effectLst/>
          </c:spPr>
          <c:marker>
            <c:symbol val="none"/>
          </c:marker>
          <c:cat>
            <c:multiLvlStrRef>
              <c:f>'R-GRAF-2'!$B$5:$AJ$6</c:f>
              <c:multiLvlStrCache>
                <c:ptCount val="35"/>
                <c:lvl>
                  <c:pt idx="0">
                    <c:v>2q</c:v>
                  </c:pt>
                  <c:pt idx="1">
                    <c:v>3q</c:v>
                  </c:pt>
                  <c:pt idx="2">
                    <c:v>4q</c:v>
                  </c:pt>
                  <c:pt idx="3">
                    <c:v>1q</c:v>
                  </c:pt>
                  <c:pt idx="4">
                    <c:v>2q</c:v>
                  </c:pt>
                  <c:pt idx="5">
                    <c:v>3q</c:v>
                  </c:pt>
                  <c:pt idx="6">
                    <c:v>4q</c:v>
                  </c:pt>
                  <c:pt idx="7">
                    <c:v>1q</c:v>
                  </c:pt>
                  <c:pt idx="8">
                    <c:v>2q</c:v>
                  </c:pt>
                  <c:pt idx="9">
                    <c:v>3q</c:v>
                  </c:pt>
                  <c:pt idx="10">
                    <c:v>4q</c:v>
                  </c:pt>
                  <c:pt idx="11">
                    <c:v>1q</c:v>
                  </c:pt>
                  <c:pt idx="12">
                    <c:v>2q</c:v>
                  </c:pt>
                  <c:pt idx="13">
                    <c:v>3q</c:v>
                  </c:pt>
                  <c:pt idx="14">
                    <c:v>4q</c:v>
                  </c:pt>
                  <c:pt idx="15">
                    <c:v>1q</c:v>
                  </c:pt>
                  <c:pt idx="16">
                    <c:v>2q</c:v>
                  </c:pt>
                  <c:pt idx="17">
                    <c:v>3q</c:v>
                  </c:pt>
                  <c:pt idx="18">
                    <c:v>4q</c:v>
                  </c:pt>
                  <c:pt idx="19">
                    <c:v>1q</c:v>
                  </c:pt>
                  <c:pt idx="20">
                    <c:v>2q</c:v>
                  </c:pt>
                  <c:pt idx="21">
                    <c:v>3q</c:v>
                  </c:pt>
                  <c:pt idx="22">
                    <c:v>4q</c:v>
                  </c:pt>
                  <c:pt idx="23">
                    <c:v>1q</c:v>
                  </c:pt>
                  <c:pt idx="24">
                    <c:v>2q</c:v>
                  </c:pt>
                  <c:pt idx="25">
                    <c:v>3q</c:v>
                  </c:pt>
                  <c:pt idx="26">
                    <c:v>4q</c:v>
                  </c:pt>
                  <c:pt idx="27">
                    <c:v>1q</c:v>
                  </c:pt>
                  <c:pt idx="28">
                    <c:v>2q</c:v>
                  </c:pt>
                  <c:pt idx="29">
                    <c:v>3q</c:v>
                  </c:pt>
                  <c:pt idx="30">
                    <c:v>4q</c:v>
                  </c:pt>
                  <c:pt idx="31">
                    <c:v>1q</c:v>
                  </c:pt>
                  <c:pt idx="32">
                    <c:v>2q</c:v>
                  </c:pt>
                  <c:pt idx="33">
                    <c:v>3q</c:v>
                  </c:pt>
                  <c:pt idx="34">
                    <c:v>4q</c:v>
                  </c:pt>
                </c:lvl>
                <c:lvl>
                  <c:pt idx="0">
                    <c:v>2010</c:v>
                  </c:pt>
                  <c:pt idx="3">
                    <c:v>2011</c:v>
                  </c:pt>
                  <c:pt idx="7">
                    <c:v>2012</c:v>
                  </c:pt>
                  <c:pt idx="11">
                    <c:v>2013</c:v>
                  </c:pt>
                  <c:pt idx="15">
                    <c:v>2014</c:v>
                  </c:pt>
                  <c:pt idx="19">
                    <c:v>2015</c:v>
                  </c:pt>
                  <c:pt idx="23">
                    <c:v>2016</c:v>
                  </c:pt>
                  <c:pt idx="27">
                    <c:v>2017</c:v>
                  </c:pt>
                  <c:pt idx="31">
                    <c:v>2018</c:v>
                  </c:pt>
                </c:lvl>
              </c:multiLvlStrCache>
            </c:multiLvlStrRef>
          </c:cat>
          <c:val>
            <c:numRef>
              <c:f>'R-GRAF-2'!$B$11:$AJ$11</c:f>
              <c:numCache>
                <c:formatCode>#\ ##0.0</c:formatCode>
                <c:ptCount val="35"/>
                <c:pt idx="0">
                  <c:v>74.8</c:v>
                </c:pt>
                <c:pt idx="1">
                  <c:v>78.900000000000006</c:v>
                </c:pt>
                <c:pt idx="2">
                  <c:v>77</c:v>
                </c:pt>
                <c:pt idx="3">
                  <c:v>70.3</c:v>
                </c:pt>
                <c:pt idx="4">
                  <c:v>69.900000000000006</c:v>
                </c:pt>
                <c:pt idx="5">
                  <c:v>68</c:v>
                </c:pt>
                <c:pt idx="6">
                  <c:v>69.3</c:v>
                </c:pt>
                <c:pt idx="7">
                  <c:v>75.7</c:v>
                </c:pt>
                <c:pt idx="8">
                  <c:v>71.400000000000006</c:v>
                </c:pt>
                <c:pt idx="9">
                  <c:v>73.5</c:v>
                </c:pt>
                <c:pt idx="10">
                  <c:v>74.5</c:v>
                </c:pt>
                <c:pt idx="11">
                  <c:v>77.3</c:v>
                </c:pt>
                <c:pt idx="12">
                  <c:v>69.2</c:v>
                </c:pt>
                <c:pt idx="13">
                  <c:v>74.400000000000006</c:v>
                </c:pt>
                <c:pt idx="14">
                  <c:v>72.2</c:v>
                </c:pt>
                <c:pt idx="15">
                  <c:v>70.5</c:v>
                </c:pt>
                <c:pt idx="16">
                  <c:v>66.7</c:v>
                </c:pt>
                <c:pt idx="17">
                  <c:v>68.900000000000006</c:v>
                </c:pt>
                <c:pt idx="18">
                  <c:v>70</c:v>
                </c:pt>
                <c:pt idx="19">
                  <c:v>73.900000000000006</c:v>
                </c:pt>
                <c:pt idx="20">
                  <c:v>63.2</c:v>
                </c:pt>
                <c:pt idx="21">
                  <c:v>67.5</c:v>
                </c:pt>
                <c:pt idx="22">
                  <c:v>69.2</c:v>
                </c:pt>
                <c:pt idx="23">
                  <c:v>69</c:v>
                </c:pt>
                <c:pt idx="24">
                  <c:v>65.2</c:v>
                </c:pt>
                <c:pt idx="25">
                  <c:v>65.3</c:v>
                </c:pt>
                <c:pt idx="26">
                  <c:v>61.8</c:v>
                </c:pt>
                <c:pt idx="27">
                  <c:v>62.9</c:v>
                </c:pt>
                <c:pt idx="28">
                  <c:v>60.2</c:v>
                </c:pt>
                <c:pt idx="29">
                  <c:v>54.3</c:v>
                </c:pt>
                <c:pt idx="30">
                  <c:v>55.5</c:v>
                </c:pt>
                <c:pt idx="31">
                  <c:v>60.7</c:v>
                </c:pt>
                <c:pt idx="32">
                  <c:v>56.5</c:v>
                </c:pt>
                <c:pt idx="33">
                  <c:v>61.3</c:v>
                </c:pt>
                <c:pt idx="34">
                  <c:v>50.3</c:v>
                </c:pt>
              </c:numCache>
            </c:numRef>
          </c:val>
          <c:smooth val="0"/>
          <c:extLst>
            <c:ext xmlns:c16="http://schemas.microsoft.com/office/drawing/2014/chart" uri="{C3380CC4-5D6E-409C-BE32-E72D297353CC}">
              <c16:uniqueId val="{00000004-AC59-43DE-A125-CD89EE82DCD7}"/>
            </c:ext>
          </c:extLst>
        </c:ser>
        <c:dLbls>
          <c:showLegendKey val="0"/>
          <c:showVal val="0"/>
          <c:showCatName val="0"/>
          <c:showSerName val="0"/>
          <c:showPercent val="0"/>
          <c:showBubbleSize val="0"/>
        </c:dLbls>
        <c:marker val="1"/>
        <c:smooth val="0"/>
        <c:axId val="92042752"/>
        <c:axId val="92041216"/>
      </c:lineChart>
      <c:scatterChart>
        <c:scatterStyle val="lineMarker"/>
        <c:varyColors val="0"/>
        <c:ser>
          <c:idx val="4"/>
          <c:order val="5"/>
          <c:tx>
            <c:strRef>
              <c:f>'R-GRAF-2'!$A$12</c:f>
              <c:strCache>
                <c:ptCount val="1"/>
                <c:pt idx="0">
                  <c:v>Mezičtvrt. změna počtu nezam. celkem</c:v>
                </c:pt>
              </c:strCache>
            </c:strRef>
          </c:tx>
          <c:spPr>
            <a:ln w="25400" cap="rnd">
              <a:noFill/>
              <a:round/>
            </a:ln>
            <a:effectLst/>
          </c:spPr>
          <c:marker>
            <c:symbol val="diamond"/>
            <c:size val="6"/>
            <c:spPr>
              <a:solidFill>
                <a:schemeClr val="bg1"/>
              </a:solidFill>
              <a:ln w="9525">
                <a:solidFill>
                  <a:schemeClr val="tx1">
                    <a:lumMod val="95000"/>
                    <a:lumOff val="5000"/>
                  </a:schemeClr>
                </a:solidFill>
              </a:ln>
              <a:effectLst/>
            </c:spPr>
          </c:marker>
          <c:xVal>
            <c:multiLvlStrRef>
              <c:f>'R-GRAF-2'!$B$5:$AJ$6</c:f>
              <c:multiLvlStrCache>
                <c:ptCount val="35"/>
                <c:lvl>
                  <c:pt idx="0">
                    <c:v>2q</c:v>
                  </c:pt>
                  <c:pt idx="1">
                    <c:v>3q</c:v>
                  </c:pt>
                  <c:pt idx="2">
                    <c:v>4q</c:v>
                  </c:pt>
                  <c:pt idx="3">
                    <c:v>1q</c:v>
                  </c:pt>
                  <c:pt idx="4">
                    <c:v>2q</c:v>
                  </c:pt>
                  <c:pt idx="5">
                    <c:v>3q</c:v>
                  </c:pt>
                  <c:pt idx="6">
                    <c:v>4q</c:v>
                  </c:pt>
                  <c:pt idx="7">
                    <c:v>1q</c:v>
                  </c:pt>
                  <c:pt idx="8">
                    <c:v>2q</c:v>
                  </c:pt>
                  <c:pt idx="9">
                    <c:v>3q</c:v>
                  </c:pt>
                  <c:pt idx="10">
                    <c:v>4q</c:v>
                  </c:pt>
                  <c:pt idx="11">
                    <c:v>1q</c:v>
                  </c:pt>
                  <c:pt idx="12">
                    <c:v>2q</c:v>
                  </c:pt>
                  <c:pt idx="13">
                    <c:v>3q</c:v>
                  </c:pt>
                  <c:pt idx="14">
                    <c:v>4q</c:v>
                  </c:pt>
                  <c:pt idx="15">
                    <c:v>1q</c:v>
                  </c:pt>
                  <c:pt idx="16">
                    <c:v>2q</c:v>
                  </c:pt>
                  <c:pt idx="17">
                    <c:v>3q</c:v>
                  </c:pt>
                  <c:pt idx="18">
                    <c:v>4q</c:v>
                  </c:pt>
                  <c:pt idx="19">
                    <c:v>1q</c:v>
                  </c:pt>
                  <c:pt idx="20">
                    <c:v>2q</c:v>
                  </c:pt>
                  <c:pt idx="21">
                    <c:v>3q</c:v>
                  </c:pt>
                  <c:pt idx="22">
                    <c:v>4q</c:v>
                  </c:pt>
                  <c:pt idx="23">
                    <c:v>1q</c:v>
                  </c:pt>
                  <c:pt idx="24">
                    <c:v>2q</c:v>
                  </c:pt>
                  <c:pt idx="25">
                    <c:v>3q</c:v>
                  </c:pt>
                  <c:pt idx="26">
                    <c:v>4q</c:v>
                  </c:pt>
                  <c:pt idx="27">
                    <c:v>1q</c:v>
                  </c:pt>
                  <c:pt idx="28">
                    <c:v>2q</c:v>
                  </c:pt>
                  <c:pt idx="29">
                    <c:v>3q</c:v>
                  </c:pt>
                  <c:pt idx="30">
                    <c:v>4q</c:v>
                  </c:pt>
                  <c:pt idx="31">
                    <c:v>1q</c:v>
                  </c:pt>
                  <c:pt idx="32">
                    <c:v>2q</c:v>
                  </c:pt>
                  <c:pt idx="33">
                    <c:v>3q</c:v>
                  </c:pt>
                  <c:pt idx="34">
                    <c:v>4q</c:v>
                  </c:pt>
                </c:lvl>
                <c:lvl>
                  <c:pt idx="0">
                    <c:v>2010</c:v>
                  </c:pt>
                  <c:pt idx="3">
                    <c:v>2011</c:v>
                  </c:pt>
                  <c:pt idx="7">
                    <c:v>2012</c:v>
                  </c:pt>
                  <c:pt idx="11">
                    <c:v>2013</c:v>
                  </c:pt>
                  <c:pt idx="15">
                    <c:v>2014</c:v>
                  </c:pt>
                  <c:pt idx="19">
                    <c:v>2015</c:v>
                  </c:pt>
                  <c:pt idx="23">
                    <c:v>2016</c:v>
                  </c:pt>
                  <c:pt idx="27">
                    <c:v>2017</c:v>
                  </c:pt>
                  <c:pt idx="31">
                    <c:v>2018</c:v>
                  </c:pt>
                </c:lvl>
              </c:multiLvlStrCache>
            </c:multiLvlStrRef>
          </c:xVal>
          <c:yVal>
            <c:numRef>
              <c:f>'R-GRAF-2'!$B$12:$AJ$12</c:f>
              <c:numCache>
                <c:formatCode>#,##0</c:formatCode>
                <c:ptCount val="35"/>
                <c:pt idx="0">
                  <c:v>-48</c:v>
                </c:pt>
                <c:pt idx="1">
                  <c:v>-0.39999999999997726</c:v>
                </c:pt>
                <c:pt idx="2">
                  <c:v>-11.200000000000045</c:v>
                </c:pt>
                <c:pt idx="3">
                  <c:v>9.8000000000000114</c:v>
                </c:pt>
                <c:pt idx="4">
                  <c:v>-21.300000000000011</c:v>
                </c:pt>
                <c:pt idx="5">
                  <c:v>-8.6999999999999886</c:v>
                </c:pt>
                <c:pt idx="6">
                  <c:v>-7.3999999999999773</c:v>
                </c:pt>
                <c:pt idx="7">
                  <c:v>33.899999999999977</c:v>
                </c:pt>
                <c:pt idx="8">
                  <c:v>-18.300000000000011</c:v>
                </c:pt>
                <c:pt idx="9">
                  <c:v>17</c:v>
                </c:pt>
                <c:pt idx="10">
                  <c:v>11.400000000000034</c:v>
                </c:pt>
                <c:pt idx="11">
                  <c:v>13.399999999999977</c:v>
                </c:pt>
                <c:pt idx="12">
                  <c:v>-34.699999999999989</c:v>
                </c:pt>
                <c:pt idx="13">
                  <c:v>11.600000000000023</c:v>
                </c:pt>
                <c:pt idx="14">
                  <c:v>-14.200000000000045</c:v>
                </c:pt>
                <c:pt idx="15">
                  <c:v>2.4000000000000341</c:v>
                </c:pt>
                <c:pt idx="16">
                  <c:v>-39.199999999999989</c:v>
                </c:pt>
                <c:pt idx="17">
                  <c:v>-5.9000000000000341</c:v>
                </c:pt>
                <c:pt idx="18">
                  <c:v>-7.3999999999999773</c:v>
                </c:pt>
                <c:pt idx="19">
                  <c:v>10.899999999999977</c:v>
                </c:pt>
                <c:pt idx="20">
                  <c:v>-54.399999999999977</c:v>
                </c:pt>
                <c:pt idx="21">
                  <c:v>-4.8000000000000114</c:v>
                </c:pt>
                <c:pt idx="22">
                  <c:v>-20.300000000000011</c:v>
                </c:pt>
                <c:pt idx="23">
                  <c:v>-5.5</c:v>
                </c:pt>
                <c:pt idx="24">
                  <c:v>-21.5</c:v>
                </c:pt>
                <c:pt idx="25">
                  <c:v>3.3000000000000114</c:v>
                </c:pt>
                <c:pt idx="26">
                  <c:v>-21.400000000000006</c:v>
                </c:pt>
                <c:pt idx="27">
                  <c:v>-7.1999999999999886</c:v>
                </c:pt>
                <c:pt idx="28">
                  <c:v>-25.700000000000017</c:v>
                </c:pt>
                <c:pt idx="29">
                  <c:v>-9</c:v>
                </c:pt>
                <c:pt idx="30">
                  <c:v>-21</c:v>
                </c:pt>
                <c:pt idx="31">
                  <c:v>1.1000000000000227</c:v>
                </c:pt>
                <c:pt idx="32">
                  <c:v>-11.600000000000009</c:v>
                </c:pt>
                <c:pt idx="33">
                  <c:v>8.8999999999999915</c:v>
                </c:pt>
                <c:pt idx="34">
                  <c:v>-16.299999999999997</c:v>
                </c:pt>
              </c:numCache>
            </c:numRef>
          </c:yVal>
          <c:smooth val="0"/>
          <c:extLst>
            <c:ext xmlns:c16="http://schemas.microsoft.com/office/drawing/2014/chart" uri="{C3380CC4-5D6E-409C-BE32-E72D297353CC}">
              <c16:uniqueId val="{00000005-AC59-43DE-A125-CD89EE82DCD7}"/>
            </c:ext>
          </c:extLst>
        </c:ser>
        <c:dLbls>
          <c:showLegendKey val="0"/>
          <c:showVal val="0"/>
          <c:showCatName val="0"/>
          <c:showSerName val="0"/>
          <c:showPercent val="0"/>
          <c:showBubbleSize val="0"/>
        </c:dLbls>
        <c:axId val="92033408"/>
        <c:axId val="92035328"/>
      </c:scatterChart>
      <c:catAx>
        <c:axId val="92033408"/>
        <c:scaling>
          <c:orientation val="minMax"/>
        </c:scaling>
        <c:delete val="0"/>
        <c:axPos val="b"/>
        <c:numFmt formatCode="General" sourceLinked="1"/>
        <c:majorTickMark val="none"/>
        <c:minorTickMark val="none"/>
        <c:tickLblPos val="low"/>
        <c:spPr>
          <a:noFill/>
          <a:ln w="6350" cap="flat" cmpd="sng" algn="ctr">
            <a:solidFill>
              <a:schemeClr val="tx1">
                <a:lumMod val="95000"/>
                <a:lumOff val="5000"/>
              </a:schemeClr>
            </a:solidFill>
            <a:round/>
          </a:ln>
          <a:effectLst/>
        </c:spPr>
        <c:txPr>
          <a:bodyPr rot="-5400000" spcFirstLastPara="1" vertOverflow="ellipsis"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cs-CZ"/>
          </a:p>
        </c:txPr>
        <c:crossAx val="92035328"/>
        <c:crosses val="autoZero"/>
        <c:auto val="1"/>
        <c:lblAlgn val="ctr"/>
        <c:lblOffset val="0"/>
        <c:noMultiLvlLbl val="0"/>
      </c:catAx>
      <c:valAx>
        <c:axId val="92035328"/>
        <c:scaling>
          <c:orientation val="minMax"/>
          <c:max val="120"/>
          <c:min val="-14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cs-CZ"/>
          </a:p>
        </c:txPr>
        <c:crossAx val="92033408"/>
        <c:crosses val="autoZero"/>
        <c:crossBetween val="between"/>
        <c:majorUnit val="20"/>
      </c:valAx>
      <c:valAx>
        <c:axId val="92041216"/>
        <c:scaling>
          <c:orientation val="minMax"/>
        </c:scaling>
        <c:delete val="0"/>
        <c:axPos val="r"/>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cs-CZ"/>
          </a:p>
        </c:txPr>
        <c:crossAx val="92042752"/>
        <c:crosses val="max"/>
        <c:crossBetween val="between"/>
      </c:valAx>
      <c:catAx>
        <c:axId val="92042752"/>
        <c:scaling>
          <c:orientation val="minMax"/>
        </c:scaling>
        <c:delete val="0"/>
        <c:axPos val="t"/>
        <c:numFmt formatCode="General" sourceLinked="1"/>
        <c:majorTickMark val="out"/>
        <c:minorTickMark val="none"/>
        <c:tickLblPos val="nextTo"/>
        <c:spPr>
          <a:noFill/>
          <a:ln w="9525" cap="flat" cmpd="sng" algn="ctr">
            <a:no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92041216"/>
        <c:crosses val="max"/>
        <c:auto val="1"/>
        <c:lblAlgn val="ctr"/>
        <c:lblOffset val="100"/>
        <c:noMultiLvlLbl val="0"/>
      </c:catAx>
      <c:spPr>
        <a:noFill/>
        <a:ln w="6350">
          <a:solidFill>
            <a:schemeClr val="tx1">
              <a:lumMod val="95000"/>
              <a:lumOff val="5000"/>
            </a:schemeClr>
          </a:solidFill>
        </a:ln>
        <a:effectLst/>
      </c:spPr>
    </c:plotArea>
    <c:legend>
      <c:legendPos val="b"/>
      <c:layout>
        <c:manualLayout>
          <c:xMode val="edge"/>
          <c:yMode val="edge"/>
          <c:x val="5.3287815077828976E-3"/>
          <c:y val="0.87454832489589196"/>
          <c:w val="0.97950680528391276"/>
          <c:h val="0.108514871424504"/>
        </c:manualLayout>
      </c:layout>
      <c:overlay val="0"/>
      <c:spPr>
        <a:noFill/>
        <a:ln w="6350">
          <a:solidFill>
            <a:schemeClr val="tx1">
              <a:lumMod val="95000"/>
              <a:lumOff val="5000"/>
            </a:schemeClr>
          </a:solid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cs-CZ"/>
        </a:p>
      </c:txPr>
    </c:legend>
    <c:plotVisOnly val="1"/>
    <c:dispBlanksAs val="gap"/>
    <c:showDLblsOverMax val="0"/>
  </c:chart>
  <c:spPr>
    <a:solidFill>
      <a:schemeClr val="bg1"/>
    </a:solidFill>
    <a:ln w="9525" cap="flat" cmpd="sng" algn="ctr">
      <a:noFill/>
      <a:round/>
    </a:ln>
    <a:effectLst/>
  </c:spPr>
  <c:txPr>
    <a:bodyPr/>
    <a:lstStyle/>
    <a:p>
      <a:pPr>
        <a:defRPr/>
      </a:pPr>
      <a:endParaRPr lang="cs-CZ"/>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130607412349347"/>
          <c:y val="1.6213638122410581E-2"/>
          <c:w val="0.86102097538335554"/>
          <c:h val="0.67873437775945045"/>
        </c:manualLayout>
      </c:layout>
      <c:barChart>
        <c:barDir val="col"/>
        <c:grouping val="clustered"/>
        <c:varyColors val="0"/>
        <c:ser>
          <c:idx val="0"/>
          <c:order val="0"/>
          <c:tx>
            <c:strRef>
              <c:f>'R-GRAF-4'!$A$28</c:f>
              <c:strCache>
                <c:ptCount val="1"/>
                <c:pt idx="0">
                  <c:v>2018/2017</c:v>
                </c:pt>
              </c:strCache>
            </c:strRef>
          </c:tx>
          <c:spPr>
            <a:solidFill>
              <a:srgbClr val="A6CDE8"/>
            </a:solidFill>
            <a:ln>
              <a:noFill/>
            </a:ln>
            <a:effectLst/>
          </c:spPr>
          <c:invertIfNegative val="0"/>
          <c:cat>
            <c:multiLvlStrRef>
              <c:f>'R-GRAF-4'!$B$26:$Q$27</c:f>
              <c:multiLvlStrCache>
                <c:ptCount val="16"/>
                <c:lvl>
                  <c:pt idx="0">
                    <c:v>ZŠ vč. neukonč.
vzdělání</c:v>
                  </c:pt>
                  <c:pt idx="1">
                    <c:v>SŠ bez maturity</c:v>
                  </c:pt>
                  <c:pt idx="2">
                    <c:v>SŠ s maturitou</c:v>
                  </c:pt>
                  <c:pt idx="3">
                    <c:v>VOŠ a VŠ</c:v>
                  </c:pt>
                  <c:pt idx="4">
                    <c:v>tř. 1 až 3*</c:v>
                  </c:pt>
                  <c:pt idx="5">
                    <c:v>tř.4 až 6**</c:v>
                  </c:pt>
                  <c:pt idx="6">
                    <c:v>Řemeslníci 
a opraváři</c:v>
                  </c:pt>
                  <c:pt idx="7">
                    <c:v>Obsluha strojů 
a zaříz., montéři</c:v>
                  </c:pt>
                  <c:pt idx="8">
                    <c:v>Pomocní a nekvalif. 
pracovníci</c:v>
                  </c:pt>
                  <c:pt idx="9">
                    <c:v>Zeměděl., těžba,
 energetika</c:v>
                  </c:pt>
                  <c:pt idx="10">
                    <c:v>Zpracovatelský
průmysl</c:v>
                  </c:pt>
                  <c:pt idx="11">
                    <c:v>Stavebnictví</c:v>
                  </c:pt>
                  <c:pt idx="12">
                    <c:v>Obchod, doprava,
pohost., strav., ubyt.</c:v>
                  </c:pt>
                  <c:pt idx="13">
                    <c:v>Veř. spr., školství, 
zdravotn., soc. péče</c:v>
                  </c:pt>
                  <c:pt idx="14">
                    <c:v>Ostatní služby</c:v>
                  </c:pt>
                  <c:pt idx="15">
                    <c:v>Nezjištěné odvětví</c:v>
                  </c:pt>
                </c:lvl>
                <c:lvl>
                  <c:pt idx="0">
                    <c:v>vzdělání</c:v>
                  </c:pt>
                  <c:pt idx="4">
                    <c:v>kvalifikace</c:v>
                  </c:pt>
                  <c:pt idx="9">
                    <c:v>odvětví</c:v>
                  </c:pt>
                </c:lvl>
              </c:multiLvlStrCache>
            </c:multiLvlStrRef>
          </c:cat>
          <c:val>
            <c:numRef>
              <c:f>'R-GRAF-4'!$B$28:$Q$28</c:f>
              <c:numCache>
                <c:formatCode>#,##0</c:formatCode>
                <c:ptCount val="16"/>
                <c:pt idx="0">
                  <c:v>93571</c:v>
                </c:pt>
                <c:pt idx="1">
                  <c:v>9434</c:v>
                </c:pt>
                <c:pt idx="2">
                  <c:v>2529</c:v>
                </c:pt>
                <c:pt idx="3">
                  <c:v>2247</c:v>
                </c:pt>
                <c:pt idx="4">
                  <c:v>3509</c:v>
                </c:pt>
                <c:pt idx="5">
                  <c:v>7894</c:v>
                </c:pt>
                <c:pt idx="6">
                  <c:v>19630</c:v>
                </c:pt>
                <c:pt idx="7">
                  <c:v>45124</c:v>
                </c:pt>
                <c:pt idx="8">
                  <c:v>31629</c:v>
                </c:pt>
                <c:pt idx="9">
                  <c:v>2051</c:v>
                </c:pt>
                <c:pt idx="10">
                  <c:v>18564</c:v>
                </c:pt>
                <c:pt idx="11">
                  <c:v>9667</c:v>
                </c:pt>
                <c:pt idx="12">
                  <c:v>9093</c:v>
                </c:pt>
                <c:pt idx="13">
                  <c:v>1663</c:v>
                </c:pt>
                <c:pt idx="14">
                  <c:v>14778</c:v>
                </c:pt>
                <c:pt idx="15">
                  <c:v>51965</c:v>
                </c:pt>
              </c:numCache>
            </c:numRef>
          </c:val>
          <c:extLst>
            <c:ext xmlns:c16="http://schemas.microsoft.com/office/drawing/2014/chart" uri="{C3380CC4-5D6E-409C-BE32-E72D297353CC}">
              <c16:uniqueId val="{00000000-596D-4B7A-8DF1-D34D631C82E3}"/>
            </c:ext>
          </c:extLst>
        </c:ser>
        <c:ser>
          <c:idx val="1"/>
          <c:order val="1"/>
          <c:tx>
            <c:strRef>
              <c:f>'R-GRAF-4'!$A$29</c:f>
              <c:strCache>
                <c:ptCount val="1"/>
                <c:pt idx="0">
                  <c:v>2017/2016</c:v>
                </c:pt>
              </c:strCache>
            </c:strRef>
          </c:tx>
          <c:spPr>
            <a:solidFill>
              <a:srgbClr val="E8AFB2"/>
            </a:solidFill>
            <a:ln>
              <a:noFill/>
            </a:ln>
            <a:effectLst/>
          </c:spPr>
          <c:invertIfNegative val="0"/>
          <c:cat>
            <c:multiLvlStrRef>
              <c:f>'R-GRAF-4'!$B$26:$Q$27</c:f>
              <c:multiLvlStrCache>
                <c:ptCount val="16"/>
                <c:lvl>
                  <c:pt idx="0">
                    <c:v>ZŠ vč. neukonč.
vzdělání</c:v>
                  </c:pt>
                  <c:pt idx="1">
                    <c:v>SŠ bez maturity</c:v>
                  </c:pt>
                  <c:pt idx="2">
                    <c:v>SŠ s maturitou</c:v>
                  </c:pt>
                  <c:pt idx="3">
                    <c:v>VOŠ a VŠ</c:v>
                  </c:pt>
                  <c:pt idx="4">
                    <c:v>tř. 1 až 3*</c:v>
                  </c:pt>
                  <c:pt idx="5">
                    <c:v>tř.4 až 6**</c:v>
                  </c:pt>
                  <c:pt idx="6">
                    <c:v>Řemeslníci 
a opraváři</c:v>
                  </c:pt>
                  <c:pt idx="7">
                    <c:v>Obsluha strojů 
a zaříz., montéři</c:v>
                  </c:pt>
                  <c:pt idx="8">
                    <c:v>Pomocní a nekvalif. 
pracovníci</c:v>
                  </c:pt>
                  <c:pt idx="9">
                    <c:v>Zeměděl., těžba,
 energetika</c:v>
                  </c:pt>
                  <c:pt idx="10">
                    <c:v>Zpracovatelský
průmysl</c:v>
                  </c:pt>
                  <c:pt idx="11">
                    <c:v>Stavebnictví</c:v>
                  </c:pt>
                  <c:pt idx="12">
                    <c:v>Obchod, doprava,
pohost., strav., ubyt.</c:v>
                  </c:pt>
                  <c:pt idx="13">
                    <c:v>Veř. spr., školství, 
zdravotn., soc. péče</c:v>
                  </c:pt>
                  <c:pt idx="14">
                    <c:v>Ostatní služby</c:v>
                  </c:pt>
                  <c:pt idx="15">
                    <c:v>Nezjištěné odvětví</c:v>
                  </c:pt>
                </c:lvl>
                <c:lvl>
                  <c:pt idx="0">
                    <c:v>vzdělání</c:v>
                  </c:pt>
                  <c:pt idx="4">
                    <c:v>kvalifikace</c:v>
                  </c:pt>
                  <c:pt idx="9">
                    <c:v>odvětví</c:v>
                  </c:pt>
                </c:lvl>
              </c:multiLvlStrCache>
            </c:multiLvlStrRef>
          </c:cat>
          <c:val>
            <c:numRef>
              <c:f>'R-GRAF-4'!$B$29:$Q$29</c:f>
              <c:numCache>
                <c:formatCode>#,##0</c:formatCode>
                <c:ptCount val="16"/>
                <c:pt idx="0">
                  <c:v>62085</c:v>
                </c:pt>
                <c:pt idx="1">
                  <c:v>13733</c:v>
                </c:pt>
                <c:pt idx="2">
                  <c:v>4694</c:v>
                </c:pt>
                <c:pt idx="3">
                  <c:v>3621</c:v>
                </c:pt>
                <c:pt idx="4">
                  <c:v>6268</c:v>
                </c:pt>
                <c:pt idx="5">
                  <c:v>8776</c:v>
                </c:pt>
                <c:pt idx="6">
                  <c:v>15029</c:v>
                </c:pt>
                <c:pt idx="7">
                  <c:v>28949</c:v>
                </c:pt>
                <c:pt idx="8">
                  <c:v>25170</c:v>
                </c:pt>
                <c:pt idx="9">
                  <c:v>2753</c:v>
                </c:pt>
                <c:pt idx="10">
                  <c:v>19673</c:v>
                </c:pt>
                <c:pt idx="11">
                  <c:v>7546</c:v>
                </c:pt>
                <c:pt idx="12">
                  <c:v>9023</c:v>
                </c:pt>
                <c:pt idx="13">
                  <c:v>3500</c:v>
                </c:pt>
                <c:pt idx="14">
                  <c:v>6799</c:v>
                </c:pt>
                <c:pt idx="15">
                  <c:v>34839</c:v>
                </c:pt>
              </c:numCache>
            </c:numRef>
          </c:val>
          <c:extLst>
            <c:ext xmlns:c16="http://schemas.microsoft.com/office/drawing/2014/chart" uri="{C3380CC4-5D6E-409C-BE32-E72D297353CC}">
              <c16:uniqueId val="{00000001-596D-4B7A-8DF1-D34D631C82E3}"/>
            </c:ext>
          </c:extLst>
        </c:ser>
        <c:ser>
          <c:idx val="2"/>
          <c:order val="2"/>
          <c:tx>
            <c:strRef>
              <c:f>'R-GRAF-4'!$A$30</c:f>
              <c:strCache>
                <c:ptCount val="1"/>
                <c:pt idx="0">
                  <c:v>2016/2015</c:v>
                </c:pt>
              </c:strCache>
            </c:strRef>
          </c:tx>
          <c:spPr>
            <a:solidFill>
              <a:srgbClr val="D2E7B6"/>
            </a:solidFill>
            <a:ln>
              <a:noFill/>
            </a:ln>
            <a:effectLst/>
          </c:spPr>
          <c:invertIfNegative val="0"/>
          <c:cat>
            <c:multiLvlStrRef>
              <c:f>'R-GRAF-4'!$B$26:$Q$27</c:f>
              <c:multiLvlStrCache>
                <c:ptCount val="16"/>
                <c:lvl>
                  <c:pt idx="0">
                    <c:v>ZŠ vč. neukonč.
vzdělání</c:v>
                  </c:pt>
                  <c:pt idx="1">
                    <c:v>SŠ bez maturity</c:v>
                  </c:pt>
                  <c:pt idx="2">
                    <c:v>SŠ s maturitou</c:v>
                  </c:pt>
                  <c:pt idx="3">
                    <c:v>VOŠ a VŠ</c:v>
                  </c:pt>
                  <c:pt idx="4">
                    <c:v>tř. 1 až 3*</c:v>
                  </c:pt>
                  <c:pt idx="5">
                    <c:v>tř.4 až 6**</c:v>
                  </c:pt>
                  <c:pt idx="6">
                    <c:v>Řemeslníci 
a opraváři</c:v>
                  </c:pt>
                  <c:pt idx="7">
                    <c:v>Obsluha strojů 
a zaříz., montéři</c:v>
                  </c:pt>
                  <c:pt idx="8">
                    <c:v>Pomocní a nekvalif. 
pracovníci</c:v>
                  </c:pt>
                  <c:pt idx="9">
                    <c:v>Zeměděl., těžba,
 energetika</c:v>
                  </c:pt>
                  <c:pt idx="10">
                    <c:v>Zpracovatelský
průmysl</c:v>
                  </c:pt>
                  <c:pt idx="11">
                    <c:v>Stavebnictví</c:v>
                  </c:pt>
                  <c:pt idx="12">
                    <c:v>Obchod, doprava,
pohost., strav., ubyt.</c:v>
                  </c:pt>
                  <c:pt idx="13">
                    <c:v>Veř. spr., školství, 
zdravotn., soc. péče</c:v>
                  </c:pt>
                  <c:pt idx="14">
                    <c:v>Ostatní služby</c:v>
                  </c:pt>
                  <c:pt idx="15">
                    <c:v>Nezjištěné odvětví</c:v>
                  </c:pt>
                </c:lvl>
                <c:lvl>
                  <c:pt idx="0">
                    <c:v>vzdělání</c:v>
                  </c:pt>
                  <c:pt idx="4">
                    <c:v>kvalifikace</c:v>
                  </c:pt>
                  <c:pt idx="9">
                    <c:v>odvětví</c:v>
                  </c:pt>
                </c:lvl>
              </c:multiLvlStrCache>
            </c:multiLvlStrRef>
          </c:cat>
          <c:val>
            <c:numRef>
              <c:f>'R-GRAF-4'!$B$30:$Q$30</c:f>
              <c:numCache>
                <c:formatCode>#,##0</c:formatCode>
                <c:ptCount val="16"/>
                <c:pt idx="0">
                  <c:v>20108</c:v>
                </c:pt>
                <c:pt idx="1">
                  <c:v>5992</c:v>
                </c:pt>
                <c:pt idx="2">
                  <c:v>1535</c:v>
                </c:pt>
                <c:pt idx="3">
                  <c:v>2316</c:v>
                </c:pt>
                <c:pt idx="4">
                  <c:v>4243</c:v>
                </c:pt>
                <c:pt idx="5">
                  <c:v>2897</c:v>
                </c:pt>
                <c:pt idx="6">
                  <c:v>6619</c:v>
                </c:pt>
                <c:pt idx="7">
                  <c:v>8868</c:v>
                </c:pt>
                <c:pt idx="8">
                  <c:v>7605</c:v>
                </c:pt>
                <c:pt idx="9">
                  <c:v>1411</c:v>
                </c:pt>
                <c:pt idx="10">
                  <c:v>9280</c:v>
                </c:pt>
                <c:pt idx="11">
                  <c:v>2084</c:v>
                </c:pt>
                <c:pt idx="12">
                  <c:v>2942</c:v>
                </c:pt>
                <c:pt idx="13">
                  <c:v>1675</c:v>
                </c:pt>
                <c:pt idx="14">
                  <c:v>3230</c:v>
                </c:pt>
                <c:pt idx="15">
                  <c:v>9329</c:v>
                </c:pt>
              </c:numCache>
            </c:numRef>
          </c:val>
          <c:extLst>
            <c:ext xmlns:c16="http://schemas.microsoft.com/office/drawing/2014/chart" uri="{C3380CC4-5D6E-409C-BE32-E72D297353CC}">
              <c16:uniqueId val="{00000002-596D-4B7A-8DF1-D34D631C82E3}"/>
            </c:ext>
          </c:extLst>
        </c:ser>
        <c:dLbls>
          <c:showLegendKey val="0"/>
          <c:showVal val="0"/>
          <c:showCatName val="0"/>
          <c:showSerName val="0"/>
          <c:showPercent val="0"/>
          <c:showBubbleSize val="0"/>
        </c:dLbls>
        <c:gapWidth val="80"/>
        <c:axId val="103187968"/>
        <c:axId val="103189504"/>
      </c:barChart>
      <c:catAx>
        <c:axId val="103187968"/>
        <c:scaling>
          <c:orientation val="minMax"/>
        </c:scaling>
        <c:delete val="0"/>
        <c:axPos val="b"/>
        <c:numFmt formatCode="General" sourceLinked="1"/>
        <c:majorTickMark val="none"/>
        <c:minorTickMark val="none"/>
        <c:tickLblPos val="nextTo"/>
        <c:spPr>
          <a:noFill/>
          <a:ln w="9525" cap="flat" cmpd="sng" algn="ctr">
            <a:solidFill>
              <a:schemeClr val="tx1">
                <a:lumMod val="95000"/>
                <a:lumOff val="5000"/>
              </a:schemeClr>
            </a:solidFill>
            <a:round/>
          </a:ln>
          <a:effectLst/>
        </c:spPr>
        <c:txPr>
          <a:bodyPr rot="-60000000" spcFirstLastPara="1" vertOverflow="ellipsis" vert="horz" wrap="square" anchor="ctr" anchorCtr="1"/>
          <a:lstStyle/>
          <a:p>
            <a:pPr>
              <a:defRPr sz="75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cs-CZ"/>
          </a:p>
        </c:txPr>
        <c:crossAx val="103189504"/>
        <c:crosses val="autoZero"/>
        <c:auto val="1"/>
        <c:lblAlgn val="ctr"/>
        <c:lblOffset val="37"/>
        <c:noMultiLvlLbl val="0"/>
      </c:catAx>
      <c:valAx>
        <c:axId val="10318950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cs-CZ"/>
          </a:p>
        </c:txPr>
        <c:crossAx val="103187968"/>
        <c:crosses val="autoZero"/>
        <c:crossBetween val="between"/>
      </c:valAx>
      <c:spPr>
        <a:noFill/>
        <a:ln>
          <a:solidFill>
            <a:schemeClr val="tx1">
              <a:lumMod val="95000"/>
              <a:lumOff val="5000"/>
            </a:schemeClr>
          </a:solidFill>
        </a:ln>
        <a:effectLst/>
      </c:spPr>
    </c:plotArea>
    <c:legend>
      <c:legendPos val="b"/>
      <c:layout>
        <c:manualLayout>
          <c:xMode val="edge"/>
          <c:yMode val="edge"/>
          <c:x val="0.30952830997862019"/>
          <c:y val="1.7662483589753263E-2"/>
          <c:w val="0.45139514655669855"/>
          <c:h val="6.0976036532018864E-2"/>
        </c:manualLayout>
      </c:layout>
      <c:overlay val="0"/>
      <c:spPr>
        <a:noFill/>
        <a:ln>
          <a:solidFill>
            <a:schemeClr val="tx1">
              <a:lumMod val="95000"/>
              <a:lumOff val="5000"/>
            </a:schemeClr>
          </a:solid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cs-CZ"/>
        </a:p>
      </c:txPr>
    </c:legend>
    <c:plotVisOnly val="1"/>
    <c:dispBlanksAs val="gap"/>
    <c:showDLblsOverMax val="0"/>
  </c:chart>
  <c:spPr>
    <a:solidFill>
      <a:schemeClr val="bg1"/>
    </a:solidFill>
    <a:ln w="9525" cap="flat" cmpd="sng" algn="ctr">
      <a:noFill/>
      <a:round/>
    </a:ln>
    <a:effectLst/>
  </c:spPr>
  <c:txPr>
    <a:bodyPr/>
    <a:lstStyle/>
    <a:p>
      <a:pPr>
        <a:defRPr/>
      </a:pPr>
      <a:endParaRPr lang="cs-CZ"/>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3836335505582157E-2"/>
          <c:y val="2.4179620034542316E-2"/>
          <c:w val="0.93333328006909433"/>
          <c:h val="0.79772630567667457"/>
        </c:manualLayout>
      </c:layout>
      <c:barChart>
        <c:barDir val="col"/>
        <c:grouping val="clustered"/>
        <c:varyColors val="0"/>
        <c:ser>
          <c:idx val="1"/>
          <c:order val="5"/>
          <c:tx>
            <c:strRef>
              <c:f>'GRAF-1-MZDY-odvětví'!$A$25</c:f>
              <c:strCache>
                <c:ptCount val="1"/>
                <c:pt idx="0">
                  <c:v>Všechna odvětví (nominálně)</c:v>
                </c:pt>
              </c:strCache>
            </c:strRef>
          </c:tx>
          <c:spPr>
            <a:solidFill>
              <a:schemeClr val="bg1">
                <a:lumMod val="95000"/>
              </a:schemeClr>
            </a:solidFill>
            <a:ln>
              <a:solidFill>
                <a:schemeClr val="bg1">
                  <a:lumMod val="65000"/>
                </a:schemeClr>
              </a:solidFill>
            </a:ln>
            <a:effectLst/>
          </c:spPr>
          <c:invertIfNegative val="0"/>
          <c:cat>
            <c:numRef>
              <c:f>'GRAF-1-MZDY-odvětví'!$B$19:$O$19</c:f>
              <c:numCache>
                <c:formatCode>General</c:formatCode>
                <c:ptCount val="14"/>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numCache>
            </c:numRef>
          </c:cat>
          <c:val>
            <c:numRef>
              <c:f>'GRAF-1-MZDY-odvětví'!$B$25:$O$25</c:f>
              <c:numCache>
                <c:formatCode>0.0</c:formatCode>
                <c:ptCount val="14"/>
                <c:pt idx="0">
                  <c:v>5.0269094240238132</c:v>
                </c:pt>
                <c:pt idx="1">
                  <c:v>6.5525512429132107</c:v>
                </c:pt>
                <c:pt idx="2">
                  <c:v>7.2188683106517999</c:v>
                </c:pt>
                <c:pt idx="3">
                  <c:v>7.8016891730686666</c:v>
                </c:pt>
                <c:pt idx="4">
                  <c:v>3.3286118980169874</c:v>
                </c:pt>
                <c:pt idx="5">
                  <c:v>2.2275531185743631</c:v>
                </c:pt>
                <c:pt idx="6">
                  <c:v>2.4765336909151898</c:v>
                </c:pt>
                <c:pt idx="7">
                  <c:v>2.5025557145778095</c:v>
                </c:pt>
                <c:pt idx="8">
                  <c:v>-0.12765787688992702</c:v>
                </c:pt>
                <c:pt idx="9">
                  <c:v>2.9279009386858519</c:v>
                </c:pt>
                <c:pt idx="10">
                  <c:v>3.1938838869916282</c:v>
                </c:pt>
                <c:pt idx="11">
                  <c:v>4.4112669700274552</c:v>
                </c:pt>
                <c:pt idx="12">
                  <c:v>6.7497478749459816</c:v>
                </c:pt>
                <c:pt idx="13">
                  <c:v>7.5241244348471525</c:v>
                </c:pt>
              </c:numCache>
            </c:numRef>
          </c:val>
          <c:extLst>
            <c:ext xmlns:c16="http://schemas.microsoft.com/office/drawing/2014/chart" uri="{C3380CC4-5D6E-409C-BE32-E72D297353CC}">
              <c16:uniqueId val="{00000000-6AF1-446F-B8C0-DD5FFE4A519F}"/>
            </c:ext>
          </c:extLst>
        </c:ser>
        <c:ser>
          <c:idx val="5"/>
          <c:order val="6"/>
          <c:tx>
            <c:strRef>
              <c:f>'GRAF-1-MZDY-odvětví'!$A$26</c:f>
              <c:strCache>
                <c:ptCount val="1"/>
                <c:pt idx="0">
                  <c:v>Všechna odvětví (reálně)</c:v>
                </c:pt>
              </c:strCache>
            </c:strRef>
          </c:tx>
          <c:spPr>
            <a:solidFill>
              <a:schemeClr val="bg1">
                <a:lumMod val="75000"/>
              </a:schemeClr>
            </a:solidFill>
            <a:ln>
              <a:noFill/>
            </a:ln>
            <a:effectLst/>
          </c:spPr>
          <c:invertIfNegative val="0"/>
          <c:cat>
            <c:numRef>
              <c:f>'GRAF-1-MZDY-odvětví'!$B$19:$O$19</c:f>
              <c:numCache>
                <c:formatCode>General</c:formatCode>
                <c:ptCount val="14"/>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numCache>
            </c:numRef>
          </c:cat>
          <c:val>
            <c:numRef>
              <c:f>'GRAF-1-MZDY-odvětví'!$B$26:$O$26</c:f>
              <c:numCache>
                <c:formatCode>#\ ##0.0</c:formatCode>
                <c:ptCount val="14"/>
                <c:pt idx="0">
                  <c:v>3</c:v>
                </c:pt>
                <c:pt idx="1">
                  <c:v>4</c:v>
                </c:pt>
                <c:pt idx="2">
                  <c:v>4.2999999999999972</c:v>
                </c:pt>
                <c:pt idx="3">
                  <c:v>1.4000000000000057</c:v>
                </c:pt>
                <c:pt idx="4">
                  <c:v>2.2999999999999972</c:v>
                </c:pt>
                <c:pt idx="5">
                  <c:v>0.70000000000000284</c:v>
                </c:pt>
                <c:pt idx="6">
                  <c:v>0.59999999999999432</c:v>
                </c:pt>
                <c:pt idx="7">
                  <c:v>-0.79999999999999716</c:v>
                </c:pt>
                <c:pt idx="8">
                  <c:v>-1.5</c:v>
                </c:pt>
                <c:pt idx="9">
                  <c:v>2.5</c:v>
                </c:pt>
                <c:pt idx="10">
                  <c:v>2.9000000000000057</c:v>
                </c:pt>
                <c:pt idx="11">
                  <c:v>3.7000000000000028</c:v>
                </c:pt>
                <c:pt idx="12">
                  <c:v>4.2000000000000028</c:v>
                </c:pt>
                <c:pt idx="13">
                  <c:v>5.2999999999999972</c:v>
                </c:pt>
              </c:numCache>
            </c:numRef>
          </c:val>
          <c:extLst>
            <c:ext xmlns:c16="http://schemas.microsoft.com/office/drawing/2014/chart" uri="{C3380CC4-5D6E-409C-BE32-E72D297353CC}">
              <c16:uniqueId val="{00000001-6AF1-446F-B8C0-DD5FFE4A519F}"/>
            </c:ext>
          </c:extLst>
        </c:ser>
        <c:dLbls>
          <c:showLegendKey val="0"/>
          <c:showVal val="0"/>
          <c:showCatName val="0"/>
          <c:showSerName val="0"/>
          <c:showPercent val="0"/>
          <c:showBubbleSize val="0"/>
        </c:dLbls>
        <c:gapWidth val="150"/>
        <c:axId val="39484416"/>
        <c:axId val="39502592"/>
      </c:barChart>
      <c:lineChart>
        <c:grouping val="standard"/>
        <c:varyColors val="0"/>
        <c:ser>
          <c:idx val="0"/>
          <c:order val="0"/>
          <c:tx>
            <c:strRef>
              <c:f>'GRAF-1-MZDY-odvětví'!$A$20</c:f>
              <c:strCache>
                <c:ptCount val="1"/>
                <c:pt idx="0">
                  <c:v>Zpracovatelský průmysl</c:v>
                </c:pt>
              </c:strCache>
            </c:strRef>
          </c:tx>
          <c:spPr>
            <a:ln w="12700" cap="rnd">
              <a:solidFill>
                <a:srgbClr val="BD1B21"/>
              </a:solidFill>
              <a:prstDash val="sysDash"/>
              <a:round/>
            </a:ln>
            <a:effectLst/>
          </c:spPr>
          <c:marker>
            <c:symbol val="none"/>
          </c:marker>
          <c:cat>
            <c:numRef>
              <c:f>'GRAF-1-MZDY-odvětví'!$B$19:$O$19</c:f>
              <c:numCache>
                <c:formatCode>General</c:formatCode>
                <c:ptCount val="14"/>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numCache>
            </c:numRef>
          </c:cat>
          <c:val>
            <c:numRef>
              <c:f>'GRAF-1-MZDY-odvětví'!$B$20:$O$20</c:f>
              <c:numCache>
                <c:formatCode>0.0</c:formatCode>
                <c:ptCount val="14"/>
                <c:pt idx="0">
                  <c:v>4.6912686927158802</c:v>
                </c:pt>
                <c:pt idx="1">
                  <c:v>6.496947356295351</c:v>
                </c:pt>
                <c:pt idx="2">
                  <c:v>7.3661438615467887</c:v>
                </c:pt>
                <c:pt idx="3">
                  <c:v>8.6238162401773195</c:v>
                </c:pt>
                <c:pt idx="4">
                  <c:v>1.873492858467813</c:v>
                </c:pt>
                <c:pt idx="5">
                  <c:v>4.6158048069920028</c:v>
                </c:pt>
                <c:pt idx="6">
                  <c:v>3.4766338873901219</c:v>
                </c:pt>
                <c:pt idx="7">
                  <c:v>2.9056810058450111</c:v>
                </c:pt>
                <c:pt idx="8">
                  <c:v>1.323962079110828</c:v>
                </c:pt>
                <c:pt idx="9">
                  <c:v>3.6860783997418878</c:v>
                </c:pt>
                <c:pt idx="10">
                  <c:v>2.9054842473745595</c:v>
                </c:pt>
                <c:pt idx="11">
                  <c:v>4.6074762822693458</c:v>
                </c:pt>
                <c:pt idx="12">
                  <c:v>6.8976730741436683</c:v>
                </c:pt>
                <c:pt idx="13">
                  <c:v>7.047490282237618</c:v>
                </c:pt>
              </c:numCache>
            </c:numRef>
          </c:val>
          <c:smooth val="0"/>
          <c:extLst>
            <c:ext xmlns:c16="http://schemas.microsoft.com/office/drawing/2014/chart" uri="{C3380CC4-5D6E-409C-BE32-E72D297353CC}">
              <c16:uniqueId val="{00000002-6AF1-446F-B8C0-DD5FFE4A519F}"/>
            </c:ext>
          </c:extLst>
        </c:ser>
        <c:ser>
          <c:idx val="2"/>
          <c:order val="1"/>
          <c:tx>
            <c:strRef>
              <c:f>'GRAF-1-MZDY-odvětví'!$A$21</c:f>
              <c:strCache>
                <c:ptCount val="1"/>
                <c:pt idx="0">
                  <c:v>Obchod, doprava a skladování</c:v>
                </c:pt>
              </c:strCache>
            </c:strRef>
          </c:tx>
          <c:spPr>
            <a:ln w="12700" cap="rnd">
              <a:solidFill>
                <a:srgbClr val="0071BC"/>
              </a:solidFill>
              <a:prstDash val="sysDash"/>
              <a:round/>
            </a:ln>
            <a:effectLst/>
          </c:spPr>
          <c:marker>
            <c:symbol val="none"/>
          </c:marker>
          <c:cat>
            <c:numRef>
              <c:f>'GRAF-1-MZDY-odvětví'!$B$19:$O$19</c:f>
              <c:numCache>
                <c:formatCode>General</c:formatCode>
                <c:ptCount val="14"/>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numCache>
            </c:numRef>
          </c:cat>
          <c:val>
            <c:numRef>
              <c:f>'GRAF-1-MZDY-odvětví'!$B$21:$O$21</c:f>
              <c:numCache>
                <c:formatCode>0.0</c:formatCode>
                <c:ptCount val="14"/>
                <c:pt idx="0">
                  <c:v>4.622372284546671</c:v>
                </c:pt>
                <c:pt idx="1">
                  <c:v>6.5247892629405584</c:v>
                </c:pt>
                <c:pt idx="2">
                  <c:v>8.1362607820574908</c:v>
                </c:pt>
                <c:pt idx="3">
                  <c:v>7.8488807830549945</c:v>
                </c:pt>
                <c:pt idx="4">
                  <c:v>1.0436648998635008</c:v>
                </c:pt>
                <c:pt idx="5">
                  <c:v>2.1038226550916335</c:v>
                </c:pt>
                <c:pt idx="6">
                  <c:v>2.2757503036991267</c:v>
                </c:pt>
                <c:pt idx="7">
                  <c:v>1.827904251103817</c:v>
                </c:pt>
                <c:pt idx="8">
                  <c:v>-0.38551620062959557</c:v>
                </c:pt>
                <c:pt idx="9">
                  <c:v>2.8669791471964743</c:v>
                </c:pt>
                <c:pt idx="10">
                  <c:v>3.8989117313204815</c:v>
                </c:pt>
                <c:pt idx="11">
                  <c:v>4.7435586337706468</c:v>
                </c:pt>
                <c:pt idx="12">
                  <c:v>7.0282451975283635</c:v>
                </c:pt>
                <c:pt idx="13">
                  <c:v>6.8963904094297135</c:v>
                </c:pt>
              </c:numCache>
            </c:numRef>
          </c:val>
          <c:smooth val="0"/>
          <c:extLst>
            <c:ext xmlns:c16="http://schemas.microsoft.com/office/drawing/2014/chart" uri="{C3380CC4-5D6E-409C-BE32-E72D297353CC}">
              <c16:uniqueId val="{00000003-6AF1-446F-B8C0-DD5FFE4A519F}"/>
            </c:ext>
          </c:extLst>
        </c:ser>
        <c:ser>
          <c:idx val="4"/>
          <c:order val="2"/>
          <c:tx>
            <c:strRef>
              <c:f>'GRAF-1-MZDY-odvětví'!$A$22</c:f>
              <c:strCache>
                <c:ptCount val="1"/>
                <c:pt idx="0">
                  <c:v>Informační a komunikační činnosti</c:v>
                </c:pt>
              </c:strCache>
            </c:strRef>
          </c:tx>
          <c:spPr>
            <a:ln w="15875" cap="rnd">
              <a:noFill/>
              <a:prstDash val="sysDash"/>
              <a:round/>
            </a:ln>
            <a:effectLst/>
          </c:spPr>
          <c:marker>
            <c:symbol val="diamond"/>
            <c:size val="6"/>
            <c:spPr>
              <a:solidFill>
                <a:srgbClr val="009E47"/>
              </a:solidFill>
              <a:ln w="9525">
                <a:noFill/>
              </a:ln>
              <a:effectLst/>
            </c:spPr>
          </c:marker>
          <c:dPt>
            <c:idx val="6"/>
            <c:marker>
              <c:symbol val="diamond"/>
              <c:size val="6"/>
              <c:spPr>
                <a:solidFill>
                  <a:srgbClr val="009E47"/>
                </a:solidFill>
                <a:ln w="9525">
                  <a:noFill/>
                </a:ln>
                <a:effectLst/>
              </c:spPr>
            </c:marker>
            <c:bubble3D val="0"/>
            <c:extLst>
              <c:ext xmlns:c16="http://schemas.microsoft.com/office/drawing/2014/chart" uri="{C3380CC4-5D6E-409C-BE32-E72D297353CC}">
                <c16:uniqueId val="{00000004-6AF1-446F-B8C0-DD5FFE4A519F}"/>
              </c:ext>
            </c:extLst>
          </c:dPt>
          <c:cat>
            <c:numRef>
              <c:f>'GRAF-1-MZDY-odvětví'!$B$19:$O$19</c:f>
              <c:numCache>
                <c:formatCode>General</c:formatCode>
                <c:ptCount val="14"/>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numCache>
            </c:numRef>
          </c:cat>
          <c:val>
            <c:numRef>
              <c:f>'GRAF-1-MZDY-odvětví'!$B$22:$O$22</c:f>
              <c:numCache>
                <c:formatCode>0.0</c:formatCode>
                <c:ptCount val="14"/>
                <c:pt idx="0">
                  <c:v>6.7247820672478298</c:v>
                </c:pt>
                <c:pt idx="1">
                  <c:v>7.1537563952966536</c:v>
                </c:pt>
                <c:pt idx="2">
                  <c:v>6.5700564025241448</c:v>
                </c:pt>
                <c:pt idx="3">
                  <c:v>9.5186941598763326</c:v>
                </c:pt>
                <c:pt idx="4">
                  <c:v>3.0693779904306382</c:v>
                </c:pt>
                <c:pt idx="5">
                  <c:v>1.6479818025671307</c:v>
                </c:pt>
                <c:pt idx="6">
                  <c:v>3.5233941497499615</c:v>
                </c:pt>
                <c:pt idx="7">
                  <c:v>2.9027704252690967</c:v>
                </c:pt>
                <c:pt idx="8">
                  <c:v>-1.0589042270427882</c:v>
                </c:pt>
                <c:pt idx="9">
                  <c:v>3.7133324667446601</c:v>
                </c:pt>
                <c:pt idx="10">
                  <c:v>2.3625501336898509</c:v>
                </c:pt>
                <c:pt idx="11">
                  <c:v>2.3325102544742009</c:v>
                </c:pt>
                <c:pt idx="12">
                  <c:v>5.3204642444063381</c:v>
                </c:pt>
                <c:pt idx="13">
                  <c:v>5.1331086454349304</c:v>
                </c:pt>
              </c:numCache>
            </c:numRef>
          </c:val>
          <c:smooth val="0"/>
          <c:extLst>
            <c:ext xmlns:c16="http://schemas.microsoft.com/office/drawing/2014/chart" uri="{C3380CC4-5D6E-409C-BE32-E72D297353CC}">
              <c16:uniqueId val="{00000005-6AF1-446F-B8C0-DD5FFE4A519F}"/>
            </c:ext>
          </c:extLst>
        </c:ser>
        <c:ser>
          <c:idx val="6"/>
          <c:order val="3"/>
          <c:tx>
            <c:strRef>
              <c:f>'GRAF-1-MZDY-odvětví'!$A$23</c:f>
              <c:strCache>
                <c:ptCount val="1"/>
                <c:pt idx="0">
                  <c:v>Ubytování,strav.,pohost.; Admin.a podp.čin.</c:v>
                </c:pt>
              </c:strCache>
            </c:strRef>
          </c:tx>
          <c:spPr>
            <a:ln w="15875" cap="rnd">
              <a:noFill/>
              <a:prstDash val="sysDash"/>
              <a:round/>
            </a:ln>
            <a:effectLst/>
          </c:spPr>
          <c:marker>
            <c:symbol val="diamond"/>
            <c:size val="6"/>
            <c:spPr>
              <a:solidFill>
                <a:schemeClr val="bg1"/>
              </a:solidFill>
              <a:ln w="9525">
                <a:solidFill>
                  <a:srgbClr val="009E47"/>
                </a:solidFill>
              </a:ln>
              <a:effectLst/>
            </c:spPr>
          </c:marker>
          <c:cat>
            <c:numRef>
              <c:f>'GRAF-1-MZDY-odvětví'!$B$19:$O$19</c:f>
              <c:numCache>
                <c:formatCode>General</c:formatCode>
                <c:ptCount val="14"/>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numCache>
            </c:numRef>
          </c:cat>
          <c:val>
            <c:numRef>
              <c:f>'GRAF-1-MZDY-odvětví'!$B$23:$O$23</c:f>
              <c:numCache>
                <c:formatCode>0.0</c:formatCode>
                <c:ptCount val="14"/>
                <c:pt idx="0">
                  <c:v>4.5878444896297879</c:v>
                </c:pt>
                <c:pt idx="1">
                  <c:v>8.9752885765557551</c:v>
                </c:pt>
                <c:pt idx="2">
                  <c:v>6.2490637080383777</c:v>
                </c:pt>
                <c:pt idx="3">
                  <c:v>1.377893445022238</c:v>
                </c:pt>
                <c:pt idx="4">
                  <c:v>0.31218464663749046</c:v>
                </c:pt>
                <c:pt idx="5">
                  <c:v>3.5659714791947295</c:v>
                </c:pt>
                <c:pt idx="6">
                  <c:v>2.2191120416576524</c:v>
                </c:pt>
                <c:pt idx="7">
                  <c:v>2.2599086458347699</c:v>
                </c:pt>
                <c:pt idx="8">
                  <c:v>1.0704380566213274</c:v>
                </c:pt>
                <c:pt idx="9">
                  <c:v>2.3397413989163027</c:v>
                </c:pt>
                <c:pt idx="10">
                  <c:v>3.7989557205617075</c:v>
                </c:pt>
                <c:pt idx="11">
                  <c:v>5.82739480482131</c:v>
                </c:pt>
                <c:pt idx="12">
                  <c:v>7.3400814320467447</c:v>
                </c:pt>
                <c:pt idx="13">
                  <c:v>6.7247355853262007</c:v>
                </c:pt>
              </c:numCache>
            </c:numRef>
          </c:val>
          <c:smooth val="0"/>
          <c:extLst>
            <c:ext xmlns:c16="http://schemas.microsoft.com/office/drawing/2014/chart" uri="{C3380CC4-5D6E-409C-BE32-E72D297353CC}">
              <c16:uniqueId val="{00000006-6AF1-446F-B8C0-DD5FFE4A519F}"/>
            </c:ext>
          </c:extLst>
        </c:ser>
        <c:ser>
          <c:idx val="7"/>
          <c:order val="4"/>
          <c:tx>
            <c:strRef>
              <c:f>'GRAF-1-MZDY-odvětví'!$A$24</c:f>
              <c:strCache>
                <c:ptCount val="1"/>
                <c:pt idx="0">
                  <c:v>Odvětví s převahou veř. sektoru (O až R)</c:v>
                </c:pt>
              </c:strCache>
            </c:strRef>
          </c:tx>
          <c:spPr>
            <a:ln w="12700" cap="rnd">
              <a:solidFill>
                <a:schemeClr val="accent6">
                  <a:lumMod val="75000"/>
                </a:schemeClr>
              </a:solidFill>
              <a:prstDash val="dashDot"/>
              <a:round/>
            </a:ln>
            <a:effectLst/>
          </c:spPr>
          <c:marker>
            <c:symbol val="none"/>
          </c:marker>
          <c:cat>
            <c:numRef>
              <c:f>'GRAF-1-MZDY-odvětví'!$B$19:$O$19</c:f>
              <c:numCache>
                <c:formatCode>General</c:formatCode>
                <c:ptCount val="14"/>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numCache>
            </c:numRef>
          </c:cat>
          <c:val>
            <c:numRef>
              <c:f>'GRAF-1-MZDY-odvětví'!$B$24:$O$24</c:f>
              <c:numCache>
                <c:formatCode>0.0</c:formatCode>
                <c:ptCount val="14"/>
                <c:pt idx="0">
                  <c:v>5.7448429075864311</c:v>
                </c:pt>
                <c:pt idx="1">
                  <c:v>6.2139886096904462</c:v>
                </c:pt>
                <c:pt idx="2">
                  <c:v>6.5213266053676335</c:v>
                </c:pt>
                <c:pt idx="3">
                  <c:v>4.5033471199856194</c:v>
                </c:pt>
                <c:pt idx="4">
                  <c:v>5.6068124661603491</c:v>
                </c:pt>
                <c:pt idx="5">
                  <c:v>9.2548488337286017E-2</c:v>
                </c:pt>
                <c:pt idx="6">
                  <c:v>1.3745128342853405</c:v>
                </c:pt>
                <c:pt idx="7">
                  <c:v>1.9623700739873584</c:v>
                </c:pt>
                <c:pt idx="8">
                  <c:v>0.61373585270925446</c:v>
                </c:pt>
                <c:pt idx="9">
                  <c:v>2.5772633649077363</c:v>
                </c:pt>
                <c:pt idx="10">
                  <c:v>3.7559457553514335</c:v>
                </c:pt>
                <c:pt idx="11">
                  <c:v>4.9014309200953363</c:v>
                </c:pt>
                <c:pt idx="12">
                  <c:v>7.9550010446935744</c:v>
                </c:pt>
                <c:pt idx="13">
                  <c:v>9.6886215143706664</c:v>
                </c:pt>
              </c:numCache>
            </c:numRef>
          </c:val>
          <c:smooth val="0"/>
          <c:extLst>
            <c:ext xmlns:c16="http://schemas.microsoft.com/office/drawing/2014/chart" uri="{C3380CC4-5D6E-409C-BE32-E72D297353CC}">
              <c16:uniqueId val="{00000007-6AF1-446F-B8C0-DD5FFE4A519F}"/>
            </c:ext>
          </c:extLst>
        </c:ser>
        <c:dLbls>
          <c:showLegendKey val="0"/>
          <c:showVal val="0"/>
          <c:showCatName val="0"/>
          <c:showSerName val="0"/>
          <c:showPercent val="0"/>
          <c:showBubbleSize val="0"/>
        </c:dLbls>
        <c:marker val="1"/>
        <c:smooth val="0"/>
        <c:axId val="39484416"/>
        <c:axId val="39502592"/>
      </c:lineChart>
      <c:catAx>
        <c:axId val="39484416"/>
        <c:scaling>
          <c:orientation val="minMax"/>
        </c:scaling>
        <c:delete val="0"/>
        <c:axPos val="b"/>
        <c:numFmt formatCode="General" sourceLinked="1"/>
        <c:majorTickMark val="none"/>
        <c:minorTickMark val="none"/>
        <c:tickLblPos val="low"/>
        <c:spPr>
          <a:noFill/>
          <a:ln w="6350" cap="flat" cmpd="sng" algn="ctr">
            <a:solidFill>
              <a:schemeClr val="tx1">
                <a:lumMod val="95000"/>
                <a:lumOff val="5000"/>
              </a:schemeClr>
            </a:solidFill>
            <a:round/>
          </a:ln>
          <a:effectLst/>
        </c:spPr>
        <c:txPr>
          <a:bodyPr rot="-60000000" spcFirstLastPara="1" vertOverflow="ellipsis" vert="horz" wrap="square" anchor="ctr" anchorCtr="1"/>
          <a:lstStyle/>
          <a:p>
            <a:pPr>
              <a:defRPr sz="800" b="0" i="0" u="none" strike="noStrike" kern="1200" baseline="0">
                <a:solidFill>
                  <a:schemeClr val="tx1">
                    <a:lumMod val="95000"/>
                    <a:lumOff val="5000"/>
                  </a:schemeClr>
                </a:solidFill>
                <a:latin typeface="Arial" panose="020B0604020202020204" pitchFamily="34" charset="0"/>
                <a:ea typeface="+mn-ea"/>
                <a:cs typeface="Arial" panose="020B0604020202020204" pitchFamily="34" charset="0"/>
              </a:defRPr>
            </a:pPr>
            <a:endParaRPr lang="cs-CZ"/>
          </a:p>
        </c:txPr>
        <c:crossAx val="39502592"/>
        <c:crosses val="autoZero"/>
        <c:auto val="1"/>
        <c:lblAlgn val="ctr"/>
        <c:lblOffset val="0"/>
        <c:noMultiLvlLbl val="0"/>
      </c:catAx>
      <c:valAx>
        <c:axId val="39502592"/>
        <c:scaling>
          <c:orientation val="minMax"/>
          <c:max val="10"/>
          <c:min val="-2"/>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95000"/>
                    <a:lumOff val="5000"/>
                  </a:schemeClr>
                </a:solidFill>
                <a:latin typeface="Arial" panose="020B0604020202020204" pitchFamily="34" charset="0"/>
                <a:ea typeface="+mn-ea"/>
                <a:cs typeface="Arial" panose="020B0604020202020204" pitchFamily="34" charset="0"/>
              </a:defRPr>
            </a:pPr>
            <a:endParaRPr lang="cs-CZ"/>
          </a:p>
        </c:txPr>
        <c:crossAx val="39484416"/>
        <c:crosses val="autoZero"/>
        <c:crossBetween val="between"/>
        <c:majorUnit val="1"/>
      </c:valAx>
      <c:spPr>
        <a:noFill/>
        <a:ln w="6350">
          <a:solidFill>
            <a:schemeClr val="tx1">
              <a:lumMod val="95000"/>
              <a:lumOff val="5000"/>
            </a:schemeClr>
          </a:solidFill>
        </a:ln>
        <a:effectLst/>
      </c:spPr>
    </c:plotArea>
    <c:legend>
      <c:legendPos val="b"/>
      <c:layout>
        <c:manualLayout>
          <c:xMode val="edge"/>
          <c:yMode val="edge"/>
          <c:x val="9.4861745922636791E-3"/>
          <c:y val="0.86740341321014025"/>
          <c:w val="0.98039368992818798"/>
          <c:h val="0.12568832774645405"/>
        </c:manualLayout>
      </c:layout>
      <c:overlay val="0"/>
      <c:spPr>
        <a:noFill/>
        <a:ln w="6350">
          <a:solidFill>
            <a:schemeClr val="tx1">
              <a:lumMod val="95000"/>
              <a:lumOff val="5000"/>
            </a:schemeClr>
          </a:solidFill>
        </a:ln>
        <a:effectLst/>
      </c:spPr>
      <c:txPr>
        <a:bodyPr rot="0" spcFirstLastPara="1" vertOverflow="ellipsis" vert="horz" wrap="square" anchor="ctr" anchorCtr="1"/>
        <a:lstStyle/>
        <a:p>
          <a:pPr>
            <a:defRPr sz="750" b="0" i="0" u="none" strike="noStrike" kern="1200" baseline="0">
              <a:solidFill>
                <a:schemeClr val="tx1">
                  <a:lumMod val="95000"/>
                  <a:lumOff val="5000"/>
                </a:schemeClr>
              </a:solidFill>
              <a:latin typeface="Arial" panose="020B0604020202020204" pitchFamily="34" charset="0"/>
              <a:ea typeface="+mn-ea"/>
              <a:cs typeface="Arial" panose="020B0604020202020204" pitchFamily="34" charset="0"/>
            </a:defRPr>
          </a:pPr>
          <a:endParaRPr lang="cs-CZ"/>
        </a:p>
      </c:txPr>
    </c:legend>
    <c:plotVisOnly val="1"/>
    <c:dispBlanksAs val="gap"/>
    <c:showDLblsOverMax val="0"/>
  </c:chart>
  <c:spPr>
    <a:solidFill>
      <a:schemeClr val="bg1"/>
    </a:solidFill>
    <a:ln w="9525" cap="flat" cmpd="sng" algn="ctr">
      <a:noFill/>
      <a:round/>
    </a:ln>
    <a:effectLst/>
  </c:spPr>
  <c:txPr>
    <a:bodyPr/>
    <a:lstStyle/>
    <a:p>
      <a:pPr>
        <a:defRPr/>
      </a:pPr>
      <a:endParaRPr lang="cs-CZ"/>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3836335505582157E-2"/>
          <c:y val="2.4179620034542316E-2"/>
          <c:w val="0.93333328006909433"/>
          <c:h val="0.81655528810194067"/>
        </c:manualLayout>
      </c:layout>
      <c:barChart>
        <c:barDir val="col"/>
        <c:grouping val="clustered"/>
        <c:varyColors val="0"/>
        <c:ser>
          <c:idx val="0"/>
          <c:order val="0"/>
          <c:tx>
            <c:strRef>
              <c:f>'GRAF-2-REGIONY'!$A$75</c:f>
              <c:strCache>
                <c:ptCount val="1"/>
                <c:pt idx="0">
                  <c:v>ČR</c:v>
                </c:pt>
              </c:strCache>
            </c:strRef>
          </c:tx>
          <c:spPr>
            <a:solidFill>
              <a:schemeClr val="bg1">
                <a:lumMod val="95000"/>
              </a:schemeClr>
            </a:solidFill>
            <a:ln w="19050">
              <a:noFill/>
              <a:prstDash val="solid"/>
            </a:ln>
            <a:effectLst/>
          </c:spPr>
          <c:invertIfNegative val="0"/>
          <c:cat>
            <c:numRef>
              <c:f>'GRAF-2-REGIONY'!$B$74:$O$74</c:f>
              <c:numCache>
                <c:formatCode>General</c:formatCode>
                <c:ptCount val="14"/>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numCache>
            </c:numRef>
          </c:cat>
          <c:val>
            <c:numRef>
              <c:f>'GRAF-2-REGIONY'!$B$75:$O$75</c:f>
              <c:numCache>
                <c:formatCode>0.0</c:formatCode>
                <c:ptCount val="14"/>
                <c:pt idx="0">
                  <c:v>5.0269094240238132</c:v>
                </c:pt>
                <c:pt idx="1">
                  <c:v>6.5525512429132107</c:v>
                </c:pt>
                <c:pt idx="2">
                  <c:v>7.2188683106517999</c:v>
                </c:pt>
                <c:pt idx="3">
                  <c:v>7.8016891730686666</c:v>
                </c:pt>
                <c:pt idx="4">
                  <c:v>3.3286118980169874</c:v>
                </c:pt>
                <c:pt idx="5">
                  <c:v>2.2275531185743631</c:v>
                </c:pt>
                <c:pt idx="6">
                  <c:v>2.4765336909151898</c:v>
                </c:pt>
                <c:pt idx="7">
                  <c:v>2.5025557145778095</c:v>
                </c:pt>
                <c:pt idx="8">
                  <c:v>-0.12765787688992702</c:v>
                </c:pt>
                <c:pt idx="9">
                  <c:v>2.9279009386858519</c:v>
                </c:pt>
                <c:pt idx="10">
                  <c:v>3.1938838869916282</c:v>
                </c:pt>
                <c:pt idx="11">
                  <c:v>4.4112669700274552</c:v>
                </c:pt>
                <c:pt idx="12">
                  <c:v>6.7497478749459816</c:v>
                </c:pt>
                <c:pt idx="13">
                  <c:v>7.5814832309872457</c:v>
                </c:pt>
              </c:numCache>
            </c:numRef>
          </c:val>
          <c:extLst>
            <c:ext xmlns:c16="http://schemas.microsoft.com/office/drawing/2014/chart" uri="{C3380CC4-5D6E-409C-BE32-E72D297353CC}">
              <c16:uniqueId val="{00000000-23D8-4DCD-856F-9B14AA78371F}"/>
            </c:ext>
          </c:extLst>
        </c:ser>
        <c:dLbls>
          <c:showLegendKey val="0"/>
          <c:showVal val="0"/>
          <c:showCatName val="0"/>
          <c:showSerName val="0"/>
          <c:showPercent val="0"/>
          <c:showBubbleSize val="0"/>
        </c:dLbls>
        <c:gapWidth val="150"/>
        <c:axId val="103772544"/>
        <c:axId val="103774464"/>
      </c:barChart>
      <c:lineChart>
        <c:grouping val="standard"/>
        <c:varyColors val="0"/>
        <c:ser>
          <c:idx val="2"/>
          <c:order val="1"/>
          <c:tx>
            <c:strRef>
              <c:f>'GRAF-2-REGIONY'!$A$76</c:f>
              <c:strCache>
                <c:ptCount val="1"/>
                <c:pt idx="0">
                  <c:v>Hlavní město Praha</c:v>
                </c:pt>
              </c:strCache>
            </c:strRef>
          </c:tx>
          <c:spPr>
            <a:ln w="12700" cap="rnd">
              <a:solidFill>
                <a:srgbClr val="0071BC"/>
              </a:solidFill>
              <a:prstDash val="solid"/>
              <a:round/>
            </a:ln>
            <a:effectLst/>
          </c:spPr>
          <c:marker>
            <c:symbol val="none"/>
          </c:marker>
          <c:cat>
            <c:numRef>
              <c:f>'GRAF-2-REGIONY'!$B$74:$O$74</c:f>
              <c:numCache>
                <c:formatCode>General</c:formatCode>
                <c:ptCount val="14"/>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numCache>
            </c:numRef>
          </c:cat>
          <c:val>
            <c:numRef>
              <c:f>'GRAF-2-REGIONY'!$B$76:$O$76</c:f>
              <c:numCache>
                <c:formatCode>0.0</c:formatCode>
                <c:ptCount val="14"/>
                <c:pt idx="0">
                  <c:v>5.3532820202369749</c:v>
                </c:pt>
                <c:pt idx="1">
                  <c:v>6.9775077983910592</c:v>
                </c:pt>
                <c:pt idx="2">
                  <c:v>6.3612645794966198</c:v>
                </c:pt>
                <c:pt idx="3">
                  <c:v>9.0613952817257086</c:v>
                </c:pt>
                <c:pt idx="4">
                  <c:v>3.4100681352120148</c:v>
                </c:pt>
                <c:pt idx="5">
                  <c:v>-0.17591556053095303</c:v>
                </c:pt>
                <c:pt idx="6">
                  <c:v>5.1618071131047714</c:v>
                </c:pt>
                <c:pt idx="7">
                  <c:v>1.4350568233752767</c:v>
                </c:pt>
                <c:pt idx="8">
                  <c:v>-1.7601826264568103</c:v>
                </c:pt>
                <c:pt idx="9">
                  <c:v>2.308444933651316</c:v>
                </c:pt>
                <c:pt idx="10">
                  <c:v>3.0274050387017866</c:v>
                </c:pt>
                <c:pt idx="11">
                  <c:v>3.6694320357370884</c:v>
                </c:pt>
                <c:pt idx="12">
                  <c:v>5.4562242927893863</c:v>
                </c:pt>
                <c:pt idx="13">
                  <c:v>6.1609488179575038</c:v>
                </c:pt>
              </c:numCache>
            </c:numRef>
          </c:val>
          <c:smooth val="0"/>
          <c:extLst>
            <c:ext xmlns:c16="http://schemas.microsoft.com/office/drawing/2014/chart" uri="{C3380CC4-5D6E-409C-BE32-E72D297353CC}">
              <c16:uniqueId val="{00000001-23D8-4DCD-856F-9B14AA78371F}"/>
            </c:ext>
          </c:extLst>
        </c:ser>
        <c:ser>
          <c:idx val="4"/>
          <c:order val="2"/>
          <c:tx>
            <c:strRef>
              <c:f>'GRAF-2-REGIONY'!$A$77</c:f>
              <c:strCache>
                <c:ptCount val="1"/>
                <c:pt idx="0">
                  <c:v>Středočeský kraj</c:v>
                </c:pt>
              </c:strCache>
            </c:strRef>
          </c:tx>
          <c:spPr>
            <a:ln w="15875" cap="rnd">
              <a:solidFill>
                <a:srgbClr val="00B050"/>
              </a:solidFill>
              <a:prstDash val="solid"/>
              <a:round/>
            </a:ln>
            <a:effectLst/>
          </c:spPr>
          <c:marker>
            <c:symbol val="none"/>
          </c:marker>
          <c:dPt>
            <c:idx val="6"/>
            <c:marker>
              <c:symbol val="none"/>
            </c:marker>
            <c:bubble3D val="0"/>
            <c:extLst>
              <c:ext xmlns:c16="http://schemas.microsoft.com/office/drawing/2014/chart" uri="{C3380CC4-5D6E-409C-BE32-E72D297353CC}">
                <c16:uniqueId val="{00000002-23D8-4DCD-856F-9B14AA78371F}"/>
              </c:ext>
            </c:extLst>
          </c:dPt>
          <c:cat>
            <c:numRef>
              <c:f>'GRAF-2-REGIONY'!$B$74:$O$74</c:f>
              <c:numCache>
                <c:formatCode>General</c:formatCode>
                <c:ptCount val="14"/>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numCache>
            </c:numRef>
          </c:cat>
          <c:val>
            <c:numRef>
              <c:f>'GRAF-2-REGIONY'!$B$77:$O$77</c:f>
              <c:numCache>
                <c:formatCode>0.0</c:formatCode>
                <c:ptCount val="14"/>
                <c:pt idx="0">
                  <c:v>4.4202434336963563</c:v>
                </c:pt>
                <c:pt idx="1">
                  <c:v>6.653653095370899</c:v>
                </c:pt>
                <c:pt idx="2">
                  <c:v>8.0479004340323144</c:v>
                </c:pt>
                <c:pt idx="3">
                  <c:v>6.6305294743974343</c:v>
                </c:pt>
                <c:pt idx="4">
                  <c:v>2.9684095860566373</c:v>
                </c:pt>
                <c:pt idx="5">
                  <c:v>2.5610508683769666</c:v>
                </c:pt>
                <c:pt idx="6">
                  <c:v>4.0185670692396798</c:v>
                </c:pt>
                <c:pt idx="7">
                  <c:v>2.3221221386662307</c:v>
                </c:pt>
                <c:pt idx="8">
                  <c:v>0.97318688418673105</c:v>
                </c:pt>
                <c:pt idx="9">
                  <c:v>3.0033993201359834</c:v>
                </c:pt>
                <c:pt idx="10">
                  <c:v>3.3817362944556635</c:v>
                </c:pt>
                <c:pt idx="11">
                  <c:v>4.6118601419611736</c:v>
                </c:pt>
                <c:pt idx="12">
                  <c:v>7.5354514449829537</c:v>
                </c:pt>
                <c:pt idx="13">
                  <c:v>8.4729919209454607</c:v>
                </c:pt>
              </c:numCache>
            </c:numRef>
          </c:val>
          <c:smooth val="0"/>
          <c:extLst>
            <c:ext xmlns:c16="http://schemas.microsoft.com/office/drawing/2014/chart" uri="{C3380CC4-5D6E-409C-BE32-E72D297353CC}">
              <c16:uniqueId val="{00000003-23D8-4DCD-856F-9B14AA78371F}"/>
            </c:ext>
          </c:extLst>
        </c:ser>
        <c:ser>
          <c:idx val="7"/>
          <c:order val="3"/>
          <c:tx>
            <c:strRef>
              <c:f>'GRAF-2-REGIONY'!$A$79</c:f>
              <c:strCache>
                <c:ptCount val="1"/>
                <c:pt idx="0">
                  <c:v>Moravskoslezský</c:v>
                </c:pt>
              </c:strCache>
            </c:strRef>
          </c:tx>
          <c:spPr>
            <a:ln w="12700" cap="rnd">
              <a:solidFill>
                <a:schemeClr val="accent6">
                  <a:lumMod val="75000"/>
                </a:schemeClr>
              </a:solidFill>
              <a:prstDash val="solid"/>
              <a:round/>
            </a:ln>
            <a:effectLst/>
          </c:spPr>
          <c:marker>
            <c:symbol val="none"/>
          </c:marker>
          <c:cat>
            <c:numRef>
              <c:f>'GRAF-2-REGIONY'!$B$74:$O$74</c:f>
              <c:numCache>
                <c:formatCode>General</c:formatCode>
                <c:ptCount val="14"/>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numCache>
            </c:numRef>
          </c:cat>
          <c:val>
            <c:numRef>
              <c:f>'GRAF-2-REGIONY'!$B$79:$O$79</c:f>
              <c:numCache>
                <c:formatCode>0.0</c:formatCode>
                <c:ptCount val="14"/>
                <c:pt idx="0">
                  <c:v>5.0225292880744945</c:v>
                </c:pt>
                <c:pt idx="1">
                  <c:v>5.840626966420686</c:v>
                </c:pt>
                <c:pt idx="2">
                  <c:v>7.1559831369581843</c:v>
                </c:pt>
                <c:pt idx="3">
                  <c:v>6.7588015736911018</c:v>
                </c:pt>
                <c:pt idx="4">
                  <c:v>2.7874893697439376</c:v>
                </c:pt>
                <c:pt idx="5">
                  <c:v>2.7256848685420039</c:v>
                </c:pt>
                <c:pt idx="6">
                  <c:v>1.0917714439124779</c:v>
                </c:pt>
                <c:pt idx="7">
                  <c:v>2.8947018988182265</c:v>
                </c:pt>
                <c:pt idx="8">
                  <c:v>-0.90764399707488508</c:v>
                </c:pt>
                <c:pt idx="9">
                  <c:v>3.1255426289286277</c:v>
                </c:pt>
                <c:pt idx="10">
                  <c:v>2.5719818151203953</c:v>
                </c:pt>
                <c:pt idx="11">
                  <c:v>3.7017277465424456</c:v>
                </c:pt>
                <c:pt idx="12">
                  <c:v>6.3556135976888584</c:v>
                </c:pt>
                <c:pt idx="13">
                  <c:v>7.1665116279069849</c:v>
                </c:pt>
              </c:numCache>
            </c:numRef>
          </c:val>
          <c:smooth val="0"/>
          <c:extLst>
            <c:ext xmlns:c16="http://schemas.microsoft.com/office/drawing/2014/chart" uri="{C3380CC4-5D6E-409C-BE32-E72D297353CC}">
              <c16:uniqueId val="{00000004-23D8-4DCD-856F-9B14AA78371F}"/>
            </c:ext>
          </c:extLst>
        </c:ser>
        <c:dLbls>
          <c:showLegendKey val="0"/>
          <c:showVal val="0"/>
          <c:showCatName val="0"/>
          <c:showSerName val="0"/>
          <c:showPercent val="0"/>
          <c:showBubbleSize val="0"/>
        </c:dLbls>
        <c:marker val="1"/>
        <c:smooth val="0"/>
        <c:axId val="103772544"/>
        <c:axId val="103774464"/>
      </c:lineChart>
      <c:lineChart>
        <c:grouping val="standard"/>
        <c:varyColors val="0"/>
        <c:ser>
          <c:idx val="1"/>
          <c:order val="4"/>
          <c:tx>
            <c:strRef>
              <c:f>'GRAF-2-REGIONY'!$A$80</c:f>
              <c:strCache>
                <c:ptCount val="1"/>
                <c:pt idx="0">
                  <c:v>Mzdová úroveň: Hl. m. Praha (ČR = 100)</c:v>
                </c:pt>
              </c:strCache>
            </c:strRef>
          </c:tx>
          <c:spPr>
            <a:ln w="9525" cap="rnd">
              <a:solidFill>
                <a:schemeClr val="bg1">
                  <a:lumMod val="65000"/>
                </a:schemeClr>
              </a:solidFill>
              <a:prstDash val="sysDot"/>
              <a:round/>
            </a:ln>
            <a:effectLst/>
          </c:spPr>
          <c:marker>
            <c:symbol val="circle"/>
            <c:size val="5"/>
            <c:spPr>
              <a:solidFill>
                <a:schemeClr val="bg2">
                  <a:lumMod val="50000"/>
                </a:schemeClr>
              </a:solidFill>
              <a:ln w="9525">
                <a:noFill/>
              </a:ln>
              <a:effectLst/>
            </c:spPr>
          </c:marker>
          <c:cat>
            <c:numRef>
              <c:f>'GRAF-2-REGIONY'!$B$74:$O$74</c:f>
              <c:numCache>
                <c:formatCode>General</c:formatCode>
                <c:ptCount val="14"/>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numCache>
            </c:numRef>
          </c:cat>
          <c:val>
            <c:numRef>
              <c:f>'GRAF-2-REGIONY'!$B$80:$O$80</c:f>
              <c:numCache>
                <c:formatCode>0.0</c:formatCode>
                <c:ptCount val="14"/>
                <c:pt idx="0">
                  <c:v>132.81726995202791</c:v>
                </c:pt>
                <c:pt idx="1">
                  <c:v>133.34697636345032</c:v>
                </c:pt>
                <c:pt idx="2">
                  <c:v>132.28038364269693</c:v>
                </c:pt>
                <c:pt idx="3">
                  <c:v>133.8261331444759</c:v>
                </c:pt>
                <c:pt idx="4">
                  <c:v>133.93163125428376</c:v>
                </c:pt>
                <c:pt idx="5">
                  <c:v>130.782769024472</c:v>
                </c:pt>
                <c:pt idx="6">
                  <c:v>134.2097730525455</c:v>
                </c:pt>
                <c:pt idx="7">
                  <c:v>132.8120636693661</c:v>
                </c:pt>
                <c:pt idx="8">
                  <c:v>130.64110245656082</c:v>
                </c:pt>
                <c:pt idx="9">
                  <c:v>129.85485873952189</c:v>
                </c:pt>
                <c:pt idx="10">
                  <c:v>129.64536873378211</c:v>
                </c:pt>
                <c:pt idx="11">
                  <c:v>128.72424722662441</c:v>
                </c:pt>
                <c:pt idx="12">
                  <c:v>127.16445104258047</c:v>
                </c:pt>
                <c:pt idx="13">
                  <c:v>125.48533793319743</c:v>
                </c:pt>
              </c:numCache>
            </c:numRef>
          </c:val>
          <c:smooth val="0"/>
          <c:extLst>
            <c:ext xmlns:c16="http://schemas.microsoft.com/office/drawing/2014/chart" uri="{C3380CC4-5D6E-409C-BE32-E72D297353CC}">
              <c16:uniqueId val="{00000005-23D8-4DCD-856F-9B14AA78371F}"/>
            </c:ext>
          </c:extLst>
        </c:ser>
        <c:ser>
          <c:idx val="3"/>
          <c:order val="5"/>
          <c:tx>
            <c:strRef>
              <c:f>'GRAF-2-REGIONY'!$A$81</c:f>
              <c:strCache>
                <c:ptCount val="1"/>
                <c:pt idx="0">
                  <c:v>Mzdová úroveň: Karlovar.kraj (ČR = 100)</c:v>
                </c:pt>
              </c:strCache>
            </c:strRef>
          </c:tx>
          <c:spPr>
            <a:ln w="9525" cap="rnd">
              <a:solidFill>
                <a:schemeClr val="bg1">
                  <a:lumMod val="65000"/>
                </a:schemeClr>
              </a:solidFill>
              <a:prstDash val="sysDot"/>
              <a:round/>
            </a:ln>
            <a:effectLst/>
          </c:spPr>
          <c:marker>
            <c:symbol val="circle"/>
            <c:size val="5"/>
            <c:spPr>
              <a:solidFill>
                <a:schemeClr val="bg1"/>
              </a:solidFill>
              <a:ln w="9525">
                <a:solidFill>
                  <a:schemeClr val="bg2">
                    <a:lumMod val="50000"/>
                  </a:schemeClr>
                </a:solidFill>
              </a:ln>
              <a:effectLst/>
            </c:spPr>
          </c:marker>
          <c:cat>
            <c:numRef>
              <c:f>'GRAF-2-REGIONY'!$B$74:$O$74</c:f>
              <c:numCache>
                <c:formatCode>General</c:formatCode>
                <c:ptCount val="14"/>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numCache>
            </c:numRef>
          </c:cat>
          <c:val>
            <c:numRef>
              <c:f>'GRAF-2-REGIONY'!$B$81:$O$81</c:f>
              <c:numCache>
                <c:formatCode>0.0</c:formatCode>
                <c:ptCount val="14"/>
                <c:pt idx="0">
                  <c:v>87.837985172263416</c:v>
                </c:pt>
                <c:pt idx="1">
                  <c:v>87.255704491967663</c:v>
                </c:pt>
                <c:pt idx="2">
                  <c:v>86.496158801355165</c:v>
                </c:pt>
                <c:pt idx="3">
                  <c:v>84.994688385269129</c:v>
                </c:pt>
                <c:pt idx="4">
                  <c:v>86.034955448937637</c:v>
                </c:pt>
                <c:pt idx="5">
                  <c:v>86.171639289306071</c:v>
                </c:pt>
                <c:pt idx="6">
                  <c:v>84.89470455939481</c:v>
                </c:pt>
                <c:pt idx="7">
                  <c:v>84.988231539474214</c:v>
                </c:pt>
                <c:pt idx="8">
                  <c:v>85.364489714399838</c:v>
                </c:pt>
                <c:pt idx="9">
                  <c:v>84.546724619683332</c:v>
                </c:pt>
                <c:pt idx="10">
                  <c:v>84.923470347109912</c:v>
                </c:pt>
                <c:pt idx="11">
                  <c:v>86.500504250108051</c:v>
                </c:pt>
                <c:pt idx="12">
                  <c:v>87.708347391861793</c:v>
                </c:pt>
                <c:pt idx="13">
                  <c:v>87.824996079661275</c:v>
                </c:pt>
              </c:numCache>
            </c:numRef>
          </c:val>
          <c:smooth val="0"/>
          <c:extLst>
            <c:ext xmlns:c16="http://schemas.microsoft.com/office/drawing/2014/chart" uri="{C3380CC4-5D6E-409C-BE32-E72D297353CC}">
              <c16:uniqueId val="{00000006-23D8-4DCD-856F-9B14AA78371F}"/>
            </c:ext>
          </c:extLst>
        </c:ser>
        <c:dLbls>
          <c:showLegendKey val="0"/>
          <c:showVal val="0"/>
          <c:showCatName val="0"/>
          <c:showSerName val="0"/>
          <c:showPercent val="0"/>
          <c:showBubbleSize val="0"/>
        </c:dLbls>
        <c:marker val="1"/>
        <c:smooth val="0"/>
        <c:axId val="103785984"/>
        <c:axId val="103784448"/>
      </c:lineChart>
      <c:catAx>
        <c:axId val="103772544"/>
        <c:scaling>
          <c:orientation val="minMax"/>
        </c:scaling>
        <c:delete val="0"/>
        <c:axPos val="b"/>
        <c:numFmt formatCode="General" sourceLinked="1"/>
        <c:majorTickMark val="none"/>
        <c:minorTickMark val="none"/>
        <c:tickLblPos val="low"/>
        <c:spPr>
          <a:noFill/>
          <a:ln w="6350" cap="flat" cmpd="sng" algn="ctr">
            <a:solidFill>
              <a:schemeClr val="tx1">
                <a:lumMod val="95000"/>
                <a:lumOff val="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cs-CZ"/>
          </a:p>
        </c:txPr>
        <c:crossAx val="103774464"/>
        <c:crosses val="autoZero"/>
        <c:auto val="1"/>
        <c:lblAlgn val="ctr"/>
        <c:lblOffset val="0"/>
        <c:noMultiLvlLbl val="0"/>
      </c:catAx>
      <c:valAx>
        <c:axId val="103774464"/>
        <c:scaling>
          <c:orientation val="minMax"/>
          <c:max val="10"/>
          <c:min val="-2"/>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cs-CZ"/>
          </a:p>
        </c:txPr>
        <c:crossAx val="103772544"/>
        <c:crosses val="autoZero"/>
        <c:crossBetween val="between"/>
        <c:majorUnit val="1"/>
      </c:valAx>
      <c:valAx>
        <c:axId val="103784448"/>
        <c:scaling>
          <c:orientation val="minMax"/>
          <c:max val="140"/>
          <c:min val="80"/>
        </c:scaling>
        <c:delete val="0"/>
        <c:axPos val="r"/>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cs-CZ"/>
          </a:p>
        </c:txPr>
        <c:crossAx val="103785984"/>
        <c:crosses val="max"/>
        <c:crossBetween val="between"/>
      </c:valAx>
      <c:catAx>
        <c:axId val="103785984"/>
        <c:scaling>
          <c:orientation val="minMax"/>
        </c:scaling>
        <c:delete val="1"/>
        <c:axPos val="b"/>
        <c:numFmt formatCode="General" sourceLinked="1"/>
        <c:majorTickMark val="out"/>
        <c:minorTickMark val="none"/>
        <c:tickLblPos val="nextTo"/>
        <c:crossAx val="103784448"/>
        <c:crosses val="autoZero"/>
        <c:auto val="1"/>
        <c:lblAlgn val="ctr"/>
        <c:lblOffset val="100"/>
        <c:noMultiLvlLbl val="0"/>
      </c:catAx>
      <c:spPr>
        <a:noFill/>
        <a:ln w="6350">
          <a:solidFill>
            <a:schemeClr val="tx1">
              <a:lumMod val="95000"/>
              <a:lumOff val="5000"/>
            </a:schemeClr>
          </a:solidFill>
        </a:ln>
        <a:effectLst/>
      </c:spPr>
    </c:plotArea>
    <c:legend>
      <c:legendPos val="b"/>
      <c:layout>
        <c:manualLayout>
          <c:xMode val="edge"/>
          <c:yMode val="edge"/>
          <c:x val="2.2078917306029257E-2"/>
          <c:y val="0.88308949723253505"/>
          <c:w val="0.9475604707248183"/>
          <c:h val="0.10309357703344078"/>
        </c:manualLayout>
      </c:layout>
      <c:overlay val="0"/>
      <c:spPr>
        <a:noFill/>
        <a:ln w="6350">
          <a:solidFill>
            <a:schemeClr val="tx1">
              <a:lumMod val="95000"/>
              <a:lumOff val="5000"/>
            </a:schemeClr>
          </a:solidFill>
        </a:ln>
        <a:effectLst/>
      </c:spPr>
      <c:txPr>
        <a:bodyPr rot="0" spcFirstLastPara="1" vertOverflow="ellipsis" vert="horz" wrap="square" anchor="ctr" anchorCtr="1"/>
        <a:lstStyle/>
        <a:p>
          <a:pPr>
            <a:defRPr sz="75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cs-CZ"/>
        </a:p>
      </c:txPr>
    </c:legend>
    <c:plotVisOnly val="1"/>
    <c:dispBlanksAs val="gap"/>
    <c:showDLblsOverMax val="0"/>
  </c:chart>
  <c:spPr>
    <a:solidFill>
      <a:schemeClr val="bg1"/>
    </a:solidFill>
    <a:ln w="9525" cap="flat" cmpd="sng" algn="ctr">
      <a:noFill/>
      <a:round/>
    </a:ln>
    <a:effectLst/>
  </c:spPr>
  <c:txPr>
    <a:bodyPr/>
    <a:lstStyle/>
    <a:p>
      <a:pPr>
        <a:defRPr/>
      </a:pPr>
      <a:endParaRPr lang="cs-CZ"/>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3836335505582157E-2"/>
          <c:y val="1.8972434145213712E-2"/>
          <c:w val="0.93333328006909433"/>
          <c:h val="0.81655528810194067"/>
        </c:manualLayout>
      </c:layout>
      <c:barChart>
        <c:barDir val="col"/>
        <c:grouping val="clustered"/>
        <c:varyColors val="0"/>
        <c:ser>
          <c:idx val="6"/>
          <c:order val="6"/>
          <c:tx>
            <c:strRef>
              <c:f>'GRAF-3-difenciace'!$H$32</c:f>
              <c:strCache>
                <c:ptCount val="1"/>
                <c:pt idx="0">
                  <c:v>Variační koef. (pr. osa)</c:v>
                </c:pt>
              </c:strCache>
            </c:strRef>
          </c:tx>
          <c:spPr>
            <a:solidFill>
              <a:srgbClr val="ECEADC"/>
            </a:solidFill>
            <a:ln>
              <a:noFill/>
            </a:ln>
            <a:effectLst/>
          </c:spPr>
          <c:invertIfNegative val="0"/>
          <c:cat>
            <c:numRef>
              <c:f>'GRAF-3-difenciace'!$A$33:$A$39</c:f>
              <c:numCache>
                <c:formatCode>General</c:formatCode>
                <c:ptCount val="7"/>
                <c:pt idx="0">
                  <c:v>2012</c:v>
                </c:pt>
                <c:pt idx="1">
                  <c:v>2013</c:v>
                </c:pt>
                <c:pt idx="2">
                  <c:v>2014</c:v>
                </c:pt>
                <c:pt idx="3">
                  <c:v>2015</c:v>
                </c:pt>
                <c:pt idx="4">
                  <c:v>2016</c:v>
                </c:pt>
                <c:pt idx="5">
                  <c:v>2017</c:v>
                </c:pt>
                <c:pt idx="6">
                  <c:v>2018</c:v>
                </c:pt>
              </c:numCache>
            </c:numRef>
          </c:cat>
          <c:val>
            <c:numRef>
              <c:f>'GRAF-3-difenciace'!$H$33:$H$39</c:f>
              <c:numCache>
                <c:formatCode>0.00_ ;[Red]\-0.00\ </c:formatCode>
                <c:ptCount val="7"/>
                <c:pt idx="0">
                  <c:v>86.74</c:v>
                </c:pt>
                <c:pt idx="1">
                  <c:v>79.97</c:v>
                </c:pt>
                <c:pt idx="2">
                  <c:v>80.42</c:v>
                </c:pt>
                <c:pt idx="3">
                  <c:v>78.92</c:v>
                </c:pt>
                <c:pt idx="4">
                  <c:v>76.52</c:v>
                </c:pt>
                <c:pt idx="5">
                  <c:v>74.430000000000007</c:v>
                </c:pt>
                <c:pt idx="6">
                  <c:v>72.850000000000009</c:v>
                </c:pt>
              </c:numCache>
            </c:numRef>
          </c:val>
          <c:extLst>
            <c:ext xmlns:c16="http://schemas.microsoft.com/office/drawing/2014/chart" uri="{C3380CC4-5D6E-409C-BE32-E72D297353CC}">
              <c16:uniqueId val="{00000000-3F89-4CCD-B30F-72B9D38F994B}"/>
            </c:ext>
          </c:extLst>
        </c:ser>
        <c:dLbls>
          <c:showLegendKey val="0"/>
          <c:showVal val="0"/>
          <c:showCatName val="0"/>
          <c:showSerName val="0"/>
          <c:showPercent val="0"/>
          <c:showBubbleSize val="0"/>
        </c:dLbls>
        <c:gapWidth val="150"/>
        <c:axId val="105057280"/>
        <c:axId val="105055744"/>
      </c:barChart>
      <c:lineChart>
        <c:grouping val="standard"/>
        <c:varyColors val="0"/>
        <c:ser>
          <c:idx val="0"/>
          <c:order val="0"/>
          <c:tx>
            <c:strRef>
              <c:f>'GRAF-3-difenciace'!$B$32</c:f>
              <c:strCache>
                <c:ptCount val="1"/>
                <c:pt idx="0">
                  <c:v>5. percentil</c:v>
                </c:pt>
              </c:strCache>
            </c:strRef>
          </c:tx>
          <c:spPr>
            <a:ln w="15875" cap="rnd">
              <a:solidFill>
                <a:srgbClr val="BD1B21"/>
              </a:solidFill>
              <a:prstDash val="solid"/>
              <a:round/>
            </a:ln>
            <a:effectLst/>
          </c:spPr>
          <c:marker>
            <c:symbol val="none"/>
          </c:marker>
          <c:cat>
            <c:numRef>
              <c:f>'GRAF-3-difenciace'!$A$33:$A$39</c:f>
              <c:numCache>
                <c:formatCode>General</c:formatCode>
                <c:ptCount val="7"/>
                <c:pt idx="0">
                  <c:v>2012</c:v>
                </c:pt>
                <c:pt idx="1">
                  <c:v>2013</c:v>
                </c:pt>
                <c:pt idx="2">
                  <c:v>2014</c:v>
                </c:pt>
                <c:pt idx="3">
                  <c:v>2015</c:v>
                </c:pt>
                <c:pt idx="4">
                  <c:v>2016</c:v>
                </c:pt>
                <c:pt idx="5">
                  <c:v>2017</c:v>
                </c:pt>
                <c:pt idx="6">
                  <c:v>2018</c:v>
                </c:pt>
              </c:numCache>
            </c:numRef>
          </c:cat>
          <c:val>
            <c:numRef>
              <c:f>'GRAF-3-difenciace'!$B$33:$B$39</c:f>
              <c:numCache>
                <c:formatCode>0.0</c:formatCode>
                <c:ptCount val="7"/>
                <c:pt idx="0">
                  <c:v>0.52482842147757935</c:v>
                </c:pt>
                <c:pt idx="1">
                  <c:v>1.7168674698795172</c:v>
                </c:pt>
                <c:pt idx="2">
                  <c:v>1.7471128220313972</c:v>
                </c:pt>
                <c:pt idx="3">
                  <c:v>3.6961583236321189</c:v>
                </c:pt>
                <c:pt idx="4">
                  <c:v>7.184956497333701</c:v>
                </c:pt>
                <c:pt idx="5">
                  <c:v>7.419045125250932</c:v>
                </c:pt>
                <c:pt idx="6">
                  <c:v>12.009425530186064</c:v>
                </c:pt>
              </c:numCache>
            </c:numRef>
          </c:val>
          <c:smooth val="0"/>
          <c:extLst>
            <c:ext xmlns:c16="http://schemas.microsoft.com/office/drawing/2014/chart" uri="{C3380CC4-5D6E-409C-BE32-E72D297353CC}">
              <c16:uniqueId val="{00000001-3F89-4CCD-B30F-72B9D38F994B}"/>
            </c:ext>
          </c:extLst>
        </c:ser>
        <c:ser>
          <c:idx val="1"/>
          <c:order val="1"/>
          <c:tx>
            <c:strRef>
              <c:f>'GRAF-3-difenciace'!$C$32</c:f>
              <c:strCache>
                <c:ptCount val="1"/>
                <c:pt idx="0">
                  <c:v>1. kvartil</c:v>
                </c:pt>
              </c:strCache>
            </c:strRef>
          </c:tx>
          <c:spPr>
            <a:ln w="15875" cap="rnd">
              <a:solidFill>
                <a:schemeClr val="accent2"/>
              </a:solidFill>
              <a:prstDash val="sysDash"/>
              <a:round/>
            </a:ln>
            <a:effectLst/>
          </c:spPr>
          <c:marker>
            <c:symbol val="none"/>
          </c:marker>
          <c:cat>
            <c:numRef>
              <c:f>'GRAF-3-difenciace'!$A$33:$A$39</c:f>
              <c:numCache>
                <c:formatCode>General</c:formatCode>
                <c:ptCount val="7"/>
                <c:pt idx="0">
                  <c:v>2012</c:v>
                </c:pt>
                <c:pt idx="1">
                  <c:v>2013</c:v>
                </c:pt>
                <c:pt idx="2">
                  <c:v>2014</c:v>
                </c:pt>
                <c:pt idx="3">
                  <c:v>2015</c:v>
                </c:pt>
                <c:pt idx="4">
                  <c:v>2016</c:v>
                </c:pt>
                <c:pt idx="5">
                  <c:v>2017</c:v>
                </c:pt>
                <c:pt idx="6">
                  <c:v>2018</c:v>
                </c:pt>
              </c:numCache>
            </c:numRef>
          </c:cat>
          <c:val>
            <c:numRef>
              <c:f>'GRAF-3-difenciace'!$C$33:$C$39</c:f>
              <c:numCache>
                <c:formatCode>0.0</c:formatCode>
                <c:ptCount val="7"/>
                <c:pt idx="0">
                  <c:v>0.62578222778472536</c:v>
                </c:pt>
                <c:pt idx="1">
                  <c:v>0.91417910447762551</c:v>
                </c:pt>
                <c:pt idx="2">
                  <c:v>2.206199543969916</c:v>
                </c:pt>
                <c:pt idx="3">
                  <c:v>3.2137473620741588</c:v>
                </c:pt>
                <c:pt idx="4">
                  <c:v>7.0802663862600639</c:v>
                </c:pt>
                <c:pt idx="5">
                  <c:v>7.3322422258592468</c:v>
                </c:pt>
                <c:pt idx="6">
                  <c:v>7.8021754599979687</c:v>
                </c:pt>
              </c:numCache>
            </c:numRef>
          </c:val>
          <c:smooth val="0"/>
          <c:extLst>
            <c:ext xmlns:c16="http://schemas.microsoft.com/office/drawing/2014/chart" uri="{C3380CC4-5D6E-409C-BE32-E72D297353CC}">
              <c16:uniqueId val="{00000002-3F89-4CCD-B30F-72B9D38F994B}"/>
            </c:ext>
          </c:extLst>
        </c:ser>
        <c:ser>
          <c:idx val="2"/>
          <c:order val="2"/>
          <c:tx>
            <c:strRef>
              <c:f>'GRAF-3-difenciace'!$D$32</c:f>
              <c:strCache>
                <c:ptCount val="1"/>
                <c:pt idx="0">
                  <c:v>Medián</c:v>
                </c:pt>
              </c:strCache>
            </c:strRef>
          </c:tx>
          <c:spPr>
            <a:ln w="28575" cap="rnd">
              <a:noFill/>
              <a:round/>
            </a:ln>
            <a:effectLst/>
          </c:spPr>
          <c:marker>
            <c:symbol val="circle"/>
            <c:size val="7"/>
            <c:spPr>
              <a:solidFill>
                <a:schemeClr val="tx1">
                  <a:lumMod val="95000"/>
                  <a:lumOff val="5000"/>
                </a:schemeClr>
              </a:solidFill>
              <a:ln w="9525">
                <a:solidFill>
                  <a:schemeClr val="accent3"/>
                </a:solidFill>
              </a:ln>
              <a:effectLst/>
            </c:spPr>
          </c:marker>
          <c:cat>
            <c:numRef>
              <c:f>'GRAF-3-difenciace'!$A$33:$A$39</c:f>
              <c:numCache>
                <c:formatCode>General</c:formatCode>
                <c:ptCount val="7"/>
                <c:pt idx="0">
                  <c:v>2012</c:v>
                </c:pt>
                <c:pt idx="1">
                  <c:v>2013</c:v>
                </c:pt>
                <c:pt idx="2">
                  <c:v>2014</c:v>
                </c:pt>
                <c:pt idx="3">
                  <c:v>2015</c:v>
                </c:pt>
                <c:pt idx="4">
                  <c:v>2016</c:v>
                </c:pt>
                <c:pt idx="5">
                  <c:v>2017</c:v>
                </c:pt>
                <c:pt idx="6">
                  <c:v>2018</c:v>
                </c:pt>
              </c:numCache>
            </c:numRef>
          </c:cat>
          <c:val>
            <c:numRef>
              <c:f>'GRAF-3-difenciace'!$D$33:$D$39</c:f>
              <c:numCache>
                <c:formatCode>0.0</c:formatCode>
                <c:ptCount val="7"/>
                <c:pt idx="0">
                  <c:v>0.98705353043797572</c:v>
                </c:pt>
                <c:pt idx="1">
                  <c:v>1.2228940310042162</c:v>
                </c:pt>
                <c:pt idx="2">
                  <c:v>2.5958861043743724</c:v>
                </c:pt>
                <c:pt idx="3">
                  <c:v>3.8609700577832342</c:v>
                </c:pt>
                <c:pt idx="4">
                  <c:v>5.2937705470791627</c:v>
                </c:pt>
                <c:pt idx="5">
                  <c:v>7.4493635417500599</c:v>
                </c:pt>
                <c:pt idx="6">
                  <c:v>8.7210818462913835</c:v>
                </c:pt>
              </c:numCache>
            </c:numRef>
          </c:val>
          <c:smooth val="0"/>
          <c:extLst>
            <c:ext xmlns:c16="http://schemas.microsoft.com/office/drawing/2014/chart" uri="{C3380CC4-5D6E-409C-BE32-E72D297353CC}">
              <c16:uniqueId val="{00000003-3F89-4CCD-B30F-72B9D38F994B}"/>
            </c:ext>
          </c:extLst>
        </c:ser>
        <c:ser>
          <c:idx val="3"/>
          <c:order val="3"/>
          <c:tx>
            <c:strRef>
              <c:f>'GRAF-3-difenciace'!$E$32</c:f>
              <c:strCache>
                <c:ptCount val="1"/>
                <c:pt idx="0">
                  <c:v>Průměr</c:v>
                </c:pt>
              </c:strCache>
            </c:strRef>
          </c:tx>
          <c:spPr>
            <a:ln w="28575" cap="rnd">
              <a:noFill/>
              <a:round/>
            </a:ln>
            <a:effectLst/>
          </c:spPr>
          <c:marker>
            <c:symbol val="circle"/>
            <c:size val="7"/>
            <c:spPr>
              <a:solidFill>
                <a:schemeClr val="bg1"/>
              </a:solidFill>
              <a:ln w="9525">
                <a:solidFill>
                  <a:schemeClr val="tx1">
                    <a:lumMod val="95000"/>
                    <a:lumOff val="5000"/>
                  </a:schemeClr>
                </a:solidFill>
              </a:ln>
              <a:effectLst/>
            </c:spPr>
          </c:marker>
          <c:cat>
            <c:numRef>
              <c:f>'GRAF-3-difenciace'!$A$33:$A$39</c:f>
              <c:numCache>
                <c:formatCode>General</c:formatCode>
                <c:ptCount val="7"/>
                <c:pt idx="0">
                  <c:v>2012</c:v>
                </c:pt>
                <c:pt idx="1">
                  <c:v>2013</c:v>
                </c:pt>
                <c:pt idx="2">
                  <c:v>2014</c:v>
                </c:pt>
                <c:pt idx="3">
                  <c:v>2015</c:v>
                </c:pt>
                <c:pt idx="4">
                  <c:v>2016</c:v>
                </c:pt>
                <c:pt idx="5">
                  <c:v>2017</c:v>
                </c:pt>
                <c:pt idx="6">
                  <c:v>2018</c:v>
                </c:pt>
              </c:numCache>
            </c:numRef>
          </c:cat>
          <c:val>
            <c:numRef>
              <c:f>'GRAF-3-difenciace'!$E$33:$E$39</c:f>
              <c:numCache>
                <c:formatCode>0.0</c:formatCode>
                <c:ptCount val="7"/>
                <c:pt idx="0">
                  <c:v>1.5921951219512067</c:v>
                </c:pt>
                <c:pt idx="1">
                  <c:v>0.68374755118503572</c:v>
                </c:pt>
                <c:pt idx="2">
                  <c:v>2.2547785280988961</c:v>
                </c:pt>
                <c:pt idx="3">
                  <c:v>3.7646444295201746</c:v>
                </c:pt>
                <c:pt idx="4">
                  <c:v>4.476645931465967</c:v>
                </c:pt>
                <c:pt idx="5">
                  <c:v>7.0656662995594672</c:v>
                </c:pt>
                <c:pt idx="6">
                  <c:v>8.2773473914301405</c:v>
                </c:pt>
              </c:numCache>
            </c:numRef>
          </c:val>
          <c:smooth val="0"/>
          <c:extLst>
            <c:ext xmlns:c16="http://schemas.microsoft.com/office/drawing/2014/chart" uri="{C3380CC4-5D6E-409C-BE32-E72D297353CC}">
              <c16:uniqueId val="{00000004-3F89-4CCD-B30F-72B9D38F994B}"/>
            </c:ext>
          </c:extLst>
        </c:ser>
        <c:ser>
          <c:idx val="4"/>
          <c:order val="4"/>
          <c:tx>
            <c:strRef>
              <c:f>'GRAF-3-difenciace'!$F$32</c:f>
              <c:strCache>
                <c:ptCount val="1"/>
                <c:pt idx="0">
                  <c:v>3. kvartil</c:v>
                </c:pt>
              </c:strCache>
            </c:strRef>
          </c:tx>
          <c:spPr>
            <a:ln w="15875" cap="rnd">
              <a:solidFill>
                <a:schemeClr val="accent5"/>
              </a:solidFill>
              <a:prstDash val="sysDash"/>
              <a:round/>
            </a:ln>
            <a:effectLst/>
          </c:spPr>
          <c:marker>
            <c:symbol val="none"/>
          </c:marker>
          <c:cat>
            <c:numRef>
              <c:f>'GRAF-3-difenciace'!$A$33:$A$39</c:f>
              <c:numCache>
                <c:formatCode>General</c:formatCode>
                <c:ptCount val="7"/>
                <c:pt idx="0">
                  <c:v>2012</c:v>
                </c:pt>
                <c:pt idx="1">
                  <c:v>2013</c:v>
                </c:pt>
                <c:pt idx="2">
                  <c:v>2014</c:v>
                </c:pt>
                <c:pt idx="3">
                  <c:v>2015</c:v>
                </c:pt>
                <c:pt idx="4">
                  <c:v>2016</c:v>
                </c:pt>
                <c:pt idx="5">
                  <c:v>2017</c:v>
                </c:pt>
                <c:pt idx="6">
                  <c:v>2018</c:v>
                </c:pt>
              </c:numCache>
            </c:numRef>
          </c:cat>
          <c:val>
            <c:numRef>
              <c:f>'GRAF-3-difenciace'!$F$33:$F$39</c:f>
              <c:numCache>
                <c:formatCode>0.0</c:formatCode>
                <c:ptCount val="7"/>
                <c:pt idx="0">
                  <c:v>1.0723768145926016</c:v>
                </c:pt>
                <c:pt idx="1">
                  <c:v>1.429448689956331</c:v>
                </c:pt>
                <c:pt idx="2">
                  <c:v>2.3039924657764601</c:v>
                </c:pt>
                <c:pt idx="3">
                  <c:v>4.4154392425039362</c:v>
                </c:pt>
                <c:pt idx="4">
                  <c:v>4.2885481280896727</c:v>
                </c:pt>
                <c:pt idx="5">
                  <c:v>7.3337157694514161</c:v>
                </c:pt>
                <c:pt idx="6">
                  <c:v>8.5372714486638586</c:v>
                </c:pt>
              </c:numCache>
            </c:numRef>
          </c:val>
          <c:smooth val="0"/>
          <c:extLst>
            <c:ext xmlns:c16="http://schemas.microsoft.com/office/drawing/2014/chart" uri="{C3380CC4-5D6E-409C-BE32-E72D297353CC}">
              <c16:uniqueId val="{00000005-3F89-4CCD-B30F-72B9D38F994B}"/>
            </c:ext>
          </c:extLst>
        </c:ser>
        <c:ser>
          <c:idx val="5"/>
          <c:order val="5"/>
          <c:tx>
            <c:strRef>
              <c:f>'GRAF-3-difenciace'!$G$32</c:f>
              <c:strCache>
                <c:ptCount val="1"/>
                <c:pt idx="0">
                  <c:v>95. percentil</c:v>
                </c:pt>
              </c:strCache>
            </c:strRef>
          </c:tx>
          <c:spPr>
            <a:ln w="15875" cap="rnd">
              <a:solidFill>
                <a:srgbClr val="0071BC"/>
              </a:solidFill>
              <a:round/>
            </a:ln>
            <a:effectLst/>
          </c:spPr>
          <c:marker>
            <c:symbol val="none"/>
          </c:marker>
          <c:cat>
            <c:numRef>
              <c:f>'GRAF-3-difenciace'!$A$33:$A$39</c:f>
              <c:numCache>
                <c:formatCode>General</c:formatCode>
                <c:ptCount val="7"/>
                <c:pt idx="0">
                  <c:v>2012</c:v>
                </c:pt>
                <c:pt idx="1">
                  <c:v>2013</c:v>
                </c:pt>
                <c:pt idx="2">
                  <c:v>2014</c:v>
                </c:pt>
                <c:pt idx="3">
                  <c:v>2015</c:v>
                </c:pt>
                <c:pt idx="4">
                  <c:v>2016</c:v>
                </c:pt>
                <c:pt idx="5">
                  <c:v>2017</c:v>
                </c:pt>
                <c:pt idx="6">
                  <c:v>2018</c:v>
                </c:pt>
              </c:numCache>
            </c:numRef>
          </c:cat>
          <c:val>
            <c:numRef>
              <c:f>'GRAF-3-difenciace'!$G$33:$G$39</c:f>
              <c:numCache>
                <c:formatCode>0.0</c:formatCode>
                <c:ptCount val="7"/>
                <c:pt idx="0">
                  <c:v>3.2366418142280224</c:v>
                </c:pt>
                <c:pt idx="1">
                  <c:v>0.92343570743449277</c:v>
                </c:pt>
                <c:pt idx="2">
                  <c:v>2.0256419812902919</c:v>
                </c:pt>
                <c:pt idx="3">
                  <c:v>3.5434437158669709</c:v>
                </c:pt>
                <c:pt idx="4">
                  <c:v>3.1858032422515663</c:v>
                </c:pt>
                <c:pt idx="5">
                  <c:v>6.3800324814086622</c:v>
                </c:pt>
                <c:pt idx="6">
                  <c:v>7.3312227811078685</c:v>
                </c:pt>
              </c:numCache>
            </c:numRef>
          </c:val>
          <c:smooth val="0"/>
          <c:extLst>
            <c:ext xmlns:c16="http://schemas.microsoft.com/office/drawing/2014/chart" uri="{C3380CC4-5D6E-409C-BE32-E72D297353CC}">
              <c16:uniqueId val="{00000006-3F89-4CCD-B30F-72B9D38F994B}"/>
            </c:ext>
          </c:extLst>
        </c:ser>
        <c:dLbls>
          <c:showLegendKey val="0"/>
          <c:showVal val="0"/>
          <c:showCatName val="0"/>
          <c:showSerName val="0"/>
          <c:showPercent val="0"/>
          <c:showBubbleSize val="0"/>
        </c:dLbls>
        <c:marker val="1"/>
        <c:smooth val="0"/>
        <c:axId val="105031936"/>
        <c:axId val="105054208"/>
      </c:lineChart>
      <c:catAx>
        <c:axId val="105031936"/>
        <c:scaling>
          <c:orientation val="minMax"/>
        </c:scaling>
        <c:delete val="0"/>
        <c:axPos val="b"/>
        <c:numFmt formatCode="General" sourceLinked="1"/>
        <c:majorTickMark val="none"/>
        <c:minorTickMark val="none"/>
        <c:tickLblPos val="nextTo"/>
        <c:spPr>
          <a:noFill/>
          <a:ln w="6350" cap="flat" cmpd="sng" algn="ctr">
            <a:solidFill>
              <a:schemeClr val="tx1">
                <a:lumMod val="95000"/>
                <a:lumOff val="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cs-CZ"/>
          </a:p>
        </c:txPr>
        <c:crossAx val="105054208"/>
        <c:crosses val="autoZero"/>
        <c:auto val="1"/>
        <c:lblAlgn val="ctr"/>
        <c:lblOffset val="0"/>
        <c:noMultiLvlLbl val="0"/>
      </c:catAx>
      <c:valAx>
        <c:axId val="105054208"/>
        <c:scaling>
          <c:orientation val="minMax"/>
          <c:max val="12"/>
          <c:min val="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cs-CZ"/>
          </a:p>
        </c:txPr>
        <c:crossAx val="105031936"/>
        <c:crosses val="autoZero"/>
        <c:crossBetween val="between"/>
        <c:majorUnit val="1"/>
      </c:valAx>
      <c:valAx>
        <c:axId val="105055744"/>
        <c:scaling>
          <c:orientation val="minMax"/>
          <c:max val="90"/>
          <c:min val="0"/>
        </c:scaling>
        <c:delete val="0"/>
        <c:axPos val="r"/>
        <c:numFmt formatCode="0_ ;[Red]\-0\ "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05057280"/>
        <c:crosses val="max"/>
        <c:crossBetween val="between"/>
      </c:valAx>
      <c:catAx>
        <c:axId val="105057280"/>
        <c:scaling>
          <c:orientation val="minMax"/>
        </c:scaling>
        <c:delete val="1"/>
        <c:axPos val="b"/>
        <c:numFmt formatCode="General" sourceLinked="1"/>
        <c:majorTickMark val="out"/>
        <c:minorTickMark val="none"/>
        <c:tickLblPos val="nextTo"/>
        <c:crossAx val="105055744"/>
        <c:crosses val="autoZero"/>
        <c:auto val="1"/>
        <c:lblAlgn val="ctr"/>
        <c:lblOffset val="100"/>
        <c:noMultiLvlLbl val="0"/>
      </c:catAx>
      <c:spPr>
        <a:noFill/>
        <a:ln w="6350">
          <a:solidFill>
            <a:schemeClr val="tx1">
              <a:lumMod val="95000"/>
              <a:lumOff val="5000"/>
            </a:schemeClr>
          </a:solidFill>
        </a:ln>
        <a:effectLst/>
      </c:spPr>
    </c:plotArea>
    <c:legend>
      <c:legendPos val="b"/>
      <c:layout>
        <c:manualLayout>
          <c:xMode val="edge"/>
          <c:yMode val="edge"/>
          <c:x val="3.9846603614775856E-2"/>
          <c:y val="0.88308949723253505"/>
          <c:w val="0.94742033952417082"/>
          <c:h val="0.10428732677845323"/>
        </c:manualLayout>
      </c:layout>
      <c:overlay val="0"/>
      <c:spPr>
        <a:noFill/>
        <a:ln w="6350">
          <a:solidFill>
            <a:schemeClr val="tx1">
              <a:lumMod val="95000"/>
              <a:lumOff val="5000"/>
            </a:schemeClr>
          </a:solid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cs-CZ"/>
        </a:p>
      </c:txPr>
    </c:legend>
    <c:plotVisOnly val="1"/>
    <c:dispBlanksAs val="gap"/>
    <c:showDLblsOverMax val="0"/>
  </c:chart>
  <c:spPr>
    <a:solidFill>
      <a:schemeClr val="bg1"/>
    </a:solidFill>
    <a:ln w="9525" cap="flat" cmpd="sng" algn="ctr">
      <a:noFill/>
      <a:round/>
    </a:ln>
    <a:effectLst/>
  </c:spPr>
  <c:txPr>
    <a:bodyPr/>
    <a:lstStyle/>
    <a:p>
      <a:pPr>
        <a:defRPr/>
      </a:pPr>
      <a:endParaRPr lang="cs-CZ"/>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3796728578380299E-2"/>
          <c:y val="1.7405473664150642E-2"/>
          <c:w val="0.88254147906497016"/>
          <c:h val="0.83121454768920444"/>
        </c:manualLayout>
      </c:layout>
      <c:barChart>
        <c:barDir val="col"/>
        <c:grouping val="clustered"/>
        <c:varyColors val="0"/>
        <c:ser>
          <c:idx val="0"/>
          <c:order val="0"/>
          <c:tx>
            <c:strRef>
              <c:f>'[Publ.-Grafy-Struktura mezd zam-2012-2018.xlsx]GRAF-4-doba+zaklad mzda'!$C$62</c:f>
              <c:strCache>
                <c:ptCount val="1"/>
                <c:pt idx="0">
                  <c:v>Medián (všichni zaměstnanci = 100)</c:v>
                </c:pt>
              </c:strCache>
            </c:strRef>
          </c:tx>
          <c:spPr>
            <a:solidFill>
              <a:srgbClr val="0071BC"/>
            </a:solidFill>
            <a:ln>
              <a:noFill/>
            </a:ln>
            <a:effectLst/>
          </c:spPr>
          <c:invertIfNegative val="0"/>
          <c:dPt>
            <c:idx val="0"/>
            <c:invertIfNegative val="0"/>
            <c:bubble3D val="0"/>
            <c:spPr>
              <a:solidFill>
                <a:srgbClr val="7030A0"/>
              </a:solidFill>
              <a:ln>
                <a:noFill/>
              </a:ln>
              <a:effectLst/>
            </c:spPr>
            <c:extLst>
              <c:ext xmlns:c16="http://schemas.microsoft.com/office/drawing/2014/chart" uri="{C3380CC4-5D6E-409C-BE32-E72D297353CC}">
                <c16:uniqueId val="{00000001-1B2A-494D-ABD1-5C632CD1149A}"/>
              </c:ext>
            </c:extLst>
          </c:dPt>
          <c:dPt>
            <c:idx val="1"/>
            <c:invertIfNegative val="0"/>
            <c:bubble3D val="0"/>
            <c:spPr>
              <a:solidFill>
                <a:srgbClr val="9954CC"/>
              </a:solidFill>
              <a:ln>
                <a:noFill/>
              </a:ln>
              <a:effectLst/>
            </c:spPr>
            <c:extLst>
              <c:ext xmlns:c16="http://schemas.microsoft.com/office/drawing/2014/chart" uri="{C3380CC4-5D6E-409C-BE32-E72D297353CC}">
                <c16:uniqueId val="{00000003-1B2A-494D-ABD1-5C632CD1149A}"/>
              </c:ext>
            </c:extLst>
          </c:dPt>
          <c:dPt>
            <c:idx val="2"/>
            <c:invertIfNegative val="0"/>
            <c:bubble3D val="0"/>
            <c:spPr>
              <a:solidFill>
                <a:srgbClr val="B685DB"/>
              </a:solidFill>
              <a:ln>
                <a:noFill/>
              </a:ln>
              <a:effectLst/>
            </c:spPr>
            <c:extLst>
              <c:ext xmlns:c16="http://schemas.microsoft.com/office/drawing/2014/chart" uri="{C3380CC4-5D6E-409C-BE32-E72D297353CC}">
                <c16:uniqueId val="{00000005-1B2A-494D-ABD1-5C632CD1149A}"/>
              </c:ext>
            </c:extLst>
          </c:dPt>
          <c:dPt>
            <c:idx val="3"/>
            <c:invertIfNegative val="0"/>
            <c:bubble3D val="0"/>
            <c:spPr>
              <a:solidFill>
                <a:srgbClr val="D5B8EA"/>
              </a:solidFill>
              <a:ln>
                <a:noFill/>
              </a:ln>
              <a:effectLst/>
            </c:spPr>
            <c:extLst>
              <c:ext xmlns:c16="http://schemas.microsoft.com/office/drawing/2014/chart" uri="{C3380CC4-5D6E-409C-BE32-E72D297353CC}">
                <c16:uniqueId val="{00000007-1B2A-494D-ABD1-5C632CD1149A}"/>
              </c:ext>
            </c:extLst>
          </c:dPt>
          <c:dPt>
            <c:idx val="4"/>
            <c:invertIfNegative val="0"/>
            <c:bubble3D val="0"/>
            <c:spPr>
              <a:solidFill>
                <a:srgbClr val="71C6FF"/>
              </a:solidFill>
              <a:ln>
                <a:noFill/>
              </a:ln>
              <a:effectLst/>
            </c:spPr>
            <c:extLst>
              <c:ext xmlns:c16="http://schemas.microsoft.com/office/drawing/2014/chart" uri="{C3380CC4-5D6E-409C-BE32-E72D297353CC}">
                <c16:uniqueId val="{00000009-1B2A-494D-ABD1-5C632CD1149A}"/>
              </c:ext>
            </c:extLst>
          </c:dPt>
          <c:dPt>
            <c:idx val="5"/>
            <c:invertIfNegative val="0"/>
            <c:bubble3D val="0"/>
            <c:spPr>
              <a:solidFill>
                <a:srgbClr val="25A7FF"/>
              </a:solidFill>
              <a:ln>
                <a:noFill/>
              </a:ln>
              <a:effectLst/>
            </c:spPr>
            <c:extLst>
              <c:ext xmlns:c16="http://schemas.microsoft.com/office/drawing/2014/chart" uri="{C3380CC4-5D6E-409C-BE32-E72D297353CC}">
                <c16:uniqueId val="{0000000B-1B2A-494D-ABD1-5C632CD1149A}"/>
              </c:ext>
            </c:extLst>
          </c:dPt>
          <c:dPt>
            <c:idx val="8"/>
            <c:invertIfNegative val="0"/>
            <c:bubble3D val="0"/>
            <c:spPr>
              <a:solidFill>
                <a:srgbClr val="7030A0"/>
              </a:solidFill>
              <a:ln>
                <a:noFill/>
              </a:ln>
              <a:effectLst/>
            </c:spPr>
            <c:extLst>
              <c:ext xmlns:c16="http://schemas.microsoft.com/office/drawing/2014/chart" uri="{C3380CC4-5D6E-409C-BE32-E72D297353CC}">
                <c16:uniqueId val="{0000000D-1B2A-494D-ABD1-5C632CD1149A}"/>
              </c:ext>
            </c:extLst>
          </c:dPt>
          <c:dPt>
            <c:idx val="9"/>
            <c:invertIfNegative val="0"/>
            <c:bubble3D val="0"/>
            <c:spPr>
              <a:solidFill>
                <a:srgbClr val="9954CC"/>
              </a:solidFill>
              <a:ln>
                <a:noFill/>
              </a:ln>
              <a:effectLst/>
            </c:spPr>
            <c:extLst>
              <c:ext xmlns:c16="http://schemas.microsoft.com/office/drawing/2014/chart" uri="{C3380CC4-5D6E-409C-BE32-E72D297353CC}">
                <c16:uniqueId val="{0000000F-1B2A-494D-ABD1-5C632CD1149A}"/>
              </c:ext>
            </c:extLst>
          </c:dPt>
          <c:dPt>
            <c:idx val="10"/>
            <c:invertIfNegative val="0"/>
            <c:bubble3D val="0"/>
            <c:spPr>
              <a:solidFill>
                <a:srgbClr val="B685DB"/>
              </a:solidFill>
              <a:ln>
                <a:noFill/>
              </a:ln>
              <a:effectLst/>
            </c:spPr>
            <c:extLst>
              <c:ext xmlns:c16="http://schemas.microsoft.com/office/drawing/2014/chart" uri="{C3380CC4-5D6E-409C-BE32-E72D297353CC}">
                <c16:uniqueId val="{00000011-1B2A-494D-ABD1-5C632CD1149A}"/>
              </c:ext>
            </c:extLst>
          </c:dPt>
          <c:dPt>
            <c:idx val="11"/>
            <c:invertIfNegative val="0"/>
            <c:bubble3D val="0"/>
            <c:spPr>
              <a:solidFill>
                <a:srgbClr val="D5B8EA"/>
              </a:solidFill>
              <a:ln>
                <a:noFill/>
              </a:ln>
              <a:effectLst/>
            </c:spPr>
            <c:extLst>
              <c:ext xmlns:c16="http://schemas.microsoft.com/office/drawing/2014/chart" uri="{C3380CC4-5D6E-409C-BE32-E72D297353CC}">
                <c16:uniqueId val="{00000013-1B2A-494D-ABD1-5C632CD1149A}"/>
              </c:ext>
            </c:extLst>
          </c:dPt>
          <c:dPt>
            <c:idx val="12"/>
            <c:invertIfNegative val="0"/>
            <c:bubble3D val="0"/>
            <c:spPr>
              <a:solidFill>
                <a:srgbClr val="71C6FF"/>
              </a:solidFill>
              <a:ln>
                <a:noFill/>
              </a:ln>
              <a:effectLst/>
            </c:spPr>
            <c:extLst>
              <c:ext xmlns:c16="http://schemas.microsoft.com/office/drawing/2014/chart" uri="{C3380CC4-5D6E-409C-BE32-E72D297353CC}">
                <c16:uniqueId val="{00000015-1B2A-494D-ABD1-5C632CD1149A}"/>
              </c:ext>
            </c:extLst>
          </c:dPt>
          <c:dPt>
            <c:idx val="13"/>
            <c:invertIfNegative val="0"/>
            <c:bubble3D val="0"/>
            <c:spPr>
              <a:solidFill>
                <a:srgbClr val="25A7FF"/>
              </a:solidFill>
              <a:ln>
                <a:noFill/>
              </a:ln>
              <a:effectLst/>
            </c:spPr>
            <c:extLst>
              <c:ext xmlns:c16="http://schemas.microsoft.com/office/drawing/2014/chart" uri="{C3380CC4-5D6E-409C-BE32-E72D297353CC}">
                <c16:uniqueId val="{00000017-1B2A-494D-ABD1-5C632CD1149A}"/>
              </c:ext>
            </c:extLst>
          </c:dPt>
          <c:dPt>
            <c:idx val="16"/>
            <c:invertIfNegative val="0"/>
            <c:bubble3D val="0"/>
            <c:spPr>
              <a:solidFill>
                <a:srgbClr val="7030A0"/>
              </a:solidFill>
              <a:ln>
                <a:noFill/>
              </a:ln>
              <a:effectLst/>
            </c:spPr>
            <c:extLst>
              <c:ext xmlns:c16="http://schemas.microsoft.com/office/drawing/2014/chart" uri="{C3380CC4-5D6E-409C-BE32-E72D297353CC}">
                <c16:uniqueId val="{00000019-1B2A-494D-ABD1-5C632CD1149A}"/>
              </c:ext>
            </c:extLst>
          </c:dPt>
          <c:dPt>
            <c:idx val="17"/>
            <c:invertIfNegative val="0"/>
            <c:bubble3D val="0"/>
            <c:spPr>
              <a:solidFill>
                <a:srgbClr val="9954CC"/>
              </a:solidFill>
              <a:ln>
                <a:noFill/>
              </a:ln>
              <a:effectLst/>
            </c:spPr>
            <c:extLst>
              <c:ext xmlns:c16="http://schemas.microsoft.com/office/drawing/2014/chart" uri="{C3380CC4-5D6E-409C-BE32-E72D297353CC}">
                <c16:uniqueId val="{0000001B-1B2A-494D-ABD1-5C632CD1149A}"/>
              </c:ext>
            </c:extLst>
          </c:dPt>
          <c:dPt>
            <c:idx val="18"/>
            <c:invertIfNegative val="0"/>
            <c:bubble3D val="0"/>
            <c:spPr>
              <a:solidFill>
                <a:srgbClr val="B685DB"/>
              </a:solidFill>
              <a:ln>
                <a:noFill/>
              </a:ln>
              <a:effectLst/>
            </c:spPr>
            <c:extLst>
              <c:ext xmlns:c16="http://schemas.microsoft.com/office/drawing/2014/chart" uri="{C3380CC4-5D6E-409C-BE32-E72D297353CC}">
                <c16:uniqueId val="{0000001D-1B2A-494D-ABD1-5C632CD1149A}"/>
              </c:ext>
            </c:extLst>
          </c:dPt>
          <c:dPt>
            <c:idx val="19"/>
            <c:invertIfNegative val="0"/>
            <c:bubble3D val="0"/>
            <c:spPr>
              <a:solidFill>
                <a:srgbClr val="D5B8EA"/>
              </a:solidFill>
              <a:ln>
                <a:noFill/>
              </a:ln>
              <a:effectLst/>
            </c:spPr>
            <c:extLst>
              <c:ext xmlns:c16="http://schemas.microsoft.com/office/drawing/2014/chart" uri="{C3380CC4-5D6E-409C-BE32-E72D297353CC}">
                <c16:uniqueId val="{0000001F-1B2A-494D-ABD1-5C632CD1149A}"/>
              </c:ext>
            </c:extLst>
          </c:dPt>
          <c:dPt>
            <c:idx val="20"/>
            <c:invertIfNegative val="0"/>
            <c:bubble3D val="0"/>
            <c:spPr>
              <a:solidFill>
                <a:srgbClr val="71C6FF"/>
              </a:solidFill>
              <a:ln>
                <a:noFill/>
              </a:ln>
              <a:effectLst/>
            </c:spPr>
            <c:extLst>
              <c:ext xmlns:c16="http://schemas.microsoft.com/office/drawing/2014/chart" uri="{C3380CC4-5D6E-409C-BE32-E72D297353CC}">
                <c16:uniqueId val="{00000021-1B2A-494D-ABD1-5C632CD1149A}"/>
              </c:ext>
            </c:extLst>
          </c:dPt>
          <c:dPt>
            <c:idx val="21"/>
            <c:invertIfNegative val="0"/>
            <c:bubble3D val="0"/>
            <c:spPr>
              <a:solidFill>
                <a:srgbClr val="25A7FF"/>
              </a:solidFill>
              <a:ln>
                <a:noFill/>
              </a:ln>
              <a:effectLst/>
            </c:spPr>
            <c:extLst>
              <c:ext xmlns:c16="http://schemas.microsoft.com/office/drawing/2014/chart" uri="{C3380CC4-5D6E-409C-BE32-E72D297353CC}">
                <c16:uniqueId val="{00000023-1B2A-494D-ABD1-5C632CD1149A}"/>
              </c:ext>
            </c:extLst>
          </c:dPt>
          <c:dPt>
            <c:idx val="24"/>
            <c:invertIfNegative val="0"/>
            <c:bubble3D val="0"/>
            <c:spPr>
              <a:solidFill>
                <a:srgbClr val="7030A0"/>
              </a:solidFill>
              <a:ln>
                <a:noFill/>
              </a:ln>
              <a:effectLst/>
            </c:spPr>
            <c:extLst>
              <c:ext xmlns:c16="http://schemas.microsoft.com/office/drawing/2014/chart" uri="{C3380CC4-5D6E-409C-BE32-E72D297353CC}">
                <c16:uniqueId val="{00000025-1B2A-494D-ABD1-5C632CD1149A}"/>
              </c:ext>
            </c:extLst>
          </c:dPt>
          <c:dPt>
            <c:idx val="25"/>
            <c:invertIfNegative val="0"/>
            <c:bubble3D val="0"/>
            <c:spPr>
              <a:solidFill>
                <a:srgbClr val="9954CC"/>
              </a:solidFill>
              <a:ln>
                <a:noFill/>
              </a:ln>
              <a:effectLst/>
            </c:spPr>
            <c:extLst>
              <c:ext xmlns:c16="http://schemas.microsoft.com/office/drawing/2014/chart" uri="{C3380CC4-5D6E-409C-BE32-E72D297353CC}">
                <c16:uniqueId val="{00000027-1B2A-494D-ABD1-5C632CD1149A}"/>
              </c:ext>
            </c:extLst>
          </c:dPt>
          <c:dPt>
            <c:idx val="26"/>
            <c:invertIfNegative val="0"/>
            <c:bubble3D val="0"/>
            <c:spPr>
              <a:solidFill>
                <a:srgbClr val="B685DB"/>
              </a:solidFill>
              <a:ln>
                <a:noFill/>
              </a:ln>
              <a:effectLst/>
            </c:spPr>
            <c:extLst>
              <c:ext xmlns:c16="http://schemas.microsoft.com/office/drawing/2014/chart" uri="{C3380CC4-5D6E-409C-BE32-E72D297353CC}">
                <c16:uniqueId val="{00000029-1B2A-494D-ABD1-5C632CD1149A}"/>
              </c:ext>
            </c:extLst>
          </c:dPt>
          <c:dPt>
            <c:idx val="27"/>
            <c:invertIfNegative val="0"/>
            <c:bubble3D val="0"/>
            <c:spPr>
              <a:solidFill>
                <a:srgbClr val="D5B8EA"/>
              </a:solidFill>
              <a:ln>
                <a:noFill/>
              </a:ln>
              <a:effectLst/>
            </c:spPr>
            <c:extLst>
              <c:ext xmlns:c16="http://schemas.microsoft.com/office/drawing/2014/chart" uri="{C3380CC4-5D6E-409C-BE32-E72D297353CC}">
                <c16:uniqueId val="{0000002B-1B2A-494D-ABD1-5C632CD1149A}"/>
              </c:ext>
            </c:extLst>
          </c:dPt>
          <c:dPt>
            <c:idx val="28"/>
            <c:invertIfNegative val="0"/>
            <c:bubble3D val="0"/>
            <c:spPr>
              <a:solidFill>
                <a:srgbClr val="71C6FF"/>
              </a:solidFill>
              <a:ln>
                <a:noFill/>
              </a:ln>
              <a:effectLst/>
            </c:spPr>
            <c:extLst>
              <c:ext xmlns:c16="http://schemas.microsoft.com/office/drawing/2014/chart" uri="{C3380CC4-5D6E-409C-BE32-E72D297353CC}">
                <c16:uniqueId val="{0000002D-1B2A-494D-ABD1-5C632CD1149A}"/>
              </c:ext>
            </c:extLst>
          </c:dPt>
          <c:dPt>
            <c:idx val="29"/>
            <c:invertIfNegative val="0"/>
            <c:bubble3D val="0"/>
            <c:spPr>
              <a:solidFill>
                <a:srgbClr val="25A7FF"/>
              </a:solidFill>
              <a:ln>
                <a:noFill/>
              </a:ln>
              <a:effectLst/>
            </c:spPr>
            <c:extLst>
              <c:ext xmlns:c16="http://schemas.microsoft.com/office/drawing/2014/chart" uri="{C3380CC4-5D6E-409C-BE32-E72D297353CC}">
                <c16:uniqueId val="{0000002F-1B2A-494D-ABD1-5C632CD1149A}"/>
              </c:ext>
            </c:extLst>
          </c:dPt>
          <c:dPt>
            <c:idx val="32"/>
            <c:invertIfNegative val="0"/>
            <c:bubble3D val="0"/>
            <c:spPr>
              <a:solidFill>
                <a:srgbClr val="7030A0"/>
              </a:solidFill>
              <a:ln>
                <a:noFill/>
              </a:ln>
              <a:effectLst/>
            </c:spPr>
            <c:extLst>
              <c:ext xmlns:c16="http://schemas.microsoft.com/office/drawing/2014/chart" uri="{C3380CC4-5D6E-409C-BE32-E72D297353CC}">
                <c16:uniqueId val="{00000031-1B2A-494D-ABD1-5C632CD1149A}"/>
              </c:ext>
            </c:extLst>
          </c:dPt>
          <c:dPt>
            <c:idx val="33"/>
            <c:invertIfNegative val="0"/>
            <c:bubble3D val="0"/>
            <c:spPr>
              <a:solidFill>
                <a:srgbClr val="9954CC"/>
              </a:solidFill>
              <a:ln>
                <a:noFill/>
              </a:ln>
              <a:effectLst/>
            </c:spPr>
            <c:extLst>
              <c:ext xmlns:c16="http://schemas.microsoft.com/office/drawing/2014/chart" uri="{C3380CC4-5D6E-409C-BE32-E72D297353CC}">
                <c16:uniqueId val="{00000033-1B2A-494D-ABD1-5C632CD1149A}"/>
              </c:ext>
            </c:extLst>
          </c:dPt>
          <c:dPt>
            <c:idx val="34"/>
            <c:invertIfNegative val="0"/>
            <c:bubble3D val="0"/>
            <c:spPr>
              <a:solidFill>
                <a:srgbClr val="B685DB"/>
              </a:solidFill>
              <a:ln>
                <a:noFill/>
              </a:ln>
              <a:effectLst/>
            </c:spPr>
            <c:extLst>
              <c:ext xmlns:c16="http://schemas.microsoft.com/office/drawing/2014/chart" uri="{C3380CC4-5D6E-409C-BE32-E72D297353CC}">
                <c16:uniqueId val="{00000035-1B2A-494D-ABD1-5C632CD1149A}"/>
              </c:ext>
            </c:extLst>
          </c:dPt>
          <c:dPt>
            <c:idx val="35"/>
            <c:invertIfNegative val="0"/>
            <c:bubble3D val="0"/>
            <c:spPr>
              <a:solidFill>
                <a:srgbClr val="D5B8EA"/>
              </a:solidFill>
              <a:ln>
                <a:noFill/>
              </a:ln>
              <a:effectLst/>
            </c:spPr>
            <c:extLst>
              <c:ext xmlns:c16="http://schemas.microsoft.com/office/drawing/2014/chart" uri="{C3380CC4-5D6E-409C-BE32-E72D297353CC}">
                <c16:uniqueId val="{00000037-1B2A-494D-ABD1-5C632CD1149A}"/>
              </c:ext>
            </c:extLst>
          </c:dPt>
          <c:dPt>
            <c:idx val="36"/>
            <c:invertIfNegative val="0"/>
            <c:bubble3D val="0"/>
            <c:spPr>
              <a:solidFill>
                <a:srgbClr val="71C6FF"/>
              </a:solidFill>
              <a:ln>
                <a:noFill/>
              </a:ln>
              <a:effectLst/>
            </c:spPr>
            <c:extLst>
              <c:ext xmlns:c16="http://schemas.microsoft.com/office/drawing/2014/chart" uri="{C3380CC4-5D6E-409C-BE32-E72D297353CC}">
                <c16:uniqueId val="{00000039-1B2A-494D-ABD1-5C632CD1149A}"/>
              </c:ext>
            </c:extLst>
          </c:dPt>
          <c:dPt>
            <c:idx val="37"/>
            <c:invertIfNegative val="0"/>
            <c:bubble3D val="0"/>
            <c:spPr>
              <a:solidFill>
                <a:srgbClr val="25A7FF"/>
              </a:solidFill>
              <a:ln>
                <a:noFill/>
              </a:ln>
              <a:effectLst/>
            </c:spPr>
            <c:extLst>
              <c:ext xmlns:c16="http://schemas.microsoft.com/office/drawing/2014/chart" uri="{C3380CC4-5D6E-409C-BE32-E72D297353CC}">
                <c16:uniqueId val="{0000003B-1B2A-494D-ABD1-5C632CD1149A}"/>
              </c:ext>
            </c:extLst>
          </c:dPt>
          <c:dPt>
            <c:idx val="40"/>
            <c:invertIfNegative val="0"/>
            <c:bubble3D val="0"/>
            <c:spPr>
              <a:solidFill>
                <a:srgbClr val="7030A0"/>
              </a:solidFill>
              <a:ln>
                <a:noFill/>
              </a:ln>
              <a:effectLst/>
            </c:spPr>
            <c:extLst>
              <c:ext xmlns:c16="http://schemas.microsoft.com/office/drawing/2014/chart" uri="{C3380CC4-5D6E-409C-BE32-E72D297353CC}">
                <c16:uniqueId val="{0000003D-1B2A-494D-ABD1-5C632CD1149A}"/>
              </c:ext>
            </c:extLst>
          </c:dPt>
          <c:dPt>
            <c:idx val="41"/>
            <c:invertIfNegative val="0"/>
            <c:bubble3D val="0"/>
            <c:spPr>
              <a:solidFill>
                <a:srgbClr val="9954CC"/>
              </a:solidFill>
              <a:ln>
                <a:noFill/>
              </a:ln>
              <a:effectLst/>
            </c:spPr>
            <c:extLst>
              <c:ext xmlns:c16="http://schemas.microsoft.com/office/drawing/2014/chart" uri="{C3380CC4-5D6E-409C-BE32-E72D297353CC}">
                <c16:uniqueId val="{0000003F-1B2A-494D-ABD1-5C632CD1149A}"/>
              </c:ext>
            </c:extLst>
          </c:dPt>
          <c:dPt>
            <c:idx val="42"/>
            <c:invertIfNegative val="0"/>
            <c:bubble3D val="0"/>
            <c:spPr>
              <a:solidFill>
                <a:srgbClr val="B685DB"/>
              </a:solidFill>
              <a:ln>
                <a:noFill/>
              </a:ln>
              <a:effectLst/>
            </c:spPr>
            <c:extLst>
              <c:ext xmlns:c16="http://schemas.microsoft.com/office/drawing/2014/chart" uri="{C3380CC4-5D6E-409C-BE32-E72D297353CC}">
                <c16:uniqueId val="{00000041-1B2A-494D-ABD1-5C632CD1149A}"/>
              </c:ext>
            </c:extLst>
          </c:dPt>
          <c:dPt>
            <c:idx val="43"/>
            <c:invertIfNegative val="0"/>
            <c:bubble3D val="0"/>
            <c:spPr>
              <a:solidFill>
                <a:srgbClr val="D5B8EA"/>
              </a:solidFill>
              <a:ln>
                <a:noFill/>
              </a:ln>
              <a:effectLst/>
            </c:spPr>
            <c:extLst>
              <c:ext xmlns:c16="http://schemas.microsoft.com/office/drawing/2014/chart" uri="{C3380CC4-5D6E-409C-BE32-E72D297353CC}">
                <c16:uniqueId val="{00000043-1B2A-494D-ABD1-5C632CD1149A}"/>
              </c:ext>
            </c:extLst>
          </c:dPt>
          <c:dPt>
            <c:idx val="44"/>
            <c:invertIfNegative val="0"/>
            <c:bubble3D val="0"/>
            <c:spPr>
              <a:solidFill>
                <a:srgbClr val="71C6FF"/>
              </a:solidFill>
              <a:ln>
                <a:noFill/>
              </a:ln>
              <a:effectLst/>
            </c:spPr>
            <c:extLst>
              <c:ext xmlns:c16="http://schemas.microsoft.com/office/drawing/2014/chart" uri="{C3380CC4-5D6E-409C-BE32-E72D297353CC}">
                <c16:uniqueId val="{00000045-1B2A-494D-ABD1-5C632CD1149A}"/>
              </c:ext>
            </c:extLst>
          </c:dPt>
          <c:dPt>
            <c:idx val="45"/>
            <c:invertIfNegative val="0"/>
            <c:bubble3D val="0"/>
            <c:spPr>
              <a:solidFill>
                <a:srgbClr val="25A7FF"/>
              </a:solidFill>
              <a:ln>
                <a:noFill/>
              </a:ln>
              <a:effectLst/>
            </c:spPr>
            <c:extLst>
              <c:ext xmlns:c16="http://schemas.microsoft.com/office/drawing/2014/chart" uri="{C3380CC4-5D6E-409C-BE32-E72D297353CC}">
                <c16:uniqueId val="{00000047-1B2A-494D-ABD1-5C632CD1149A}"/>
              </c:ext>
            </c:extLst>
          </c:dPt>
          <c:dPt>
            <c:idx val="48"/>
            <c:invertIfNegative val="0"/>
            <c:bubble3D val="0"/>
            <c:spPr>
              <a:solidFill>
                <a:srgbClr val="7030A0"/>
              </a:solidFill>
              <a:ln>
                <a:noFill/>
              </a:ln>
              <a:effectLst/>
            </c:spPr>
            <c:extLst>
              <c:ext xmlns:c16="http://schemas.microsoft.com/office/drawing/2014/chart" uri="{C3380CC4-5D6E-409C-BE32-E72D297353CC}">
                <c16:uniqueId val="{00000049-1B2A-494D-ABD1-5C632CD1149A}"/>
              </c:ext>
            </c:extLst>
          </c:dPt>
          <c:dPt>
            <c:idx val="49"/>
            <c:invertIfNegative val="0"/>
            <c:bubble3D val="0"/>
            <c:spPr>
              <a:solidFill>
                <a:srgbClr val="9954CC"/>
              </a:solidFill>
              <a:ln>
                <a:noFill/>
              </a:ln>
              <a:effectLst/>
            </c:spPr>
            <c:extLst>
              <c:ext xmlns:c16="http://schemas.microsoft.com/office/drawing/2014/chart" uri="{C3380CC4-5D6E-409C-BE32-E72D297353CC}">
                <c16:uniqueId val="{0000004B-1B2A-494D-ABD1-5C632CD1149A}"/>
              </c:ext>
            </c:extLst>
          </c:dPt>
          <c:dPt>
            <c:idx val="50"/>
            <c:invertIfNegative val="0"/>
            <c:bubble3D val="0"/>
            <c:spPr>
              <a:solidFill>
                <a:srgbClr val="B685DB"/>
              </a:solidFill>
              <a:ln>
                <a:noFill/>
              </a:ln>
              <a:effectLst/>
            </c:spPr>
            <c:extLst>
              <c:ext xmlns:c16="http://schemas.microsoft.com/office/drawing/2014/chart" uri="{C3380CC4-5D6E-409C-BE32-E72D297353CC}">
                <c16:uniqueId val="{0000004D-1B2A-494D-ABD1-5C632CD1149A}"/>
              </c:ext>
            </c:extLst>
          </c:dPt>
          <c:dPt>
            <c:idx val="51"/>
            <c:invertIfNegative val="0"/>
            <c:bubble3D val="0"/>
            <c:spPr>
              <a:solidFill>
                <a:srgbClr val="D5B8EA"/>
              </a:solidFill>
              <a:ln>
                <a:noFill/>
              </a:ln>
              <a:effectLst/>
            </c:spPr>
            <c:extLst>
              <c:ext xmlns:c16="http://schemas.microsoft.com/office/drawing/2014/chart" uri="{C3380CC4-5D6E-409C-BE32-E72D297353CC}">
                <c16:uniqueId val="{0000004F-1B2A-494D-ABD1-5C632CD1149A}"/>
              </c:ext>
            </c:extLst>
          </c:dPt>
          <c:dPt>
            <c:idx val="52"/>
            <c:invertIfNegative val="0"/>
            <c:bubble3D val="0"/>
            <c:spPr>
              <a:solidFill>
                <a:srgbClr val="71C6FF"/>
              </a:solidFill>
              <a:ln>
                <a:noFill/>
              </a:ln>
              <a:effectLst/>
            </c:spPr>
            <c:extLst>
              <c:ext xmlns:c16="http://schemas.microsoft.com/office/drawing/2014/chart" uri="{C3380CC4-5D6E-409C-BE32-E72D297353CC}">
                <c16:uniqueId val="{00000051-1B2A-494D-ABD1-5C632CD1149A}"/>
              </c:ext>
            </c:extLst>
          </c:dPt>
          <c:dPt>
            <c:idx val="53"/>
            <c:invertIfNegative val="0"/>
            <c:bubble3D val="0"/>
            <c:spPr>
              <a:solidFill>
                <a:srgbClr val="25A7FF"/>
              </a:solidFill>
              <a:ln>
                <a:noFill/>
              </a:ln>
              <a:effectLst/>
            </c:spPr>
            <c:extLst>
              <c:ext xmlns:c16="http://schemas.microsoft.com/office/drawing/2014/chart" uri="{C3380CC4-5D6E-409C-BE32-E72D297353CC}">
                <c16:uniqueId val="{00000053-1B2A-494D-ABD1-5C632CD1149A}"/>
              </c:ext>
            </c:extLst>
          </c:dPt>
          <c:dPt>
            <c:idx val="56"/>
            <c:invertIfNegative val="0"/>
            <c:bubble3D val="0"/>
            <c:spPr>
              <a:solidFill>
                <a:srgbClr val="7030A0"/>
              </a:solidFill>
              <a:ln>
                <a:noFill/>
              </a:ln>
              <a:effectLst/>
            </c:spPr>
            <c:extLst>
              <c:ext xmlns:c16="http://schemas.microsoft.com/office/drawing/2014/chart" uri="{C3380CC4-5D6E-409C-BE32-E72D297353CC}">
                <c16:uniqueId val="{00000055-1B2A-494D-ABD1-5C632CD1149A}"/>
              </c:ext>
            </c:extLst>
          </c:dPt>
          <c:dPt>
            <c:idx val="57"/>
            <c:invertIfNegative val="0"/>
            <c:bubble3D val="0"/>
            <c:spPr>
              <a:solidFill>
                <a:srgbClr val="9954CC"/>
              </a:solidFill>
              <a:ln>
                <a:noFill/>
              </a:ln>
              <a:effectLst/>
            </c:spPr>
            <c:extLst>
              <c:ext xmlns:c16="http://schemas.microsoft.com/office/drawing/2014/chart" uri="{C3380CC4-5D6E-409C-BE32-E72D297353CC}">
                <c16:uniqueId val="{00000057-1B2A-494D-ABD1-5C632CD1149A}"/>
              </c:ext>
            </c:extLst>
          </c:dPt>
          <c:dPt>
            <c:idx val="58"/>
            <c:invertIfNegative val="0"/>
            <c:bubble3D val="0"/>
            <c:spPr>
              <a:solidFill>
                <a:srgbClr val="B685DB"/>
              </a:solidFill>
              <a:ln>
                <a:noFill/>
              </a:ln>
              <a:effectLst/>
            </c:spPr>
            <c:extLst>
              <c:ext xmlns:c16="http://schemas.microsoft.com/office/drawing/2014/chart" uri="{C3380CC4-5D6E-409C-BE32-E72D297353CC}">
                <c16:uniqueId val="{00000059-1B2A-494D-ABD1-5C632CD1149A}"/>
              </c:ext>
            </c:extLst>
          </c:dPt>
          <c:dPt>
            <c:idx val="59"/>
            <c:invertIfNegative val="0"/>
            <c:bubble3D val="0"/>
            <c:spPr>
              <a:solidFill>
                <a:srgbClr val="D5B8EA"/>
              </a:solidFill>
              <a:ln>
                <a:noFill/>
              </a:ln>
              <a:effectLst/>
            </c:spPr>
            <c:extLst>
              <c:ext xmlns:c16="http://schemas.microsoft.com/office/drawing/2014/chart" uri="{C3380CC4-5D6E-409C-BE32-E72D297353CC}">
                <c16:uniqueId val="{0000005B-1B2A-494D-ABD1-5C632CD1149A}"/>
              </c:ext>
            </c:extLst>
          </c:dPt>
          <c:dPt>
            <c:idx val="60"/>
            <c:invertIfNegative val="0"/>
            <c:bubble3D val="0"/>
            <c:spPr>
              <a:solidFill>
                <a:srgbClr val="71C6FF"/>
              </a:solidFill>
              <a:ln>
                <a:noFill/>
              </a:ln>
              <a:effectLst/>
            </c:spPr>
            <c:extLst>
              <c:ext xmlns:c16="http://schemas.microsoft.com/office/drawing/2014/chart" uri="{C3380CC4-5D6E-409C-BE32-E72D297353CC}">
                <c16:uniqueId val="{0000005D-1B2A-494D-ABD1-5C632CD1149A}"/>
              </c:ext>
            </c:extLst>
          </c:dPt>
          <c:dPt>
            <c:idx val="61"/>
            <c:invertIfNegative val="0"/>
            <c:bubble3D val="0"/>
            <c:spPr>
              <a:solidFill>
                <a:srgbClr val="25A7FF"/>
              </a:solidFill>
              <a:ln>
                <a:noFill/>
              </a:ln>
              <a:effectLst/>
            </c:spPr>
            <c:extLst>
              <c:ext xmlns:c16="http://schemas.microsoft.com/office/drawing/2014/chart" uri="{C3380CC4-5D6E-409C-BE32-E72D297353CC}">
                <c16:uniqueId val="{0000005F-1B2A-494D-ABD1-5C632CD1149A}"/>
              </c:ext>
            </c:extLst>
          </c:dPt>
          <c:dPt>
            <c:idx val="64"/>
            <c:invertIfNegative val="0"/>
            <c:bubble3D val="0"/>
            <c:spPr>
              <a:solidFill>
                <a:srgbClr val="7030A0"/>
              </a:solidFill>
              <a:ln>
                <a:noFill/>
              </a:ln>
              <a:effectLst/>
            </c:spPr>
            <c:extLst>
              <c:ext xmlns:c16="http://schemas.microsoft.com/office/drawing/2014/chart" uri="{C3380CC4-5D6E-409C-BE32-E72D297353CC}">
                <c16:uniqueId val="{00000061-1B2A-494D-ABD1-5C632CD1149A}"/>
              </c:ext>
            </c:extLst>
          </c:dPt>
          <c:dPt>
            <c:idx val="65"/>
            <c:invertIfNegative val="0"/>
            <c:bubble3D val="0"/>
            <c:spPr>
              <a:solidFill>
                <a:srgbClr val="9954CC"/>
              </a:solidFill>
              <a:ln>
                <a:noFill/>
              </a:ln>
              <a:effectLst/>
            </c:spPr>
            <c:extLst>
              <c:ext xmlns:c16="http://schemas.microsoft.com/office/drawing/2014/chart" uri="{C3380CC4-5D6E-409C-BE32-E72D297353CC}">
                <c16:uniqueId val="{00000063-1B2A-494D-ABD1-5C632CD1149A}"/>
              </c:ext>
            </c:extLst>
          </c:dPt>
          <c:dPt>
            <c:idx val="66"/>
            <c:invertIfNegative val="0"/>
            <c:bubble3D val="0"/>
            <c:spPr>
              <a:solidFill>
                <a:srgbClr val="B685DB"/>
              </a:solidFill>
              <a:ln>
                <a:noFill/>
              </a:ln>
              <a:effectLst/>
            </c:spPr>
            <c:extLst>
              <c:ext xmlns:c16="http://schemas.microsoft.com/office/drawing/2014/chart" uri="{C3380CC4-5D6E-409C-BE32-E72D297353CC}">
                <c16:uniqueId val="{00000065-1B2A-494D-ABD1-5C632CD1149A}"/>
              </c:ext>
            </c:extLst>
          </c:dPt>
          <c:dPt>
            <c:idx val="67"/>
            <c:invertIfNegative val="0"/>
            <c:bubble3D val="0"/>
            <c:spPr>
              <a:solidFill>
                <a:srgbClr val="D5B8EA"/>
              </a:solidFill>
              <a:ln>
                <a:noFill/>
              </a:ln>
              <a:effectLst/>
            </c:spPr>
            <c:extLst>
              <c:ext xmlns:c16="http://schemas.microsoft.com/office/drawing/2014/chart" uri="{C3380CC4-5D6E-409C-BE32-E72D297353CC}">
                <c16:uniqueId val="{00000067-1B2A-494D-ABD1-5C632CD1149A}"/>
              </c:ext>
            </c:extLst>
          </c:dPt>
          <c:dPt>
            <c:idx val="68"/>
            <c:invertIfNegative val="0"/>
            <c:bubble3D val="0"/>
            <c:spPr>
              <a:solidFill>
                <a:srgbClr val="71C6FF"/>
              </a:solidFill>
              <a:ln>
                <a:noFill/>
              </a:ln>
              <a:effectLst/>
            </c:spPr>
            <c:extLst>
              <c:ext xmlns:c16="http://schemas.microsoft.com/office/drawing/2014/chart" uri="{C3380CC4-5D6E-409C-BE32-E72D297353CC}">
                <c16:uniqueId val="{00000069-1B2A-494D-ABD1-5C632CD1149A}"/>
              </c:ext>
            </c:extLst>
          </c:dPt>
          <c:dPt>
            <c:idx val="69"/>
            <c:invertIfNegative val="0"/>
            <c:bubble3D val="0"/>
            <c:spPr>
              <a:solidFill>
                <a:srgbClr val="25A7FF"/>
              </a:solidFill>
              <a:ln>
                <a:noFill/>
              </a:ln>
              <a:effectLst/>
            </c:spPr>
            <c:extLst>
              <c:ext xmlns:c16="http://schemas.microsoft.com/office/drawing/2014/chart" uri="{C3380CC4-5D6E-409C-BE32-E72D297353CC}">
                <c16:uniqueId val="{0000006B-1B2A-494D-ABD1-5C632CD1149A}"/>
              </c:ext>
            </c:extLst>
          </c:dPt>
          <c:dPt>
            <c:idx val="72"/>
            <c:invertIfNegative val="0"/>
            <c:bubble3D val="0"/>
            <c:spPr>
              <a:solidFill>
                <a:srgbClr val="7030A0"/>
              </a:solidFill>
              <a:ln>
                <a:noFill/>
              </a:ln>
              <a:effectLst/>
            </c:spPr>
            <c:extLst>
              <c:ext xmlns:c16="http://schemas.microsoft.com/office/drawing/2014/chart" uri="{C3380CC4-5D6E-409C-BE32-E72D297353CC}">
                <c16:uniqueId val="{0000006D-1B2A-494D-ABD1-5C632CD1149A}"/>
              </c:ext>
            </c:extLst>
          </c:dPt>
          <c:dPt>
            <c:idx val="73"/>
            <c:invertIfNegative val="0"/>
            <c:bubble3D val="0"/>
            <c:spPr>
              <a:solidFill>
                <a:srgbClr val="9954CC"/>
              </a:solidFill>
              <a:ln>
                <a:noFill/>
              </a:ln>
              <a:effectLst/>
            </c:spPr>
            <c:extLst>
              <c:ext xmlns:c16="http://schemas.microsoft.com/office/drawing/2014/chart" uri="{C3380CC4-5D6E-409C-BE32-E72D297353CC}">
                <c16:uniqueId val="{0000006F-1B2A-494D-ABD1-5C632CD1149A}"/>
              </c:ext>
            </c:extLst>
          </c:dPt>
          <c:dPt>
            <c:idx val="74"/>
            <c:invertIfNegative val="0"/>
            <c:bubble3D val="0"/>
            <c:spPr>
              <a:solidFill>
                <a:srgbClr val="B685DB"/>
              </a:solidFill>
              <a:ln>
                <a:noFill/>
              </a:ln>
              <a:effectLst/>
            </c:spPr>
            <c:extLst>
              <c:ext xmlns:c16="http://schemas.microsoft.com/office/drawing/2014/chart" uri="{C3380CC4-5D6E-409C-BE32-E72D297353CC}">
                <c16:uniqueId val="{00000071-1B2A-494D-ABD1-5C632CD1149A}"/>
              </c:ext>
            </c:extLst>
          </c:dPt>
          <c:dPt>
            <c:idx val="75"/>
            <c:invertIfNegative val="0"/>
            <c:bubble3D val="0"/>
            <c:spPr>
              <a:solidFill>
                <a:srgbClr val="D5B8EA"/>
              </a:solidFill>
              <a:ln>
                <a:noFill/>
              </a:ln>
              <a:effectLst/>
            </c:spPr>
            <c:extLst>
              <c:ext xmlns:c16="http://schemas.microsoft.com/office/drawing/2014/chart" uri="{C3380CC4-5D6E-409C-BE32-E72D297353CC}">
                <c16:uniqueId val="{00000073-1B2A-494D-ABD1-5C632CD1149A}"/>
              </c:ext>
            </c:extLst>
          </c:dPt>
          <c:dPt>
            <c:idx val="76"/>
            <c:invertIfNegative val="0"/>
            <c:bubble3D val="0"/>
            <c:spPr>
              <a:solidFill>
                <a:srgbClr val="71C6FF"/>
              </a:solidFill>
              <a:ln>
                <a:noFill/>
              </a:ln>
              <a:effectLst/>
            </c:spPr>
            <c:extLst>
              <c:ext xmlns:c16="http://schemas.microsoft.com/office/drawing/2014/chart" uri="{C3380CC4-5D6E-409C-BE32-E72D297353CC}">
                <c16:uniqueId val="{00000075-1B2A-494D-ABD1-5C632CD1149A}"/>
              </c:ext>
            </c:extLst>
          </c:dPt>
          <c:dPt>
            <c:idx val="77"/>
            <c:invertIfNegative val="0"/>
            <c:bubble3D val="0"/>
            <c:spPr>
              <a:solidFill>
                <a:srgbClr val="25A7FF"/>
              </a:solidFill>
              <a:ln>
                <a:noFill/>
              </a:ln>
              <a:effectLst/>
            </c:spPr>
            <c:extLst>
              <c:ext xmlns:c16="http://schemas.microsoft.com/office/drawing/2014/chart" uri="{C3380CC4-5D6E-409C-BE32-E72D297353CC}">
                <c16:uniqueId val="{00000077-1B2A-494D-ABD1-5C632CD1149A}"/>
              </c:ext>
            </c:extLst>
          </c:dPt>
          <c:dPt>
            <c:idx val="80"/>
            <c:invertIfNegative val="0"/>
            <c:bubble3D val="0"/>
            <c:spPr>
              <a:solidFill>
                <a:srgbClr val="7030A0"/>
              </a:solidFill>
              <a:ln>
                <a:noFill/>
              </a:ln>
              <a:effectLst/>
            </c:spPr>
            <c:extLst>
              <c:ext xmlns:c16="http://schemas.microsoft.com/office/drawing/2014/chart" uri="{C3380CC4-5D6E-409C-BE32-E72D297353CC}">
                <c16:uniqueId val="{00000079-1B2A-494D-ABD1-5C632CD1149A}"/>
              </c:ext>
            </c:extLst>
          </c:dPt>
          <c:dPt>
            <c:idx val="81"/>
            <c:invertIfNegative val="0"/>
            <c:bubble3D val="0"/>
            <c:spPr>
              <a:solidFill>
                <a:srgbClr val="9954CC"/>
              </a:solidFill>
              <a:ln>
                <a:noFill/>
              </a:ln>
              <a:effectLst/>
            </c:spPr>
            <c:extLst>
              <c:ext xmlns:c16="http://schemas.microsoft.com/office/drawing/2014/chart" uri="{C3380CC4-5D6E-409C-BE32-E72D297353CC}">
                <c16:uniqueId val="{0000007B-1B2A-494D-ABD1-5C632CD1149A}"/>
              </c:ext>
            </c:extLst>
          </c:dPt>
          <c:dPt>
            <c:idx val="82"/>
            <c:invertIfNegative val="0"/>
            <c:bubble3D val="0"/>
            <c:spPr>
              <a:solidFill>
                <a:srgbClr val="B685DB"/>
              </a:solidFill>
              <a:ln>
                <a:noFill/>
              </a:ln>
              <a:effectLst/>
            </c:spPr>
            <c:extLst>
              <c:ext xmlns:c16="http://schemas.microsoft.com/office/drawing/2014/chart" uri="{C3380CC4-5D6E-409C-BE32-E72D297353CC}">
                <c16:uniqueId val="{0000007D-1B2A-494D-ABD1-5C632CD1149A}"/>
              </c:ext>
            </c:extLst>
          </c:dPt>
          <c:dPt>
            <c:idx val="83"/>
            <c:invertIfNegative val="0"/>
            <c:bubble3D val="0"/>
            <c:spPr>
              <a:solidFill>
                <a:srgbClr val="D5B8EA"/>
              </a:solidFill>
              <a:ln>
                <a:noFill/>
              </a:ln>
              <a:effectLst/>
            </c:spPr>
            <c:extLst>
              <c:ext xmlns:c16="http://schemas.microsoft.com/office/drawing/2014/chart" uri="{C3380CC4-5D6E-409C-BE32-E72D297353CC}">
                <c16:uniqueId val="{0000007F-1B2A-494D-ABD1-5C632CD1149A}"/>
              </c:ext>
            </c:extLst>
          </c:dPt>
          <c:dPt>
            <c:idx val="84"/>
            <c:invertIfNegative val="0"/>
            <c:bubble3D val="0"/>
            <c:spPr>
              <a:solidFill>
                <a:srgbClr val="71C6FF"/>
              </a:solidFill>
              <a:ln>
                <a:noFill/>
              </a:ln>
              <a:effectLst/>
            </c:spPr>
            <c:extLst>
              <c:ext xmlns:c16="http://schemas.microsoft.com/office/drawing/2014/chart" uri="{C3380CC4-5D6E-409C-BE32-E72D297353CC}">
                <c16:uniqueId val="{00000081-1B2A-494D-ABD1-5C632CD1149A}"/>
              </c:ext>
            </c:extLst>
          </c:dPt>
          <c:dPt>
            <c:idx val="85"/>
            <c:invertIfNegative val="0"/>
            <c:bubble3D val="0"/>
            <c:spPr>
              <a:solidFill>
                <a:srgbClr val="25A7FF"/>
              </a:solidFill>
              <a:ln>
                <a:noFill/>
              </a:ln>
              <a:effectLst/>
            </c:spPr>
            <c:extLst>
              <c:ext xmlns:c16="http://schemas.microsoft.com/office/drawing/2014/chart" uri="{C3380CC4-5D6E-409C-BE32-E72D297353CC}">
                <c16:uniqueId val="{00000083-1B2A-494D-ABD1-5C632CD1149A}"/>
              </c:ext>
            </c:extLst>
          </c:dPt>
          <c:dPt>
            <c:idx val="88"/>
            <c:invertIfNegative val="0"/>
            <c:bubble3D val="0"/>
            <c:spPr>
              <a:solidFill>
                <a:srgbClr val="7030A0"/>
              </a:solidFill>
              <a:ln>
                <a:noFill/>
              </a:ln>
              <a:effectLst/>
            </c:spPr>
            <c:extLst>
              <c:ext xmlns:c16="http://schemas.microsoft.com/office/drawing/2014/chart" uri="{C3380CC4-5D6E-409C-BE32-E72D297353CC}">
                <c16:uniqueId val="{00000085-1B2A-494D-ABD1-5C632CD1149A}"/>
              </c:ext>
            </c:extLst>
          </c:dPt>
          <c:dPt>
            <c:idx val="89"/>
            <c:invertIfNegative val="0"/>
            <c:bubble3D val="0"/>
            <c:spPr>
              <a:solidFill>
                <a:srgbClr val="9954CC"/>
              </a:solidFill>
              <a:ln>
                <a:noFill/>
              </a:ln>
              <a:effectLst/>
            </c:spPr>
            <c:extLst>
              <c:ext xmlns:c16="http://schemas.microsoft.com/office/drawing/2014/chart" uri="{C3380CC4-5D6E-409C-BE32-E72D297353CC}">
                <c16:uniqueId val="{00000087-1B2A-494D-ABD1-5C632CD1149A}"/>
              </c:ext>
            </c:extLst>
          </c:dPt>
          <c:dPt>
            <c:idx val="90"/>
            <c:invertIfNegative val="0"/>
            <c:bubble3D val="0"/>
            <c:spPr>
              <a:solidFill>
                <a:srgbClr val="B685DB"/>
              </a:solidFill>
              <a:ln>
                <a:noFill/>
              </a:ln>
              <a:effectLst/>
            </c:spPr>
            <c:extLst>
              <c:ext xmlns:c16="http://schemas.microsoft.com/office/drawing/2014/chart" uri="{C3380CC4-5D6E-409C-BE32-E72D297353CC}">
                <c16:uniqueId val="{00000089-1B2A-494D-ABD1-5C632CD1149A}"/>
              </c:ext>
            </c:extLst>
          </c:dPt>
          <c:dPt>
            <c:idx val="91"/>
            <c:invertIfNegative val="0"/>
            <c:bubble3D val="0"/>
            <c:spPr>
              <a:solidFill>
                <a:srgbClr val="D5B8EA"/>
              </a:solidFill>
              <a:ln>
                <a:noFill/>
              </a:ln>
              <a:effectLst/>
            </c:spPr>
            <c:extLst>
              <c:ext xmlns:c16="http://schemas.microsoft.com/office/drawing/2014/chart" uri="{C3380CC4-5D6E-409C-BE32-E72D297353CC}">
                <c16:uniqueId val="{0000008B-1B2A-494D-ABD1-5C632CD1149A}"/>
              </c:ext>
            </c:extLst>
          </c:dPt>
          <c:dPt>
            <c:idx val="92"/>
            <c:invertIfNegative val="0"/>
            <c:bubble3D val="0"/>
            <c:spPr>
              <a:solidFill>
                <a:srgbClr val="71C6FF"/>
              </a:solidFill>
              <a:ln>
                <a:noFill/>
              </a:ln>
              <a:effectLst/>
            </c:spPr>
            <c:extLst>
              <c:ext xmlns:c16="http://schemas.microsoft.com/office/drawing/2014/chart" uri="{C3380CC4-5D6E-409C-BE32-E72D297353CC}">
                <c16:uniqueId val="{0000008D-1B2A-494D-ABD1-5C632CD1149A}"/>
              </c:ext>
            </c:extLst>
          </c:dPt>
          <c:dPt>
            <c:idx val="93"/>
            <c:invertIfNegative val="0"/>
            <c:bubble3D val="0"/>
            <c:spPr>
              <a:solidFill>
                <a:srgbClr val="25A7FF"/>
              </a:solidFill>
              <a:ln>
                <a:noFill/>
              </a:ln>
              <a:effectLst/>
            </c:spPr>
            <c:extLst>
              <c:ext xmlns:c16="http://schemas.microsoft.com/office/drawing/2014/chart" uri="{C3380CC4-5D6E-409C-BE32-E72D297353CC}">
                <c16:uniqueId val="{0000008F-1B2A-494D-ABD1-5C632CD1149A}"/>
              </c:ext>
            </c:extLst>
          </c:dPt>
          <c:dPt>
            <c:idx val="96"/>
            <c:invertIfNegative val="0"/>
            <c:bubble3D val="0"/>
            <c:spPr>
              <a:solidFill>
                <a:srgbClr val="7030A0"/>
              </a:solidFill>
              <a:ln>
                <a:noFill/>
              </a:ln>
              <a:effectLst/>
            </c:spPr>
            <c:extLst>
              <c:ext xmlns:c16="http://schemas.microsoft.com/office/drawing/2014/chart" uri="{C3380CC4-5D6E-409C-BE32-E72D297353CC}">
                <c16:uniqueId val="{00000091-1B2A-494D-ABD1-5C632CD1149A}"/>
              </c:ext>
            </c:extLst>
          </c:dPt>
          <c:dPt>
            <c:idx val="97"/>
            <c:invertIfNegative val="0"/>
            <c:bubble3D val="0"/>
            <c:spPr>
              <a:solidFill>
                <a:srgbClr val="9954CC"/>
              </a:solidFill>
              <a:ln>
                <a:noFill/>
              </a:ln>
              <a:effectLst/>
            </c:spPr>
            <c:extLst>
              <c:ext xmlns:c16="http://schemas.microsoft.com/office/drawing/2014/chart" uri="{C3380CC4-5D6E-409C-BE32-E72D297353CC}">
                <c16:uniqueId val="{00000093-1B2A-494D-ABD1-5C632CD1149A}"/>
              </c:ext>
            </c:extLst>
          </c:dPt>
          <c:dPt>
            <c:idx val="98"/>
            <c:invertIfNegative val="0"/>
            <c:bubble3D val="0"/>
            <c:spPr>
              <a:solidFill>
                <a:srgbClr val="B685DB"/>
              </a:solidFill>
              <a:ln>
                <a:noFill/>
              </a:ln>
              <a:effectLst/>
            </c:spPr>
            <c:extLst>
              <c:ext xmlns:c16="http://schemas.microsoft.com/office/drawing/2014/chart" uri="{C3380CC4-5D6E-409C-BE32-E72D297353CC}">
                <c16:uniqueId val="{00000095-1B2A-494D-ABD1-5C632CD1149A}"/>
              </c:ext>
            </c:extLst>
          </c:dPt>
          <c:dPt>
            <c:idx val="99"/>
            <c:invertIfNegative val="0"/>
            <c:bubble3D val="0"/>
            <c:spPr>
              <a:solidFill>
                <a:srgbClr val="D5B8EA"/>
              </a:solidFill>
              <a:ln>
                <a:noFill/>
              </a:ln>
              <a:effectLst/>
            </c:spPr>
            <c:extLst>
              <c:ext xmlns:c16="http://schemas.microsoft.com/office/drawing/2014/chart" uri="{C3380CC4-5D6E-409C-BE32-E72D297353CC}">
                <c16:uniqueId val="{00000097-1B2A-494D-ABD1-5C632CD1149A}"/>
              </c:ext>
            </c:extLst>
          </c:dPt>
          <c:dPt>
            <c:idx val="100"/>
            <c:invertIfNegative val="0"/>
            <c:bubble3D val="0"/>
            <c:spPr>
              <a:solidFill>
                <a:srgbClr val="71C6FF"/>
              </a:solidFill>
              <a:ln>
                <a:noFill/>
              </a:ln>
              <a:effectLst/>
            </c:spPr>
            <c:extLst>
              <c:ext xmlns:c16="http://schemas.microsoft.com/office/drawing/2014/chart" uri="{C3380CC4-5D6E-409C-BE32-E72D297353CC}">
                <c16:uniqueId val="{00000099-1B2A-494D-ABD1-5C632CD1149A}"/>
              </c:ext>
            </c:extLst>
          </c:dPt>
          <c:dPt>
            <c:idx val="101"/>
            <c:invertIfNegative val="0"/>
            <c:bubble3D val="0"/>
            <c:spPr>
              <a:solidFill>
                <a:srgbClr val="25A7FF"/>
              </a:solidFill>
              <a:ln>
                <a:noFill/>
              </a:ln>
              <a:effectLst/>
            </c:spPr>
            <c:extLst>
              <c:ext xmlns:c16="http://schemas.microsoft.com/office/drawing/2014/chart" uri="{C3380CC4-5D6E-409C-BE32-E72D297353CC}">
                <c16:uniqueId val="{0000009B-1B2A-494D-ABD1-5C632CD1149A}"/>
              </c:ext>
            </c:extLst>
          </c:dPt>
          <c:dPt>
            <c:idx val="104"/>
            <c:invertIfNegative val="0"/>
            <c:bubble3D val="0"/>
            <c:spPr>
              <a:solidFill>
                <a:srgbClr val="7030A0"/>
              </a:solidFill>
              <a:ln>
                <a:noFill/>
              </a:ln>
              <a:effectLst/>
            </c:spPr>
            <c:extLst>
              <c:ext xmlns:c16="http://schemas.microsoft.com/office/drawing/2014/chart" uri="{C3380CC4-5D6E-409C-BE32-E72D297353CC}">
                <c16:uniqueId val="{0000009D-1B2A-494D-ABD1-5C632CD1149A}"/>
              </c:ext>
            </c:extLst>
          </c:dPt>
          <c:dPt>
            <c:idx val="105"/>
            <c:invertIfNegative val="0"/>
            <c:bubble3D val="0"/>
            <c:spPr>
              <a:solidFill>
                <a:srgbClr val="9954CC"/>
              </a:solidFill>
              <a:ln>
                <a:noFill/>
              </a:ln>
              <a:effectLst/>
            </c:spPr>
            <c:extLst>
              <c:ext xmlns:c16="http://schemas.microsoft.com/office/drawing/2014/chart" uri="{C3380CC4-5D6E-409C-BE32-E72D297353CC}">
                <c16:uniqueId val="{0000009F-1B2A-494D-ABD1-5C632CD1149A}"/>
              </c:ext>
            </c:extLst>
          </c:dPt>
          <c:dPt>
            <c:idx val="106"/>
            <c:invertIfNegative val="0"/>
            <c:bubble3D val="0"/>
            <c:spPr>
              <a:solidFill>
                <a:srgbClr val="B685DB"/>
              </a:solidFill>
              <a:ln>
                <a:noFill/>
              </a:ln>
              <a:effectLst/>
            </c:spPr>
            <c:extLst>
              <c:ext xmlns:c16="http://schemas.microsoft.com/office/drawing/2014/chart" uri="{C3380CC4-5D6E-409C-BE32-E72D297353CC}">
                <c16:uniqueId val="{000000A1-1B2A-494D-ABD1-5C632CD1149A}"/>
              </c:ext>
            </c:extLst>
          </c:dPt>
          <c:dPt>
            <c:idx val="107"/>
            <c:invertIfNegative val="0"/>
            <c:bubble3D val="0"/>
            <c:spPr>
              <a:solidFill>
                <a:srgbClr val="D5B8EA"/>
              </a:solidFill>
              <a:ln>
                <a:noFill/>
              </a:ln>
              <a:effectLst/>
            </c:spPr>
            <c:extLst>
              <c:ext xmlns:c16="http://schemas.microsoft.com/office/drawing/2014/chart" uri="{C3380CC4-5D6E-409C-BE32-E72D297353CC}">
                <c16:uniqueId val="{000000A3-1B2A-494D-ABD1-5C632CD1149A}"/>
              </c:ext>
            </c:extLst>
          </c:dPt>
          <c:dPt>
            <c:idx val="108"/>
            <c:invertIfNegative val="0"/>
            <c:bubble3D val="0"/>
            <c:spPr>
              <a:solidFill>
                <a:srgbClr val="71C6FF"/>
              </a:solidFill>
              <a:ln>
                <a:noFill/>
              </a:ln>
              <a:effectLst/>
            </c:spPr>
            <c:extLst>
              <c:ext xmlns:c16="http://schemas.microsoft.com/office/drawing/2014/chart" uri="{C3380CC4-5D6E-409C-BE32-E72D297353CC}">
                <c16:uniqueId val="{000000A5-1B2A-494D-ABD1-5C632CD1149A}"/>
              </c:ext>
            </c:extLst>
          </c:dPt>
          <c:dPt>
            <c:idx val="109"/>
            <c:invertIfNegative val="0"/>
            <c:bubble3D val="0"/>
            <c:spPr>
              <a:solidFill>
                <a:srgbClr val="25A7FF"/>
              </a:solidFill>
              <a:ln>
                <a:noFill/>
              </a:ln>
              <a:effectLst/>
            </c:spPr>
            <c:extLst>
              <c:ext xmlns:c16="http://schemas.microsoft.com/office/drawing/2014/chart" uri="{C3380CC4-5D6E-409C-BE32-E72D297353CC}">
                <c16:uniqueId val="{000000A7-1B2A-494D-ABD1-5C632CD1149A}"/>
              </c:ext>
            </c:extLst>
          </c:dPt>
          <c:dPt>
            <c:idx val="112"/>
            <c:invertIfNegative val="0"/>
            <c:bubble3D val="0"/>
            <c:spPr>
              <a:solidFill>
                <a:srgbClr val="7030A0"/>
              </a:solidFill>
              <a:ln>
                <a:noFill/>
              </a:ln>
              <a:effectLst/>
            </c:spPr>
            <c:extLst>
              <c:ext xmlns:c16="http://schemas.microsoft.com/office/drawing/2014/chart" uri="{C3380CC4-5D6E-409C-BE32-E72D297353CC}">
                <c16:uniqueId val="{000000A9-1B2A-494D-ABD1-5C632CD1149A}"/>
              </c:ext>
            </c:extLst>
          </c:dPt>
          <c:dPt>
            <c:idx val="113"/>
            <c:invertIfNegative val="0"/>
            <c:bubble3D val="0"/>
            <c:spPr>
              <a:solidFill>
                <a:srgbClr val="9954CC"/>
              </a:solidFill>
              <a:ln>
                <a:noFill/>
              </a:ln>
              <a:effectLst/>
            </c:spPr>
            <c:extLst>
              <c:ext xmlns:c16="http://schemas.microsoft.com/office/drawing/2014/chart" uri="{C3380CC4-5D6E-409C-BE32-E72D297353CC}">
                <c16:uniqueId val="{000000AB-1B2A-494D-ABD1-5C632CD1149A}"/>
              </c:ext>
            </c:extLst>
          </c:dPt>
          <c:dPt>
            <c:idx val="114"/>
            <c:invertIfNegative val="0"/>
            <c:bubble3D val="0"/>
            <c:spPr>
              <a:solidFill>
                <a:srgbClr val="B685DB"/>
              </a:solidFill>
              <a:ln>
                <a:noFill/>
              </a:ln>
              <a:effectLst/>
            </c:spPr>
            <c:extLst>
              <c:ext xmlns:c16="http://schemas.microsoft.com/office/drawing/2014/chart" uri="{C3380CC4-5D6E-409C-BE32-E72D297353CC}">
                <c16:uniqueId val="{000000AD-1B2A-494D-ABD1-5C632CD1149A}"/>
              </c:ext>
            </c:extLst>
          </c:dPt>
          <c:dPt>
            <c:idx val="115"/>
            <c:invertIfNegative val="0"/>
            <c:bubble3D val="0"/>
            <c:spPr>
              <a:solidFill>
                <a:srgbClr val="D5B8EA"/>
              </a:solidFill>
              <a:ln>
                <a:noFill/>
              </a:ln>
              <a:effectLst/>
            </c:spPr>
            <c:extLst>
              <c:ext xmlns:c16="http://schemas.microsoft.com/office/drawing/2014/chart" uri="{C3380CC4-5D6E-409C-BE32-E72D297353CC}">
                <c16:uniqueId val="{000000AF-1B2A-494D-ABD1-5C632CD1149A}"/>
              </c:ext>
            </c:extLst>
          </c:dPt>
          <c:dPt>
            <c:idx val="116"/>
            <c:invertIfNegative val="0"/>
            <c:bubble3D val="0"/>
            <c:spPr>
              <a:solidFill>
                <a:srgbClr val="71C6FF"/>
              </a:solidFill>
              <a:ln>
                <a:noFill/>
              </a:ln>
              <a:effectLst/>
            </c:spPr>
            <c:extLst>
              <c:ext xmlns:c16="http://schemas.microsoft.com/office/drawing/2014/chart" uri="{C3380CC4-5D6E-409C-BE32-E72D297353CC}">
                <c16:uniqueId val="{000000B1-1B2A-494D-ABD1-5C632CD1149A}"/>
              </c:ext>
            </c:extLst>
          </c:dPt>
          <c:dPt>
            <c:idx val="117"/>
            <c:invertIfNegative val="0"/>
            <c:bubble3D val="0"/>
            <c:spPr>
              <a:solidFill>
                <a:srgbClr val="25A7FF"/>
              </a:solidFill>
              <a:ln>
                <a:noFill/>
              </a:ln>
              <a:effectLst/>
            </c:spPr>
            <c:extLst>
              <c:ext xmlns:c16="http://schemas.microsoft.com/office/drawing/2014/chart" uri="{C3380CC4-5D6E-409C-BE32-E72D297353CC}">
                <c16:uniqueId val="{000000B3-1B2A-494D-ABD1-5C632CD1149A}"/>
              </c:ext>
            </c:extLst>
          </c:dPt>
          <c:cat>
            <c:strRef>
              <c:f>'[Publ.-Grafy-Struktura mezd zam-2012-2018.xlsx]GRAF-4-doba+zaklad mzda'!$B$63:$B$181</c:f>
              <c:strCache>
                <c:ptCount val="116"/>
                <c:pt idx="3">
                  <c:v>&lt;1 rok</c:v>
                </c:pt>
                <c:pt idx="11">
                  <c:v>1 rok</c:v>
                </c:pt>
                <c:pt idx="19">
                  <c:v>2 roky</c:v>
                </c:pt>
                <c:pt idx="27">
                  <c:v>3 roky</c:v>
                </c:pt>
                <c:pt idx="35">
                  <c:v>4 roky</c:v>
                </c:pt>
                <c:pt idx="43">
                  <c:v>5–6 let</c:v>
                </c:pt>
                <c:pt idx="51">
                  <c:v>7–8 let</c:v>
                </c:pt>
                <c:pt idx="59">
                  <c:v>9–10 let</c:v>
                </c:pt>
                <c:pt idx="67">
                  <c:v>11–12 let</c:v>
                </c:pt>
                <c:pt idx="75">
                  <c:v>13–14 let</c:v>
                </c:pt>
                <c:pt idx="83">
                  <c:v>15–16 let</c:v>
                </c:pt>
                <c:pt idx="91">
                  <c:v>17–18 let</c:v>
                </c:pt>
                <c:pt idx="99">
                  <c:v>19–20 let</c:v>
                </c:pt>
                <c:pt idx="107">
                  <c:v>21–30 let</c:v>
                </c:pt>
                <c:pt idx="115">
                  <c:v>&gt;31 let</c:v>
                </c:pt>
              </c:strCache>
            </c:strRef>
          </c:cat>
          <c:val>
            <c:numRef>
              <c:f>'[Publ.-Grafy-Struktura mezd zam-2012-2018.xlsx]GRAF-4-doba+zaklad mzda'!$C$63:$C$181</c:f>
              <c:numCache>
                <c:formatCode>#,##0</c:formatCode>
                <c:ptCount val="119"/>
                <c:pt idx="0">
                  <c:v>80.297313269991363</c:v>
                </c:pt>
                <c:pt idx="1">
                  <c:v>78.37060989849995</c:v>
                </c:pt>
                <c:pt idx="2">
                  <c:v>78.431973384696192</c:v>
                </c:pt>
                <c:pt idx="3">
                  <c:v>79.865969822136051</c:v>
                </c:pt>
                <c:pt idx="4">
                  <c:v>81.602753982867654</c:v>
                </c:pt>
                <c:pt idx="5">
                  <c:v>82.811161196587562</c:v>
                </c:pt>
                <c:pt idx="6">
                  <c:v>83.470394736842096</c:v>
                </c:pt>
                <c:pt idx="8">
                  <c:v>85.143428649361269</c:v>
                </c:pt>
                <c:pt idx="9">
                  <c:v>84.510015269918256</c:v>
                </c:pt>
                <c:pt idx="10">
                  <c:v>84.113990544563123</c:v>
                </c:pt>
                <c:pt idx="11">
                  <c:v>84.194554497176085</c:v>
                </c:pt>
                <c:pt idx="12">
                  <c:v>87.458970458730292</c:v>
                </c:pt>
                <c:pt idx="13">
                  <c:v>88.291174607905234</c:v>
                </c:pt>
                <c:pt idx="14">
                  <c:v>88.654742324561411</c:v>
                </c:pt>
                <c:pt idx="16">
                  <c:v>89.53493658226121</c:v>
                </c:pt>
                <c:pt idx="17">
                  <c:v>89.989221234168696</c:v>
                </c:pt>
                <c:pt idx="18">
                  <c:v>89.367011031343026</c:v>
                </c:pt>
                <c:pt idx="19">
                  <c:v>90.078395009694006</c:v>
                </c:pt>
                <c:pt idx="20">
                  <c:v>90.549195420702915</c:v>
                </c:pt>
                <c:pt idx="21">
                  <c:v>92.437506985061276</c:v>
                </c:pt>
                <c:pt idx="22">
                  <c:v>92.85567434210526</c:v>
                </c:pt>
                <c:pt idx="24">
                  <c:v>93.40819202618539</c:v>
                </c:pt>
                <c:pt idx="25">
                  <c:v>93.110572172819545</c:v>
                </c:pt>
                <c:pt idx="26">
                  <c:v>93.127298196462974</c:v>
                </c:pt>
                <c:pt idx="27">
                  <c:v>92.877012560060692</c:v>
                </c:pt>
                <c:pt idx="28">
                  <c:v>93.659434793051005</c:v>
                </c:pt>
                <c:pt idx="29">
                  <c:v>93.525313862086946</c:v>
                </c:pt>
                <c:pt idx="30">
                  <c:v>95.524945175438589</c:v>
                </c:pt>
                <c:pt idx="32">
                  <c:v>96.585898077010498</c:v>
                </c:pt>
                <c:pt idx="33">
                  <c:v>94.727387047516402</c:v>
                </c:pt>
                <c:pt idx="34">
                  <c:v>95.766940991069859</c:v>
                </c:pt>
                <c:pt idx="35">
                  <c:v>95.68827446682964</c:v>
                </c:pt>
                <c:pt idx="36">
                  <c:v>95.632855656072365</c:v>
                </c:pt>
                <c:pt idx="37">
                  <c:v>95.462504191036771</c:v>
                </c:pt>
                <c:pt idx="38">
                  <c:v>95.476973684210535</c:v>
                </c:pt>
                <c:pt idx="40">
                  <c:v>99.713597308723905</c:v>
                </c:pt>
                <c:pt idx="41">
                  <c:v>100.04940267672684</c:v>
                </c:pt>
                <c:pt idx="42">
                  <c:v>98.157065312554721</c:v>
                </c:pt>
                <c:pt idx="43">
                  <c:v>96.847340470370057</c:v>
                </c:pt>
                <c:pt idx="44">
                  <c:v>97.818429269073732</c:v>
                </c:pt>
                <c:pt idx="45">
                  <c:v>97.653019409156954</c:v>
                </c:pt>
                <c:pt idx="46">
                  <c:v>97.101151315789465</c:v>
                </c:pt>
                <c:pt idx="48">
                  <c:v>102.47761058326135</c:v>
                </c:pt>
                <c:pt idx="49">
                  <c:v>101.42369532021918</c:v>
                </c:pt>
                <c:pt idx="50">
                  <c:v>101.72036420942041</c:v>
                </c:pt>
                <c:pt idx="51">
                  <c:v>102.87869847424767</c:v>
                </c:pt>
                <c:pt idx="52">
                  <c:v>101.64918741493875</c:v>
                </c:pt>
                <c:pt idx="53">
                  <c:v>100.54017807249562</c:v>
                </c:pt>
                <c:pt idx="54">
                  <c:v>99.749862938596493</c:v>
                </c:pt>
                <c:pt idx="56">
                  <c:v>104.88248397508751</c:v>
                </c:pt>
                <c:pt idx="57">
                  <c:v>104.58546663073744</c:v>
                </c:pt>
                <c:pt idx="58">
                  <c:v>105.5944668184206</c:v>
                </c:pt>
                <c:pt idx="59">
                  <c:v>105.01559470622945</c:v>
                </c:pt>
                <c:pt idx="60">
                  <c:v>106.02433752301657</c:v>
                </c:pt>
                <c:pt idx="61">
                  <c:v>106.44488320977537</c:v>
                </c:pt>
                <c:pt idx="62">
                  <c:v>104.49904057017542</c:v>
                </c:pt>
                <c:pt idx="64">
                  <c:v>108.64208755739419</c:v>
                </c:pt>
                <c:pt idx="65">
                  <c:v>108.12898589778138</c:v>
                </c:pt>
                <c:pt idx="66">
                  <c:v>108.59744353002976</c:v>
                </c:pt>
                <c:pt idx="67">
                  <c:v>109.14608446430077</c:v>
                </c:pt>
                <c:pt idx="68">
                  <c:v>109.34272676326955</c:v>
                </c:pt>
                <c:pt idx="69">
                  <c:v>109.119696010133</c:v>
                </c:pt>
                <c:pt idx="70">
                  <c:v>109.70052083333333</c:v>
                </c:pt>
                <c:pt idx="72">
                  <c:v>109.33763695049325</c:v>
                </c:pt>
                <c:pt idx="73">
                  <c:v>109.74130962004851</c:v>
                </c:pt>
                <c:pt idx="74">
                  <c:v>110.64612151987392</c:v>
                </c:pt>
                <c:pt idx="75">
                  <c:v>111.73396274129648</c:v>
                </c:pt>
                <c:pt idx="76">
                  <c:v>111.90857417340484</c:v>
                </c:pt>
                <c:pt idx="77">
                  <c:v>111.49647952911374</c:v>
                </c:pt>
                <c:pt idx="78">
                  <c:v>111.79756030701755</c:v>
                </c:pt>
                <c:pt idx="80">
                  <c:v>111.84707005500749</c:v>
                </c:pt>
                <c:pt idx="81">
                  <c:v>112.32821341956345</c:v>
                </c:pt>
                <c:pt idx="82">
                  <c:v>112.34022062686044</c:v>
                </c:pt>
                <c:pt idx="83">
                  <c:v>112.66964511506363</c:v>
                </c:pt>
                <c:pt idx="84">
                  <c:v>112.57305259787047</c:v>
                </c:pt>
                <c:pt idx="85">
                  <c:v>112.60291323622546</c:v>
                </c:pt>
                <c:pt idx="86">
                  <c:v>112.83922697368421</c:v>
                </c:pt>
                <c:pt idx="88">
                  <c:v>114.86566349956813</c:v>
                </c:pt>
                <c:pt idx="89">
                  <c:v>114.36270547022367</c:v>
                </c:pt>
                <c:pt idx="90">
                  <c:v>114.42829627035545</c:v>
                </c:pt>
                <c:pt idx="91">
                  <c:v>114.86554834358931</c:v>
                </c:pt>
                <c:pt idx="92">
                  <c:v>114.89472420142503</c:v>
                </c:pt>
                <c:pt idx="93">
                  <c:v>114.78225235629399</c:v>
                </c:pt>
                <c:pt idx="94">
                  <c:v>114.85402960526316</c:v>
                </c:pt>
                <c:pt idx="96">
                  <c:v>119.19352638996226</c:v>
                </c:pt>
                <c:pt idx="97">
                  <c:v>118.23407886463666</c:v>
                </c:pt>
                <c:pt idx="98">
                  <c:v>117.42689546489231</c:v>
                </c:pt>
                <c:pt idx="99">
                  <c:v>117.13731771052854</c:v>
                </c:pt>
                <c:pt idx="100">
                  <c:v>116.03954847490192</c:v>
                </c:pt>
                <c:pt idx="101">
                  <c:v>114.96479529113735</c:v>
                </c:pt>
                <c:pt idx="102">
                  <c:v>116.93736293859649</c:v>
                </c:pt>
                <c:pt idx="104">
                  <c:v>122.41214711096968</c:v>
                </c:pt>
                <c:pt idx="105">
                  <c:v>122.65337285547471</c:v>
                </c:pt>
                <c:pt idx="106">
                  <c:v>122.72369112239538</c:v>
                </c:pt>
                <c:pt idx="107">
                  <c:v>123.4173480569839</c:v>
                </c:pt>
                <c:pt idx="108">
                  <c:v>122.49219437995356</c:v>
                </c:pt>
                <c:pt idx="109">
                  <c:v>121.9759341355288</c:v>
                </c:pt>
                <c:pt idx="110">
                  <c:v>122.69736842105263</c:v>
                </c:pt>
                <c:pt idx="112">
                  <c:v>122.94858389780426</c:v>
                </c:pt>
                <c:pt idx="113">
                  <c:v>123.25967843348604</c:v>
                </c:pt>
                <c:pt idx="114">
                  <c:v>123.46349150761688</c:v>
                </c:pt>
                <c:pt idx="115">
                  <c:v>124.76186462109078</c:v>
                </c:pt>
                <c:pt idx="116">
                  <c:v>123.10463533744296</c:v>
                </c:pt>
                <c:pt idx="117">
                  <c:v>122.82531758745296</c:v>
                </c:pt>
                <c:pt idx="118">
                  <c:v>124.02001096491229</c:v>
                </c:pt>
              </c:numCache>
            </c:numRef>
          </c:val>
          <c:extLst>
            <c:ext xmlns:c16="http://schemas.microsoft.com/office/drawing/2014/chart" uri="{C3380CC4-5D6E-409C-BE32-E72D297353CC}">
              <c16:uniqueId val="{000000B4-1B2A-494D-ABD1-5C632CD1149A}"/>
            </c:ext>
          </c:extLst>
        </c:ser>
        <c:dLbls>
          <c:showLegendKey val="0"/>
          <c:showVal val="0"/>
          <c:showCatName val="0"/>
          <c:showSerName val="0"/>
          <c:showPercent val="0"/>
          <c:showBubbleSize val="0"/>
        </c:dLbls>
        <c:gapWidth val="50"/>
        <c:axId val="105469440"/>
        <c:axId val="105471360"/>
      </c:barChart>
      <c:lineChart>
        <c:grouping val="standard"/>
        <c:varyColors val="0"/>
        <c:ser>
          <c:idx val="1"/>
          <c:order val="1"/>
          <c:tx>
            <c:strRef>
              <c:f>'[Publ.-Grafy-Struktura mezd zam-2012-2018.xlsx]GRAF-4-doba+zaklad mzda'!$D$62</c:f>
              <c:strCache>
                <c:ptCount val="1"/>
                <c:pt idx="0">
                  <c:v>Podíl základní složky platu (v %, pr. osa)</c:v>
                </c:pt>
              </c:strCache>
            </c:strRef>
          </c:tx>
          <c:spPr>
            <a:ln w="6350" cap="rnd">
              <a:solidFill>
                <a:srgbClr val="E8AFB2"/>
              </a:solidFill>
              <a:round/>
            </a:ln>
            <a:effectLst/>
          </c:spPr>
          <c:marker>
            <c:symbol val="circle"/>
            <c:size val="3"/>
            <c:spPr>
              <a:solidFill>
                <a:schemeClr val="accent2"/>
              </a:solidFill>
              <a:ln w="9525">
                <a:noFill/>
              </a:ln>
              <a:effectLst/>
            </c:spPr>
          </c:marker>
          <c:cat>
            <c:strRef>
              <c:f>'[Publ.-Grafy-Struktura mezd zam-2012-2018.xlsx]GRAF-4-doba+zaklad mzda'!$B$63:$B$181</c:f>
              <c:strCache>
                <c:ptCount val="116"/>
                <c:pt idx="3">
                  <c:v>&lt;1 rok</c:v>
                </c:pt>
                <c:pt idx="11">
                  <c:v>1 rok</c:v>
                </c:pt>
                <c:pt idx="19">
                  <c:v>2 roky</c:v>
                </c:pt>
                <c:pt idx="27">
                  <c:v>3 roky</c:v>
                </c:pt>
                <c:pt idx="35">
                  <c:v>4 roky</c:v>
                </c:pt>
                <c:pt idx="43">
                  <c:v>5–6 let</c:v>
                </c:pt>
                <c:pt idx="51">
                  <c:v>7–8 let</c:v>
                </c:pt>
                <c:pt idx="59">
                  <c:v>9–10 let</c:v>
                </c:pt>
                <c:pt idx="67">
                  <c:v>11–12 let</c:v>
                </c:pt>
                <c:pt idx="75">
                  <c:v>13–14 let</c:v>
                </c:pt>
                <c:pt idx="83">
                  <c:v>15–16 let</c:v>
                </c:pt>
                <c:pt idx="91">
                  <c:v>17–18 let</c:v>
                </c:pt>
                <c:pt idx="99">
                  <c:v>19–20 let</c:v>
                </c:pt>
                <c:pt idx="107">
                  <c:v>21–30 let</c:v>
                </c:pt>
                <c:pt idx="115">
                  <c:v>&gt;31 let</c:v>
                </c:pt>
              </c:strCache>
            </c:strRef>
          </c:cat>
          <c:val>
            <c:numRef>
              <c:f>'[Publ.-Grafy-Struktura mezd zam-2012-2018.xlsx]GRAF-4-doba+zaklad mzda'!$D$63:$D$181</c:f>
              <c:numCache>
                <c:formatCode>0.0</c:formatCode>
                <c:ptCount val="119"/>
                <c:pt idx="0">
                  <c:v>75.871099999999998</c:v>
                </c:pt>
                <c:pt idx="1">
                  <c:v>75.932199999999995</c:v>
                </c:pt>
                <c:pt idx="2">
                  <c:v>75.623699999999999</c:v>
                </c:pt>
                <c:pt idx="3">
                  <c:v>74.915999999999997</c:v>
                </c:pt>
                <c:pt idx="4">
                  <c:v>75.165400000000005</c:v>
                </c:pt>
                <c:pt idx="5">
                  <c:v>75.317599999999999</c:v>
                </c:pt>
                <c:pt idx="6">
                  <c:v>75.549499999999995</c:v>
                </c:pt>
                <c:pt idx="8">
                  <c:v>72.447900000000004</c:v>
                </c:pt>
                <c:pt idx="9">
                  <c:v>73.267700000000005</c:v>
                </c:pt>
                <c:pt idx="10">
                  <c:v>73.047300000000007</c:v>
                </c:pt>
                <c:pt idx="11">
                  <c:v>72.767499999999998</c:v>
                </c:pt>
                <c:pt idx="12">
                  <c:v>71.576099999999997</c:v>
                </c:pt>
                <c:pt idx="13">
                  <c:v>72.0411</c:v>
                </c:pt>
                <c:pt idx="14">
                  <c:v>72.126400000000004</c:v>
                </c:pt>
                <c:pt idx="16">
                  <c:v>70.787300000000002</c:v>
                </c:pt>
                <c:pt idx="17">
                  <c:v>70.972800000000007</c:v>
                </c:pt>
                <c:pt idx="18">
                  <c:v>70.965900000000005</c:v>
                </c:pt>
                <c:pt idx="19">
                  <c:v>70.476699999999994</c:v>
                </c:pt>
                <c:pt idx="20">
                  <c:v>70.089299999999994</c:v>
                </c:pt>
                <c:pt idx="21">
                  <c:v>69.231300000000005</c:v>
                </c:pt>
                <c:pt idx="22">
                  <c:v>69.840299999999999</c:v>
                </c:pt>
                <c:pt idx="24">
                  <c:v>70.841700000000003</c:v>
                </c:pt>
                <c:pt idx="25">
                  <c:v>70.670599999999993</c:v>
                </c:pt>
                <c:pt idx="26">
                  <c:v>69.842600000000004</c:v>
                </c:pt>
                <c:pt idx="27">
                  <c:v>70.214200000000005</c:v>
                </c:pt>
                <c:pt idx="28">
                  <c:v>69.581699999999998</c:v>
                </c:pt>
                <c:pt idx="29">
                  <c:v>69.700100000000006</c:v>
                </c:pt>
                <c:pt idx="30">
                  <c:v>68.805400000000006</c:v>
                </c:pt>
                <c:pt idx="32">
                  <c:v>69.512299999999996</c:v>
                </c:pt>
                <c:pt idx="33">
                  <c:v>70.430099999999996</c:v>
                </c:pt>
                <c:pt idx="34">
                  <c:v>69.480800000000002</c:v>
                </c:pt>
                <c:pt idx="35">
                  <c:v>69.082800000000006</c:v>
                </c:pt>
                <c:pt idx="36">
                  <c:v>69.596000000000004</c:v>
                </c:pt>
                <c:pt idx="37">
                  <c:v>69.203699999999998</c:v>
                </c:pt>
                <c:pt idx="38">
                  <c:v>68.906999999999996</c:v>
                </c:pt>
                <c:pt idx="40">
                  <c:v>68.276300000000006</c:v>
                </c:pt>
                <c:pt idx="41">
                  <c:v>69.100399999999993</c:v>
                </c:pt>
                <c:pt idx="42">
                  <c:v>68.864000000000004</c:v>
                </c:pt>
                <c:pt idx="43">
                  <c:v>68.911100000000005</c:v>
                </c:pt>
                <c:pt idx="44">
                  <c:v>68.546000000000006</c:v>
                </c:pt>
                <c:pt idx="45">
                  <c:v>68.669600000000003</c:v>
                </c:pt>
                <c:pt idx="46">
                  <c:v>69.059399999999997</c:v>
                </c:pt>
                <c:pt idx="48">
                  <c:v>67.453000000000003</c:v>
                </c:pt>
                <c:pt idx="49">
                  <c:v>67.974500000000006</c:v>
                </c:pt>
                <c:pt idx="50">
                  <c:v>67.965100000000007</c:v>
                </c:pt>
                <c:pt idx="51">
                  <c:v>67.803799999999995</c:v>
                </c:pt>
                <c:pt idx="52">
                  <c:v>67.842699999999994</c:v>
                </c:pt>
                <c:pt idx="53">
                  <c:v>68.123599999999996</c:v>
                </c:pt>
                <c:pt idx="54">
                  <c:v>68.014499999999998</c:v>
                </c:pt>
                <c:pt idx="56">
                  <c:v>67.368200000000002</c:v>
                </c:pt>
                <c:pt idx="57">
                  <c:v>67.743499999999997</c:v>
                </c:pt>
                <c:pt idx="58">
                  <c:v>67.184600000000003</c:v>
                </c:pt>
                <c:pt idx="59">
                  <c:v>67.287499999999994</c:v>
                </c:pt>
                <c:pt idx="60">
                  <c:v>67.289299999999997</c:v>
                </c:pt>
                <c:pt idx="61">
                  <c:v>67.271199999999993</c:v>
                </c:pt>
                <c:pt idx="62">
                  <c:v>67.288899999999998</c:v>
                </c:pt>
                <c:pt idx="64">
                  <c:v>66.331199999999995</c:v>
                </c:pt>
                <c:pt idx="65">
                  <c:v>66.757099999999994</c:v>
                </c:pt>
                <c:pt idx="66">
                  <c:v>66.667500000000004</c:v>
                </c:pt>
                <c:pt idx="67">
                  <c:v>66.610299999999995</c:v>
                </c:pt>
                <c:pt idx="68">
                  <c:v>66.785700000000006</c:v>
                </c:pt>
                <c:pt idx="69">
                  <c:v>66.853399999999993</c:v>
                </c:pt>
                <c:pt idx="70">
                  <c:v>67.094999999999999</c:v>
                </c:pt>
                <c:pt idx="72">
                  <c:v>66.285700000000006</c:v>
                </c:pt>
                <c:pt idx="73">
                  <c:v>67.241699999999994</c:v>
                </c:pt>
                <c:pt idx="74">
                  <c:v>66.412499999999994</c:v>
                </c:pt>
                <c:pt idx="75">
                  <c:v>66.200100000000006</c:v>
                </c:pt>
                <c:pt idx="76">
                  <c:v>66.286199999999994</c:v>
                </c:pt>
                <c:pt idx="77">
                  <c:v>66.434899999999999</c:v>
                </c:pt>
                <c:pt idx="78">
                  <c:v>66.375</c:v>
                </c:pt>
                <c:pt idx="80">
                  <c:v>66.593400000000003</c:v>
                </c:pt>
                <c:pt idx="81">
                  <c:v>67.200400000000002</c:v>
                </c:pt>
                <c:pt idx="82">
                  <c:v>66.150899999999993</c:v>
                </c:pt>
                <c:pt idx="83">
                  <c:v>66.205799999999996</c:v>
                </c:pt>
                <c:pt idx="84">
                  <c:v>65.950100000000006</c:v>
                </c:pt>
                <c:pt idx="85">
                  <c:v>65.707499999999996</c:v>
                </c:pt>
                <c:pt idx="86">
                  <c:v>66.318200000000004</c:v>
                </c:pt>
                <c:pt idx="88">
                  <c:v>66.563100000000006</c:v>
                </c:pt>
                <c:pt idx="89">
                  <c:v>67.072299999999998</c:v>
                </c:pt>
                <c:pt idx="90">
                  <c:v>66.384299999999996</c:v>
                </c:pt>
                <c:pt idx="91">
                  <c:v>66.359899999999996</c:v>
                </c:pt>
                <c:pt idx="92">
                  <c:v>66.434100000000001</c:v>
                </c:pt>
                <c:pt idx="93">
                  <c:v>66.139700000000005</c:v>
                </c:pt>
                <c:pt idx="94">
                  <c:v>65.936000000000007</c:v>
                </c:pt>
                <c:pt idx="96">
                  <c:v>65.883499999999998</c:v>
                </c:pt>
                <c:pt idx="97">
                  <c:v>66.530500000000004</c:v>
                </c:pt>
                <c:pt idx="98">
                  <c:v>65.892099999999999</c:v>
                </c:pt>
                <c:pt idx="99">
                  <c:v>65.833699999999993</c:v>
                </c:pt>
                <c:pt idx="100">
                  <c:v>65.457499999999996</c:v>
                </c:pt>
                <c:pt idx="101">
                  <c:v>65.843999999999994</c:v>
                </c:pt>
                <c:pt idx="102">
                  <c:v>65.866</c:v>
                </c:pt>
                <c:pt idx="104">
                  <c:v>65.030299999999997</c:v>
                </c:pt>
                <c:pt idx="105">
                  <c:v>65.286000000000001</c:v>
                </c:pt>
                <c:pt idx="106">
                  <c:v>64.991500000000002</c:v>
                </c:pt>
                <c:pt idx="107">
                  <c:v>65.273899999999998</c:v>
                </c:pt>
                <c:pt idx="108">
                  <c:v>65.036000000000001</c:v>
                </c:pt>
                <c:pt idx="109">
                  <c:v>64.813500000000005</c:v>
                </c:pt>
                <c:pt idx="110">
                  <c:v>64.918000000000006</c:v>
                </c:pt>
                <c:pt idx="112">
                  <c:v>64.953500000000005</c:v>
                </c:pt>
                <c:pt idx="113">
                  <c:v>64.722899999999996</c:v>
                </c:pt>
                <c:pt idx="114">
                  <c:v>64.391300000000001</c:v>
                </c:pt>
                <c:pt idx="115">
                  <c:v>64.404799999999994</c:v>
                </c:pt>
                <c:pt idx="116">
                  <c:v>64.6554</c:v>
                </c:pt>
                <c:pt idx="117">
                  <c:v>64.522900000000007</c:v>
                </c:pt>
                <c:pt idx="118">
                  <c:v>64.5274</c:v>
                </c:pt>
              </c:numCache>
            </c:numRef>
          </c:val>
          <c:smooth val="0"/>
          <c:extLst>
            <c:ext xmlns:c16="http://schemas.microsoft.com/office/drawing/2014/chart" uri="{C3380CC4-5D6E-409C-BE32-E72D297353CC}">
              <c16:uniqueId val="{000000B5-1B2A-494D-ABD1-5C632CD1149A}"/>
            </c:ext>
          </c:extLst>
        </c:ser>
        <c:dLbls>
          <c:showLegendKey val="0"/>
          <c:showVal val="0"/>
          <c:showCatName val="0"/>
          <c:showSerName val="0"/>
          <c:showPercent val="0"/>
          <c:showBubbleSize val="0"/>
        </c:dLbls>
        <c:marker val="1"/>
        <c:smooth val="0"/>
        <c:axId val="105482880"/>
        <c:axId val="105481344"/>
      </c:lineChart>
      <c:catAx>
        <c:axId val="105469440"/>
        <c:scaling>
          <c:orientation val="minMax"/>
        </c:scaling>
        <c:delete val="0"/>
        <c:axPos val="b"/>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low"/>
        <c:spPr>
          <a:noFill/>
          <a:ln w="6350" cap="flat" cmpd="sng" algn="ctr">
            <a:solidFill>
              <a:schemeClr val="tx1">
                <a:lumMod val="95000"/>
                <a:lumOff val="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cs-CZ"/>
          </a:p>
        </c:txPr>
        <c:crossAx val="105471360"/>
        <c:crossesAt val="100"/>
        <c:auto val="1"/>
        <c:lblAlgn val="ctr"/>
        <c:lblOffset val="0"/>
        <c:tickMarkSkip val="16"/>
        <c:noMultiLvlLbl val="0"/>
      </c:catAx>
      <c:valAx>
        <c:axId val="105471360"/>
        <c:scaling>
          <c:orientation val="minMax"/>
          <c:max val="125"/>
          <c:min val="75"/>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cs-CZ"/>
          </a:p>
        </c:txPr>
        <c:crossAx val="105469440"/>
        <c:crosses val="autoZero"/>
        <c:crossBetween val="between"/>
        <c:majorUnit val="5"/>
      </c:valAx>
      <c:valAx>
        <c:axId val="105481344"/>
        <c:scaling>
          <c:orientation val="minMax"/>
          <c:max val="80"/>
          <c:min val="60"/>
        </c:scaling>
        <c:delete val="0"/>
        <c:axPos val="r"/>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cs-CZ"/>
          </a:p>
        </c:txPr>
        <c:crossAx val="105482880"/>
        <c:crosses val="max"/>
        <c:crossBetween val="between"/>
      </c:valAx>
      <c:catAx>
        <c:axId val="105482880"/>
        <c:scaling>
          <c:orientation val="minMax"/>
        </c:scaling>
        <c:delete val="1"/>
        <c:axPos val="b"/>
        <c:numFmt formatCode="General" sourceLinked="1"/>
        <c:majorTickMark val="out"/>
        <c:minorTickMark val="none"/>
        <c:tickLblPos val="nextTo"/>
        <c:crossAx val="105481344"/>
        <c:crosses val="autoZero"/>
        <c:auto val="1"/>
        <c:lblAlgn val="ctr"/>
        <c:lblOffset val="100"/>
        <c:noMultiLvlLbl val="0"/>
      </c:catAx>
      <c:spPr>
        <a:noFill/>
        <a:ln w="6350">
          <a:solidFill>
            <a:schemeClr val="tx1">
              <a:lumMod val="95000"/>
              <a:lumOff val="5000"/>
            </a:schemeClr>
          </a:solidFill>
        </a:ln>
        <a:effectLst/>
      </c:spPr>
    </c:plotArea>
    <c:legend>
      <c:legendPos val="b"/>
      <c:layout>
        <c:manualLayout>
          <c:xMode val="edge"/>
          <c:yMode val="edge"/>
          <c:x val="6.7679610390906461E-2"/>
          <c:y val="0.94454337196190441"/>
          <c:w val="0.87495628699781458"/>
          <c:h val="4.4751426985105806E-2"/>
        </c:manualLayout>
      </c:layout>
      <c:overlay val="0"/>
      <c:spPr>
        <a:noFill/>
        <a:ln w="6350">
          <a:solidFill>
            <a:schemeClr val="tx1">
              <a:lumMod val="95000"/>
              <a:lumOff val="5000"/>
            </a:schemeClr>
          </a:solidFill>
        </a:ln>
        <a:effectLst/>
      </c:spPr>
      <c:txPr>
        <a:bodyPr rot="0" spcFirstLastPara="1" vertOverflow="ellipsis" vert="horz" wrap="square" anchor="ctr" anchorCtr="1"/>
        <a:lstStyle/>
        <a:p>
          <a:pPr>
            <a:defRPr sz="75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cs-CZ"/>
        </a:p>
      </c:txPr>
    </c:legend>
    <c:plotVisOnly val="1"/>
    <c:dispBlanksAs val="gap"/>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cs-CZ"/>
    </a:p>
  </c:txPr>
  <c:externalData r:id="rId3">
    <c:autoUpdate val="0"/>
  </c:externalData>
  <c:userShapes r:id="rId4"/>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6066343868116679E-2"/>
          <c:y val="2.6143790849673203E-2"/>
          <c:w val="0.85700952410418252"/>
          <c:h val="0.71734360594343871"/>
        </c:manualLayout>
      </c:layout>
      <c:barChart>
        <c:barDir val="col"/>
        <c:grouping val="stacked"/>
        <c:varyColors val="0"/>
        <c:ser>
          <c:idx val="0"/>
          <c:order val="0"/>
          <c:tx>
            <c:strRef>
              <c:f>'GRAF5-MvsŽ a věk'!$C$18</c:f>
              <c:strCache>
                <c:ptCount val="1"/>
                <c:pt idx="0">
                  <c:v>Muži (medián)</c:v>
                </c:pt>
              </c:strCache>
            </c:strRef>
          </c:tx>
          <c:spPr>
            <a:solidFill>
              <a:srgbClr val="A6CDE8"/>
            </a:solidFill>
            <a:ln>
              <a:noFill/>
            </a:ln>
            <a:effectLst/>
          </c:spPr>
          <c:invertIfNegative val="0"/>
          <c:cat>
            <c:multiLvlStrRef>
              <c:f>'GRAF5-MvsŽ a věk'!$A$19:$B$40</c:f>
              <c:multiLvlStrCache>
                <c:ptCount val="22"/>
                <c:lvl>
                  <c:pt idx="0">
                    <c:v>muži</c:v>
                  </c:pt>
                  <c:pt idx="1">
                    <c:v>ženy</c:v>
                  </c:pt>
                  <c:pt idx="2">
                    <c:v>muži</c:v>
                  </c:pt>
                  <c:pt idx="3">
                    <c:v>ženy</c:v>
                  </c:pt>
                  <c:pt idx="4">
                    <c:v>muži</c:v>
                  </c:pt>
                  <c:pt idx="5">
                    <c:v>ženy</c:v>
                  </c:pt>
                  <c:pt idx="6">
                    <c:v>muži</c:v>
                  </c:pt>
                  <c:pt idx="7">
                    <c:v>ženy</c:v>
                  </c:pt>
                  <c:pt idx="8">
                    <c:v>muži</c:v>
                  </c:pt>
                  <c:pt idx="9">
                    <c:v>ženy</c:v>
                  </c:pt>
                  <c:pt idx="10">
                    <c:v>muži</c:v>
                  </c:pt>
                  <c:pt idx="11">
                    <c:v>ženy</c:v>
                  </c:pt>
                  <c:pt idx="12">
                    <c:v>muži</c:v>
                  </c:pt>
                  <c:pt idx="13">
                    <c:v>ženy</c:v>
                  </c:pt>
                  <c:pt idx="14">
                    <c:v>muži</c:v>
                  </c:pt>
                  <c:pt idx="15">
                    <c:v>ženy</c:v>
                  </c:pt>
                  <c:pt idx="16">
                    <c:v>muži</c:v>
                  </c:pt>
                  <c:pt idx="17">
                    <c:v>ženy</c:v>
                  </c:pt>
                  <c:pt idx="18">
                    <c:v>muži</c:v>
                  </c:pt>
                  <c:pt idx="19">
                    <c:v>ženy</c:v>
                  </c:pt>
                  <c:pt idx="20">
                    <c:v>muži</c:v>
                  </c:pt>
                  <c:pt idx="21">
                    <c:v>ženy</c:v>
                  </c:pt>
                </c:lvl>
                <c:lvl>
                  <c:pt idx="0">
                    <c:v>do 19 
let</c:v>
                  </c:pt>
                  <c:pt idx="2">
                    <c:v>20–24 let</c:v>
                  </c:pt>
                  <c:pt idx="4">
                    <c:v>25–29 let</c:v>
                  </c:pt>
                  <c:pt idx="6">
                    <c:v>30–34 let</c:v>
                  </c:pt>
                  <c:pt idx="8">
                    <c:v>35–39 let</c:v>
                  </c:pt>
                  <c:pt idx="10">
                    <c:v>40–44 let</c:v>
                  </c:pt>
                  <c:pt idx="12">
                    <c:v>45–49 let</c:v>
                  </c:pt>
                  <c:pt idx="14">
                    <c:v>50–54 let</c:v>
                  </c:pt>
                  <c:pt idx="16">
                    <c:v>55–59 let</c:v>
                  </c:pt>
                  <c:pt idx="18">
                    <c:v>60–64 let</c:v>
                  </c:pt>
                  <c:pt idx="20">
                    <c:v>65+ let</c:v>
                  </c:pt>
                </c:lvl>
              </c:multiLvlStrCache>
            </c:multiLvlStrRef>
          </c:cat>
          <c:val>
            <c:numRef>
              <c:f>'GRAF5-MvsŽ a věk'!$C$19:$C$40</c:f>
              <c:numCache>
                <c:formatCode>General</c:formatCode>
                <c:ptCount val="22"/>
                <c:pt idx="0" formatCode="#,##0">
                  <c:v>22385</c:v>
                </c:pt>
                <c:pt idx="2" formatCode="#,##0">
                  <c:v>25858</c:v>
                </c:pt>
                <c:pt idx="4" formatCode="#,##0">
                  <c:v>30262</c:v>
                </c:pt>
                <c:pt idx="6" formatCode="#,##0">
                  <c:v>32584</c:v>
                </c:pt>
                <c:pt idx="8" formatCode="#,##0">
                  <c:v>33428</c:v>
                </c:pt>
                <c:pt idx="10" formatCode="#,##0">
                  <c:v>33946</c:v>
                </c:pt>
                <c:pt idx="12" formatCode="#,##0">
                  <c:v>32717</c:v>
                </c:pt>
                <c:pt idx="14" formatCode="#,##0">
                  <c:v>31574</c:v>
                </c:pt>
                <c:pt idx="16" formatCode="#,##0">
                  <c:v>30089</c:v>
                </c:pt>
                <c:pt idx="18" formatCode="#,##0">
                  <c:v>30015</c:v>
                </c:pt>
                <c:pt idx="20" formatCode="#,##0">
                  <c:v>28963</c:v>
                </c:pt>
              </c:numCache>
            </c:numRef>
          </c:val>
          <c:extLst>
            <c:ext xmlns:c16="http://schemas.microsoft.com/office/drawing/2014/chart" uri="{C3380CC4-5D6E-409C-BE32-E72D297353CC}">
              <c16:uniqueId val="{00000000-B5B1-4175-92EC-2084D53C5843}"/>
            </c:ext>
          </c:extLst>
        </c:ser>
        <c:ser>
          <c:idx val="1"/>
          <c:order val="1"/>
          <c:tx>
            <c:strRef>
              <c:f>'GRAF5-MvsŽ a věk'!$D$18</c:f>
              <c:strCache>
                <c:ptCount val="1"/>
                <c:pt idx="0">
                  <c:v>Muži (průměr)</c:v>
                </c:pt>
              </c:strCache>
            </c:strRef>
          </c:tx>
          <c:spPr>
            <a:solidFill>
              <a:srgbClr val="0071BC"/>
            </a:solidFill>
            <a:ln>
              <a:noFill/>
            </a:ln>
            <a:effectLst/>
          </c:spPr>
          <c:invertIfNegative val="0"/>
          <c:cat>
            <c:multiLvlStrRef>
              <c:f>'GRAF5-MvsŽ a věk'!$A$19:$B$40</c:f>
              <c:multiLvlStrCache>
                <c:ptCount val="22"/>
                <c:lvl>
                  <c:pt idx="0">
                    <c:v>muži</c:v>
                  </c:pt>
                  <c:pt idx="1">
                    <c:v>ženy</c:v>
                  </c:pt>
                  <c:pt idx="2">
                    <c:v>muži</c:v>
                  </c:pt>
                  <c:pt idx="3">
                    <c:v>ženy</c:v>
                  </c:pt>
                  <c:pt idx="4">
                    <c:v>muži</c:v>
                  </c:pt>
                  <c:pt idx="5">
                    <c:v>ženy</c:v>
                  </c:pt>
                  <c:pt idx="6">
                    <c:v>muži</c:v>
                  </c:pt>
                  <c:pt idx="7">
                    <c:v>ženy</c:v>
                  </c:pt>
                  <c:pt idx="8">
                    <c:v>muži</c:v>
                  </c:pt>
                  <c:pt idx="9">
                    <c:v>ženy</c:v>
                  </c:pt>
                  <c:pt idx="10">
                    <c:v>muži</c:v>
                  </c:pt>
                  <c:pt idx="11">
                    <c:v>ženy</c:v>
                  </c:pt>
                  <c:pt idx="12">
                    <c:v>muži</c:v>
                  </c:pt>
                  <c:pt idx="13">
                    <c:v>ženy</c:v>
                  </c:pt>
                  <c:pt idx="14">
                    <c:v>muži</c:v>
                  </c:pt>
                  <c:pt idx="15">
                    <c:v>ženy</c:v>
                  </c:pt>
                  <c:pt idx="16">
                    <c:v>muži</c:v>
                  </c:pt>
                  <c:pt idx="17">
                    <c:v>ženy</c:v>
                  </c:pt>
                  <c:pt idx="18">
                    <c:v>muži</c:v>
                  </c:pt>
                  <c:pt idx="19">
                    <c:v>ženy</c:v>
                  </c:pt>
                  <c:pt idx="20">
                    <c:v>muži</c:v>
                  </c:pt>
                  <c:pt idx="21">
                    <c:v>ženy</c:v>
                  </c:pt>
                </c:lvl>
                <c:lvl>
                  <c:pt idx="0">
                    <c:v>do 19 
let</c:v>
                  </c:pt>
                  <c:pt idx="2">
                    <c:v>20–24 let</c:v>
                  </c:pt>
                  <c:pt idx="4">
                    <c:v>25–29 let</c:v>
                  </c:pt>
                  <c:pt idx="6">
                    <c:v>30–34 let</c:v>
                  </c:pt>
                  <c:pt idx="8">
                    <c:v>35–39 let</c:v>
                  </c:pt>
                  <c:pt idx="10">
                    <c:v>40–44 let</c:v>
                  </c:pt>
                  <c:pt idx="12">
                    <c:v>45–49 let</c:v>
                  </c:pt>
                  <c:pt idx="14">
                    <c:v>50–54 let</c:v>
                  </c:pt>
                  <c:pt idx="16">
                    <c:v>55–59 let</c:v>
                  </c:pt>
                  <c:pt idx="18">
                    <c:v>60–64 let</c:v>
                  </c:pt>
                  <c:pt idx="20">
                    <c:v>65+ let</c:v>
                  </c:pt>
                </c:lvl>
              </c:multiLvlStrCache>
            </c:multiLvlStrRef>
          </c:cat>
          <c:val>
            <c:numRef>
              <c:f>'GRAF5-MvsŽ a věk'!$D$19:$D$40</c:f>
              <c:numCache>
                <c:formatCode>General</c:formatCode>
                <c:ptCount val="22"/>
                <c:pt idx="0" formatCode="#,##0">
                  <c:v>561</c:v>
                </c:pt>
                <c:pt idx="2" formatCode="#,##0">
                  <c:v>518</c:v>
                </c:pt>
                <c:pt idx="4" formatCode="#,##0">
                  <c:v>1555</c:v>
                </c:pt>
                <c:pt idx="6" formatCode="#,##0">
                  <c:v>3911</c:v>
                </c:pt>
                <c:pt idx="8" formatCode="#,##0">
                  <c:v>6267</c:v>
                </c:pt>
                <c:pt idx="10" formatCode="#,##0">
                  <c:v>7543</c:v>
                </c:pt>
                <c:pt idx="12" formatCode="#,##0">
                  <c:v>7296</c:v>
                </c:pt>
                <c:pt idx="14" formatCode="#,##0">
                  <c:v>6284</c:v>
                </c:pt>
                <c:pt idx="16" formatCode="#,##0">
                  <c:v>5514</c:v>
                </c:pt>
                <c:pt idx="18" formatCode="#,##0">
                  <c:v>5022</c:v>
                </c:pt>
                <c:pt idx="20" formatCode="#,##0">
                  <c:v>7849</c:v>
                </c:pt>
              </c:numCache>
            </c:numRef>
          </c:val>
          <c:extLst>
            <c:ext xmlns:c16="http://schemas.microsoft.com/office/drawing/2014/chart" uri="{C3380CC4-5D6E-409C-BE32-E72D297353CC}">
              <c16:uniqueId val="{00000001-B5B1-4175-92EC-2084D53C5843}"/>
            </c:ext>
          </c:extLst>
        </c:ser>
        <c:ser>
          <c:idx val="2"/>
          <c:order val="2"/>
          <c:tx>
            <c:strRef>
              <c:f>'GRAF5-MvsŽ a věk'!$E$18</c:f>
              <c:strCache>
                <c:ptCount val="1"/>
                <c:pt idx="0">
                  <c:v>Ženy (medián)</c:v>
                </c:pt>
              </c:strCache>
            </c:strRef>
          </c:tx>
          <c:spPr>
            <a:solidFill>
              <a:srgbClr val="E8AFB2"/>
            </a:solidFill>
            <a:ln>
              <a:noFill/>
            </a:ln>
            <a:effectLst/>
          </c:spPr>
          <c:invertIfNegative val="0"/>
          <c:cat>
            <c:multiLvlStrRef>
              <c:f>'GRAF5-MvsŽ a věk'!$A$19:$B$40</c:f>
              <c:multiLvlStrCache>
                <c:ptCount val="22"/>
                <c:lvl>
                  <c:pt idx="0">
                    <c:v>muži</c:v>
                  </c:pt>
                  <c:pt idx="1">
                    <c:v>ženy</c:v>
                  </c:pt>
                  <c:pt idx="2">
                    <c:v>muži</c:v>
                  </c:pt>
                  <c:pt idx="3">
                    <c:v>ženy</c:v>
                  </c:pt>
                  <c:pt idx="4">
                    <c:v>muži</c:v>
                  </c:pt>
                  <c:pt idx="5">
                    <c:v>ženy</c:v>
                  </c:pt>
                  <c:pt idx="6">
                    <c:v>muži</c:v>
                  </c:pt>
                  <c:pt idx="7">
                    <c:v>ženy</c:v>
                  </c:pt>
                  <c:pt idx="8">
                    <c:v>muži</c:v>
                  </c:pt>
                  <c:pt idx="9">
                    <c:v>ženy</c:v>
                  </c:pt>
                  <c:pt idx="10">
                    <c:v>muži</c:v>
                  </c:pt>
                  <c:pt idx="11">
                    <c:v>ženy</c:v>
                  </c:pt>
                  <c:pt idx="12">
                    <c:v>muži</c:v>
                  </c:pt>
                  <c:pt idx="13">
                    <c:v>ženy</c:v>
                  </c:pt>
                  <c:pt idx="14">
                    <c:v>muži</c:v>
                  </c:pt>
                  <c:pt idx="15">
                    <c:v>ženy</c:v>
                  </c:pt>
                  <c:pt idx="16">
                    <c:v>muži</c:v>
                  </c:pt>
                  <c:pt idx="17">
                    <c:v>ženy</c:v>
                  </c:pt>
                  <c:pt idx="18">
                    <c:v>muži</c:v>
                  </c:pt>
                  <c:pt idx="19">
                    <c:v>ženy</c:v>
                  </c:pt>
                  <c:pt idx="20">
                    <c:v>muži</c:v>
                  </c:pt>
                  <c:pt idx="21">
                    <c:v>ženy</c:v>
                  </c:pt>
                </c:lvl>
                <c:lvl>
                  <c:pt idx="0">
                    <c:v>do 19 
let</c:v>
                  </c:pt>
                  <c:pt idx="2">
                    <c:v>20–24 let</c:v>
                  </c:pt>
                  <c:pt idx="4">
                    <c:v>25–29 let</c:v>
                  </c:pt>
                  <c:pt idx="6">
                    <c:v>30–34 let</c:v>
                  </c:pt>
                  <c:pt idx="8">
                    <c:v>35–39 let</c:v>
                  </c:pt>
                  <c:pt idx="10">
                    <c:v>40–44 let</c:v>
                  </c:pt>
                  <c:pt idx="12">
                    <c:v>45–49 let</c:v>
                  </c:pt>
                  <c:pt idx="14">
                    <c:v>50–54 let</c:v>
                  </c:pt>
                  <c:pt idx="16">
                    <c:v>55–59 let</c:v>
                  </c:pt>
                  <c:pt idx="18">
                    <c:v>60–64 let</c:v>
                  </c:pt>
                  <c:pt idx="20">
                    <c:v>65+ let</c:v>
                  </c:pt>
                </c:lvl>
              </c:multiLvlStrCache>
            </c:multiLvlStrRef>
          </c:cat>
          <c:val>
            <c:numRef>
              <c:f>'GRAF5-MvsŽ a věk'!$E$19:$E$40</c:f>
              <c:numCache>
                <c:formatCode>#,##0</c:formatCode>
                <c:ptCount val="22"/>
                <c:pt idx="1">
                  <c:v>20286</c:v>
                </c:pt>
                <c:pt idx="3">
                  <c:v>22649</c:v>
                </c:pt>
                <c:pt idx="5">
                  <c:v>26810</c:v>
                </c:pt>
                <c:pt idx="7">
                  <c:v>27656</c:v>
                </c:pt>
                <c:pt idx="9">
                  <c:v>26624</c:v>
                </c:pt>
                <c:pt idx="11">
                  <c:v>26996</c:v>
                </c:pt>
                <c:pt idx="13">
                  <c:v>26540</c:v>
                </c:pt>
                <c:pt idx="15">
                  <c:v>27156</c:v>
                </c:pt>
                <c:pt idx="17">
                  <c:v>26585</c:v>
                </c:pt>
                <c:pt idx="19">
                  <c:v>29760</c:v>
                </c:pt>
                <c:pt idx="21">
                  <c:v>25129</c:v>
                </c:pt>
              </c:numCache>
            </c:numRef>
          </c:val>
          <c:extLst>
            <c:ext xmlns:c16="http://schemas.microsoft.com/office/drawing/2014/chart" uri="{C3380CC4-5D6E-409C-BE32-E72D297353CC}">
              <c16:uniqueId val="{00000002-B5B1-4175-92EC-2084D53C5843}"/>
            </c:ext>
          </c:extLst>
        </c:ser>
        <c:ser>
          <c:idx val="3"/>
          <c:order val="3"/>
          <c:tx>
            <c:strRef>
              <c:f>'GRAF5-MvsŽ a věk'!$F$18</c:f>
              <c:strCache>
                <c:ptCount val="1"/>
                <c:pt idx="0">
                  <c:v>Ženy (průměr)</c:v>
                </c:pt>
              </c:strCache>
            </c:strRef>
          </c:tx>
          <c:spPr>
            <a:solidFill>
              <a:srgbClr val="BD1B21"/>
            </a:solidFill>
            <a:ln>
              <a:noFill/>
            </a:ln>
            <a:effectLst/>
          </c:spPr>
          <c:invertIfNegative val="0"/>
          <c:cat>
            <c:multiLvlStrRef>
              <c:f>'GRAF5-MvsŽ a věk'!$A$19:$B$40</c:f>
              <c:multiLvlStrCache>
                <c:ptCount val="22"/>
                <c:lvl>
                  <c:pt idx="0">
                    <c:v>muži</c:v>
                  </c:pt>
                  <c:pt idx="1">
                    <c:v>ženy</c:v>
                  </c:pt>
                  <c:pt idx="2">
                    <c:v>muži</c:v>
                  </c:pt>
                  <c:pt idx="3">
                    <c:v>ženy</c:v>
                  </c:pt>
                  <c:pt idx="4">
                    <c:v>muži</c:v>
                  </c:pt>
                  <c:pt idx="5">
                    <c:v>ženy</c:v>
                  </c:pt>
                  <c:pt idx="6">
                    <c:v>muži</c:v>
                  </c:pt>
                  <c:pt idx="7">
                    <c:v>ženy</c:v>
                  </c:pt>
                  <c:pt idx="8">
                    <c:v>muži</c:v>
                  </c:pt>
                  <c:pt idx="9">
                    <c:v>ženy</c:v>
                  </c:pt>
                  <c:pt idx="10">
                    <c:v>muži</c:v>
                  </c:pt>
                  <c:pt idx="11">
                    <c:v>ženy</c:v>
                  </c:pt>
                  <c:pt idx="12">
                    <c:v>muži</c:v>
                  </c:pt>
                  <c:pt idx="13">
                    <c:v>ženy</c:v>
                  </c:pt>
                  <c:pt idx="14">
                    <c:v>muži</c:v>
                  </c:pt>
                  <c:pt idx="15">
                    <c:v>ženy</c:v>
                  </c:pt>
                  <c:pt idx="16">
                    <c:v>muži</c:v>
                  </c:pt>
                  <c:pt idx="17">
                    <c:v>ženy</c:v>
                  </c:pt>
                  <c:pt idx="18">
                    <c:v>muži</c:v>
                  </c:pt>
                  <c:pt idx="19">
                    <c:v>ženy</c:v>
                  </c:pt>
                  <c:pt idx="20">
                    <c:v>muži</c:v>
                  </c:pt>
                  <c:pt idx="21">
                    <c:v>ženy</c:v>
                  </c:pt>
                </c:lvl>
                <c:lvl>
                  <c:pt idx="0">
                    <c:v>do 19 
let</c:v>
                  </c:pt>
                  <c:pt idx="2">
                    <c:v>20–24 let</c:v>
                  </c:pt>
                  <c:pt idx="4">
                    <c:v>25–29 let</c:v>
                  </c:pt>
                  <c:pt idx="6">
                    <c:v>30–34 let</c:v>
                  </c:pt>
                  <c:pt idx="8">
                    <c:v>35–39 let</c:v>
                  </c:pt>
                  <c:pt idx="10">
                    <c:v>40–44 let</c:v>
                  </c:pt>
                  <c:pt idx="12">
                    <c:v>45–49 let</c:v>
                  </c:pt>
                  <c:pt idx="14">
                    <c:v>50–54 let</c:v>
                  </c:pt>
                  <c:pt idx="16">
                    <c:v>55–59 let</c:v>
                  </c:pt>
                  <c:pt idx="18">
                    <c:v>60–64 let</c:v>
                  </c:pt>
                  <c:pt idx="20">
                    <c:v>65+ let</c:v>
                  </c:pt>
                </c:lvl>
              </c:multiLvlStrCache>
            </c:multiLvlStrRef>
          </c:cat>
          <c:val>
            <c:numRef>
              <c:f>'GRAF5-MvsŽ a věk'!$F$19:$F$40</c:f>
              <c:numCache>
                <c:formatCode>#,##0</c:formatCode>
                <c:ptCount val="22"/>
                <c:pt idx="1">
                  <c:v>590</c:v>
                </c:pt>
                <c:pt idx="3">
                  <c:v>793</c:v>
                </c:pt>
                <c:pt idx="5">
                  <c:v>1504</c:v>
                </c:pt>
                <c:pt idx="7">
                  <c:v>2994</c:v>
                </c:pt>
                <c:pt idx="9">
                  <c:v>3520</c:v>
                </c:pt>
                <c:pt idx="11">
                  <c:v>3164</c:v>
                </c:pt>
                <c:pt idx="13">
                  <c:v>3263</c:v>
                </c:pt>
                <c:pt idx="15">
                  <c:v>2752</c:v>
                </c:pt>
                <c:pt idx="17">
                  <c:v>2813</c:v>
                </c:pt>
                <c:pt idx="19">
                  <c:v>2511</c:v>
                </c:pt>
                <c:pt idx="21">
                  <c:v>5145</c:v>
                </c:pt>
              </c:numCache>
            </c:numRef>
          </c:val>
          <c:extLst>
            <c:ext xmlns:c16="http://schemas.microsoft.com/office/drawing/2014/chart" uri="{C3380CC4-5D6E-409C-BE32-E72D297353CC}">
              <c16:uniqueId val="{00000003-B5B1-4175-92EC-2084D53C5843}"/>
            </c:ext>
          </c:extLst>
        </c:ser>
        <c:dLbls>
          <c:showLegendKey val="0"/>
          <c:showVal val="0"/>
          <c:showCatName val="0"/>
          <c:showSerName val="0"/>
          <c:showPercent val="0"/>
          <c:showBubbleSize val="0"/>
        </c:dLbls>
        <c:gapWidth val="56"/>
        <c:overlap val="100"/>
        <c:axId val="105582592"/>
        <c:axId val="105584128"/>
      </c:barChart>
      <c:lineChart>
        <c:grouping val="standard"/>
        <c:varyColors val="0"/>
        <c:ser>
          <c:idx val="4"/>
          <c:order val="4"/>
          <c:tx>
            <c:strRef>
              <c:f>'GRAF5-MvsŽ a věk'!$G$18</c:f>
              <c:strCache>
                <c:ptCount val="1"/>
                <c:pt idx="0">
                  <c:v>Ženy/Muži (rok 2012)</c:v>
                </c:pt>
              </c:strCache>
            </c:strRef>
          </c:tx>
          <c:spPr>
            <a:ln w="28575" cap="rnd">
              <a:noFill/>
              <a:round/>
            </a:ln>
            <a:effectLst/>
          </c:spPr>
          <c:marker>
            <c:symbol val="circle"/>
            <c:size val="7"/>
            <c:spPr>
              <a:solidFill>
                <a:schemeClr val="bg1"/>
              </a:solidFill>
              <a:ln w="9525">
                <a:solidFill>
                  <a:schemeClr val="accent3">
                    <a:lumMod val="50000"/>
                  </a:schemeClr>
                </a:solidFill>
              </a:ln>
              <a:effectLst/>
            </c:spPr>
          </c:marker>
          <c:cat>
            <c:multiLvlStrRef>
              <c:f>'GRAF5-MvsŽ a věk'!$A$19:$B$40</c:f>
              <c:multiLvlStrCache>
                <c:ptCount val="22"/>
                <c:lvl>
                  <c:pt idx="0">
                    <c:v>muži</c:v>
                  </c:pt>
                  <c:pt idx="1">
                    <c:v>ženy</c:v>
                  </c:pt>
                  <c:pt idx="2">
                    <c:v>muži</c:v>
                  </c:pt>
                  <c:pt idx="3">
                    <c:v>ženy</c:v>
                  </c:pt>
                  <c:pt idx="4">
                    <c:v>muži</c:v>
                  </c:pt>
                  <c:pt idx="5">
                    <c:v>ženy</c:v>
                  </c:pt>
                  <c:pt idx="6">
                    <c:v>muži</c:v>
                  </c:pt>
                  <c:pt idx="7">
                    <c:v>ženy</c:v>
                  </c:pt>
                  <c:pt idx="8">
                    <c:v>muži</c:v>
                  </c:pt>
                  <c:pt idx="9">
                    <c:v>ženy</c:v>
                  </c:pt>
                  <c:pt idx="10">
                    <c:v>muži</c:v>
                  </c:pt>
                  <c:pt idx="11">
                    <c:v>ženy</c:v>
                  </c:pt>
                  <c:pt idx="12">
                    <c:v>muži</c:v>
                  </c:pt>
                  <c:pt idx="13">
                    <c:v>ženy</c:v>
                  </c:pt>
                  <c:pt idx="14">
                    <c:v>muži</c:v>
                  </c:pt>
                  <c:pt idx="15">
                    <c:v>ženy</c:v>
                  </c:pt>
                  <c:pt idx="16">
                    <c:v>muži</c:v>
                  </c:pt>
                  <c:pt idx="17">
                    <c:v>ženy</c:v>
                  </c:pt>
                  <c:pt idx="18">
                    <c:v>muži</c:v>
                  </c:pt>
                  <c:pt idx="19">
                    <c:v>ženy</c:v>
                  </c:pt>
                  <c:pt idx="20">
                    <c:v>muži</c:v>
                  </c:pt>
                  <c:pt idx="21">
                    <c:v>ženy</c:v>
                  </c:pt>
                </c:lvl>
                <c:lvl>
                  <c:pt idx="0">
                    <c:v>do 19 
let</c:v>
                  </c:pt>
                  <c:pt idx="2">
                    <c:v>20–24 let</c:v>
                  </c:pt>
                  <c:pt idx="4">
                    <c:v>25–29 let</c:v>
                  </c:pt>
                  <c:pt idx="6">
                    <c:v>30–34 let</c:v>
                  </c:pt>
                  <c:pt idx="8">
                    <c:v>35–39 let</c:v>
                  </c:pt>
                  <c:pt idx="10">
                    <c:v>40–44 let</c:v>
                  </c:pt>
                  <c:pt idx="12">
                    <c:v>45–49 let</c:v>
                  </c:pt>
                  <c:pt idx="14">
                    <c:v>50–54 let</c:v>
                  </c:pt>
                  <c:pt idx="16">
                    <c:v>55–59 let</c:v>
                  </c:pt>
                  <c:pt idx="18">
                    <c:v>60–64 let</c:v>
                  </c:pt>
                  <c:pt idx="20">
                    <c:v>65+ let</c:v>
                  </c:pt>
                </c:lvl>
              </c:multiLvlStrCache>
            </c:multiLvlStrRef>
          </c:cat>
          <c:val>
            <c:numRef>
              <c:f>'GRAF5-MvsŽ a věk'!$G$19:$G$40</c:f>
              <c:numCache>
                <c:formatCode>0.0</c:formatCode>
                <c:ptCount val="22"/>
                <c:pt idx="1">
                  <c:v>89.062801932367151</c:v>
                </c:pt>
                <c:pt idx="3">
                  <c:v>87.919062601714231</c:v>
                </c:pt>
                <c:pt idx="5">
                  <c:v>93.748330216403957</c:v>
                </c:pt>
                <c:pt idx="7">
                  <c:v>83.950320512820511</c:v>
                </c:pt>
                <c:pt idx="9">
                  <c:v>75.90200620313297</c:v>
                </c:pt>
                <c:pt idx="11">
                  <c:v>79.166332343737466</c:v>
                </c:pt>
                <c:pt idx="13">
                  <c:v>82.467113227342423</c:v>
                </c:pt>
                <c:pt idx="15">
                  <c:v>87.111939350302819</c:v>
                </c:pt>
                <c:pt idx="17">
                  <c:v>88.157212037357311</c:v>
                </c:pt>
                <c:pt idx="19">
                  <c:v>96.476460386616466</c:v>
                </c:pt>
                <c:pt idx="21">
                  <c:v>76.821337551630194</c:v>
                </c:pt>
              </c:numCache>
            </c:numRef>
          </c:val>
          <c:smooth val="0"/>
          <c:extLst>
            <c:ext xmlns:c16="http://schemas.microsoft.com/office/drawing/2014/chart" uri="{C3380CC4-5D6E-409C-BE32-E72D297353CC}">
              <c16:uniqueId val="{00000004-B5B1-4175-92EC-2084D53C5843}"/>
            </c:ext>
          </c:extLst>
        </c:ser>
        <c:ser>
          <c:idx val="5"/>
          <c:order val="5"/>
          <c:tx>
            <c:strRef>
              <c:f>'GRAF5-MvsŽ a věk'!$H$18</c:f>
              <c:strCache>
                <c:ptCount val="1"/>
                <c:pt idx="0">
                  <c:v>Ženy/Muži (rok 2015)</c:v>
                </c:pt>
              </c:strCache>
            </c:strRef>
          </c:tx>
          <c:spPr>
            <a:ln w="28575" cap="rnd">
              <a:noFill/>
              <a:round/>
            </a:ln>
            <a:effectLst/>
          </c:spPr>
          <c:marker>
            <c:symbol val="dash"/>
            <c:size val="7"/>
            <c:spPr>
              <a:solidFill>
                <a:schemeClr val="accent3">
                  <a:lumMod val="75000"/>
                </a:schemeClr>
              </a:solidFill>
              <a:ln w="9525">
                <a:solidFill>
                  <a:schemeClr val="accent3">
                    <a:lumMod val="75000"/>
                  </a:schemeClr>
                </a:solidFill>
              </a:ln>
              <a:effectLst/>
            </c:spPr>
          </c:marker>
          <c:cat>
            <c:multiLvlStrRef>
              <c:f>'GRAF5-MvsŽ a věk'!$A$19:$B$40</c:f>
              <c:multiLvlStrCache>
                <c:ptCount val="22"/>
                <c:lvl>
                  <c:pt idx="0">
                    <c:v>muži</c:v>
                  </c:pt>
                  <c:pt idx="1">
                    <c:v>ženy</c:v>
                  </c:pt>
                  <c:pt idx="2">
                    <c:v>muži</c:v>
                  </c:pt>
                  <c:pt idx="3">
                    <c:v>ženy</c:v>
                  </c:pt>
                  <c:pt idx="4">
                    <c:v>muži</c:v>
                  </c:pt>
                  <c:pt idx="5">
                    <c:v>ženy</c:v>
                  </c:pt>
                  <c:pt idx="6">
                    <c:v>muži</c:v>
                  </c:pt>
                  <c:pt idx="7">
                    <c:v>ženy</c:v>
                  </c:pt>
                  <c:pt idx="8">
                    <c:v>muži</c:v>
                  </c:pt>
                  <c:pt idx="9">
                    <c:v>ženy</c:v>
                  </c:pt>
                  <c:pt idx="10">
                    <c:v>muži</c:v>
                  </c:pt>
                  <c:pt idx="11">
                    <c:v>ženy</c:v>
                  </c:pt>
                  <c:pt idx="12">
                    <c:v>muži</c:v>
                  </c:pt>
                  <c:pt idx="13">
                    <c:v>ženy</c:v>
                  </c:pt>
                  <c:pt idx="14">
                    <c:v>muži</c:v>
                  </c:pt>
                  <c:pt idx="15">
                    <c:v>ženy</c:v>
                  </c:pt>
                  <c:pt idx="16">
                    <c:v>muži</c:v>
                  </c:pt>
                  <c:pt idx="17">
                    <c:v>ženy</c:v>
                  </c:pt>
                  <c:pt idx="18">
                    <c:v>muži</c:v>
                  </c:pt>
                  <c:pt idx="19">
                    <c:v>ženy</c:v>
                  </c:pt>
                  <c:pt idx="20">
                    <c:v>muži</c:v>
                  </c:pt>
                  <c:pt idx="21">
                    <c:v>ženy</c:v>
                  </c:pt>
                </c:lvl>
                <c:lvl>
                  <c:pt idx="0">
                    <c:v>do 19 
let</c:v>
                  </c:pt>
                  <c:pt idx="2">
                    <c:v>20–24 let</c:v>
                  </c:pt>
                  <c:pt idx="4">
                    <c:v>25–29 let</c:v>
                  </c:pt>
                  <c:pt idx="6">
                    <c:v>30–34 let</c:v>
                  </c:pt>
                  <c:pt idx="8">
                    <c:v>35–39 let</c:v>
                  </c:pt>
                  <c:pt idx="10">
                    <c:v>40–44 let</c:v>
                  </c:pt>
                  <c:pt idx="12">
                    <c:v>45–49 let</c:v>
                  </c:pt>
                  <c:pt idx="14">
                    <c:v>50–54 let</c:v>
                  </c:pt>
                  <c:pt idx="16">
                    <c:v>55–59 let</c:v>
                  </c:pt>
                  <c:pt idx="18">
                    <c:v>60–64 let</c:v>
                  </c:pt>
                  <c:pt idx="20">
                    <c:v>65+ let</c:v>
                  </c:pt>
                </c:lvl>
              </c:multiLvlStrCache>
            </c:multiLvlStrRef>
          </c:cat>
          <c:val>
            <c:numRef>
              <c:f>'GRAF5-MvsŽ a věk'!$H$19:$H$40</c:f>
              <c:numCache>
                <c:formatCode>0.0</c:formatCode>
                <c:ptCount val="22"/>
                <c:pt idx="1">
                  <c:v>88.100885058136171</c:v>
                </c:pt>
                <c:pt idx="3">
                  <c:v>85.057130138002663</c:v>
                </c:pt>
                <c:pt idx="5">
                  <c:v>89.17782814753761</c:v>
                </c:pt>
                <c:pt idx="7">
                  <c:v>85.400225479143174</c:v>
                </c:pt>
                <c:pt idx="9">
                  <c:v>76.529038275280698</c:v>
                </c:pt>
                <c:pt idx="11">
                  <c:v>77.402437701182677</c:v>
                </c:pt>
                <c:pt idx="13">
                  <c:v>79.518923340025282</c:v>
                </c:pt>
                <c:pt idx="15">
                  <c:v>84.753636432868788</c:v>
                </c:pt>
                <c:pt idx="17">
                  <c:v>87.680808080808077</c:v>
                </c:pt>
                <c:pt idx="19">
                  <c:v>99.7</c:v>
                </c:pt>
                <c:pt idx="21">
                  <c:v>79.117574359396883</c:v>
                </c:pt>
              </c:numCache>
            </c:numRef>
          </c:val>
          <c:smooth val="0"/>
          <c:extLst>
            <c:ext xmlns:c16="http://schemas.microsoft.com/office/drawing/2014/chart" uri="{C3380CC4-5D6E-409C-BE32-E72D297353CC}">
              <c16:uniqueId val="{00000005-B5B1-4175-92EC-2084D53C5843}"/>
            </c:ext>
          </c:extLst>
        </c:ser>
        <c:ser>
          <c:idx val="6"/>
          <c:order val="6"/>
          <c:tx>
            <c:strRef>
              <c:f>'GRAF5-MvsŽ a věk'!$I$18</c:f>
              <c:strCache>
                <c:ptCount val="1"/>
                <c:pt idx="0">
                  <c:v>Ženy/Muži (rok 2018)</c:v>
                </c:pt>
              </c:strCache>
            </c:strRef>
          </c:tx>
          <c:spPr>
            <a:ln w="28575" cap="rnd">
              <a:noFill/>
              <a:round/>
            </a:ln>
            <a:effectLst/>
          </c:spPr>
          <c:marker>
            <c:symbol val="circle"/>
            <c:size val="7"/>
            <c:spPr>
              <a:solidFill>
                <a:srgbClr val="009E47"/>
              </a:solidFill>
              <a:ln w="9525">
                <a:solidFill>
                  <a:srgbClr val="009E47"/>
                </a:solidFill>
              </a:ln>
              <a:effectLst/>
            </c:spPr>
          </c:marker>
          <c:cat>
            <c:multiLvlStrRef>
              <c:f>'GRAF5-MvsŽ a věk'!$A$19:$B$40</c:f>
              <c:multiLvlStrCache>
                <c:ptCount val="22"/>
                <c:lvl>
                  <c:pt idx="0">
                    <c:v>muži</c:v>
                  </c:pt>
                  <c:pt idx="1">
                    <c:v>ženy</c:v>
                  </c:pt>
                  <c:pt idx="2">
                    <c:v>muži</c:v>
                  </c:pt>
                  <c:pt idx="3">
                    <c:v>ženy</c:v>
                  </c:pt>
                  <c:pt idx="4">
                    <c:v>muži</c:v>
                  </c:pt>
                  <c:pt idx="5">
                    <c:v>ženy</c:v>
                  </c:pt>
                  <c:pt idx="6">
                    <c:v>muži</c:v>
                  </c:pt>
                  <c:pt idx="7">
                    <c:v>ženy</c:v>
                  </c:pt>
                  <c:pt idx="8">
                    <c:v>muži</c:v>
                  </c:pt>
                  <c:pt idx="9">
                    <c:v>ženy</c:v>
                  </c:pt>
                  <c:pt idx="10">
                    <c:v>muži</c:v>
                  </c:pt>
                  <c:pt idx="11">
                    <c:v>ženy</c:v>
                  </c:pt>
                  <c:pt idx="12">
                    <c:v>muži</c:v>
                  </c:pt>
                  <c:pt idx="13">
                    <c:v>ženy</c:v>
                  </c:pt>
                  <c:pt idx="14">
                    <c:v>muži</c:v>
                  </c:pt>
                  <c:pt idx="15">
                    <c:v>ženy</c:v>
                  </c:pt>
                  <c:pt idx="16">
                    <c:v>muži</c:v>
                  </c:pt>
                  <c:pt idx="17">
                    <c:v>ženy</c:v>
                  </c:pt>
                  <c:pt idx="18">
                    <c:v>muži</c:v>
                  </c:pt>
                  <c:pt idx="19">
                    <c:v>ženy</c:v>
                  </c:pt>
                  <c:pt idx="20">
                    <c:v>muži</c:v>
                  </c:pt>
                  <c:pt idx="21">
                    <c:v>ženy</c:v>
                  </c:pt>
                </c:lvl>
                <c:lvl>
                  <c:pt idx="0">
                    <c:v>do 19 
let</c:v>
                  </c:pt>
                  <c:pt idx="2">
                    <c:v>20–24 let</c:v>
                  </c:pt>
                  <c:pt idx="4">
                    <c:v>25–29 let</c:v>
                  </c:pt>
                  <c:pt idx="6">
                    <c:v>30–34 let</c:v>
                  </c:pt>
                  <c:pt idx="8">
                    <c:v>35–39 let</c:v>
                  </c:pt>
                  <c:pt idx="10">
                    <c:v>40–44 let</c:v>
                  </c:pt>
                  <c:pt idx="12">
                    <c:v>45–49 let</c:v>
                  </c:pt>
                  <c:pt idx="14">
                    <c:v>50–54 let</c:v>
                  </c:pt>
                  <c:pt idx="16">
                    <c:v>55–59 let</c:v>
                  </c:pt>
                  <c:pt idx="18">
                    <c:v>60–64 let</c:v>
                  </c:pt>
                  <c:pt idx="20">
                    <c:v>65+ let</c:v>
                  </c:pt>
                </c:lvl>
              </c:multiLvlStrCache>
            </c:multiLvlStrRef>
          </c:cat>
          <c:val>
            <c:numRef>
              <c:f>'GRAF5-MvsŽ a věk'!$I$19:$I$40</c:f>
              <c:numCache>
                <c:formatCode>0.0</c:formatCode>
                <c:ptCount val="22"/>
                <c:pt idx="1">
                  <c:v>90.623185168639722</c:v>
                </c:pt>
                <c:pt idx="3">
                  <c:v>87.58991414649239</c:v>
                </c:pt>
                <c:pt idx="5">
                  <c:v>88.592954860881633</c:v>
                </c:pt>
                <c:pt idx="7">
                  <c:v>84.876012767002209</c:v>
                </c:pt>
                <c:pt idx="9">
                  <c:v>79.64580591121215</c:v>
                </c:pt>
                <c:pt idx="11">
                  <c:v>79.526306486773109</c:v>
                </c:pt>
                <c:pt idx="13">
                  <c:v>81.119907081945158</c:v>
                </c:pt>
                <c:pt idx="15">
                  <c:v>86.007474504339015</c:v>
                </c:pt>
                <c:pt idx="17">
                  <c:v>88.354548173751198</c:v>
                </c:pt>
                <c:pt idx="19">
                  <c:v>99.150424787606198</c:v>
                </c:pt>
                <c:pt idx="21">
                  <c:v>86.762421019921959</c:v>
                </c:pt>
              </c:numCache>
            </c:numRef>
          </c:val>
          <c:smooth val="0"/>
          <c:extLst>
            <c:ext xmlns:c16="http://schemas.microsoft.com/office/drawing/2014/chart" uri="{C3380CC4-5D6E-409C-BE32-E72D297353CC}">
              <c16:uniqueId val="{00000006-B5B1-4175-92EC-2084D53C5843}"/>
            </c:ext>
          </c:extLst>
        </c:ser>
        <c:dLbls>
          <c:showLegendKey val="0"/>
          <c:showVal val="0"/>
          <c:showCatName val="0"/>
          <c:showSerName val="0"/>
          <c:showPercent val="0"/>
          <c:showBubbleSize val="0"/>
        </c:dLbls>
        <c:marker val="1"/>
        <c:smooth val="0"/>
        <c:axId val="105591168"/>
        <c:axId val="105585280"/>
      </c:lineChart>
      <c:catAx>
        <c:axId val="105582592"/>
        <c:scaling>
          <c:orientation val="minMax"/>
        </c:scaling>
        <c:delete val="0"/>
        <c:axPos val="b"/>
        <c:numFmt formatCode="General" sourceLinked="1"/>
        <c:majorTickMark val="none"/>
        <c:minorTickMark val="none"/>
        <c:tickLblPos val="nextTo"/>
        <c:spPr>
          <a:noFill/>
          <a:ln w="6350" cap="flat" cmpd="sng" algn="ctr">
            <a:solidFill>
              <a:schemeClr val="tx1">
                <a:lumMod val="95000"/>
                <a:lumOff val="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cs-CZ"/>
          </a:p>
        </c:txPr>
        <c:crossAx val="105584128"/>
        <c:crosses val="autoZero"/>
        <c:auto val="1"/>
        <c:lblAlgn val="ctr"/>
        <c:lblOffset val="0"/>
        <c:noMultiLvlLbl val="0"/>
      </c:catAx>
      <c:valAx>
        <c:axId val="105584128"/>
        <c:scaling>
          <c:orientation val="minMax"/>
          <c:max val="45000"/>
          <c:min val="0"/>
        </c:scaling>
        <c:delete val="0"/>
        <c:axPos val="l"/>
        <c:majorGridlines>
          <c:spPr>
            <a:ln w="9525" cap="flat" cmpd="sng" algn="ctr">
              <a:solidFill>
                <a:srgbClr val="D9D9D9"/>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cs-CZ"/>
          </a:p>
        </c:txPr>
        <c:crossAx val="105582592"/>
        <c:crosses val="autoZero"/>
        <c:crossBetween val="between"/>
      </c:valAx>
      <c:valAx>
        <c:axId val="105585280"/>
        <c:scaling>
          <c:orientation val="minMax"/>
          <c:max val="100"/>
          <c:min val="73"/>
        </c:scaling>
        <c:delete val="0"/>
        <c:axPos val="r"/>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cs-CZ"/>
          </a:p>
        </c:txPr>
        <c:crossAx val="105591168"/>
        <c:crosses val="max"/>
        <c:crossBetween val="between"/>
        <c:majorUnit val="3"/>
      </c:valAx>
      <c:catAx>
        <c:axId val="105591168"/>
        <c:scaling>
          <c:orientation val="minMax"/>
        </c:scaling>
        <c:delete val="1"/>
        <c:axPos val="b"/>
        <c:numFmt formatCode="General" sourceLinked="1"/>
        <c:majorTickMark val="out"/>
        <c:minorTickMark val="none"/>
        <c:tickLblPos val="nextTo"/>
        <c:crossAx val="105585280"/>
        <c:crosses val="autoZero"/>
        <c:auto val="1"/>
        <c:lblAlgn val="ctr"/>
        <c:lblOffset val="100"/>
        <c:noMultiLvlLbl val="0"/>
      </c:catAx>
      <c:spPr>
        <a:noFill/>
        <a:ln w="6350">
          <a:solidFill>
            <a:schemeClr val="tx1">
              <a:lumMod val="95000"/>
              <a:lumOff val="5000"/>
            </a:schemeClr>
          </a:solidFill>
        </a:ln>
        <a:effectLst/>
      </c:spPr>
    </c:plotArea>
    <c:legend>
      <c:legendPos val="b"/>
      <c:layout>
        <c:manualLayout>
          <c:xMode val="edge"/>
          <c:yMode val="edge"/>
          <c:x val="8.3576790747555113E-2"/>
          <c:y val="0.90506993331856289"/>
          <c:w val="0.85896958509913046"/>
          <c:h val="8.3413117589462474E-2"/>
        </c:manualLayout>
      </c:layout>
      <c:overlay val="0"/>
      <c:spPr>
        <a:noFill/>
        <a:ln w="6350">
          <a:solidFill>
            <a:schemeClr val="tx1">
              <a:lumMod val="95000"/>
              <a:lumOff val="5000"/>
            </a:schemeClr>
          </a:solid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cs-CZ"/>
        </a:p>
      </c:txPr>
    </c:legend>
    <c:plotVisOnly val="1"/>
    <c:dispBlanksAs val="gap"/>
    <c:showDLblsOverMax val="0"/>
  </c:chart>
  <c:spPr>
    <a:solidFill>
      <a:schemeClr val="bg1"/>
    </a:solidFill>
    <a:ln w="9525" cap="flat" cmpd="sng" algn="ctr">
      <a:noFill/>
      <a:round/>
    </a:ln>
    <a:effectLst/>
  </c:spPr>
  <c:txPr>
    <a:bodyPr/>
    <a:lstStyle/>
    <a:p>
      <a:pPr>
        <a:defRPr/>
      </a:pPr>
      <a:endParaRPr lang="cs-CZ"/>
    </a:p>
  </c:txPr>
  <c:externalData r:id="rId3">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7917650414457003E-2"/>
          <c:y val="1.8900049881717198E-2"/>
          <c:w val="0.9069899366330505"/>
          <c:h val="0.86227263474272853"/>
        </c:manualLayout>
      </c:layout>
      <c:barChart>
        <c:barDir val="col"/>
        <c:grouping val="clustered"/>
        <c:varyColors val="0"/>
        <c:ser>
          <c:idx val="0"/>
          <c:order val="0"/>
          <c:tx>
            <c:strRef>
              <c:f>'GRAF-6-vzdělání'!$B$90</c:f>
              <c:strCache>
                <c:ptCount val="1"/>
                <c:pt idx="0">
                  <c:v>celkem</c:v>
                </c:pt>
              </c:strCache>
            </c:strRef>
          </c:tx>
          <c:spPr>
            <a:noFill/>
            <a:ln w="3175">
              <a:solidFill>
                <a:schemeClr val="bg1">
                  <a:lumMod val="50000"/>
                </a:schemeClr>
              </a:solidFill>
            </a:ln>
            <a:effectLst/>
          </c:spPr>
          <c:invertIfNegative val="0"/>
          <c:dPt>
            <c:idx val="0"/>
            <c:invertIfNegative val="0"/>
            <c:bubble3D val="0"/>
            <c:spPr>
              <a:solidFill>
                <a:schemeClr val="bg1">
                  <a:lumMod val="95000"/>
                </a:schemeClr>
              </a:solidFill>
              <a:ln w="3175">
                <a:solidFill>
                  <a:schemeClr val="bg1">
                    <a:lumMod val="50000"/>
                  </a:schemeClr>
                </a:solidFill>
              </a:ln>
              <a:effectLst/>
            </c:spPr>
            <c:extLst>
              <c:ext xmlns:c16="http://schemas.microsoft.com/office/drawing/2014/chart" uri="{C3380CC4-5D6E-409C-BE32-E72D297353CC}">
                <c16:uniqueId val="{00000001-4DF2-42B5-ABEB-F7F5AA104508}"/>
              </c:ext>
            </c:extLst>
          </c:dPt>
          <c:dPt>
            <c:idx val="1"/>
            <c:invertIfNegative val="0"/>
            <c:bubble3D val="0"/>
            <c:spPr>
              <a:solidFill>
                <a:schemeClr val="accent1">
                  <a:lumMod val="20000"/>
                  <a:lumOff val="80000"/>
                </a:schemeClr>
              </a:solidFill>
              <a:ln w="3175">
                <a:solidFill>
                  <a:schemeClr val="bg1">
                    <a:lumMod val="50000"/>
                  </a:schemeClr>
                </a:solidFill>
              </a:ln>
              <a:effectLst/>
            </c:spPr>
            <c:extLst>
              <c:ext xmlns:c16="http://schemas.microsoft.com/office/drawing/2014/chart" uri="{C3380CC4-5D6E-409C-BE32-E72D297353CC}">
                <c16:uniqueId val="{00000003-4DF2-42B5-ABEB-F7F5AA104508}"/>
              </c:ext>
            </c:extLst>
          </c:dPt>
          <c:dPt>
            <c:idx val="2"/>
            <c:invertIfNegative val="0"/>
            <c:bubble3D val="0"/>
            <c:spPr>
              <a:solidFill>
                <a:schemeClr val="accent1">
                  <a:lumMod val="40000"/>
                  <a:lumOff val="60000"/>
                </a:schemeClr>
              </a:solidFill>
              <a:ln w="3175">
                <a:solidFill>
                  <a:schemeClr val="bg1">
                    <a:lumMod val="50000"/>
                  </a:schemeClr>
                </a:solidFill>
              </a:ln>
              <a:effectLst/>
            </c:spPr>
            <c:extLst>
              <c:ext xmlns:c16="http://schemas.microsoft.com/office/drawing/2014/chart" uri="{C3380CC4-5D6E-409C-BE32-E72D297353CC}">
                <c16:uniqueId val="{00000005-4DF2-42B5-ABEB-F7F5AA104508}"/>
              </c:ext>
            </c:extLst>
          </c:dPt>
          <c:dPt>
            <c:idx val="3"/>
            <c:invertIfNegative val="0"/>
            <c:bubble3D val="0"/>
            <c:spPr>
              <a:solidFill>
                <a:schemeClr val="accent1">
                  <a:lumMod val="60000"/>
                  <a:lumOff val="40000"/>
                </a:schemeClr>
              </a:solidFill>
              <a:ln w="3175">
                <a:solidFill>
                  <a:schemeClr val="bg1">
                    <a:lumMod val="50000"/>
                  </a:schemeClr>
                </a:solidFill>
              </a:ln>
              <a:effectLst/>
            </c:spPr>
            <c:extLst>
              <c:ext xmlns:c16="http://schemas.microsoft.com/office/drawing/2014/chart" uri="{C3380CC4-5D6E-409C-BE32-E72D297353CC}">
                <c16:uniqueId val="{00000007-4DF2-42B5-ABEB-F7F5AA104508}"/>
              </c:ext>
            </c:extLst>
          </c:dPt>
          <c:dPt>
            <c:idx val="4"/>
            <c:invertIfNegative val="0"/>
            <c:bubble3D val="0"/>
            <c:spPr>
              <a:solidFill>
                <a:schemeClr val="tx2">
                  <a:lumMod val="60000"/>
                  <a:lumOff val="40000"/>
                </a:schemeClr>
              </a:solidFill>
              <a:ln w="3175">
                <a:solidFill>
                  <a:schemeClr val="bg1">
                    <a:lumMod val="50000"/>
                  </a:schemeClr>
                </a:solidFill>
              </a:ln>
              <a:effectLst/>
            </c:spPr>
            <c:extLst>
              <c:ext xmlns:c16="http://schemas.microsoft.com/office/drawing/2014/chart" uri="{C3380CC4-5D6E-409C-BE32-E72D297353CC}">
                <c16:uniqueId val="{00000009-4DF2-42B5-ABEB-F7F5AA104508}"/>
              </c:ext>
            </c:extLst>
          </c:dPt>
          <c:dPt>
            <c:idx val="6"/>
            <c:invertIfNegative val="0"/>
            <c:bubble3D val="0"/>
            <c:spPr>
              <a:solidFill>
                <a:schemeClr val="bg1">
                  <a:lumMod val="95000"/>
                </a:schemeClr>
              </a:solidFill>
              <a:ln w="3175">
                <a:solidFill>
                  <a:schemeClr val="bg1">
                    <a:lumMod val="50000"/>
                  </a:schemeClr>
                </a:solidFill>
              </a:ln>
              <a:effectLst/>
            </c:spPr>
            <c:extLst>
              <c:ext xmlns:c16="http://schemas.microsoft.com/office/drawing/2014/chart" uri="{C3380CC4-5D6E-409C-BE32-E72D297353CC}">
                <c16:uniqueId val="{0000000B-4DF2-42B5-ABEB-F7F5AA104508}"/>
              </c:ext>
            </c:extLst>
          </c:dPt>
          <c:dPt>
            <c:idx val="7"/>
            <c:invertIfNegative val="0"/>
            <c:bubble3D val="0"/>
            <c:spPr>
              <a:solidFill>
                <a:schemeClr val="accent1">
                  <a:lumMod val="20000"/>
                  <a:lumOff val="80000"/>
                </a:schemeClr>
              </a:solidFill>
              <a:ln w="3175">
                <a:solidFill>
                  <a:schemeClr val="bg1">
                    <a:lumMod val="50000"/>
                  </a:schemeClr>
                </a:solidFill>
              </a:ln>
              <a:effectLst/>
            </c:spPr>
            <c:extLst>
              <c:ext xmlns:c16="http://schemas.microsoft.com/office/drawing/2014/chart" uri="{C3380CC4-5D6E-409C-BE32-E72D297353CC}">
                <c16:uniqueId val="{0000000D-4DF2-42B5-ABEB-F7F5AA104508}"/>
              </c:ext>
            </c:extLst>
          </c:dPt>
          <c:dPt>
            <c:idx val="8"/>
            <c:invertIfNegative val="0"/>
            <c:bubble3D val="0"/>
            <c:spPr>
              <a:solidFill>
                <a:schemeClr val="accent1">
                  <a:lumMod val="40000"/>
                  <a:lumOff val="60000"/>
                </a:schemeClr>
              </a:solidFill>
              <a:ln w="3175">
                <a:solidFill>
                  <a:schemeClr val="bg1">
                    <a:lumMod val="50000"/>
                  </a:schemeClr>
                </a:solidFill>
              </a:ln>
              <a:effectLst/>
            </c:spPr>
            <c:extLst>
              <c:ext xmlns:c16="http://schemas.microsoft.com/office/drawing/2014/chart" uri="{C3380CC4-5D6E-409C-BE32-E72D297353CC}">
                <c16:uniqueId val="{0000000F-4DF2-42B5-ABEB-F7F5AA104508}"/>
              </c:ext>
            </c:extLst>
          </c:dPt>
          <c:dPt>
            <c:idx val="9"/>
            <c:invertIfNegative val="0"/>
            <c:bubble3D val="0"/>
            <c:spPr>
              <a:solidFill>
                <a:schemeClr val="accent1">
                  <a:lumMod val="60000"/>
                  <a:lumOff val="40000"/>
                </a:schemeClr>
              </a:solidFill>
              <a:ln w="3175">
                <a:solidFill>
                  <a:schemeClr val="bg1">
                    <a:lumMod val="50000"/>
                  </a:schemeClr>
                </a:solidFill>
              </a:ln>
              <a:effectLst/>
            </c:spPr>
            <c:extLst>
              <c:ext xmlns:c16="http://schemas.microsoft.com/office/drawing/2014/chart" uri="{C3380CC4-5D6E-409C-BE32-E72D297353CC}">
                <c16:uniqueId val="{00000011-4DF2-42B5-ABEB-F7F5AA104508}"/>
              </c:ext>
            </c:extLst>
          </c:dPt>
          <c:dPt>
            <c:idx val="10"/>
            <c:invertIfNegative val="0"/>
            <c:bubble3D val="0"/>
            <c:spPr>
              <a:solidFill>
                <a:schemeClr val="tx2">
                  <a:lumMod val="60000"/>
                  <a:lumOff val="40000"/>
                </a:schemeClr>
              </a:solidFill>
              <a:ln w="3175">
                <a:solidFill>
                  <a:schemeClr val="bg1">
                    <a:lumMod val="50000"/>
                  </a:schemeClr>
                </a:solidFill>
              </a:ln>
              <a:effectLst/>
            </c:spPr>
            <c:extLst>
              <c:ext xmlns:c16="http://schemas.microsoft.com/office/drawing/2014/chart" uri="{C3380CC4-5D6E-409C-BE32-E72D297353CC}">
                <c16:uniqueId val="{00000013-4DF2-42B5-ABEB-F7F5AA104508}"/>
              </c:ext>
            </c:extLst>
          </c:dPt>
          <c:dPt>
            <c:idx val="12"/>
            <c:invertIfNegative val="0"/>
            <c:bubble3D val="0"/>
            <c:spPr>
              <a:solidFill>
                <a:schemeClr val="bg1">
                  <a:lumMod val="95000"/>
                </a:schemeClr>
              </a:solidFill>
              <a:ln w="3175">
                <a:solidFill>
                  <a:schemeClr val="bg1">
                    <a:lumMod val="50000"/>
                  </a:schemeClr>
                </a:solidFill>
              </a:ln>
              <a:effectLst/>
            </c:spPr>
            <c:extLst>
              <c:ext xmlns:c16="http://schemas.microsoft.com/office/drawing/2014/chart" uri="{C3380CC4-5D6E-409C-BE32-E72D297353CC}">
                <c16:uniqueId val="{00000015-4DF2-42B5-ABEB-F7F5AA104508}"/>
              </c:ext>
            </c:extLst>
          </c:dPt>
          <c:dPt>
            <c:idx val="13"/>
            <c:invertIfNegative val="0"/>
            <c:bubble3D val="0"/>
            <c:spPr>
              <a:solidFill>
                <a:schemeClr val="accent1">
                  <a:lumMod val="20000"/>
                  <a:lumOff val="80000"/>
                </a:schemeClr>
              </a:solidFill>
              <a:ln w="3175">
                <a:solidFill>
                  <a:schemeClr val="bg1">
                    <a:lumMod val="50000"/>
                  </a:schemeClr>
                </a:solidFill>
              </a:ln>
              <a:effectLst/>
            </c:spPr>
            <c:extLst>
              <c:ext xmlns:c16="http://schemas.microsoft.com/office/drawing/2014/chart" uri="{C3380CC4-5D6E-409C-BE32-E72D297353CC}">
                <c16:uniqueId val="{00000017-4DF2-42B5-ABEB-F7F5AA104508}"/>
              </c:ext>
            </c:extLst>
          </c:dPt>
          <c:dPt>
            <c:idx val="14"/>
            <c:invertIfNegative val="0"/>
            <c:bubble3D val="0"/>
            <c:spPr>
              <a:solidFill>
                <a:schemeClr val="accent1">
                  <a:lumMod val="40000"/>
                  <a:lumOff val="60000"/>
                </a:schemeClr>
              </a:solidFill>
              <a:ln w="3175">
                <a:solidFill>
                  <a:schemeClr val="bg1">
                    <a:lumMod val="50000"/>
                  </a:schemeClr>
                </a:solidFill>
              </a:ln>
              <a:effectLst/>
            </c:spPr>
            <c:extLst>
              <c:ext xmlns:c16="http://schemas.microsoft.com/office/drawing/2014/chart" uri="{C3380CC4-5D6E-409C-BE32-E72D297353CC}">
                <c16:uniqueId val="{00000019-4DF2-42B5-ABEB-F7F5AA104508}"/>
              </c:ext>
            </c:extLst>
          </c:dPt>
          <c:dPt>
            <c:idx val="15"/>
            <c:invertIfNegative val="0"/>
            <c:bubble3D val="0"/>
            <c:spPr>
              <a:solidFill>
                <a:schemeClr val="accent1">
                  <a:lumMod val="60000"/>
                  <a:lumOff val="40000"/>
                </a:schemeClr>
              </a:solidFill>
              <a:ln w="3175">
                <a:solidFill>
                  <a:schemeClr val="bg1">
                    <a:lumMod val="50000"/>
                  </a:schemeClr>
                </a:solidFill>
              </a:ln>
              <a:effectLst/>
            </c:spPr>
            <c:extLst>
              <c:ext xmlns:c16="http://schemas.microsoft.com/office/drawing/2014/chart" uri="{C3380CC4-5D6E-409C-BE32-E72D297353CC}">
                <c16:uniqueId val="{0000001B-4DF2-42B5-ABEB-F7F5AA104508}"/>
              </c:ext>
            </c:extLst>
          </c:dPt>
          <c:dPt>
            <c:idx val="16"/>
            <c:invertIfNegative val="0"/>
            <c:bubble3D val="0"/>
            <c:spPr>
              <a:solidFill>
                <a:schemeClr val="tx2">
                  <a:lumMod val="60000"/>
                  <a:lumOff val="40000"/>
                </a:schemeClr>
              </a:solidFill>
              <a:ln w="3175">
                <a:solidFill>
                  <a:schemeClr val="bg1">
                    <a:lumMod val="50000"/>
                  </a:schemeClr>
                </a:solidFill>
              </a:ln>
              <a:effectLst/>
            </c:spPr>
            <c:extLst>
              <c:ext xmlns:c16="http://schemas.microsoft.com/office/drawing/2014/chart" uri="{C3380CC4-5D6E-409C-BE32-E72D297353CC}">
                <c16:uniqueId val="{0000001D-4DF2-42B5-ABEB-F7F5AA104508}"/>
              </c:ext>
            </c:extLst>
          </c:dPt>
          <c:dPt>
            <c:idx val="18"/>
            <c:invertIfNegative val="0"/>
            <c:bubble3D val="0"/>
            <c:spPr>
              <a:solidFill>
                <a:schemeClr val="bg1">
                  <a:lumMod val="95000"/>
                </a:schemeClr>
              </a:solidFill>
              <a:ln w="3175">
                <a:solidFill>
                  <a:schemeClr val="bg1">
                    <a:lumMod val="50000"/>
                  </a:schemeClr>
                </a:solidFill>
              </a:ln>
              <a:effectLst/>
            </c:spPr>
            <c:extLst>
              <c:ext xmlns:c16="http://schemas.microsoft.com/office/drawing/2014/chart" uri="{C3380CC4-5D6E-409C-BE32-E72D297353CC}">
                <c16:uniqueId val="{0000001F-4DF2-42B5-ABEB-F7F5AA104508}"/>
              </c:ext>
            </c:extLst>
          </c:dPt>
          <c:dPt>
            <c:idx val="19"/>
            <c:invertIfNegative val="0"/>
            <c:bubble3D val="0"/>
            <c:spPr>
              <a:solidFill>
                <a:schemeClr val="accent1">
                  <a:lumMod val="20000"/>
                  <a:lumOff val="80000"/>
                </a:schemeClr>
              </a:solidFill>
              <a:ln w="3175">
                <a:solidFill>
                  <a:schemeClr val="bg1">
                    <a:lumMod val="50000"/>
                  </a:schemeClr>
                </a:solidFill>
              </a:ln>
              <a:effectLst/>
            </c:spPr>
            <c:extLst>
              <c:ext xmlns:c16="http://schemas.microsoft.com/office/drawing/2014/chart" uri="{C3380CC4-5D6E-409C-BE32-E72D297353CC}">
                <c16:uniqueId val="{00000021-4DF2-42B5-ABEB-F7F5AA104508}"/>
              </c:ext>
            </c:extLst>
          </c:dPt>
          <c:dPt>
            <c:idx val="20"/>
            <c:invertIfNegative val="0"/>
            <c:bubble3D val="0"/>
            <c:spPr>
              <a:solidFill>
                <a:schemeClr val="accent1">
                  <a:lumMod val="40000"/>
                  <a:lumOff val="60000"/>
                </a:schemeClr>
              </a:solidFill>
              <a:ln w="3175">
                <a:solidFill>
                  <a:schemeClr val="bg1">
                    <a:lumMod val="50000"/>
                  </a:schemeClr>
                </a:solidFill>
              </a:ln>
              <a:effectLst/>
            </c:spPr>
            <c:extLst>
              <c:ext xmlns:c16="http://schemas.microsoft.com/office/drawing/2014/chart" uri="{C3380CC4-5D6E-409C-BE32-E72D297353CC}">
                <c16:uniqueId val="{00000023-4DF2-42B5-ABEB-F7F5AA104508}"/>
              </c:ext>
            </c:extLst>
          </c:dPt>
          <c:dPt>
            <c:idx val="21"/>
            <c:invertIfNegative val="0"/>
            <c:bubble3D val="0"/>
            <c:spPr>
              <a:solidFill>
                <a:schemeClr val="accent1">
                  <a:lumMod val="60000"/>
                  <a:lumOff val="40000"/>
                </a:schemeClr>
              </a:solidFill>
              <a:ln w="3175">
                <a:solidFill>
                  <a:schemeClr val="bg1">
                    <a:lumMod val="50000"/>
                  </a:schemeClr>
                </a:solidFill>
              </a:ln>
              <a:effectLst/>
            </c:spPr>
            <c:extLst>
              <c:ext xmlns:c16="http://schemas.microsoft.com/office/drawing/2014/chart" uri="{C3380CC4-5D6E-409C-BE32-E72D297353CC}">
                <c16:uniqueId val="{00000025-4DF2-42B5-ABEB-F7F5AA104508}"/>
              </c:ext>
            </c:extLst>
          </c:dPt>
          <c:dPt>
            <c:idx val="22"/>
            <c:invertIfNegative val="0"/>
            <c:bubble3D val="0"/>
            <c:spPr>
              <a:solidFill>
                <a:schemeClr val="tx2">
                  <a:lumMod val="60000"/>
                  <a:lumOff val="40000"/>
                </a:schemeClr>
              </a:solidFill>
              <a:ln w="3175">
                <a:solidFill>
                  <a:schemeClr val="bg1">
                    <a:lumMod val="50000"/>
                  </a:schemeClr>
                </a:solidFill>
              </a:ln>
              <a:effectLst/>
            </c:spPr>
            <c:extLst>
              <c:ext xmlns:c16="http://schemas.microsoft.com/office/drawing/2014/chart" uri="{C3380CC4-5D6E-409C-BE32-E72D297353CC}">
                <c16:uniqueId val="{00000027-4DF2-42B5-ABEB-F7F5AA104508}"/>
              </c:ext>
            </c:extLst>
          </c:dPt>
          <c:dPt>
            <c:idx val="24"/>
            <c:invertIfNegative val="0"/>
            <c:bubble3D val="0"/>
            <c:spPr>
              <a:solidFill>
                <a:schemeClr val="bg1">
                  <a:lumMod val="95000"/>
                </a:schemeClr>
              </a:solidFill>
              <a:ln w="3175">
                <a:solidFill>
                  <a:schemeClr val="bg1">
                    <a:lumMod val="50000"/>
                  </a:schemeClr>
                </a:solidFill>
              </a:ln>
              <a:effectLst/>
            </c:spPr>
            <c:extLst>
              <c:ext xmlns:c16="http://schemas.microsoft.com/office/drawing/2014/chart" uri="{C3380CC4-5D6E-409C-BE32-E72D297353CC}">
                <c16:uniqueId val="{00000029-4DF2-42B5-ABEB-F7F5AA104508}"/>
              </c:ext>
            </c:extLst>
          </c:dPt>
          <c:dPt>
            <c:idx val="25"/>
            <c:invertIfNegative val="0"/>
            <c:bubble3D val="0"/>
            <c:spPr>
              <a:solidFill>
                <a:schemeClr val="accent1">
                  <a:lumMod val="20000"/>
                  <a:lumOff val="80000"/>
                </a:schemeClr>
              </a:solidFill>
              <a:ln w="3175">
                <a:solidFill>
                  <a:schemeClr val="bg1">
                    <a:lumMod val="50000"/>
                  </a:schemeClr>
                </a:solidFill>
              </a:ln>
              <a:effectLst/>
            </c:spPr>
            <c:extLst>
              <c:ext xmlns:c16="http://schemas.microsoft.com/office/drawing/2014/chart" uri="{C3380CC4-5D6E-409C-BE32-E72D297353CC}">
                <c16:uniqueId val="{0000002B-4DF2-42B5-ABEB-F7F5AA104508}"/>
              </c:ext>
            </c:extLst>
          </c:dPt>
          <c:dPt>
            <c:idx val="26"/>
            <c:invertIfNegative val="0"/>
            <c:bubble3D val="0"/>
            <c:spPr>
              <a:solidFill>
                <a:schemeClr val="accent1">
                  <a:lumMod val="40000"/>
                  <a:lumOff val="60000"/>
                </a:schemeClr>
              </a:solidFill>
              <a:ln w="3175">
                <a:solidFill>
                  <a:schemeClr val="bg1">
                    <a:lumMod val="50000"/>
                  </a:schemeClr>
                </a:solidFill>
              </a:ln>
              <a:effectLst/>
            </c:spPr>
            <c:extLst>
              <c:ext xmlns:c16="http://schemas.microsoft.com/office/drawing/2014/chart" uri="{C3380CC4-5D6E-409C-BE32-E72D297353CC}">
                <c16:uniqueId val="{0000002D-4DF2-42B5-ABEB-F7F5AA104508}"/>
              </c:ext>
            </c:extLst>
          </c:dPt>
          <c:dPt>
            <c:idx val="27"/>
            <c:invertIfNegative val="0"/>
            <c:bubble3D val="0"/>
            <c:spPr>
              <a:solidFill>
                <a:schemeClr val="accent1">
                  <a:lumMod val="60000"/>
                  <a:lumOff val="40000"/>
                </a:schemeClr>
              </a:solidFill>
              <a:ln w="3175">
                <a:solidFill>
                  <a:schemeClr val="bg1">
                    <a:lumMod val="50000"/>
                  </a:schemeClr>
                </a:solidFill>
              </a:ln>
              <a:effectLst/>
            </c:spPr>
            <c:extLst>
              <c:ext xmlns:c16="http://schemas.microsoft.com/office/drawing/2014/chart" uri="{C3380CC4-5D6E-409C-BE32-E72D297353CC}">
                <c16:uniqueId val="{0000002F-4DF2-42B5-ABEB-F7F5AA104508}"/>
              </c:ext>
            </c:extLst>
          </c:dPt>
          <c:dPt>
            <c:idx val="28"/>
            <c:invertIfNegative val="0"/>
            <c:bubble3D val="0"/>
            <c:spPr>
              <a:solidFill>
                <a:schemeClr val="tx2">
                  <a:lumMod val="60000"/>
                  <a:lumOff val="40000"/>
                </a:schemeClr>
              </a:solidFill>
              <a:ln w="3175">
                <a:solidFill>
                  <a:schemeClr val="bg1">
                    <a:lumMod val="50000"/>
                  </a:schemeClr>
                </a:solidFill>
              </a:ln>
              <a:effectLst/>
            </c:spPr>
            <c:extLst>
              <c:ext xmlns:c16="http://schemas.microsoft.com/office/drawing/2014/chart" uri="{C3380CC4-5D6E-409C-BE32-E72D297353CC}">
                <c16:uniqueId val="{00000031-4DF2-42B5-ABEB-F7F5AA104508}"/>
              </c:ext>
            </c:extLst>
          </c:dPt>
          <c:dPt>
            <c:idx val="30"/>
            <c:invertIfNegative val="0"/>
            <c:bubble3D val="0"/>
            <c:spPr>
              <a:solidFill>
                <a:schemeClr val="bg1">
                  <a:lumMod val="95000"/>
                </a:schemeClr>
              </a:solidFill>
              <a:ln w="3175">
                <a:solidFill>
                  <a:schemeClr val="bg1">
                    <a:lumMod val="50000"/>
                  </a:schemeClr>
                </a:solidFill>
              </a:ln>
              <a:effectLst/>
            </c:spPr>
            <c:extLst>
              <c:ext xmlns:c16="http://schemas.microsoft.com/office/drawing/2014/chart" uri="{C3380CC4-5D6E-409C-BE32-E72D297353CC}">
                <c16:uniqueId val="{00000033-4DF2-42B5-ABEB-F7F5AA104508}"/>
              </c:ext>
            </c:extLst>
          </c:dPt>
          <c:dPt>
            <c:idx val="31"/>
            <c:invertIfNegative val="0"/>
            <c:bubble3D val="0"/>
            <c:spPr>
              <a:solidFill>
                <a:schemeClr val="accent1">
                  <a:lumMod val="20000"/>
                  <a:lumOff val="80000"/>
                </a:schemeClr>
              </a:solidFill>
              <a:ln w="3175">
                <a:solidFill>
                  <a:schemeClr val="bg1">
                    <a:lumMod val="50000"/>
                  </a:schemeClr>
                </a:solidFill>
              </a:ln>
              <a:effectLst/>
            </c:spPr>
            <c:extLst>
              <c:ext xmlns:c16="http://schemas.microsoft.com/office/drawing/2014/chart" uri="{C3380CC4-5D6E-409C-BE32-E72D297353CC}">
                <c16:uniqueId val="{00000035-4DF2-42B5-ABEB-F7F5AA104508}"/>
              </c:ext>
            </c:extLst>
          </c:dPt>
          <c:dPt>
            <c:idx val="32"/>
            <c:invertIfNegative val="0"/>
            <c:bubble3D val="0"/>
            <c:spPr>
              <a:solidFill>
                <a:schemeClr val="accent1">
                  <a:lumMod val="40000"/>
                  <a:lumOff val="60000"/>
                </a:schemeClr>
              </a:solidFill>
              <a:ln w="3175">
                <a:solidFill>
                  <a:schemeClr val="bg1">
                    <a:lumMod val="50000"/>
                  </a:schemeClr>
                </a:solidFill>
              </a:ln>
              <a:effectLst/>
            </c:spPr>
            <c:extLst>
              <c:ext xmlns:c16="http://schemas.microsoft.com/office/drawing/2014/chart" uri="{C3380CC4-5D6E-409C-BE32-E72D297353CC}">
                <c16:uniqueId val="{00000037-4DF2-42B5-ABEB-F7F5AA104508}"/>
              </c:ext>
            </c:extLst>
          </c:dPt>
          <c:dPt>
            <c:idx val="33"/>
            <c:invertIfNegative val="0"/>
            <c:bubble3D val="0"/>
            <c:spPr>
              <a:solidFill>
                <a:schemeClr val="accent1">
                  <a:lumMod val="60000"/>
                  <a:lumOff val="40000"/>
                </a:schemeClr>
              </a:solidFill>
              <a:ln w="3175">
                <a:solidFill>
                  <a:schemeClr val="bg1">
                    <a:lumMod val="50000"/>
                  </a:schemeClr>
                </a:solidFill>
              </a:ln>
              <a:effectLst/>
            </c:spPr>
            <c:extLst>
              <c:ext xmlns:c16="http://schemas.microsoft.com/office/drawing/2014/chart" uri="{C3380CC4-5D6E-409C-BE32-E72D297353CC}">
                <c16:uniqueId val="{00000039-4DF2-42B5-ABEB-F7F5AA104508}"/>
              </c:ext>
            </c:extLst>
          </c:dPt>
          <c:dPt>
            <c:idx val="34"/>
            <c:invertIfNegative val="0"/>
            <c:bubble3D val="0"/>
            <c:spPr>
              <a:solidFill>
                <a:schemeClr val="tx2">
                  <a:lumMod val="60000"/>
                  <a:lumOff val="40000"/>
                </a:schemeClr>
              </a:solidFill>
              <a:ln w="3175">
                <a:solidFill>
                  <a:schemeClr val="bg1">
                    <a:lumMod val="50000"/>
                  </a:schemeClr>
                </a:solidFill>
              </a:ln>
              <a:effectLst/>
            </c:spPr>
            <c:extLst>
              <c:ext xmlns:c16="http://schemas.microsoft.com/office/drawing/2014/chart" uri="{C3380CC4-5D6E-409C-BE32-E72D297353CC}">
                <c16:uniqueId val="{0000003B-4DF2-42B5-ABEB-F7F5AA104508}"/>
              </c:ext>
            </c:extLst>
          </c:dPt>
          <c:dPt>
            <c:idx val="36"/>
            <c:invertIfNegative val="0"/>
            <c:bubble3D val="0"/>
            <c:spPr>
              <a:solidFill>
                <a:schemeClr val="bg1">
                  <a:lumMod val="95000"/>
                </a:schemeClr>
              </a:solidFill>
              <a:ln w="3175">
                <a:solidFill>
                  <a:schemeClr val="bg1">
                    <a:lumMod val="50000"/>
                  </a:schemeClr>
                </a:solidFill>
              </a:ln>
              <a:effectLst/>
            </c:spPr>
            <c:extLst>
              <c:ext xmlns:c16="http://schemas.microsoft.com/office/drawing/2014/chart" uri="{C3380CC4-5D6E-409C-BE32-E72D297353CC}">
                <c16:uniqueId val="{0000003D-4DF2-42B5-ABEB-F7F5AA104508}"/>
              </c:ext>
            </c:extLst>
          </c:dPt>
          <c:dPt>
            <c:idx val="37"/>
            <c:invertIfNegative val="0"/>
            <c:bubble3D val="0"/>
            <c:spPr>
              <a:solidFill>
                <a:schemeClr val="accent1">
                  <a:lumMod val="20000"/>
                  <a:lumOff val="80000"/>
                </a:schemeClr>
              </a:solidFill>
              <a:ln w="3175">
                <a:solidFill>
                  <a:schemeClr val="bg1">
                    <a:lumMod val="50000"/>
                  </a:schemeClr>
                </a:solidFill>
              </a:ln>
              <a:effectLst/>
            </c:spPr>
            <c:extLst>
              <c:ext xmlns:c16="http://schemas.microsoft.com/office/drawing/2014/chart" uri="{C3380CC4-5D6E-409C-BE32-E72D297353CC}">
                <c16:uniqueId val="{0000003F-4DF2-42B5-ABEB-F7F5AA104508}"/>
              </c:ext>
            </c:extLst>
          </c:dPt>
          <c:dPt>
            <c:idx val="38"/>
            <c:invertIfNegative val="0"/>
            <c:bubble3D val="0"/>
            <c:spPr>
              <a:solidFill>
                <a:schemeClr val="accent1">
                  <a:lumMod val="40000"/>
                  <a:lumOff val="60000"/>
                </a:schemeClr>
              </a:solidFill>
              <a:ln w="3175">
                <a:solidFill>
                  <a:schemeClr val="bg1">
                    <a:lumMod val="50000"/>
                  </a:schemeClr>
                </a:solidFill>
              </a:ln>
              <a:effectLst/>
            </c:spPr>
            <c:extLst>
              <c:ext xmlns:c16="http://schemas.microsoft.com/office/drawing/2014/chart" uri="{C3380CC4-5D6E-409C-BE32-E72D297353CC}">
                <c16:uniqueId val="{00000041-4DF2-42B5-ABEB-F7F5AA104508}"/>
              </c:ext>
            </c:extLst>
          </c:dPt>
          <c:dPt>
            <c:idx val="39"/>
            <c:invertIfNegative val="0"/>
            <c:bubble3D val="0"/>
            <c:spPr>
              <a:solidFill>
                <a:schemeClr val="accent1">
                  <a:lumMod val="60000"/>
                  <a:lumOff val="40000"/>
                </a:schemeClr>
              </a:solidFill>
              <a:ln w="3175">
                <a:solidFill>
                  <a:schemeClr val="bg1">
                    <a:lumMod val="50000"/>
                  </a:schemeClr>
                </a:solidFill>
              </a:ln>
              <a:effectLst/>
            </c:spPr>
            <c:extLst>
              <c:ext xmlns:c16="http://schemas.microsoft.com/office/drawing/2014/chart" uri="{C3380CC4-5D6E-409C-BE32-E72D297353CC}">
                <c16:uniqueId val="{00000043-4DF2-42B5-ABEB-F7F5AA104508}"/>
              </c:ext>
            </c:extLst>
          </c:dPt>
          <c:dPt>
            <c:idx val="40"/>
            <c:invertIfNegative val="0"/>
            <c:bubble3D val="0"/>
            <c:spPr>
              <a:solidFill>
                <a:schemeClr val="tx2">
                  <a:lumMod val="60000"/>
                  <a:lumOff val="40000"/>
                </a:schemeClr>
              </a:solidFill>
              <a:ln w="3175">
                <a:solidFill>
                  <a:schemeClr val="bg1">
                    <a:lumMod val="50000"/>
                  </a:schemeClr>
                </a:solidFill>
              </a:ln>
              <a:effectLst/>
            </c:spPr>
            <c:extLst>
              <c:ext xmlns:c16="http://schemas.microsoft.com/office/drawing/2014/chart" uri="{C3380CC4-5D6E-409C-BE32-E72D297353CC}">
                <c16:uniqueId val="{00000045-4DF2-42B5-ABEB-F7F5AA104508}"/>
              </c:ext>
            </c:extLst>
          </c:dPt>
          <c:cat>
            <c:strRef>
              <c:f>'GRAF-6-vzdělání'!$A$91:$A$132</c:f>
              <c:strCache>
                <c:ptCount val="39"/>
                <c:pt idx="2">
                  <c:v>rok 2012</c:v>
                </c:pt>
                <c:pt idx="8">
                  <c:v>rok 2013</c:v>
                </c:pt>
                <c:pt idx="14">
                  <c:v>rok 2014</c:v>
                </c:pt>
                <c:pt idx="20">
                  <c:v>rok 2015</c:v>
                </c:pt>
                <c:pt idx="26">
                  <c:v>rok 2016</c:v>
                </c:pt>
                <c:pt idx="32">
                  <c:v>rok 2017</c:v>
                </c:pt>
                <c:pt idx="38">
                  <c:v>rok 2018</c:v>
                </c:pt>
              </c:strCache>
            </c:strRef>
          </c:cat>
          <c:val>
            <c:numRef>
              <c:f>'GRAF-6-vzdělání'!$B$91:$B$132</c:f>
              <c:numCache>
                <c:formatCode>0.0</c:formatCode>
                <c:ptCount val="42"/>
                <c:pt idx="0">
                  <c:v>0.97143967359627936</c:v>
                </c:pt>
                <c:pt idx="1">
                  <c:v>0.90372855674007724</c:v>
                </c:pt>
                <c:pt idx="2">
                  <c:v>-9.5677133165168016E-2</c:v>
                </c:pt>
                <c:pt idx="3">
                  <c:v>-0.2146992293831147</c:v>
                </c:pt>
                <c:pt idx="4">
                  <c:v>-1.3663874793666366</c:v>
                </c:pt>
                <c:pt idx="6">
                  <c:v>1.4431402732345617</c:v>
                </c:pt>
                <c:pt idx="7">
                  <c:v>0.94390217741069193</c:v>
                </c:pt>
                <c:pt idx="8">
                  <c:v>0.56155319519415059</c:v>
                </c:pt>
                <c:pt idx="9">
                  <c:v>-0.13063357282821642</c:v>
                </c:pt>
                <c:pt idx="10">
                  <c:v>1.1745746428239272</c:v>
                </c:pt>
                <c:pt idx="12">
                  <c:v>2.2698533131006542</c:v>
                </c:pt>
                <c:pt idx="13">
                  <c:v>2.0295399001169017</c:v>
                </c:pt>
                <c:pt idx="14">
                  <c:v>2.3592052292108434</c:v>
                </c:pt>
                <c:pt idx="15">
                  <c:v>2.1736621398068792</c:v>
                </c:pt>
                <c:pt idx="16">
                  <c:v>1.3937388960362682</c:v>
                </c:pt>
                <c:pt idx="18">
                  <c:v>3.7774343122102039</c:v>
                </c:pt>
                <c:pt idx="19">
                  <c:v>3.8481566340345665</c:v>
                </c:pt>
                <c:pt idx="20">
                  <c:v>3.9668442865600895</c:v>
                </c:pt>
                <c:pt idx="21">
                  <c:v>3.7088636192484472</c:v>
                </c:pt>
                <c:pt idx="22">
                  <c:v>2.8035406785293446</c:v>
                </c:pt>
                <c:pt idx="24">
                  <c:v>8.870487310854287</c:v>
                </c:pt>
                <c:pt idx="25">
                  <c:v>6.3180063180063257</c:v>
                </c:pt>
                <c:pt idx="26">
                  <c:v>4.6452977546371557</c:v>
                </c:pt>
                <c:pt idx="27">
                  <c:v>5.0829611879606347</c:v>
                </c:pt>
                <c:pt idx="28">
                  <c:v>4.3139674983102623</c:v>
                </c:pt>
                <c:pt idx="30">
                  <c:v>9.2749658002736055</c:v>
                </c:pt>
                <c:pt idx="31">
                  <c:v>7.6215629863698382</c:v>
                </c:pt>
                <c:pt idx="32">
                  <c:v>6.8141180129052401</c:v>
                </c:pt>
                <c:pt idx="33">
                  <c:v>7.6391528176070267</c:v>
                </c:pt>
                <c:pt idx="34">
                  <c:v>6.6597177226244355</c:v>
                </c:pt>
                <c:pt idx="36">
                  <c:v>8.0120180270405683</c:v>
                </c:pt>
                <c:pt idx="37">
                  <c:v>9.2992681537315462</c:v>
                </c:pt>
                <c:pt idx="38">
                  <c:v>8.5374285818261058</c:v>
                </c:pt>
                <c:pt idx="39">
                  <c:v>9.5364961160685766</c:v>
                </c:pt>
                <c:pt idx="40">
                  <c:v>7.7493991178257318</c:v>
                </c:pt>
              </c:numCache>
            </c:numRef>
          </c:val>
          <c:extLst>
            <c:ext xmlns:c16="http://schemas.microsoft.com/office/drawing/2014/chart" uri="{C3380CC4-5D6E-409C-BE32-E72D297353CC}">
              <c16:uniqueId val="{00000046-4DF2-42B5-ABEB-F7F5AA104508}"/>
            </c:ext>
          </c:extLst>
        </c:ser>
        <c:dLbls>
          <c:showLegendKey val="0"/>
          <c:showVal val="0"/>
          <c:showCatName val="0"/>
          <c:showSerName val="0"/>
          <c:showPercent val="0"/>
          <c:showBubbleSize val="0"/>
        </c:dLbls>
        <c:gapWidth val="50"/>
        <c:axId val="105985536"/>
        <c:axId val="105992192"/>
      </c:barChart>
      <c:lineChart>
        <c:grouping val="stacked"/>
        <c:varyColors val="0"/>
        <c:ser>
          <c:idx val="1"/>
          <c:order val="1"/>
          <c:tx>
            <c:strRef>
              <c:f>'GRAF-6-vzdělání'!$C$90</c:f>
              <c:strCache>
                <c:ptCount val="1"/>
                <c:pt idx="0">
                  <c:v>z toho ženy</c:v>
                </c:pt>
              </c:strCache>
            </c:strRef>
          </c:tx>
          <c:spPr>
            <a:ln w="15875" cap="rnd">
              <a:noFill/>
              <a:prstDash val="sysDash"/>
              <a:round/>
            </a:ln>
            <a:effectLst/>
          </c:spPr>
          <c:marker>
            <c:symbol val="circle"/>
            <c:size val="3"/>
            <c:spPr>
              <a:solidFill>
                <a:srgbClr val="C00000"/>
              </a:solidFill>
              <a:ln w="3175">
                <a:noFill/>
              </a:ln>
              <a:effectLst/>
            </c:spPr>
          </c:marker>
          <c:cat>
            <c:strRef>
              <c:f>'GRAF-6-vzdělání'!$A$91:$A$132</c:f>
              <c:strCache>
                <c:ptCount val="39"/>
                <c:pt idx="2">
                  <c:v>rok 2012</c:v>
                </c:pt>
                <c:pt idx="8">
                  <c:v>rok 2013</c:v>
                </c:pt>
                <c:pt idx="14">
                  <c:v>rok 2014</c:v>
                </c:pt>
                <c:pt idx="20">
                  <c:v>rok 2015</c:v>
                </c:pt>
                <c:pt idx="26">
                  <c:v>rok 2016</c:v>
                </c:pt>
                <c:pt idx="32">
                  <c:v>rok 2017</c:v>
                </c:pt>
                <c:pt idx="38">
                  <c:v>rok 2018</c:v>
                </c:pt>
              </c:strCache>
            </c:strRef>
          </c:cat>
          <c:val>
            <c:numRef>
              <c:f>'GRAF-6-vzdělání'!$C$91:$C$132</c:f>
              <c:numCache>
                <c:formatCode>0.0</c:formatCode>
                <c:ptCount val="42"/>
                <c:pt idx="0">
                  <c:v>2.2354801610120774</c:v>
                </c:pt>
                <c:pt idx="1">
                  <c:v>1.2868632707774736</c:v>
                </c:pt>
                <c:pt idx="2">
                  <c:v>0.88736560401896725</c:v>
                </c:pt>
                <c:pt idx="3">
                  <c:v>0.30174762164200786</c:v>
                </c:pt>
                <c:pt idx="4">
                  <c:v>-0.51439241799668878</c:v>
                </c:pt>
                <c:pt idx="5">
                  <c:v>-1000</c:v>
                </c:pt>
                <c:pt idx="6">
                  <c:v>1.5538212753990024</c:v>
                </c:pt>
                <c:pt idx="7">
                  <c:v>0.52276336686077229</c:v>
                </c:pt>
                <c:pt idx="8">
                  <c:v>0.46072226358897694</c:v>
                </c:pt>
                <c:pt idx="9">
                  <c:v>-7.1031629966995524E-2</c:v>
                </c:pt>
                <c:pt idx="10">
                  <c:v>1.5015759464532437</c:v>
                </c:pt>
                <c:pt idx="11">
                  <c:v>-1000</c:v>
                </c:pt>
                <c:pt idx="12">
                  <c:v>2.0977568540570388</c:v>
                </c:pt>
                <c:pt idx="13">
                  <c:v>2.3895727733526257</c:v>
                </c:pt>
                <c:pt idx="14">
                  <c:v>1.7278917867235037</c:v>
                </c:pt>
                <c:pt idx="15">
                  <c:v>2.1491888275631368</c:v>
                </c:pt>
                <c:pt idx="16">
                  <c:v>2.0550573950664557</c:v>
                </c:pt>
                <c:pt idx="17">
                  <c:v>-1000</c:v>
                </c:pt>
                <c:pt idx="18">
                  <c:v>4.0008137248253917</c:v>
                </c:pt>
                <c:pt idx="19">
                  <c:v>3.664652179503662</c:v>
                </c:pt>
                <c:pt idx="20">
                  <c:v>3.4517304189435265</c:v>
                </c:pt>
                <c:pt idx="21">
                  <c:v>2.8530495292673095</c:v>
                </c:pt>
                <c:pt idx="22">
                  <c:v>2.8581196581196622</c:v>
                </c:pt>
                <c:pt idx="23">
                  <c:v>-1000</c:v>
                </c:pt>
                <c:pt idx="24">
                  <c:v>8.508834843841683</c:v>
                </c:pt>
                <c:pt idx="25">
                  <c:v>7.4795336144877211</c:v>
                </c:pt>
                <c:pt idx="26">
                  <c:v>4.2785456466238259</c:v>
                </c:pt>
                <c:pt idx="27">
                  <c:v>5.1498388188004895</c:v>
                </c:pt>
                <c:pt idx="28">
                  <c:v>5.2250216047331008</c:v>
                </c:pt>
                <c:pt idx="29">
                  <c:v>-1000</c:v>
                </c:pt>
                <c:pt idx="30">
                  <c:v>8.712895084725389</c:v>
                </c:pt>
                <c:pt idx="31">
                  <c:v>9.18638199653779</c:v>
                </c:pt>
                <c:pt idx="32">
                  <c:v>6.6525960320810356</c:v>
                </c:pt>
                <c:pt idx="33">
                  <c:v>7.9747170811097305</c:v>
                </c:pt>
                <c:pt idx="34">
                  <c:v>6.9334765304188437</c:v>
                </c:pt>
                <c:pt idx="35">
                  <c:v>-1000</c:v>
                </c:pt>
                <c:pt idx="36">
                  <c:v>9.866239221755464</c:v>
                </c:pt>
                <c:pt idx="37">
                  <c:v>9.6184335693901204</c:v>
                </c:pt>
                <c:pt idx="38">
                  <c:v>8.5134172405604289</c:v>
                </c:pt>
                <c:pt idx="39">
                  <c:v>9.3942793045429056</c:v>
                </c:pt>
                <c:pt idx="40">
                  <c:v>9.4230939650843339</c:v>
                </c:pt>
                <c:pt idx="41">
                  <c:v>-1000</c:v>
                </c:pt>
              </c:numCache>
            </c:numRef>
          </c:val>
          <c:smooth val="0"/>
          <c:extLst>
            <c:ext xmlns:c16="http://schemas.microsoft.com/office/drawing/2014/chart" uri="{C3380CC4-5D6E-409C-BE32-E72D297353CC}">
              <c16:uniqueId val="{00000047-4DF2-42B5-ABEB-F7F5AA104508}"/>
            </c:ext>
          </c:extLst>
        </c:ser>
        <c:dLbls>
          <c:showLegendKey val="0"/>
          <c:showVal val="0"/>
          <c:showCatName val="0"/>
          <c:showSerName val="0"/>
          <c:showPercent val="0"/>
          <c:showBubbleSize val="0"/>
        </c:dLbls>
        <c:marker val="1"/>
        <c:smooth val="0"/>
        <c:axId val="105985536"/>
        <c:axId val="105992192"/>
      </c:lineChart>
      <c:catAx>
        <c:axId val="105985536"/>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cs-CZ"/>
          </a:p>
        </c:txPr>
        <c:crossAx val="105992192"/>
        <c:crosses val="autoZero"/>
        <c:auto val="1"/>
        <c:lblAlgn val="ctr"/>
        <c:lblOffset val="0"/>
        <c:noMultiLvlLbl val="0"/>
      </c:catAx>
      <c:valAx>
        <c:axId val="105992192"/>
        <c:scaling>
          <c:orientation val="minMax"/>
          <c:max val="10"/>
          <c:min val="-2"/>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low"/>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cs-CZ"/>
          </a:p>
        </c:txPr>
        <c:crossAx val="105985536"/>
        <c:crossesAt val="1"/>
        <c:crossBetween val="between"/>
        <c:majorUnit val="1"/>
      </c:valAx>
      <c:spPr>
        <a:noFill/>
        <a:ln w="6350">
          <a:solidFill>
            <a:schemeClr val="tx1">
              <a:lumMod val="95000"/>
              <a:lumOff val="5000"/>
            </a:schemeClr>
          </a:solidFill>
        </a:ln>
        <a:effectLst/>
      </c:spPr>
    </c:plotArea>
    <c:legend>
      <c:legendPos val="b"/>
      <c:layout>
        <c:manualLayout>
          <c:xMode val="edge"/>
          <c:yMode val="edge"/>
          <c:x val="0.36135773493104778"/>
          <c:y val="0.93588977391111239"/>
          <c:w val="0.25177584196887293"/>
          <c:h val="5.1310333641403798E-2"/>
        </c:manualLayout>
      </c:layout>
      <c:overlay val="0"/>
      <c:spPr>
        <a:noFill/>
        <a:ln w="6350">
          <a:solidFill>
            <a:schemeClr val="tx1">
              <a:lumMod val="95000"/>
              <a:lumOff val="5000"/>
            </a:schemeClr>
          </a:solidFill>
        </a:ln>
        <a:effectLst/>
      </c:spPr>
      <c:txPr>
        <a:bodyPr rot="0" spcFirstLastPara="1" vertOverflow="ellipsis" vert="horz" wrap="square" anchor="ctr" anchorCtr="1"/>
        <a:lstStyle/>
        <a:p>
          <a:pPr>
            <a:defRPr sz="800" b="0" i="0" u="none" strike="noStrike" kern="1200" baseline="0">
              <a:ln>
                <a:noFill/>
              </a:ln>
              <a:solidFill>
                <a:schemeClr val="tx1">
                  <a:lumMod val="65000"/>
                  <a:lumOff val="35000"/>
                </a:schemeClr>
              </a:solidFill>
              <a:latin typeface="Arial" panose="020B0604020202020204" pitchFamily="34" charset="0"/>
              <a:ea typeface="+mn-ea"/>
              <a:cs typeface="Arial" panose="020B0604020202020204" pitchFamily="34" charset="0"/>
            </a:defRPr>
          </a:pPr>
          <a:endParaRPr lang="cs-CZ"/>
        </a:p>
      </c:txPr>
    </c:legend>
    <c:plotVisOnly val="1"/>
    <c:dispBlanksAs val="gap"/>
    <c:showDLblsOverMax val="0"/>
  </c:chart>
  <c:spPr>
    <a:solidFill>
      <a:schemeClr val="bg1"/>
    </a:solidFill>
    <a:ln w="9525" cap="flat" cmpd="sng" algn="ctr">
      <a:noFill/>
      <a:round/>
    </a:ln>
    <a:effectLst/>
  </c:spPr>
  <c:txPr>
    <a:bodyPr/>
    <a:lstStyle/>
    <a:p>
      <a:pPr>
        <a:defRPr/>
      </a:pPr>
      <a:endParaRPr lang="cs-CZ"/>
    </a:p>
  </c:txPr>
  <c:externalData r:id="rId3">
    <c:autoUpdate val="0"/>
  </c:externalData>
  <c:userShapes r:id="rId4"/>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7917650414457003E-2"/>
          <c:y val="1.8900049881717198E-2"/>
          <c:w val="0.93286337326816915"/>
          <c:h val="0.86227263474272853"/>
        </c:manualLayout>
      </c:layout>
      <c:barChart>
        <c:barDir val="col"/>
        <c:grouping val="clustered"/>
        <c:varyColors val="0"/>
        <c:ser>
          <c:idx val="0"/>
          <c:order val="0"/>
          <c:tx>
            <c:strRef>
              <c:f>'GRAF-7-ISCO-růst'!$B$89</c:f>
              <c:strCache>
                <c:ptCount val="1"/>
                <c:pt idx="0">
                  <c:v>celkem</c:v>
                </c:pt>
              </c:strCache>
            </c:strRef>
          </c:tx>
          <c:spPr>
            <a:solidFill>
              <a:schemeClr val="bg1"/>
            </a:solidFill>
            <a:ln w="3175">
              <a:solidFill>
                <a:schemeClr val="bg1">
                  <a:lumMod val="65000"/>
                </a:schemeClr>
              </a:solidFill>
            </a:ln>
            <a:effectLst/>
          </c:spPr>
          <c:invertIfNegative val="0"/>
          <c:dPt>
            <c:idx val="0"/>
            <c:invertIfNegative val="0"/>
            <c:bubble3D val="0"/>
            <c:spPr>
              <a:solidFill>
                <a:schemeClr val="bg1">
                  <a:lumMod val="75000"/>
                </a:schemeClr>
              </a:solidFill>
              <a:ln w="3175">
                <a:solidFill>
                  <a:schemeClr val="bg1">
                    <a:lumMod val="65000"/>
                  </a:schemeClr>
                </a:solidFill>
              </a:ln>
              <a:effectLst/>
            </c:spPr>
            <c:extLst>
              <c:ext xmlns:c16="http://schemas.microsoft.com/office/drawing/2014/chart" uri="{C3380CC4-5D6E-409C-BE32-E72D297353CC}">
                <c16:uniqueId val="{00000001-24C9-4D75-9907-3BBFC2C1B454}"/>
              </c:ext>
            </c:extLst>
          </c:dPt>
          <c:dPt>
            <c:idx val="1"/>
            <c:invertIfNegative val="0"/>
            <c:bubble3D val="0"/>
            <c:spPr>
              <a:solidFill>
                <a:schemeClr val="bg1">
                  <a:lumMod val="85000"/>
                </a:schemeClr>
              </a:solidFill>
              <a:ln w="3175">
                <a:solidFill>
                  <a:schemeClr val="bg1">
                    <a:lumMod val="65000"/>
                  </a:schemeClr>
                </a:solidFill>
              </a:ln>
              <a:effectLst/>
            </c:spPr>
            <c:extLst>
              <c:ext xmlns:c16="http://schemas.microsoft.com/office/drawing/2014/chart" uri="{C3380CC4-5D6E-409C-BE32-E72D297353CC}">
                <c16:uniqueId val="{00000003-24C9-4D75-9907-3BBFC2C1B454}"/>
              </c:ext>
            </c:extLst>
          </c:dPt>
          <c:dPt>
            <c:idx val="2"/>
            <c:invertIfNegative val="0"/>
            <c:bubble3D val="0"/>
            <c:spPr>
              <a:solidFill>
                <a:schemeClr val="bg1">
                  <a:lumMod val="95000"/>
                </a:schemeClr>
              </a:solidFill>
              <a:ln w="3175">
                <a:solidFill>
                  <a:schemeClr val="bg1">
                    <a:lumMod val="65000"/>
                  </a:schemeClr>
                </a:solidFill>
              </a:ln>
              <a:effectLst/>
            </c:spPr>
            <c:extLst>
              <c:ext xmlns:c16="http://schemas.microsoft.com/office/drawing/2014/chart" uri="{C3380CC4-5D6E-409C-BE32-E72D297353CC}">
                <c16:uniqueId val="{00000005-24C9-4D75-9907-3BBFC2C1B454}"/>
              </c:ext>
            </c:extLst>
          </c:dPt>
          <c:dPt>
            <c:idx val="3"/>
            <c:invertIfNegative val="0"/>
            <c:bubble3D val="0"/>
            <c:spPr>
              <a:solidFill>
                <a:srgbClr val="C5E8FF"/>
              </a:solidFill>
              <a:ln w="3175">
                <a:solidFill>
                  <a:schemeClr val="bg1">
                    <a:lumMod val="65000"/>
                  </a:schemeClr>
                </a:solidFill>
              </a:ln>
              <a:effectLst/>
            </c:spPr>
            <c:extLst>
              <c:ext xmlns:c16="http://schemas.microsoft.com/office/drawing/2014/chart" uri="{C3380CC4-5D6E-409C-BE32-E72D297353CC}">
                <c16:uniqueId val="{00000007-24C9-4D75-9907-3BBFC2C1B454}"/>
              </c:ext>
            </c:extLst>
          </c:dPt>
          <c:dPt>
            <c:idx val="4"/>
            <c:invertIfNegative val="0"/>
            <c:bubble3D val="0"/>
            <c:spPr>
              <a:solidFill>
                <a:srgbClr val="8FD2FF"/>
              </a:solidFill>
              <a:ln w="3175">
                <a:solidFill>
                  <a:schemeClr val="bg1">
                    <a:lumMod val="65000"/>
                  </a:schemeClr>
                </a:solidFill>
              </a:ln>
              <a:effectLst/>
            </c:spPr>
            <c:extLst>
              <c:ext xmlns:c16="http://schemas.microsoft.com/office/drawing/2014/chart" uri="{C3380CC4-5D6E-409C-BE32-E72D297353CC}">
                <c16:uniqueId val="{00000009-24C9-4D75-9907-3BBFC2C1B454}"/>
              </c:ext>
            </c:extLst>
          </c:dPt>
          <c:dPt>
            <c:idx val="5"/>
            <c:invertIfNegative val="0"/>
            <c:bubble3D val="0"/>
            <c:spPr>
              <a:solidFill>
                <a:srgbClr val="25A7FF"/>
              </a:solidFill>
              <a:ln w="3175">
                <a:solidFill>
                  <a:schemeClr val="bg1">
                    <a:lumMod val="65000"/>
                  </a:schemeClr>
                </a:solidFill>
              </a:ln>
              <a:effectLst/>
            </c:spPr>
            <c:extLst>
              <c:ext xmlns:c16="http://schemas.microsoft.com/office/drawing/2014/chart" uri="{C3380CC4-5D6E-409C-BE32-E72D297353CC}">
                <c16:uniqueId val="{0000000B-24C9-4D75-9907-3BBFC2C1B454}"/>
              </c:ext>
            </c:extLst>
          </c:dPt>
          <c:dPt>
            <c:idx val="6"/>
            <c:invertIfNegative val="0"/>
            <c:bubble3D val="0"/>
            <c:spPr>
              <a:solidFill>
                <a:srgbClr val="0071BC"/>
              </a:solidFill>
              <a:ln w="3175">
                <a:solidFill>
                  <a:schemeClr val="bg1">
                    <a:lumMod val="65000"/>
                  </a:schemeClr>
                </a:solidFill>
              </a:ln>
              <a:effectLst/>
            </c:spPr>
            <c:extLst>
              <c:ext xmlns:c16="http://schemas.microsoft.com/office/drawing/2014/chart" uri="{C3380CC4-5D6E-409C-BE32-E72D297353CC}">
                <c16:uniqueId val="{0000000D-24C9-4D75-9907-3BBFC2C1B454}"/>
              </c:ext>
            </c:extLst>
          </c:dPt>
          <c:dPt>
            <c:idx val="7"/>
            <c:invertIfNegative val="0"/>
            <c:bubble3D val="0"/>
            <c:extLst>
              <c:ext xmlns:c16="http://schemas.microsoft.com/office/drawing/2014/chart" uri="{C3380CC4-5D6E-409C-BE32-E72D297353CC}">
                <c16:uniqueId val="{0000000E-24C9-4D75-9907-3BBFC2C1B454}"/>
              </c:ext>
            </c:extLst>
          </c:dPt>
          <c:dPt>
            <c:idx val="8"/>
            <c:invertIfNegative val="0"/>
            <c:bubble3D val="0"/>
            <c:spPr>
              <a:solidFill>
                <a:schemeClr val="bg1">
                  <a:lumMod val="75000"/>
                </a:schemeClr>
              </a:solidFill>
              <a:ln w="3175">
                <a:solidFill>
                  <a:schemeClr val="bg1">
                    <a:lumMod val="65000"/>
                  </a:schemeClr>
                </a:solidFill>
              </a:ln>
              <a:effectLst/>
            </c:spPr>
            <c:extLst>
              <c:ext xmlns:c16="http://schemas.microsoft.com/office/drawing/2014/chart" uri="{C3380CC4-5D6E-409C-BE32-E72D297353CC}">
                <c16:uniqueId val="{00000010-24C9-4D75-9907-3BBFC2C1B454}"/>
              </c:ext>
            </c:extLst>
          </c:dPt>
          <c:dPt>
            <c:idx val="9"/>
            <c:invertIfNegative val="0"/>
            <c:bubble3D val="0"/>
            <c:spPr>
              <a:solidFill>
                <a:schemeClr val="bg1">
                  <a:lumMod val="85000"/>
                </a:schemeClr>
              </a:solidFill>
              <a:ln w="3175">
                <a:solidFill>
                  <a:schemeClr val="bg1">
                    <a:lumMod val="65000"/>
                  </a:schemeClr>
                </a:solidFill>
              </a:ln>
              <a:effectLst/>
            </c:spPr>
            <c:extLst>
              <c:ext xmlns:c16="http://schemas.microsoft.com/office/drawing/2014/chart" uri="{C3380CC4-5D6E-409C-BE32-E72D297353CC}">
                <c16:uniqueId val="{00000012-24C9-4D75-9907-3BBFC2C1B454}"/>
              </c:ext>
            </c:extLst>
          </c:dPt>
          <c:dPt>
            <c:idx val="10"/>
            <c:invertIfNegative val="0"/>
            <c:bubble3D val="0"/>
            <c:spPr>
              <a:solidFill>
                <a:schemeClr val="bg1">
                  <a:lumMod val="95000"/>
                </a:schemeClr>
              </a:solidFill>
              <a:ln w="3175">
                <a:solidFill>
                  <a:schemeClr val="bg1">
                    <a:lumMod val="65000"/>
                  </a:schemeClr>
                </a:solidFill>
              </a:ln>
              <a:effectLst/>
            </c:spPr>
            <c:extLst>
              <c:ext xmlns:c16="http://schemas.microsoft.com/office/drawing/2014/chart" uri="{C3380CC4-5D6E-409C-BE32-E72D297353CC}">
                <c16:uniqueId val="{00000014-24C9-4D75-9907-3BBFC2C1B454}"/>
              </c:ext>
            </c:extLst>
          </c:dPt>
          <c:dPt>
            <c:idx val="11"/>
            <c:invertIfNegative val="0"/>
            <c:bubble3D val="0"/>
            <c:spPr>
              <a:solidFill>
                <a:srgbClr val="C5E8FF"/>
              </a:solidFill>
              <a:ln w="3175">
                <a:solidFill>
                  <a:schemeClr val="bg1">
                    <a:lumMod val="65000"/>
                  </a:schemeClr>
                </a:solidFill>
              </a:ln>
              <a:effectLst/>
            </c:spPr>
            <c:extLst>
              <c:ext xmlns:c16="http://schemas.microsoft.com/office/drawing/2014/chart" uri="{C3380CC4-5D6E-409C-BE32-E72D297353CC}">
                <c16:uniqueId val="{00000016-24C9-4D75-9907-3BBFC2C1B454}"/>
              </c:ext>
            </c:extLst>
          </c:dPt>
          <c:dPt>
            <c:idx val="12"/>
            <c:invertIfNegative val="0"/>
            <c:bubble3D val="0"/>
            <c:spPr>
              <a:solidFill>
                <a:srgbClr val="8FD2FF"/>
              </a:solidFill>
              <a:ln w="3175">
                <a:solidFill>
                  <a:schemeClr val="bg1">
                    <a:lumMod val="65000"/>
                  </a:schemeClr>
                </a:solidFill>
              </a:ln>
              <a:effectLst/>
            </c:spPr>
            <c:extLst>
              <c:ext xmlns:c16="http://schemas.microsoft.com/office/drawing/2014/chart" uri="{C3380CC4-5D6E-409C-BE32-E72D297353CC}">
                <c16:uniqueId val="{00000018-24C9-4D75-9907-3BBFC2C1B454}"/>
              </c:ext>
            </c:extLst>
          </c:dPt>
          <c:dPt>
            <c:idx val="13"/>
            <c:invertIfNegative val="0"/>
            <c:bubble3D val="0"/>
            <c:spPr>
              <a:solidFill>
                <a:srgbClr val="25A7FF"/>
              </a:solidFill>
              <a:ln w="3175">
                <a:solidFill>
                  <a:schemeClr val="bg1">
                    <a:lumMod val="65000"/>
                  </a:schemeClr>
                </a:solidFill>
              </a:ln>
              <a:effectLst/>
            </c:spPr>
            <c:extLst>
              <c:ext xmlns:c16="http://schemas.microsoft.com/office/drawing/2014/chart" uri="{C3380CC4-5D6E-409C-BE32-E72D297353CC}">
                <c16:uniqueId val="{0000001A-24C9-4D75-9907-3BBFC2C1B454}"/>
              </c:ext>
            </c:extLst>
          </c:dPt>
          <c:dPt>
            <c:idx val="14"/>
            <c:invertIfNegative val="0"/>
            <c:bubble3D val="0"/>
            <c:spPr>
              <a:solidFill>
                <a:srgbClr val="0071BC"/>
              </a:solidFill>
              <a:ln w="3175">
                <a:solidFill>
                  <a:schemeClr val="bg1">
                    <a:lumMod val="65000"/>
                  </a:schemeClr>
                </a:solidFill>
              </a:ln>
              <a:effectLst/>
            </c:spPr>
            <c:extLst>
              <c:ext xmlns:c16="http://schemas.microsoft.com/office/drawing/2014/chart" uri="{C3380CC4-5D6E-409C-BE32-E72D297353CC}">
                <c16:uniqueId val="{0000001C-24C9-4D75-9907-3BBFC2C1B454}"/>
              </c:ext>
            </c:extLst>
          </c:dPt>
          <c:dPt>
            <c:idx val="15"/>
            <c:invertIfNegative val="0"/>
            <c:bubble3D val="0"/>
            <c:extLst>
              <c:ext xmlns:c16="http://schemas.microsoft.com/office/drawing/2014/chart" uri="{C3380CC4-5D6E-409C-BE32-E72D297353CC}">
                <c16:uniqueId val="{0000001D-24C9-4D75-9907-3BBFC2C1B454}"/>
              </c:ext>
            </c:extLst>
          </c:dPt>
          <c:dPt>
            <c:idx val="16"/>
            <c:invertIfNegative val="0"/>
            <c:bubble3D val="0"/>
            <c:spPr>
              <a:solidFill>
                <a:schemeClr val="bg1">
                  <a:lumMod val="75000"/>
                </a:schemeClr>
              </a:solidFill>
              <a:ln w="3175">
                <a:solidFill>
                  <a:schemeClr val="bg1">
                    <a:lumMod val="65000"/>
                  </a:schemeClr>
                </a:solidFill>
              </a:ln>
              <a:effectLst/>
            </c:spPr>
            <c:extLst>
              <c:ext xmlns:c16="http://schemas.microsoft.com/office/drawing/2014/chart" uri="{C3380CC4-5D6E-409C-BE32-E72D297353CC}">
                <c16:uniqueId val="{0000001F-24C9-4D75-9907-3BBFC2C1B454}"/>
              </c:ext>
            </c:extLst>
          </c:dPt>
          <c:dPt>
            <c:idx val="17"/>
            <c:invertIfNegative val="0"/>
            <c:bubble3D val="0"/>
            <c:spPr>
              <a:solidFill>
                <a:schemeClr val="bg1">
                  <a:lumMod val="85000"/>
                </a:schemeClr>
              </a:solidFill>
              <a:ln w="3175">
                <a:solidFill>
                  <a:schemeClr val="bg1">
                    <a:lumMod val="65000"/>
                  </a:schemeClr>
                </a:solidFill>
              </a:ln>
              <a:effectLst/>
            </c:spPr>
            <c:extLst>
              <c:ext xmlns:c16="http://schemas.microsoft.com/office/drawing/2014/chart" uri="{C3380CC4-5D6E-409C-BE32-E72D297353CC}">
                <c16:uniqueId val="{00000021-24C9-4D75-9907-3BBFC2C1B454}"/>
              </c:ext>
            </c:extLst>
          </c:dPt>
          <c:dPt>
            <c:idx val="18"/>
            <c:invertIfNegative val="0"/>
            <c:bubble3D val="0"/>
            <c:spPr>
              <a:solidFill>
                <a:schemeClr val="bg1">
                  <a:lumMod val="95000"/>
                </a:schemeClr>
              </a:solidFill>
              <a:ln w="3175">
                <a:solidFill>
                  <a:schemeClr val="bg1">
                    <a:lumMod val="65000"/>
                  </a:schemeClr>
                </a:solidFill>
              </a:ln>
              <a:effectLst/>
            </c:spPr>
            <c:extLst>
              <c:ext xmlns:c16="http://schemas.microsoft.com/office/drawing/2014/chart" uri="{C3380CC4-5D6E-409C-BE32-E72D297353CC}">
                <c16:uniqueId val="{00000023-24C9-4D75-9907-3BBFC2C1B454}"/>
              </c:ext>
            </c:extLst>
          </c:dPt>
          <c:dPt>
            <c:idx val="19"/>
            <c:invertIfNegative val="0"/>
            <c:bubble3D val="0"/>
            <c:spPr>
              <a:solidFill>
                <a:srgbClr val="C5E8FF"/>
              </a:solidFill>
              <a:ln w="3175">
                <a:solidFill>
                  <a:schemeClr val="bg1">
                    <a:lumMod val="65000"/>
                  </a:schemeClr>
                </a:solidFill>
              </a:ln>
              <a:effectLst/>
            </c:spPr>
            <c:extLst>
              <c:ext xmlns:c16="http://schemas.microsoft.com/office/drawing/2014/chart" uri="{C3380CC4-5D6E-409C-BE32-E72D297353CC}">
                <c16:uniqueId val="{00000025-24C9-4D75-9907-3BBFC2C1B454}"/>
              </c:ext>
            </c:extLst>
          </c:dPt>
          <c:dPt>
            <c:idx val="20"/>
            <c:invertIfNegative val="0"/>
            <c:bubble3D val="0"/>
            <c:spPr>
              <a:solidFill>
                <a:srgbClr val="8FD2FF"/>
              </a:solidFill>
              <a:ln w="3175">
                <a:solidFill>
                  <a:schemeClr val="bg1">
                    <a:lumMod val="65000"/>
                  </a:schemeClr>
                </a:solidFill>
              </a:ln>
              <a:effectLst/>
            </c:spPr>
            <c:extLst>
              <c:ext xmlns:c16="http://schemas.microsoft.com/office/drawing/2014/chart" uri="{C3380CC4-5D6E-409C-BE32-E72D297353CC}">
                <c16:uniqueId val="{00000027-24C9-4D75-9907-3BBFC2C1B454}"/>
              </c:ext>
            </c:extLst>
          </c:dPt>
          <c:dPt>
            <c:idx val="21"/>
            <c:invertIfNegative val="0"/>
            <c:bubble3D val="0"/>
            <c:spPr>
              <a:solidFill>
                <a:srgbClr val="25A7FF"/>
              </a:solidFill>
              <a:ln w="3175">
                <a:solidFill>
                  <a:schemeClr val="bg1">
                    <a:lumMod val="65000"/>
                  </a:schemeClr>
                </a:solidFill>
              </a:ln>
              <a:effectLst/>
            </c:spPr>
            <c:extLst>
              <c:ext xmlns:c16="http://schemas.microsoft.com/office/drawing/2014/chart" uri="{C3380CC4-5D6E-409C-BE32-E72D297353CC}">
                <c16:uniqueId val="{00000029-24C9-4D75-9907-3BBFC2C1B454}"/>
              </c:ext>
            </c:extLst>
          </c:dPt>
          <c:dPt>
            <c:idx val="22"/>
            <c:invertIfNegative val="0"/>
            <c:bubble3D val="0"/>
            <c:spPr>
              <a:solidFill>
                <a:srgbClr val="0071BC"/>
              </a:solidFill>
              <a:ln w="3175">
                <a:solidFill>
                  <a:schemeClr val="bg1">
                    <a:lumMod val="65000"/>
                  </a:schemeClr>
                </a:solidFill>
              </a:ln>
              <a:effectLst/>
            </c:spPr>
            <c:extLst>
              <c:ext xmlns:c16="http://schemas.microsoft.com/office/drawing/2014/chart" uri="{C3380CC4-5D6E-409C-BE32-E72D297353CC}">
                <c16:uniqueId val="{0000002B-24C9-4D75-9907-3BBFC2C1B454}"/>
              </c:ext>
            </c:extLst>
          </c:dPt>
          <c:dPt>
            <c:idx val="24"/>
            <c:invertIfNegative val="0"/>
            <c:bubble3D val="0"/>
            <c:spPr>
              <a:solidFill>
                <a:schemeClr val="bg1">
                  <a:lumMod val="75000"/>
                </a:schemeClr>
              </a:solidFill>
              <a:ln w="3175">
                <a:solidFill>
                  <a:schemeClr val="bg1">
                    <a:lumMod val="65000"/>
                  </a:schemeClr>
                </a:solidFill>
              </a:ln>
              <a:effectLst/>
            </c:spPr>
            <c:extLst>
              <c:ext xmlns:c16="http://schemas.microsoft.com/office/drawing/2014/chart" uri="{C3380CC4-5D6E-409C-BE32-E72D297353CC}">
                <c16:uniqueId val="{0000002D-24C9-4D75-9907-3BBFC2C1B454}"/>
              </c:ext>
            </c:extLst>
          </c:dPt>
          <c:dPt>
            <c:idx val="25"/>
            <c:invertIfNegative val="0"/>
            <c:bubble3D val="0"/>
            <c:spPr>
              <a:solidFill>
                <a:schemeClr val="bg1">
                  <a:lumMod val="85000"/>
                </a:schemeClr>
              </a:solidFill>
              <a:ln w="3175">
                <a:solidFill>
                  <a:schemeClr val="bg1">
                    <a:lumMod val="65000"/>
                  </a:schemeClr>
                </a:solidFill>
              </a:ln>
              <a:effectLst/>
            </c:spPr>
            <c:extLst>
              <c:ext xmlns:c16="http://schemas.microsoft.com/office/drawing/2014/chart" uri="{C3380CC4-5D6E-409C-BE32-E72D297353CC}">
                <c16:uniqueId val="{0000002F-24C9-4D75-9907-3BBFC2C1B454}"/>
              </c:ext>
            </c:extLst>
          </c:dPt>
          <c:dPt>
            <c:idx val="26"/>
            <c:invertIfNegative val="0"/>
            <c:bubble3D val="0"/>
            <c:spPr>
              <a:solidFill>
                <a:schemeClr val="bg1">
                  <a:lumMod val="95000"/>
                </a:schemeClr>
              </a:solidFill>
              <a:ln w="3175">
                <a:solidFill>
                  <a:schemeClr val="bg1">
                    <a:lumMod val="65000"/>
                  </a:schemeClr>
                </a:solidFill>
              </a:ln>
              <a:effectLst/>
            </c:spPr>
            <c:extLst>
              <c:ext xmlns:c16="http://schemas.microsoft.com/office/drawing/2014/chart" uri="{C3380CC4-5D6E-409C-BE32-E72D297353CC}">
                <c16:uniqueId val="{00000031-24C9-4D75-9907-3BBFC2C1B454}"/>
              </c:ext>
            </c:extLst>
          </c:dPt>
          <c:dPt>
            <c:idx val="27"/>
            <c:invertIfNegative val="0"/>
            <c:bubble3D val="0"/>
            <c:spPr>
              <a:solidFill>
                <a:srgbClr val="C5E8FF"/>
              </a:solidFill>
              <a:ln w="3175">
                <a:solidFill>
                  <a:schemeClr val="bg1">
                    <a:lumMod val="65000"/>
                  </a:schemeClr>
                </a:solidFill>
              </a:ln>
              <a:effectLst/>
            </c:spPr>
            <c:extLst>
              <c:ext xmlns:c16="http://schemas.microsoft.com/office/drawing/2014/chart" uri="{C3380CC4-5D6E-409C-BE32-E72D297353CC}">
                <c16:uniqueId val="{00000033-24C9-4D75-9907-3BBFC2C1B454}"/>
              </c:ext>
            </c:extLst>
          </c:dPt>
          <c:dPt>
            <c:idx val="28"/>
            <c:invertIfNegative val="0"/>
            <c:bubble3D val="0"/>
            <c:spPr>
              <a:solidFill>
                <a:srgbClr val="8FD2FF"/>
              </a:solidFill>
              <a:ln w="3175">
                <a:solidFill>
                  <a:schemeClr val="bg1">
                    <a:lumMod val="65000"/>
                  </a:schemeClr>
                </a:solidFill>
              </a:ln>
              <a:effectLst/>
            </c:spPr>
            <c:extLst>
              <c:ext xmlns:c16="http://schemas.microsoft.com/office/drawing/2014/chart" uri="{C3380CC4-5D6E-409C-BE32-E72D297353CC}">
                <c16:uniqueId val="{00000035-24C9-4D75-9907-3BBFC2C1B454}"/>
              </c:ext>
            </c:extLst>
          </c:dPt>
          <c:dPt>
            <c:idx val="29"/>
            <c:invertIfNegative val="0"/>
            <c:bubble3D val="0"/>
            <c:spPr>
              <a:solidFill>
                <a:srgbClr val="25A7FF"/>
              </a:solidFill>
              <a:ln w="3175">
                <a:solidFill>
                  <a:schemeClr val="bg1">
                    <a:lumMod val="65000"/>
                  </a:schemeClr>
                </a:solidFill>
              </a:ln>
              <a:effectLst/>
            </c:spPr>
            <c:extLst>
              <c:ext xmlns:c16="http://schemas.microsoft.com/office/drawing/2014/chart" uri="{C3380CC4-5D6E-409C-BE32-E72D297353CC}">
                <c16:uniqueId val="{00000037-24C9-4D75-9907-3BBFC2C1B454}"/>
              </c:ext>
            </c:extLst>
          </c:dPt>
          <c:dPt>
            <c:idx val="30"/>
            <c:invertIfNegative val="0"/>
            <c:bubble3D val="0"/>
            <c:spPr>
              <a:solidFill>
                <a:srgbClr val="0071BC"/>
              </a:solidFill>
              <a:ln w="3175">
                <a:solidFill>
                  <a:schemeClr val="bg1">
                    <a:lumMod val="65000"/>
                  </a:schemeClr>
                </a:solidFill>
              </a:ln>
              <a:effectLst/>
            </c:spPr>
            <c:extLst>
              <c:ext xmlns:c16="http://schemas.microsoft.com/office/drawing/2014/chart" uri="{C3380CC4-5D6E-409C-BE32-E72D297353CC}">
                <c16:uniqueId val="{00000039-24C9-4D75-9907-3BBFC2C1B454}"/>
              </c:ext>
            </c:extLst>
          </c:dPt>
          <c:dPt>
            <c:idx val="31"/>
            <c:invertIfNegative val="0"/>
            <c:bubble3D val="0"/>
            <c:extLst>
              <c:ext xmlns:c16="http://schemas.microsoft.com/office/drawing/2014/chart" uri="{C3380CC4-5D6E-409C-BE32-E72D297353CC}">
                <c16:uniqueId val="{0000003A-24C9-4D75-9907-3BBFC2C1B454}"/>
              </c:ext>
            </c:extLst>
          </c:dPt>
          <c:dPt>
            <c:idx val="32"/>
            <c:invertIfNegative val="0"/>
            <c:bubble3D val="0"/>
            <c:spPr>
              <a:solidFill>
                <a:schemeClr val="bg1">
                  <a:lumMod val="75000"/>
                </a:schemeClr>
              </a:solidFill>
              <a:ln w="3175">
                <a:solidFill>
                  <a:schemeClr val="bg1">
                    <a:lumMod val="65000"/>
                  </a:schemeClr>
                </a:solidFill>
              </a:ln>
              <a:effectLst/>
            </c:spPr>
            <c:extLst>
              <c:ext xmlns:c16="http://schemas.microsoft.com/office/drawing/2014/chart" uri="{C3380CC4-5D6E-409C-BE32-E72D297353CC}">
                <c16:uniqueId val="{0000003C-24C9-4D75-9907-3BBFC2C1B454}"/>
              </c:ext>
            </c:extLst>
          </c:dPt>
          <c:dPt>
            <c:idx val="33"/>
            <c:invertIfNegative val="0"/>
            <c:bubble3D val="0"/>
            <c:spPr>
              <a:solidFill>
                <a:schemeClr val="bg1">
                  <a:lumMod val="85000"/>
                </a:schemeClr>
              </a:solidFill>
              <a:ln w="3175">
                <a:solidFill>
                  <a:schemeClr val="bg1">
                    <a:lumMod val="65000"/>
                  </a:schemeClr>
                </a:solidFill>
              </a:ln>
              <a:effectLst/>
            </c:spPr>
            <c:extLst>
              <c:ext xmlns:c16="http://schemas.microsoft.com/office/drawing/2014/chart" uri="{C3380CC4-5D6E-409C-BE32-E72D297353CC}">
                <c16:uniqueId val="{0000003E-24C9-4D75-9907-3BBFC2C1B454}"/>
              </c:ext>
            </c:extLst>
          </c:dPt>
          <c:dPt>
            <c:idx val="34"/>
            <c:invertIfNegative val="0"/>
            <c:bubble3D val="0"/>
            <c:spPr>
              <a:solidFill>
                <a:schemeClr val="bg1">
                  <a:lumMod val="95000"/>
                </a:schemeClr>
              </a:solidFill>
              <a:ln w="3175">
                <a:solidFill>
                  <a:schemeClr val="bg1">
                    <a:lumMod val="65000"/>
                  </a:schemeClr>
                </a:solidFill>
              </a:ln>
              <a:effectLst/>
            </c:spPr>
            <c:extLst>
              <c:ext xmlns:c16="http://schemas.microsoft.com/office/drawing/2014/chart" uri="{C3380CC4-5D6E-409C-BE32-E72D297353CC}">
                <c16:uniqueId val="{00000040-24C9-4D75-9907-3BBFC2C1B454}"/>
              </c:ext>
            </c:extLst>
          </c:dPt>
          <c:dPt>
            <c:idx val="35"/>
            <c:invertIfNegative val="0"/>
            <c:bubble3D val="0"/>
            <c:spPr>
              <a:solidFill>
                <a:srgbClr val="C5E8FF"/>
              </a:solidFill>
              <a:ln w="3175">
                <a:solidFill>
                  <a:schemeClr val="bg1">
                    <a:lumMod val="65000"/>
                  </a:schemeClr>
                </a:solidFill>
              </a:ln>
              <a:effectLst/>
            </c:spPr>
            <c:extLst>
              <c:ext xmlns:c16="http://schemas.microsoft.com/office/drawing/2014/chart" uri="{C3380CC4-5D6E-409C-BE32-E72D297353CC}">
                <c16:uniqueId val="{00000042-24C9-4D75-9907-3BBFC2C1B454}"/>
              </c:ext>
            </c:extLst>
          </c:dPt>
          <c:dPt>
            <c:idx val="36"/>
            <c:invertIfNegative val="0"/>
            <c:bubble3D val="0"/>
            <c:spPr>
              <a:solidFill>
                <a:srgbClr val="8FD2FF"/>
              </a:solidFill>
              <a:ln w="3175">
                <a:solidFill>
                  <a:schemeClr val="bg1">
                    <a:lumMod val="65000"/>
                  </a:schemeClr>
                </a:solidFill>
              </a:ln>
              <a:effectLst/>
            </c:spPr>
            <c:extLst>
              <c:ext xmlns:c16="http://schemas.microsoft.com/office/drawing/2014/chart" uri="{C3380CC4-5D6E-409C-BE32-E72D297353CC}">
                <c16:uniqueId val="{00000044-24C9-4D75-9907-3BBFC2C1B454}"/>
              </c:ext>
            </c:extLst>
          </c:dPt>
          <c:dPt>
            <c:idx val="37"/>
            <c:invertIfNegative val="0"/>
            <c:bubble3D val="0"/>
            <c:spPr>
              <a:solidFill>
                <a:srgbClr val="25A7FF"/>
              </a:solidFill>
              <a:ln w="3175">
                <a:solidFill>
                  <a:schemeClr val="bg1">
                    <a:lumMod val="65000"/>
                  </a:schemeClr>
                </a:solidFill>
              </a:ln>
              <a:effectLst/>
            </c:spPr>
            <c:extLst>
              <c:ext xmlns:c16="http://schemas.microsoft.com/office/drawing/2014/chart" uri="{C3380CC4-5D6E-409C-BE32-E72D297353CC}">
                <c16:uniqueId val="{00000046-24C9-4D75-9907-3BBFC2C1B454}"/>
              </c:ext>
            </c:extLst>
          </c:dPt>
          <c:dPt>
            <c:idx val="38"/>
            <c:invertIfNegative val="0"/>
            <c:bubble3D val="0"/>
            <c:spPr>
              <a:solidFill>
                <a:srgbClr val="0071BC"/>
              </a:solidFill>
              <a:ln w="3175">
                <a:solidFill>
                  <a:schemeClr val="bg1">
                    <a:lumMod val="65000"/>
                  </a:schemeClr>
                </a:solidFill>
              </a:ln>
              <a:effectLst/>
            </c:spPr>
            <c:extLst>
              <c:ext xmlns:c16="http://schemas.microsoft.com/office/drawing/2014/chart" uri="{C3380CC4-5D6E-409C-BE32-E72D297353CC}">
                <c16:uniqueId val="{00000048-24C9-4D75-9907-3BBFC2C1B454}"/>
              </c:ext>
            </c:extLst>
          </c:dPt>
          <c:dPt>
            <c:idx val="39"/>
            <c:invertIfNegative val="0"/>
            <c:bubble3D val="0"/>
            <c:extLst>
              <c:ext xmlns:c16="http://schemas.microsoft.com/office/drawing/2014/chart" uri="{C3380CC4-5D6E-409C-BE32-E72D297353CC}">
                <c16:uniqueId val="{00000049-24C9-4D75-9907-3BBFC2C1B454}"/>
              </c:ext>
            </c:extLst>
          </c:dPt>
          <c:dPt>
            <c:idx val="40"/>
            <c:invertIfNegative val="0"/>
            <c:bubble3D val="0"/>
            <c:spPr>
              <a:solidFill>
                <a:schemeClr val="bg1">
                  <a:lumMod val="75000"/>
                </a:schemeClr>
              </a:solidFill>
              <a:ln w="3175">
                <a:solidFill>
                  <a:schemeClr val="bg1">
                    <a:lumMod val="65000"/>
                  </a:schemeClr>
                </a:solidFill>
              </a:ln>
              <a:effectLst/>
            </c:spPr>
            <c:extLst>
              <c:ext xmlns:c16="http://schemas.microsoft.com/office/drawing/2014/chart" uri="{C3380CC4-5D6E-409C-BE32-E72D297353CC}">
                <c16:uniqueId val="{0000004B-24C9-4D75-9907-3BBFC2C1B454}"/>
              </c:ext>
            </c:extLst>
          </c:dPt>
          <c:dPt>
            <c:idx val="41"/>
            <c:invertIfNegative val="0"/>
            <c:bubble3D val="0"/>
            <c:spPr>
              <a:solidFill>
                <a:schemeClr val="bg1">
                  <a:lumMod val="85000"/>
                </a:schemeClr>
              </a:solidFill>
              <a:ln w="3175">
                <a:solidFill>
                  <a:schemeClr val="bg1">
                    <a:lumMod val="65000"/>
                  </a:schemeClr>
                </a:solidFill>
              </a:ln>
              <a:effectLst/>
            </c:spPr>
            <c:extLst>
              <c:ext xmlns:c16="http://schemas.microsoft.com/office/drawing/2014/chart" uri="{C3380CC4-5D6E-409C-BE32-E72D297353CC}">
                <c16:uniqueId val="{0000004D-24C9-4D75-9907-3BBFC2C1B454}"/>
              </c:ext>
            </c:extLst>
          </c:dPt>
          <c:dPt>
            <c:idx val="42"/>
            <c:invertIfNegative val="0"/>
            <c:bubble3D val="0"/>
            <c:spPr>
              <a:solidFill>
                <a:schemeClr val="bg1">
                  <a:lumMod val="95000"/>
                </a:schemeClr>
              </a:solidFill>
              <a:ln w="3175">
                <a:solidFill>
                  <a:schemeClr val="bg1">
                    <a:lumMod val="65000"/>
                  </a:schemeClr>
                </a:solidFill>
              </a:ln>
              <a:effectLst/>
            </c:spPr>
            <c:extLst>
              <c:ext xmlns:c16="http://schemas.microsoft.com/office/drawing/2014/chart" uri="{C3380CC4-5D6E-409C-BE32-E72D297353CC}">
                <c16:uniqueId val="{0000004F-24C9-4D75-9907-3BBFC2C1B454}"/>
              </c:ext>
            </c:extLst>
          </c:dPt>
          <c:dPt>
            <c:idx val="43"/>
            <c:invertIfNegative val="0"/>
            <c:bubble3D val="0"/>
            <c:spPr>
              <a:solidFill>
                <a:srgbClr val="C5E8FF"/>
              </a:solidFill>
              <a:ln w="3175">
                <a:solidFill>
                  <a:schemeClr val="bg1">
                    <a:lumMod val="65000"/>
                  </a:schemeClr>
                </a:solidFill>
              </a:ln>
              <a:effectLst/>
            </c:spPr>
            <c:extLst>
              <c:ext xmlns:c16="http://schemas.microsoft.com/office/drawing/2014/chart" uri="{C3380CC4-5D6E-409C-BE32-E72D297353CC}">
                <c16:uniqueId val="{00000051-24C9-4D75-9907-3BBFC2C1B454}"/>
              </c:ext>
            </c:extLst>
          </c:dPt>
          <c:dPt>
            <c:idx val="44"/>
            <c:invertIfNegative val="0"/>
            <c:bubble3D val="0"/>
            <c:spPr>
              <a:solidFill>
                <a:srgbClr val="8FD2FF"/>
              </a:solidFill>
              <a:ln w="3175">
                <a:solidFill>
                  <a:schemeClr val="bg1">
                    <a:lumMod val="65000"/>
                  </a:schemeClr>
                </a:solidFill>
              </a:ln>
              <a:effectLst/>
            </c:spPr>
            <c:extLst>
              <c:ext xmlns:c16="http://schemas.microsoft.com/office/drawing/2014/chart" uri="{C3380CC4-5D6E-409C-BE32-E72D297353CC}">
                <c16:uniqueId val="{00000053-24C9-4D75-9907-3BBFC2C1B454}"/>
              </c:ext>
            </c:extLst>
          </c:dPt>
          <c:dPt>
            <c:idx val="45"/>
            <c:invertIfNegative val="0"/>
            <c:bubble3D val="0"/>
            <c:spPr>
              <a:solidFill>
                <a:srgbClr val="25A7FF"/>
              </a:solidFill>
              <a:ln w="3175">
                <a:solidFill>
                  <a:schemeClr val="bg1">
                    <a:lumMod val="65000"/>
                  </a:schemeClr>
                </a:solidFill>
              </a:ln>
              <a:effectLst/>
            </c:spPr>
            <c:extLst>
              <c:ext xmlns:c16="http://schemas.microsoft.com/office/drawing/2014/chart" uri="{C3380CC4-5D6E-409C-BE32-E72D297353CC}">
                <c16:uniqueId val="{00000055-24C9-4D75-9907-3BBFC2C1B454}"/>
              </c:ext>
            </c:extLst>
          </c:dPt>
          <c:dPt>
            <c:idx val="46"/>
            <c:invertIfNegative val="0"/>
            <c:bubble3D val="0"/>
            <c:spPr>
              <a:solidFill>
                <a:srgbClr val="0071BC"/>
              </a:solidFill>
              <a:ln w="3175">
                <a:solidFill>
                  <a:schemeClr val="bg1">
                    <a:lumMod val="65000"/>
                  </a:schemeClr>
                </a:solidFill>
              </a:ln>
              <a:effectLst/>
            </c:spPr>
            <c:extLst>
              <c:ext xmlns:c16="http://schemas.microsoft.com/office/drawing/2014/chart" uri="{C3380CC4-5D6E-409C-BE32-E72D297353CC}">
                <c16:uniqueId val="{00000057-24C9-4D75-9907-3BBFC2C1B454}"/>
              </c:ext>
            </c:extLst>
          </c:dPt>
          <c:dPt>
            <c:idx val="48"/>
            <c:invertIfNegative val="0"/>
            <c:bubble3D val="0"/>
            <c:spPr>
              <a:solidFill>
                <a:schemeClr val="bg1">
                  <a:lumMod val="75000"/>
                </a:schemeClr>
              </a:solidFill>
              <a:ln w="3175">
                <a:solidFill>
                  <a:schemeClr val="bg1">
                    <a:lumMod val="65000"/>
                  </a:schemeClr>
                </a:solidFill>
              </a:ln>
              <a:effectLst/>
            </c:spPr>
            <c:extLst>
              <c:ext xmlns:c16="http://schemas.microsoft.com/office/drawing/2014/chart" uri="{C3380CC4-5D6E-409C-BE32-E72D297353CC}">
                <c16:uniqueId val="{00000059-24C9-4D75-9907-3BBFC2C1B454}"/>
              </c:ext>
            </c:extLst>
          </c:dPt>
          <c:dPt>
            <c:idx val="49"/>
            <c:invertIfNegative val="0"/>
            <c:bubble3D val="0"/>
            <c:spPr>
              <a:solidFill>
                <a:schemeClr val="bg1">
                  <a:lumMod val="85000"/>
                </a:schemeClr>
              </a:solidFill>
              <a:ln w="3175">
                <a:solidFill>
                  <a:schemeClr val="bg1">
                    <a:lumMod val="65000"/>
                  </a:schemeClr>
                </a:solidFill>
              </a:ln>
              <a:effectLst/>
            </c:spPr>
            <c:extLst>
              <c:ext xmlns:c16="http://schemas.microsoft.com/office/drawing/2014/chart" uri="{C3380CC4-5D6E-409C-BE32-E72D297353CC}">
                <c16:uniqueId val="{0000005B-24C9-4D75-9907-3BBFC2C1B454}"/>
              </c:ext>
            </c:extLst>
          </c:dPt>
          <c:dPt>
            <c:idx val="50"/>
            <c:invertIfNegative val="0"/>
            <c:bubble3D val="0"/>
            <c:spPr>
              <a:solidFill>
                <a:schemeClr val="bg1">
                  <a:lumMod val="95000"/>
                </a:schemeClr>
              </a:solidFill>
              <a:ln w="3175">
                <a:solidFill>
                  <a:schemeClr val="bg1">
                    <a:lumMod val="65000"/>
                  </a:schemeClr>
                </a:solidFill>
              </a:ln>
              <a:effectLst/>
            </c:spPr>
            <c:extLst>
              <c:ext xmlns:c16="http://schemas.microsoft.com/office/drawing/2014/chart" uri="{C3380CC4-5D6E-409C-BE32-E72D297353CC}">
                <c16:uniqueId val="{0000005D-24C9-4D75-9907-3BBFC2C1B454}"/>
              </c:ext>
            </c:extLst>
          </c:dPt>
          <c:dPt>
            <c:idx val="51"/>
            <c:invertIfNegative val="0"/>
            <c:bubble3D val="0"/>
            <c:spPr>
              <a:solidFill>
                <a:srgbClr val="C5E8FF"/>
              </a:solidFill>
              <a:ln w="3175">
                <a:solidFill>
                  <a:schemeClr val="bg1">
                    <a:lumMod val="65000"/>
                  </a:schemeClr>
                </a:solidFill>
              </a:ln>
              <a:effectLst/>
            </c:spPr>
            <c:extLst>
              <c:ext xmlns:c16="http://schemas.microsoft.com/office/drawing/2014/chart" uri="{C3380CC4-5D6E-409C-BE32-E72D297353CC}">
                <c16:uniqueId val="{0000005F-24C9-4D75-9907-3BBFC2C1B454}"/>
              </c:ext>
            </c:extLst>
          </c:dPt>
          <c:dPt>
            <c:idx val="52"/>
            <c:invertIfNegative val="0"/>
            <c:bubble3D val="0"/>
            <c:spPr>
              <a:solidFill>
                <a:srgbClr val="8FD2FF"/>
              </a:solidFill>
              <a:ln w="3175">
                <a:solidFill>
                  <a:schemeClr val="bg1">
                    <a:lumMod val="65000"/>
                  </a:schemeClr>
                </a:solidFill>
              </a:ln>
              <a:effectLst/>
            </c:spPr>
            <c:extLst>
              <c:ext xmlns:c16="http://schemas.microsoft.com/office/drawing/2014/chart" uri="{C3380CC4-5D6E-409C-BE32-E72D297353CC}">
                <c16:uniqueId val="{00000061-24C9-4D75-9907-3BBFC2C1B454}"/>
              </c:ext>
            </c:extLst>
          </c:dPt>
          <c:dPt>
            <c:idx val="53"/>
            <c:invertIfNegative val="0"/>
            <c:bubble3D val="0"/>
            <c:spPr>
              <a:solidFill>
                <a:srgbClr val="25A7FF"/>
              </a:solidFill>
              <a:ln w="3175">
                <a:solidFill>
                  <a:schemeClr val="bg1">
                    <a:lumMod val="65000"/>
                  </a:schemeClr>
                </a:solidFill>
              </a:ln>
              <a:effectLst/>
            </c:spPr>
            <c:extLst>
              <c:ext xmlns:c16="http://schemas.microsoft.com/office/drawing/2014/chart" uri="{C3380CC4-5D6E-409C-BE32-E72D297353CC}">
                <c16:uniqueId val="{00000063-24C9-4D75-9907-3BBFC2C1B454}"/>
              </c:ext>
            </c:extLst>
          </c:dPt>
          <c:dPt>
            <c:idx val="54"/>
            <c:invertIfNegative val="0"/>
            <c:bubble3D val="0"/>
            <c:spPr>
              <a:solidFill>
                <a:srgbClr val="0071BC"/>
              </a:solidFill>
              <a:ln w="3175">
                <a:solidFill>
                  <a:schemeClr val="bg1">
                    <a:lumMod val="65000"/>
                  </a:schemeClr>
                </a:solidFill>
              </a:ln>
              <a:effectLst/>
            </c:spPr>
            <c:extLst>
              <c:ext xmlns:c16="http://schemas.microsoft.com/office/drawing/2014/chart" uri="{C3380CC4-5D6E-409C-BE32-E72D297353CC}">
                <c16:uniqueId val="{00000065-24C9-4D75-9907-3BBFC2C1B454}"/>
              </c:ext>
            </c:extLst>
          </c:dPt>
          <c:dPt>
            <c:idx val="56"/>
            <c:invertIfNegative val="0"/>
            <c:bubble3D val="0"/>
            <c:spPr>
              <a:solidFill>
                <a:schemeClr val="bg1">
                  <a:lumMod val="75000"/>
                </a:schemeClr>
              </a:solidFill>
              <a:ln w="3175">
                <a:solidFill>
                  <a:schemeClr val="bg1">
                    <a:lumMod val="65000"/>
                  </a:schemeClr>
                </a:solidFill>
              </a:ln>
              <a:effectLst/>
            </c:spPr>
            <c:extLst>
              <c:ext xmlns:c16="http://schemas.microsoft.com/office/drawing/2014/chart" uri="{C3380CC4-5D6E-409C-BE32-E72D297353CC}">
                <c16:uniqueId val="{00000067-24C9-4D75-9907-3BBFC2C1B454}"/>
              </c:ext>
            </c:extLst>
          </c:dPt>
          <c:dPt>
            <c:idx val="57"/>
            <c:invertIfNegative val="0"/>
            <c:bubble3D val="0"/>
            <c:spPr>
              <a:solidFill>
                <a:schemeClr val="bg1">
                  <a:lumMod val="85000"/>
                </a:schemeClr>
              </a:solidFill>
              <a:ln w="3175">
                <a:solidFill>
                  <a:schemeClr val="bg1">
                    <a:lumMod val="65000"/>
                  </a:schemeClr>
                </a:solidFill>
              </a:ln>
              <a:effectLst/>
            </c:spPr>
            <c:extLst>
              <c:ext xmlns:c16="http://schemas.microsoft.com/office/drawing/2014/chart" uri="{C3380CC4-5D6E-409C-BE32-E72D297353CC}">
                <c16:uniqueId val="{00000069-24C9-4D75-9907-3BBFC2C1B454}"/>
              </c:ext>
            </c:extLst>
          </c:dPt>
          <c:dPt>
            <c:idx val="58"/>
            <c:invertIfNegative val="0"/>
            <c:bubble3D val="0"/>
            <c:spPr>
              <a:solidFill>
                <a:schemeClr val="bg1">
                  <a:lumMod val="95000"/>
                </a:schemeClr>
              </a:solidFill>
              <a:ln w="3175">
                <a:solidFill>
                  <a:schemeClr val="bg1">
                    <a:lumMod val="65000"/>
                  </a:schemeClr>
                </a:solidFill>
              </a:ln>
              <a:effectLst/>
            </c:spPr>
            <c:extLst>
              <c:ext xmlns:c16="http://schemas.microsoft.com/office/drawing/2014/chart" uri="{C3380CC4-5D6E-409C-BE32-E72D297353CC}">
                <c16:uniqueId val="{0000006B-24C9-4D75-9907-3BBFC2C1B454}"/>
              </c:ext>
            </c:extLst>
          </c:dPt>
          <c:dPt>
            <c:idx val="59"/>
            <c:invertIfNegative val="0"/>
            <c:bubble3D val="0"/>
            <c:spPr>
              <a:solidFill>
                <a:srgbClr val="C5E8FF"/>
              </a:solidFill>
              <a:ln w="3175">
                <a:solidFill>
                  <a:schemeClr val="bg1">
                    <a:lumMod val="65000"/>
                  </a:schemeClr>
                </a:solidFill>
              </a:ln>
              <a:effectLst/>
            </c:spPr>
            <c:extLst>
              <c:ext xmlns:c16="http://schemas.microsoft.com/office/drawing/2014/chart" uri="{C3380CC4-5D6E-409C-BE32-E72D297353CC}">
                <c16:uniqueId val="{0000006D-24C9-4D75-9907-3BBFC2C1B454}"/>
              </c:ext>
            </c:extLst>
          </c:dPt>
          <c:dPt>
            <c:idx val="60"/>
            <c:invertIfNegative val="0"/>
            <c:bubble3D val="0"/>
            <c:spPr>
              <a:solidFill>
                <a:srgbClr val="8FD2FF"/>
              </a:solidFill>
              <a:ln w="3175">
                <a:solidFill>
                  <a:schemeClr val="bg1">
                    <a:lumMod val="65000"/>
                  </a:schemeClr>
                </a:solidFill>
              </a:ln>
              <a:effectLst/>
            </c:spPr>
            <c:extLst>
              <c:ext xmlns:c16="http://schemas.microsoft.com/office/drawing/2014/chart" uri="{C3380CC4-5D6E-409C-BE32-E72D297353CC}">
                <c16:uniqueId val="{0000006F-24C9-4D75-9907-3BBFC2C1B454}"/>
              </c:ext>
            </c:extLst>
          </c:dPt>
          <c:dPt>
            <c:idx val="61"/>
            <c:invertIfNegative val="0"/>
            <c:bubble3D val="0"/>
            <c:spPr>
              <a:solidFill>
                <a:srgbClr val="25A7FF"/>
              </a:solidFill>
              <a:ln w="3175">
                <a:solidFill>
                  <a:schemeClr val="bg1">
                    <a:lumMod val="65000"/>
                  </a:schemeClr>
                </a:solidFill>
              </a:ln>
              <a:effectLst/>
            </c:spPr>
            <c:extLst>
              <c:ext xmlns:c16="http://schemas.microsoft.com/office/drawing/2014/chart" uri="{C3380CC4-5D6E-409C-BE32-E72D297353CC}">
                <c16:uniqueId val="{00000071-24C9-4D75-9907-3BBFC2C1B454}"/>
              </c:ext>
            </c:extLst>
          </c:dPt>
          <c:dPt>
            <c:idx val="62"/>
            <c:invertIfNegative val="0"/>
            <c:bubble3D val="0"/>
            <c:spPr>
              <a:solidFill>
                <a:srgbClr val="0071BC"/>
              </a:solidFill>
              <a:ln w="3175">
                <a:solidFill>
                  <a:schemeClr val="bg1">
                    <a:lumMod val="65000"/>
                  </a:schemeClr>
                </a:solidFill>
              </a:ln>
              <a:effectLst/>
            </c:spPr>
            <c:extLst>
              <c:ext xmlns:c16="http://schemas.microsoft.com/office/drawing/2014/chart" uri="{C3380CC4-5D6E-409C-BE32-E72D297353CC}">
                <c16:uniqueId val="{00000073-24C9-4D75-9907-3BBFC2C1B454}"/>
              </c:ext>
            </c:extLst>
          </c:dPt>
          <c:dPt>
            <c:idx val="64"/>
            <c:invertIfNegative val="0"/>
            <c:bubble3D val="0"/>
            <c:spPr>
              <a:solidFill>
                <a:schemeClr val="bg1">
                  <a:lumMod val="75000"/>
                </a:schemeClr>
              </a:solidFill>
              <a:ln w="3175">
                <a:solidFill>
                  <a:schemeClr val="bg1">
                    <a:lumMod val="65000"/>
                  </a:schemeClr>
                </a:solidFill>
              </a:ln>
              <a:effectLst/>
            </c:spPr>
            <c:extLst>
              <c:ext xmlns:c16="http://schemas.microsoft.com/office/drawing/2014/chart" uri="{C3380CC4-5D6E-409C-BE32-E72D297353CC}">
                <c16:uniqueId val="{00000075-24C9-4D75-9907-3BBFC2C1B454}"/>
              </c:ext>
            </c:extLst>
          </c:dPt>
          <c:dPt>
            <c:idx val="65"/>
            <c:invertIfNegative val="0"/>
            <c:bubble3D val="0"/>
            <c:spPr>
              <a:solidFill>
                <a:schemeClr val="bg1">
                  <a:lumMod val="85000"/>
                </a:schemeClr>
              </a:solidFill>
              <a:ln w="3175">
                <a:solidFill>
                  <a:schemeClr val="bg1">
                    <a:lumMod val="65000"/>
                  </a:schemeClr>
                </a:solidFill>
              </a:ln>
              <a:effectLst/>
            </c:spPr>
            <c:extLst>
              <c:ext xmlns:c16="http://schemas.microsoft.com/office/drawing/2014/chart" uri="{C3380CC4-5D6E-409C-BE32-E72D297353CC}">
                <c16:uniqueId val="{00000077-24C9-4D75-9907-3BBFC2C1B454}"/>
              </c:ext>
            </c:extLst>
          </c:dPt>
          <c:dPt>
            <c:idx val="66"/>
            <c:invertIfNegative val="0"/>
            <c:bubble3D val="0"/>
            <c:spPr>
              <a:solidFill>
                <a:schemeClr val="bg1">
                  <a:lumMod val="95000"/>
                </a:schemeClr>
              </a:solidFill>
              <a:ln w="3175">
                <a:solidFill>
                  <a:schemeClr val="bg1">
                    <a:lumMod val="65000"/>
                  </a:schemeClr>
                </a:solidFill>
              </a:ln>
              <a:effectLst/>
            </c:spPr>
            <c:extLst>
              <c:ext xmlns:c16="http://schemas.microsoft.com/office/drawing/2014/chart" uri="{C3380CC4-5D6E-409C-BE32-E72D297353CC}">
                <c16:uniqueId val="{00000079-24C9-4D75-9907-3BBFC2C1B454}"/>
              </c:ext>
            </c:extLst>
          </c:dPt>
          <c:dPt>
            <c:idx val="67"/>
            <c:invertIfNegative val="0"/>
            <c:bubble3D val="0"/>
            <c:spPr>
              <a:solidFill>
                <a:srgbClr val="C5E8FF"/>
              </a:solidFill>
              <a:ln w="3175">
                <a:solidFill>
                  <a:schemeClr val="bg1">
                    <a:lumMod val="65000"/>
                  </a:schemeClr>
                </a:solidFill>
              </a:ln>
              <a:effectLst/>
            </c:spPr>
            <c:extLst>
              <c:ext xmlns:c16="http://schemas.microsoft.com/office/drawing/2014/chart" uri="{C3380CC4-5D6E-409C-BE32-E72D297353CC}">
                <c16:uniqueId val="{0000007B-24C9-4D75-9907-3BBFC2C1B454}"/>
              </c:ext>
            </c:extLst>
          </c:dPt>
          <c:dPt>
            <c:idx val="68"/>
            <c:invertIfNegative val="0"/>
            <c:bubble3D val="0"/>
            <c:spPr>
              <a:solidFill>
                <a:srgbClr val="8FD2FF"/>
              </a:solidFill>
              <a:ln w="3175">
                <a:solidFill>
                  <a:schemeClr val="bg1">
                    <a:lumMod val="65000"/>
                  </a:schemeClr>
                </a:solidFill>
              </a:ln>
              <a:effectLst/>
            </c:spPr>
            <c:extLst>
              <c:ext xmlns:c16="http://schemas.microsoft.com/office/drawing/2014/chart" uri="{C3380CC4-5D6E-409C-BE32-E72D297353CC}">
                <c16:uniqueId val="{0000007D-24C9-4D75-9907-3BBFC2C1B454}"/>
              </c:ext>
            </c:extLst>
          </c:dPt>
          <c:dPt>
            <c:idx val="69"/>
            <c:invertIfNegative val="0"/>
            <c:bubble3D val="0"/>
            <c:spPr>
              <a:solidFill>
                <a:srgbClr val="25A7FF"/>
              </a:solidFill>
              <a:ln w="3175">
                <a:solidFill>
                  <a:schemeClr val="bg1">
                    <a:lumMod val="65000"/>
                  </a:schemeClr>
                </a:solidFill>
              </a:ln>
              <a:effectLst/>
            </c:spPr>
            <c:extLst>
              <c:ext xmlns:c16="http://schemas.microsoft.com/office/drawing/2014/chart" uri="{C3380CC4-5D6E-409C-BE32-E72D297353CC}">
                <c16:uniqueId val="{0000007F-24C9-4D75-9907-3BBFC2C1B454}"/>
              </c:ext>
            </c:extLst>
          </c:dPt>
          <c:dPt>
            <c:idx val="70"/>
            <c:invertIfNegative val="0"/>
            <c:bubble3D val="0"/>
            <c:spPr>
              <a:solidFill>
                <a:srgbClr val="0071BC"/>
              </a:solidFill>
              <a:ln w="3175">
                <a:solidFill>
                  <a:schemeClr val="bg1">
                    <a:lumMod val="65000"/>
                  </a:schemeClr>
                </a:solidFill>
              </a:ln>
              <a:effectLst/>
            </c:spPr>
            <c:extLst>
              <c:ext xmlns:c16="http://schemas.microsoft.com/office/drawing/2014/chart" uri="{C3380CC4-5D6E-409C-BE32-E72D297353CC}">
                <c16:uniqueId val="{00000081-24C9-4D75-9907-3BBFC2C1B454}"/>
              </c:ext>
            </c:extLst>
          </c:dPt>
          <c:dPt>
            <c:idx val="72"/>
            <c:invertIfNegative val="0"/>
            <c:bubble3D val="0"/>
            <c:spPr>
              <a:solidFill>
                <a:schemeClr val="bg1">
                  <a:lumMod val="75000"/>
                </a:schemeClr>
              </a:solidFill>
              <a:ln w="3175">
                <a:solidFill>
                  <a:schemeClr val="bg1">
                    <a:lumMod val="65000"/>
                  </a:schemeClr>
                </a:solidFill>
              </a:ln>
              <a:effectLst/>
            </c:spPr>
            <c:extLst>
              <c:ext xmlns:c16="http://schemas.microsoft.com/office/drawing/2014/chart" uri="{C3380CC4-5D6E-409C-BE32-E72D297353CC}">
                <c16:uniqueId val="{00000083-24C9-4D75-9907-3BBFC2C1B454}"/>
              </c:ext>
            </c:extLst>
          </c:dPt>
          <c:dPt>
            <c:idx val="73"/>
            <c:invertIfNegative val="0"/>
            <c:bubble3D val="0"/>
            <c:spPr>
              <a:solidFill>
                <a:schemeClr val="bg1">
                  <a:lumMod val="85000"/>
                </a:schemeClr>
              </a:solidFill>
              <a:ln w="3175">
                <a:solidFill>
                  <a:schemeClr val="bg1">
                    <a:lumMod val="65000"/>
                  </a:schemeClr>
                </a:solidFill>
              </a:ln>
              <a:effectLst/>
            </c:spPr>
            <c:extLst>
              <c:ext xmlns:c16="http://schemas.microsoft.com/office/drawing/2014/chart" uri="{C3380CC4-5D6E-409C-BE32-E72D297353CC}">
                <c16:uniqueId val="{00000085-24C9-4D75-9907-3BBFC2C1B454}"/>
              </c:ext>
            </c:extLst>
          </c:dPt>
          <c:dPt>
            <c:idx val="74"/>
            <c:invertIfNegative val="0"/>
            <c:bubble3D val="0"/>
            <c:spPr>
              <a:solidFill>
                <a:schemeClr val="bg1">
                  <a:lumMod val="95000"/>
                </a:schemeClr>
              </a:solidFill>
              <a:ln w="3175">
                <a:solidFill>
                  <a:schemeClr val="bg1">
                    <a:lumMod val="65000"/>
                  </a:schemeClr>
                </a:solidFill>
              </a:ln>
              <a:effectLst/>
            </c:spPr>
            <c:extLst>
              <c:ext xmlns:c16="http://schemas.microsoft.com/office/drawing/2014/chart" uri="{C3380CC4-5D6E-409C-BE32-E72D297353CC}">
                <c16:uniqueId val="{00000087-24C9-4D75-9907-3BBFC2C1B454}"/>
              </c:ext>
            </c:extLst>
          </c:dPt>
          <c:dPt>
            <c:idx val="75"/>
            <c:invertIfNegative val="0"/>
            <c:bubble3D val="0"/>
            <c:spPr>
              <a:solidFill>
                <a:srgbClr val="C5E8FF"/>
              </a:solidFill>
              <a:ln w="3175">
                <a:solidFill>
                  <a:schemeClr val="bg1">
                    <a:lumMod val="65000"/>
                  </a:schemeClr>
                </a:solidFill>
              </a:ln>
              <a:effectLst/>
            </c:spPr>
            <c:extLst>
              <c:ext xmlns:c16="http://schemas.microsoft.com/office/drawing/2014/chart" uri="{C3380CC4-5D6E-409C-BE32-E72D297353CC}">
                <c16:uniqueId val="{00000089-24C9-4D75-9907-3BBFC2C1B454}"/>
              </c:ext>
            </c:extLst>
          </c:dPt>
          <c:dPt>
            <c:idx val="76"/>
            <c:invertIfNegative val="0"/>
            <c:bubble3D val="0"/>
            <c:spPr>
              <a:solidFill>
                <a:srgbClr val="8FD2FF"/>
              </a:solidFill>
              <a:ln w="3175">
                <a:solidFill>
                  <a:schemeClr val="bg1">
                    <a:lumMod val="65000"/>
                  </a:schemeClr>
                </a:solidFill>
              </a:ln>
              <a:effectLst/>
            </c:spPr>
            <c:extLst>
              <c:ext xmlns:c16="http://schemas.microsoft.com/office/drawing/2014/chart" uri="{C3380CC4-5D6E-409C-BE32-E72D297353CC}">
                <c16:uniqueId val="{0000008B-24C9-4D75-9907-3BBFC2C1B454}"/>
              </c:ext>
            </c:extLst>
          </c:dPt>
          <c:dPt>
            <c:idx val="77"/>
            <c:invertIfNegative val="0"/>
            <c:bubble3D val="0"/>
            <c:spPr>
              <a:solidFill>
                <a:srgbClr val="25A7FF"/>
              </a:solidFill>
              <a:ln w="3175">
                <a:solidFill>
                  <a:schemeClr val="bg1">
                    <a:lumMod val="65000"/>
                  </a:schemeClr>
                </a:solidFill>
              </a:ln>
              <a:effectLst/>
            </c:spPr>
            <c:extLst>
              <c:ext xmlns:c16="http://schemas.microsoft.com/office/drawing/2014/chart" uri="{C3380CC4-5D6E-409C-BE32-E72D297353CC}">
                <c16:uniqueId val="{0000008D-24C9-4D75-9907-3BBFC2C1B454}"/>
              </c:ext>
            </c:extLst>
          </c:dPt>
          <c:dPt>
            <c:idx val="78"/>
            <c:invertIfNegative val="0"/>
            <c:bubble3D val="0"/>
            <c:spPr>
              <a:solidFill>
                <a:srgbClr val="0071BC"/>
              </a:solidFill>
              <a:ln w="3175">
                <a:solidFill>
                  <a:schemeClr val="bg1">
                    <a:lumMod val="65000"/>
                  </a:schemeClr>
                </a:solidFill>
              </a:ln>
              <a:effectLst/>
            </c:spPr>
            <c:extLst>
              <c:ext xmlns:c16="http://schemas.microsoft.com/office/drawing/2014/chart" uri="{C3380CC4-5D6E-409C-BE32-E72D297353CC}">
                <c16:uniqueId val="{0000008F-24C9-4D75-9907-3BBFC2C1B454}"/>
              </c:ext>
            </c:extLst>
          </c:dPt>
          <c:cat>
            <c:strRef>
              <c:f>'GRAF-7-ISCO-růst'!$A$90:$A$169</c:f>
              <c:strCache>
                <c:ptCount val="76"/>
                <c:pt idx="3">
                  <c:v>Zaměstnanci 
v ozbrojených 
silách</c:v>
                </c:pt>
                <c:pt idx="11">
                  <c:v>Zákonodárci,
řídící pracovníci</c:v>
                </c:pt>
                <c:pt idx="19">
                  <c:v>Specialisté</c:v>
                </c:pt>
                <c:pt idx="27">
                  <c:v>Techničtí
a odborní prac.</c:v>
                </c:pt>
                <c:pt idx="35">
                  <c:v>Úředníci</c:v>
                </c:pt>
                <c:pt idx="43">
                  <c:v>Pracovníci ve 
službách a prodeji</c:v>
                </c:pt>
                <c:pt idx="51">
                  <c:v>Kvalifikovaní prac.
v zemědělství, lesn.
a rybářství</c:v>
                </c:pt>
                <c:pt idx="59">
                  <c:v>Řemeslníci 
a opraváři</c:v>
                </c:pt>
                <c:pt idx="67">
                  <c:v>Obsluha strojů 
a zařízení, montéři</c:v>
                </c:pt>
                <c:pt idx="75">
                  <c:v>Pomocní a 
nekvalifik. prac.</c:v>
                </c:pt>
              </c:strCache>
            </c:strRef>
          </c:cat>
          <c:val>
            <c:numRef>
              <c:f>'GRAF-7-ISCO-růst'!$B$90:$B$169</c:f>
              <c:numCache>
                <c:formatCode>0.0</c:formatCode>
                <c:ptCount val="80"/>
                <c:pt idx="0">
                  <c:v>-2.2260912821788281</c:v>
                </c:pt>
                <c:pt idx="1">
                  <c:v>0.59357245823794358</c:v>
                </c:pt>
                <c:pt idx="2">
                  <c:v>4.7795667200539498</c:v>
                </c:pt>
                <c:pt idx="3">
                  <c:v>9.3282381335478561</c:v>
                </c:pt>
                <c:pt idx="4">
                  <c:v>12.196916737186797</c:v>
                </c:pt>
                <c:pt idx="5">
                  <c:v>10.123302944841612</c:v>
                </c:pt>
                <c:pt idx="6">
                  <c:v>13.462970131919832</c:v>
                </c:pt>
                <c:pt idx="8">
                  <c:v>2.0342290947305202</c:v>
                </c:pt>
                <c:pt idx="9">
                  <c:v>3.2909095367713803</c:v>
                </c:pt>
                <c:pt idx="10">
                  <c:v>1.6523824220697492</c:v>
                </c:pt>
                <c:pt idx="11">
                  <c:v>3.9049910082443944</c:v>
                </c:pt>
                <c:pt idx="12">
                  <c:v>1.4767695385376101</c:v>
                </c:pt>
                <c:pt idx="13">
                  <c:v>7.7681300668940736</c:v>
                </c:pt>
                <c:pt idx="14">
                  <c:v>6.0530696976548199</c:v>
                </c:pt>
                <c:pt idx="16">
                  <c:v>0.98520464601770641</c:v>
                </c:pt>
                <c:pt idx="17">
                  <c:v>2.3106151370964909</c:v>
                </c:pt>
                <c:pt idx="18">
                  <c:v>2.4223768736616762</c:v>
                </c:pt>
                <c:pt idx="19">
                  <c:v>3.8220305762446145</c:v>
                </c:pt>
                <c:pt idx="20">
                  <c:v>4.9430495248883091</c:v>
                </c:pt>
                <c:pt idx="21">
                  <c:v>7.3636554432884509</c:v>
                </c:pt>
                <c:pt idx="22">
                  <c:v>9.0200787511519422</c:v>
                </c:pt>
                <c:pt idx="24">
                  <c:v>0.18833869575453832</c:v>
                </c:pt>
                <c:pt idx="25">
                  <c:v>0.97125401425550706</c:v>
                </c:pt>
                <c:pt idx="26">
                  <c:v>2.4823520285470551</c:v>
                </c:pt>
                <c:pt idx="27">
                  <c:v>4.5189614715010151</c:v>
                </c:pt>
                <c:pt idx="28">
                  <c:v>4.8196697566628188</c:v>
                </c:pt>
                <c:pt idx="29">
                  <c:v>7.503368224686497</c:v>
                </c:pt>
                <c:pt idx="30">
                  <c:v>8.2007776599505036</c:v>
                </c:pt>
                <c:pt idx="32">
                  <c:v>-0.2919139826797732</c:v>
                </c:pt>
                <c:pt idx="33">
                  <c:v>0.3171659998048284</c:v>
                </c:pt>
                <c:pt idx="34">
                  <c:v>1.6294566856364554</c:v>
                </c:pt>
                <c:pt idx="35">
                  <c:v>2.7232698382310758</c:v>
                </c:pt>
                <c:pt idx="36">
                  <c:v>5.1157806457624844</c:v>
                </c:pt>
                <c:pt idx="37">
                  <c:v>6.533398342272065</c:v>
                </c:pt>
                <c:pt idx="38">
                  <c:v>7.0688579155398372</c:v>
                </c:pt>
                <c:pt idx="40">
                  <c:v>0.65967641136033706</c:v>
                </c:pt>
                <c:pt idx="41">
                  <c:v>0.66225165562914867</c:v>
                </c:pt>
                <c:pt idx="42">
                  <c:v>2.3574561403508767</c:v>
                </c:pt>
                <c:pt idx="43">
                  <c:v>3.8698446705945457</c:v>
                </c:pt>
                <c:pt idx="44">
                  <c:v>8.8758540672940569</c:v>
                </c:pt>
                <c:pt idx="45">
                  <c:v>10.366467349476068</c:v>
                </c:pt>
                <c:pt idx="46">
                  <c:v>11.195150734899698</c:v>
                </c:pt>
                <c:pt idx="48">
                  <c:v>4.4815777042985303</c:v>
                </c:pt>
                <c:pt idx="49">
                  <c:v>2.9386832438542001</c:v>
                </c:pt>
                <c:pt idx="50">
                  <c:v>3.8155366456217337</c:v>
                </c:pt>
                <c:pt idx="51">
                  <c:v>3.0724484399788423</c:v>
                </c:pt>
                <c:pt idx="52">
                  <c:v>3.6067928787645513</c:v>
                </c:pt>
                <c:pt idx="53">
                  <c:v>6.5118351985738343</c:v>
                </c:pt>
                <c:pt idx="54">
                  <c:v>4.4353526430796393</c:v>
                </c:pt>
                <c:pt idx="56">
                  <c:v>1.4900417998524773</c:v>
                </c:pt>
                <c:pt idx="57">
                  <c:v>1.8073456730303405</c:v>
                </c:pt>
                <c:pt idx="58">
                  <c:v>3.450573509114264</c:v>
                </c:pt>
                <c:pt idx="59">
                  <c:v>4.264814133235177</c:v>
                </c:pt>
                <c:pt idx="60">
                  <c:v>5.1317124829016478</c:v>
                </c:pt>
                <c:pt idx="61">
                  <c:v>7.5631662889280591</c:v>
                </c:pt>
                <c:pt idx="62">
                  <c:v>8.1083190260652316</c:v>
                </c:pt>
                <c:pt idx="64">
                  <c:v>0.92399403874814823</c:v>
                </c:pt>
                <c:pt idx="65">
                  <c:v>1.2699350265800433</c:v>
                </c:pt>
                <c:pt idx="66">
                  <c:v>2.6927189656848327</c:v>
                </c:pt>
                <c:pt idx="67">
                  <c:v>4.2976145399469914</c:v>
                </c:pt>
                <c:pt idx="68">
                  <c:v>5.590851334180428</c:v>
                </c:pt>
                <c:pt idx="69">
                  <c:v>7.8820697954271992</c:v>
                </c:pt>
                <c:pt idx="70">
                  <c:v>8.5570870846944445</c:v>
                </c:pt>
                <c:pt idx="72">
                  <c:v>0.771766821519563</c:v>
                </c:pt>
                <c:pt idx="73">
                  <c:v>1.4053089449029557</c:v>
                </c:pt>
                <c:pt idx="74">
                  <c:v>2.3830473676491977</c:v>
                </c:pt>
                <c:pt idx="75">
                  <c:v>3.5164362959249473</c:v>
                </c:pt>
                <c:pt idx="76">
                  <c:v>7.6449425764494379</c:v>
                </c:pt>
                <c:pt idx="77">
                  <c:v>8.1367697152773246</c:v>
                </c:pt>
                <c:pt idx="78">
                  <c:v>6.6329866270430813</c:v>
                </c:pt>
              </c:numCache>
            </c:numRef>
          </c:val>
          <c:extLst>
            <c:ext xmlns:c16="http://schemas.microsoft.com/office/drawing/2014/chart" uri="{C3380CC4-5D6E-409C-BE32-E72D297353CC}">
              <c16:uniqueId val="{00000090-24C9-4D75-9907-3BBFC2C1B454}"/>
            </c:ext>
          </c:extLst>
        </c:ser>
        <c:dLbls>
          <c:showLegendKey val="0"/>
          <c:showVal val="0"/>
          <c:showCatName val="0"/>
          <c:showSerName val="0"/>
          <c:showPercent val="0"/>
          <c:showBubbleSize val="0"/>
        </c:dLbls>
        <c:gapWidth val="30"/>
        <c:axId val="111385984"/>
        <c:axId val="111392256"/>
      </c:barChart>
      <c:lineChart>
        <c:grouping val="stacked"/>
        <c:varyColors val="0"/>
        <c:ser>
          <c:idx val="1"/>
          <c:order val="1"/>
          <c:tx>
            <c:strRef>
              <c:f>'GRAF-7-ISCO-růst'!$C$89</c:f>
              <c:strCache>
                <c:ptCount val="1"/>
                <c:pt idx="0">
                  <c:v>z toho ženy</c:v>
                </c:pt>
              </c:strCache>
            </c:strRef>
          </c:tx>
          <c:spPr>
            <a:ln w="15875" cap="rnd">
              <a:noFill/>
              <a:prstDash val="sysDash"/>
              <a:round/>
            </a:ln>
            <a:effectLst/>
          </c:spPr>
          <c:marker>
            <c:symbol val="dash"/>
            <c:size val="5"/>
            <c:spPr>
              <a:solidFill>
                <a:srgbClr val="C00000"/>
              </a:solidFill>
              <a:ln w="3175">
                <a:noFill/>
              </a:ln>
              <a:effectLst/>
            </c:spPr>
          </c:marker>
          <c:cat>
            <c:strRef>
              <c:f>'GRAF-7-ISCO-růst'!$A$90:$A$169</c:f>
              <c:strCache>
                <c:ptCount val="76"/>
                <c:pt idx="3">
                  <c:v>Zaměstnanci 
v ozbrojených 
silách</c:v>
                </c:pt>
                <c:pt idx="11">
                  <c:v>Zákonodárci,
řídící pracovníci</c:v>
                </c:pt>
                <c:pt idx="19">
                  <c:v>Specialisté</c:v>
                </c:pt>
                <c:pt idx="27">
                  <c:v>Techničtí
a odborní prac.</c:v>
                </c:pt>
                <c:pt idx="35">
                  <c:v>Úředníci</c:v>
                </c:pt>
                <c:pt idx="43">
                  <c:v>Pracovníci ve 
službách a prodeji</c:v>
                </c:pt>
                <c:pt idx="51">
                  <c:v>Kvalifikovaní prac.
v zemědělství, lesn.
a rybářství</c:v>
                </c:pt>
                <c:pt idx="59">
                  <c:v>Řemeslníci 
a opraváři</c:v>
                </c:pt>
                <c:pt idx="67">
                  <c:v>Obsluha strojů 
a zařízení, montéři</c:v>
                </c:pt>
                <c:pt idx="75">
                  <c:v>Pomocní a 
nekvalifik. prac.</c:v>
                </c:pt>
              </c:strCache>
            </c:strRef>
          </c:cat>
          <c:val>
            <c:numRef>
              <c:f>'GRAF-7-ISCO-růst'!$C$90:$C$169</c:f>
              <c:numCache>
                <c:formatCode>0.0</c:formatCode>
                <c:ptCount val="80"/>
                <c:pt idx="0">
                  <c:v>-1.6673395236172865</c:v>
                </c:pt>
                <c:pt idx="1">
                  <c:v>0.96070944697623872</c:v>
                </c:pt>
                <c:pt idx="2">
                  <c:v>7.9419299743808836</c:v>
                </c:pt>
                <c:pt idx="3">
                  <c:v>10.141651597347789</c:v>
                </c:pt>
                <c:pt idx="4">
                  <c:v>13.196059652483257</c:v>
                </c:pt>
                <c:pt idx="5">
                  <c:v>10.3855683809754</c:v>
                </c:pt>
                <c:pt idx="6">
                  <c:v>13.514549286907013</c:v>
                </c:pt>
                <c:pt idx="7">
                  <c:v>-1000</c:v>
                </c:pt>
                <c:pt idx="8">
                  <c:v>1.0286109430374353</c:v>
                </c:pt>
                <c:pt idx="9">
                  <c:v>3.9755874971480836</c:v>
                </c:pt>
                <c:pt idx="10">
                  <c:v>2.1613911898623144</c:v>
                </c:pt>
                <c:pt idx="11">
                  <c:v>4.0433872093647665</c:v>
                </c:pt>
                <c:pt idx="12">
                  <c:v>2.1727910817506171</c:v>
                </c:pt>
                <c:pt idx="13">
                  <c:v>7.7057129868161951</c:v>
                </c:pt>
                <c:pt idx="14">
                  <c:v>6.5236252784617079</c:v>
                </c:pt>
                <c:pt idx="15">
                  <c:v>-1000</c:v>
                </c:pt>
                <c:pt idx="16">
                  <c:v>1.0218317559669714</c:v>
                </c:pt>
                <c:pt idx="17">
                  <c:v>1.8624962675425536</c:v>
                </c:pt>
                <c:pt idx="18">
                  <c:v>2.561283939760358</c:v>
                </c:pt>
                <c:pt idx="19">
                  <c:v>3.3726330832440254</c:v>
                </c:pt>
                <c:pt idx="20">
                  <c:v>4.9491947190156935</c:v>
                </c:pt>
                <c:pt idx="21">
                  <c:v>7.3865507475465932</c:v>
                </c:pt>
                <c:pt idx="22">
                  <c:v>10.095372443190513</c:v>
                </c:pt>
                <c:pt idx="23">
                  <c:v>-1000</c:v>
                </c:pt>
                <c:pt idx="24">
                  <c:v>0.24197656647987742</c:v>
                </c:pt>
                <c:pt idx="25">
                  <c:v>0.98250963452335327</c:v>
                </c:pt>
                <c:pt idx="26">
                  <c:v>2.5623820507443895</c:v>
                </c:pt>
                <c:pt idx="27">
                  <c:v>4.2893359502780442</c:v>
                </c:pt>
                <c:pt idx="28">
                  <c:v>4.6892766124289267</c:v>
                </c:pt>
                <c:pt idx="29">
                  <c:v>7.5952211527658022</c:v>
                </c:pt>
                <c:pt idx="30">
                  <c:v>8.6741619965888077</c:v>
                </c:pt>
                <c:pt idx="31">
                  <c:v>-1000</c:v>
                </c:pt>
                <c:pt idx="32">
                  <c:v>-0.22768670309653771</c:v>
                </c:pt>
                <c:pt idx="33">
                  <c:v>0.62376388254983794</c:v>
                </c:pt>
                <c:pt idx="34">
                  <c:v>1.4313073278903374</c:v>
                </c:pt>
                <c:pt idx="35">
                  <c:v>2.6234721256086715</c:v>
                </c:pt>
                <c:pt idx="36">
                  <c:v>4.5318098189212748</c:v>
                </c:pt>
                <c:pt idx="37">
                  <c:v>6.6002779064381514</c:v>
                </c:pt>
                <c:pt idx="38">
                  <c:v>7.4342819900065109</c:v>
                </c:pt>
                <c:pt idx="39">
                  <c:v>-1000</c:v>
                </c:pt>
                <c:pt idx="40">
                  <c:v>0.46948356807511971</c:v>
                </c:pt>
                <c:pt idx="41">
                  <c:v>0.80713678844519166</c:v>
                </c:pt>
                <c:pt idx="42">
                  <c:v>2.5214215479702204</c:v>
                </c:pt>
                <c:pt idx="43">
                  <c:v>4.2748509967801596</c:v>
                </c:pt>
                <c:pt idx="44">
                  <c:v>9.1189803560869791</c:v>
                </c:pt>
                <c:pt idx="45">
                  <c:v>10.367872840026493</c:v>
                </c:pt>
                <c:pt idx="46">
                  <c:v>11.941519829796519</c:v>
                </c:pt>
                <c:pt idx="47">
                  <c:v>-1000</c:v>
                </c:pt>
                <c:pt idx="48">
                  <c:v>6.5029179760148708</c:v>
                </c:pt>
                <c:pt idx="49">
                  <c:v>3.9019690491961256</c:v>
                </c:pt>
                <c:pt idx="50">
                  <c:v>2.2138510576644563</c:v>
                </c:pt>
                <c:pt idx="51">
                  <c:v>2.0014741736122943</c:v>
                </c:pt>
                <c:pt idx="52">
                  <c:v>2.9849916620344459</c:v>
                </c:pt>
                <c:pt idx="53">
                  <c:v>6.3582879041398996</c:v>
                </c:pt>
                <c:pt idx="54">
                  <c:v>7.3839127125095132</c:v>
                </c:pt>
                <c:pt idx="55">
                  <c:v>-1000</c:v>
                </c:pt>
                <c:pt idx="56">
                  <c:v>3.3999095081119606</c:v>
                </c:pt>
                <c:pt idx="57">
                  <c:v>2.2254172657373346</c:v>
                </c:pt>
                <c:pt idx="58">
                  <c:v>3.8830795572677914</c:v>
                </c:pt>
                <c:pt idx="59">
                  <c:v>2.7784318342359455</c:v>
                </c:pt>
                <c:pt idx="60">
                  <c:v>6.9301260022909474</c:v>
                </c:pt>
                <c:pt idx="61">
                  <c:v>8.7627209426888015</c:v>
                </c:pt>
                <c:pt idx="62">
                  <c:v>10.725893824485368</c:v>
                </c:pt>
                <c:pt idx="63">
                  <c:v>-1000</c:v>
                </c:pt>
                <c:pt idx="64">
                  <c:v>3.9041013990194813</c:v>
                </c:pt>
                <c:pt idx="65">
                  <c:v>1.8010242246389225</c:v>
                </c:pt>
                <c:pt idx="66">
                  <c:v>3.159620167307267</c:v>
                </c:pt>
                <c:pt idx="67">
                  <c:v>4.9476741000492979</c:v>
                </c:pt>
                <c:pt idx="68">
                  <c:v>6.3015558107966996</c:v>
                </c:pt>
                <c:pt idx="69">
                  <c:v>9.1793133932518032</c:v>
                </c:pt>
                <c:pt idx="70">
                  <c:v>9.4916779127305375</c:v>
                </c:pt>
                <c:pt idx="71">
                  <c:v>-1000</c:v>
                </c:pt>
                <c:pt idx="72">
                  <c:v>-0.32496547241855467</c:v>
                </c:pt>
                <c:pt idx="73">
                  <c:v>1.369304751813516</c:v>
                </c:pt>
                <c:pt idx="74">
                  <c:v>2.3960762241698177</c:v>
                </c:pt>
                <c:pt idx="75">
                  <c:v>3.6906164114644611</c:v>
                </c:pt>
                <c:pt idx="76">
                  <c:v>5.7023854600530228</c:v>
                </c:pt>
                <c:pt idx="77">
                  <c:v>9.7148588623011847</c:v>
                </c:pt>
                <c:pt idx="78">
                  <c:v>8.2016455530886816</c:v>
                </c:pt>
                <c:pt idx="79">
                  <c:v>-1000</c:v>
                </c:pt>
              </c:numCache>
            </c:numRef>
          </c:val>
          <c:smooth val="0"/>
          <c:extLst>
            <c:ext xmlns:c16="http://schemas.microsoft.com/office/drawing/2014/chart" uri="{C3380CC4-5D6E-409C-BE32-E72D297353CC}">
              <c16:uniqueId val="{00000091-24C9-4D75-9907-3BBFC2C1B454}"/>
            </c:ext>
          </c:extLst>
        </c:ser>
        <c:dLbls>
          <c:showLegendKey val="0"/>
          <c:showVal val="0"/>
          <c:showCatName val="0"/>
          <c:showSerName val="0"/>
          <c:showPercent val="0"/>
          <c:showBubbleSize val="0"/>
        </c:dLbls>
        <c:marker val="1"/>
        <c:smooth val="0"/>
        <c:axId val="111385984"/>
        <c:axId val="111392256"/>
      </c:lineChart>
      <c:catAx>
        <c:axId val="111385984"/>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cs-CZ"/>
          </a:p>
        </c:txPr>
        <c:crossAx val="111392256"/>
        <c:crosses val="autoZero"/>
        <c:auto val="1"/>
        <c:lblAlgn val="ctr"/>
        <c:lblOffset val="0"/>
        <c:noMultiLvlLbl val="0"/>
      </c:catAx>
      <c:valAx>
        <c:axId val="111392256"/>
        <c:scaling>
          <c:orientation val="minMax"/>
          <c:max val="14"/>
          <c:min val="-3"/>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low"/>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cs-CZ"/>
          </a:p>
        </c:txPr>
        <c:crossAx val="111385984"/>
        <c:crossesAt val="1"/>
        <c:crossBetween val="between"/>
        <c:majorUnit val="1"/>
      </c:valAx>
      <c:spPr>
        <a:noFill/>
        <a:ln w="6350">
          <a:solidFill>
            <a:schemeClr val="tx1">
              <a:lumMod val="95000"/>
              <a:lumOff val="5000"/>
            </a:schemeClr>
          </a:solidFill>
        </a:ln>
        <a:effectLst/>
      </c:spPr>
    </c:plotArea>
    <c:legend>
      <c:legendPos val="b"/>
      <c:layout>
        <c:manualLayout>
          <c:xMode val="edge"/>
          <c:yMode val="edge"/>
          <c:x val="0.3974487363676148"/>
          <c:y val="0.69018059734403114"/>
          <c:w val="0.25177584196887293"/>
          <c:h val="4.4240730071342708E-2"/>
        </c:manualLayout>
      </c:layout>
      <c:overlay val="0"/>
      <c:spPr>
        <a:noFill/>
        <a:ln w="6350">
          <a:solidFill>
            <a:schemeClr val="tx1">
              <a:lumMod val="95000"/>
              <a:lumOff val="5000"/>
            </a:schemeClr>
          </a:solidFill>
        </a:ln>
        <a:effectLst/>
      </c:spPr>
      <c:txPr>
        <a:bodyPr rot="0" spcFirstLastPara="1" vertOverflow="ellipsis" vert="horz" wrap="square" anchor="ctr" anchorCtr="1"/>
        <a:lstStyle/>
        <a:p>
          <a:pPr>
            <a:defRPr sz="800" b="0" i="0" u="none" strike="noStrike" kern="1200" baseline="0">
              <a:ln>
                <a:noFill/>
              </a:ln>
              <a:solidFill>
                <a:schemeClr val="tx1">
                  <a:lumMod val="65000"/>
                  <a:lumOff val="35000"/>
                </a:schemeClr>
              </a:solidFill>
              <a:latin typeface="Arial" panose="020B0604020202020204" pitchFamily="34" charset="0"/>
              <a:ea typeface="+mn-ea"/>
              <a:cs typeface="Arial" panose="020B0604020202020204" pitchFamily="34" charset="0"/>
            </a:defRPr>
          </a:pPr>
          <a:endParaRPr lang="cs-CZ"/>
        </a:p>
      </c:txPr>
    </c:legend>
    <c:plotVisOnly val="1"/>
    <c:dispBlanksAs val="gap"/>
    <c:showDLblsOverMax val="0"/>
  </c:chart>
  <c:spPr>
    <a:solidFill>
      <a:schemeClr val="bg1"/>
    </a:solidFill>
    <a:ln w="9525" cap="flat" cmpd="sng" algn="ctr">
      <a:noFill/>
      <a:round/>
    </a:ln>
    <a:effectLst/>
  </c:spPr>
  <c:txPr>
    <a:bodyPr/>
    <a:lstStyle/>
    <a:p>
      <a:pPr>
        <a:defRPr/>
      </a:pPr>
      <a:endParaRPr lang="cs-CZ"/>
    </a:p>
  </c:txPr>
  <c:externalData r:id="rId3">
    <c:autoUpdate val="0"/>
  </c:externalData>
  <c:userShapes r:id="rId4"/>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5013335672225522E-2"/>
          <c:y val="1.5471793298564952E-2"/>
          <c:w val="0.93295705076326296"/>
          <c:h val="0.63759577464157768"/>
        </c:manualLayout>
      </c:layout>
      <c:barChart>
        <c:barDir val="col"/>
        <c:grouping val="clustered"/>
        <c:varyColors val="0"/>
        <c:ser>
          <c:idx val="2"/>
          <c:order val="2"/>
          <c:tx>
            <c:strRef>
              <c:f>'GRAF-8-ISCO-vzděl-Ž-M'!$F$2</c:f>
              <c:strCache>
                <c:ptCount val="1"/>
                <c:pt idx="0">
                  <c:v>rok 2018</c:v>
                </c:pt>
              </c:strCache>
            </c:strRef>
          </c:tx>
          <c:spPr>
            <a:solidFill>
              <a:srgbClr val="C5E8FF"/>
            </a:solidFill>
            <a:ln>
              <a:solidFill>
                <a:srgbClr val="71C6FF"/>
              </a:solidFill>
            </a:ln>
            <a:effectLst/>
          </c:spPr>
          <c:invertIfNegative val="0"/>
          <c:cat>
            <c:multiLvlStrRef>
              <c:f>'GRAF-8-ISCO-vzděl-Ž-M'!$A$3:$C$35</c:f>
              <c:multiLvlStrCache>
                <c:ptCount val="33"/>
                <c:lvl>
                  <c:pt idx="0">
                    <c:v>SŠ s mat.</c:v>
                  </c:pt>
                  <c:pt idx="1">
                    <c:v>VOŠ a VŠ (Bc.)</c:v>
                  </c:pt>
                  <c:pt idx="2">
                    <c:v>VŠ (ost. stupně)</c:v>
                  </c:pt>
                  <c:pt idx="3">
                    <c:v>SŠ s mat.</c:v>
                  </c:pt>
                  <c:pt idx="4">
                    <c:v>VOŠ a VŠ (Bc.)</c:v>
                  </c:pt>
                  <c:pt idx="5">
                    <c:v>VŠ (ost. stupně)</c:v>
                  </c:pt>
                  <c:pt idx="6">
                    <c:v>SŠ bez mat.</c:v>
                  </c:pt>
                  <c:pt idx="7">
                    <c:v>SŠ s mat.</c:v>
                  </c:pt>
                  <c:pt idx="8">
                    <c:v>VOŠ a VŠ (Bc.)</c:v>
                  </c:pt>
                  <c:pt idx="9">
                    <c:v>VŠ (ost. stupně)</c:v>
                  </c:pt>
                  <c:pt idx="10">
                    <c:v>SŠ bez mat.</c:v>
                  </c:pt>
                  <c:pt idx="11">
                    <c:v>SŠ s mat.</c:v>
                  </c:pt>
                  <c:pt idx="12">
                    <c:v>VOŠ a VŠ (Bc.)</c:v>
                  </c:pt>
                  <c:pt idx="13">
                    <c:v>VŠ (ost. stupně)</c:v>
                  </c:pt>
                  <c:pt idx="14">
                    <c:v>ZŠ, neukonč.</c:v>
                  </c:pt>
                  <c:pt idx="15">
                    <c:v>SŠ bez mat.</c:v>
                  </c:pt>
                  <c:pt idx="16">
                    <c:v>SŠ s mat.</c:v>
                  </c:pt>
                  <c:pt idx="17">
                    <c:v>ZŠ, neukonč.</c:v>
                  </c:pt>
                  <c:pt idx="18">
                    <c:v>SŠ bez mat.</c:v>
                  </c:pt>
                  <c:pt idx="19">
                    <c:v>SŠ s mat.</c:v>
                  </c:pt>
                  <c:pt idx="20">
                    <c:v>ZŠ, neukonč.</c:v>
                  </c:pt>
                  <c:pt idx="21">
                    <c:v>SŠ bez mat.</c:v>
                  </c:pt>
                  <c:pt idx="22">
                    <c:v>SŠ s mat.</c:v>
                  </c:pt>
                  <c:pt idx="23">
                    <c:v>ZŠ, neukonč.</c:v>
                  </c:pt>
                  <c:pt idx="24">
                    <c:v>SŠ bez mat.</c:v>
                  </c:pt>
                  <c:pt idx="25">
                    <c:v>SŠ s mat.</c:v>
                  </c:pt>
                  <c:pt idx="26">
                    <c:v>úhrnem</c:v>
                  </c:pt>
                  <c:pt idx="27">
                    <c:v>úhrnem</c:v>
                  </c:pt>
                  <c:pt idx="28">
                    <c:v>ZŠ, neukonč.</c:v>
                  </c:pt>
                  <c:pt idx="29">
                    <c:v>SŠ bez mat.</c:v>
                  </c:pt>
                  <c:pt idx="30">
                    <c:v>SŠ s mat.</c:v>
                  </c:pt>
                  <c:pt idx="31">
                    <c:v>VOŠ a VŠ (Bc.)</c:v>
                  </c:pt>
                  <c:pt idx="32">
                    <c:v>VŠ (ost. stupně)</c:v>
                  </c:pt>
                </c:lvl>
                <c:lvl>
                  <c:pt idx="0">
                    <c:v>Zákonod.
řídící 
prac.</c:v>
                  </c:pt>
                  <c:pt idx="3">
                    <c:v>Specia-
listé</c:v>
                  </c:pt>
                  <c:pt idx="6">
                    <c:v>Techničtí 
a odborní 
pracovníci</c:v>
                  </c:pt>
                  <c:pt idx="10">
                    <c:v>Úředníci</c:v>
                  </c:pt>
                  <c:pt idx="14">
                    <c:v>Prac. ve
službách 
a prodeji</c:v>
                  </c:pt>
                  <c:pt idx="17">
                    <c:v>Řemesln.
a opraváři</c:v>
                  </c:pt>
                  <c:pt idx="20">
                    <c:v>Obsluha 
strojů, 
montéři</c:v>
                  </c:pt>
                  <c:pt idx="23">
                    <c:v>Pomocní,
nekvalif.
pracov.</c:v>
                  </c:pt>
                  <c:pt idx="26">
                    <c:v>Tř.
 6</c:v>
                  </c:pt>
                  <c:pt idx="27">
                    <c:v>Tř. 
0</c:v>
                  </c:pt>
                  <c:pt idx="28">
                    <c:v>Všechni 
zaměstnanci</c:v>
                  </c:pt>
                </c:lvl>
              </c:multiLvlStrCache>
            </c:multiLvlStrRef>
          </c:cat>
          <c:val>
            <c:numRef>
              <c:f>'GRAF-8-ISCO-vzděl-Ž-M'!$F$3:$F$35</c:f>
              <c:numCache>
                <c:formatCode>#,##0</c:formatCode>
                <c:ptCount val="33"/>
                <c:pt idx="0">
                  <c:v>76.276121074301855</c:v>
                </c:pt>
                <c:pt idx="1">
                  <c:v>64.805179936650092</c:v>
                </c:pt>
                <c:pt idx="2">
                  <c:v>75.337763499537914</c:v>
                </c:pt>
                <c:pt idx="3">
                  <c:v>74.579424296373347</c:v>
                </c:pt>
                <c:pt idx="4">
                  <c:v>73.851505814531365</c:v>
                </c:pt>
                <c:pt idx="5">
                  <c:v>75.067079820658861</c:v>
                </c:pt>
                <c:pt idx="6">
                  <c:v>81.490808360614452</c:v>
                </c:pt>
                <c:pt idx="7">
                  <c:v>81.902426432627777</c:v>
                </c:pt>
                <c:pt idx="8">
                  <c:v>77.968674532532944</c:v>
                </c:pt>
                <c:pt idx="9">
                  <c:v>82.207192971367178</c:v>
                </c:pt>
                <c:pt idx="10">
                  <c:v>76.983519922119456</c:v>
                </c:pt>
                <c:pt idx="11">
                  <c:v>81.454192011036568</c:v>
                </c:pt>
                <c:pt idx="12">
                  <c:v>82.491395905034125</c:v>
                </c:pt>
                <c:pt idx="13">
                  <c:v>80.776508170536914</c:v>
                </c:pt>
                <c:pt idx="14">
                  <c:v>103.49994971336618</c:v>
                </c:pt>
                <c:pt idx="15">
                  <c:v>97.364187014953629</c:v>
                </c:pt>
                <c:pt idx="16">
                  <c:v>81.049295774647888</c:v>
                </c:pt>
                <c:pt idx="17">
                  <c:v>92.963474827245804</c:v>
                </c:pt>
                <c:pt idx="18">
                  <c:v>78.274136039495332</c:v>
                </c:pt>
                <c:pt idx="19">
                  <c:v>81.172516566790321</c:v>
                </c:pt>
                <c:pt idx="20">
                  <c:v>87.297789522551156</c:v>
                </c:pt>
                <c:pt idx="21">
                  <c:v>85.699556655325296</c:v>
                </c:pt>
                <c:pt idx="22">
                  <c:v>84.125796799791857</c:v>
                </c:pt>
                <c:pt idx="23">
                  <c:v>84.677338669334674</c:v>
                </c:pt>
                <c:pt idx="24">
                  <c:v>77.567778936392074</c:v>
                </c:pt>
                <c:pt idx="25">
                  <c:v>81.233880542023172</c:v>
                </c:pt>
                <c:pt idx="26" formatCode="0">
                  <c:v>87.507560788741472</c:v>
                </c:pt>
                <c:pt idx="27" formatCode="0">
                  <c:v>105.72485962225626</c:v>
                </c:pt>
                <c:pt idx="28" formatCode="0.0">
                  <c:v>83.798458897273136</c:v>
                </c:pt>
                <c:pt idx="29" formatCode="0.0">
                  <c:v>77.124824684431985</c:v>
                </c:pt>
                <c:pt idx="30" formatCode="0.0">
                  <c:v>79.831357625865792</c:v>
                </c:pt>
                <c:pt idx="31" formatCode="0.0">
                  <c:v>73.395174636355719</c:v>
                </c:pt>
                <c:pt idx="32" formatCode="0.0">
                  <c:v>73.131079518400114</c:v>
                </c:pt>
              </c:numCache>
            </c:numRef>
          </c:val>
          <c:extLst>
            <c:ext xmlns:c16="http://schemas.microsoft.com/office/drawing/2014/chart" uri="{C3380CC4-5D6E-409C-BE32-E72D297353CC}">
              <c16:uniqueId val="{00000000-82D8-4624-A148-42783D8C5F08}"/>
            </c:ext>
          </c:extLst>
        </c:ser>
        <c:dLbls>
          <c:showLegendKey val="0"/>
          <c:showVal val="0"/>
          <c:showCatName val="0"/>
          <c:showSerName val="0"/>
          <c:showPercent val="0"/>
          <c:showBubbleSize val="0"/>
        </c:dLbls>
        <c:gapWidth val="80"/>
        <c:axId val="111845376"/>
        <c:axId val="111847296"/>
      </c:barChart>
      <c:lineChart>
        <c:grouping val="standard"/>
        <c:varyColors val="0"/>
        <c:ser>
          <c:idx val="0"/>
          <c:order val="0"/>
          <c:tx>
            <c:strRef>
              <c:f>'GRAF-8-ISCO-vzděl-Ž-M'!$D$2</c:f>
              <c:strCache>
                <c:ptCount val="1"/>
                <c:pt idx="0">
                  <c:v>rok 2015</c:v>
                </c:pt>
              </c:strCache>
            </c:strRef>
          </c:tx>
          <c:spPr>
            <a:ln w="28575" cap="rnd">
              <a:noFill/>
              <a:round/>
            </a:ln>
            <a:effectLst/>
          </c:spPr>
          <c:marker>
            <c:symbol val="circle"/>
            <c:size val="4"/>
            <c:spPr>
              <a:noFill/>
              <a:ln w="9525">
                <a:solidFill>
                  <a:schemeClr val="accent6">
                    <a:lumMod val="75000"/>
                  </a:schemeClr>
                </a:solidFill>
              </a:ln>
              <a:effectLst/>
            </c:spPr>
          </c:marker>
          <c:cat>
            <c:multiLvlStrRef>
              <c:f>'GRAF-8-ISCO-vzděl-Ž-M'!$A$3:$C$35</c:f>
              <c:multiLvlStrCache>
                <c:ptCount val="33"/>
                <c:lvl>
                  <c:pt idx="0">
                    <c:v>SŠ s mat.</c:v>
                  </c:pt>
                  <c:pt idx="1">
                    <c:v>VOŠ a VŠ (Bc.)</c:v>
                  </c:pt>
                  <c:pt idx="2">
                    <c:v>VŠ (ost. stupně)</c:v>
                  </c:pt>
                  <c:pt idx="3">
                    <c:v>SŠ s mat.</c:v>
                  </c:pt>
                  <c:pt idx="4">
                    <c:v>VOŠ a VŠ (Bc.)</c:v>
                  </c:pt>
                  <c:pt idx="5">
                    <c:v>VŠ (ost. stupně)</c:v>
                  </c:pt>
                  <c:pt idx="6">
                    <c:v>SŠ bez mat.</c:v>
                  </c:pt>
                  <c:pt idx="7">
                    <c:v>SŠ s mat.</c:v>
                  </c:pt>
                  <c:pt idx="8">
                    <c:v>VOŠ a VŠ (Bc.)</c:v>
                  </c:pt>
                  <c:pt idx="9">
                    <c:v>VŠ (ost. stupně)</c:v>
                  </c:pt>
                  <c:pt idx="10">
                    <c:v>SŠ bez mat.</c:v>
                  </c:pt>
                  <c:pt idx="11">
                    <c:v>SŠ s mat.</c:v>
                  </c:pt>
                  <c:pt idx="12">
                    <c:v>VOŠ a VŠ (Bc.)</c:v>
                  </c:pt>
                  <c:pt idx="13">
                    <c:v>VŠ (ost. stupně)</c:v>
                  </c:pt>
                  <c:pt idx="14">
                    <c:v>ZŠ, neukonč.</c:v>
                  </c:pt>
                  <c:pt idx="15">
                    <c:v>SŠ bez mat.</c:v>
                  </c:pt>
                  <c:pt idx="16">
                    <c:v>SŠ s mat.</c:v>
                  </c:pt>
                  <c:pt idx="17">
                    <c:v>ZŠ, neukonč.</c:v>
                  </c:pt>
                  <c:pt idx="18">
                    <c:v>SŠ bez mat.</c:v>
                  </c:pt>
                  <c:pt idx="19">
                    <c:v>SŠ s mat.</c:v>
                  </c:pt>
                  <c:pt idx="20">
                    <c:v>ZŠ, neukonč.</c:v>
                  </c:pt>
                  <c:pt idx="21">
                    <c:v>SŠ bez mat.</c:v>
                  </c:pt>
                  <c:pt idx="22">
                    <c:v>SŠ s mat.</c:v>
                  </c:pt>
                  <c:pt idx="23">
                    <c:v>ZŠ, neukonč.</c:v>
                  </c:pt>
                  <c:pt idx="24">
                    <c:v>SŠ bez mat.</c:v>
                  </c:pt>
                  <c:pt idx="25">
                    <c:v>SŠ s mat.</c:v>
                  </c:pt>
                  <c:pt idx="26">
                    <c:v>úhrnem</c:v>
                  </c:pt>
                  <c:pt idx="27">
                    <c:v>úhrnem</c:v>
                  </c:pt>
                  <c:pt idx="28">
                    <c:v>ZŠ, neukonč.</c:v>
                  </c:pt>
                  <c:pt idx="29">
                    <c:v>SŠ bez mat.</c:v>
                  </c:pt>
                  <c:pt idx="30">
                    <c:v>SŠ s mat.</c:v>
                  </c:pt>
                  <c:pt idx="31">
                    <c:v>VOŠ a VŠ (Bc.)</c:v>
                  </c:pt>
                  <c:pt idx="32">
                    <c:v>VŠ (ost. stupně)</c:v>
                  </c:pt>
                </c:lvl>
                <c:lvl>
                  <c:pt idx="0">
                    <c:v>Zákonod.
řídící 
prac.</c:v>
                  </c:pt>
                  <c:pt idx="3">
                    <c:v>Specia-
listé</c:v>
                  </c:pt>
                  <c:pt idx="6">
                    <c:v>Techničtí 
a odborní 
pracovníci</c:v>
                  </c:pt>
                  <c:pt idx="10">
                    <c:v>Úředníci</c:v>
                  </c:pt>
                  <c:pt idx="14">
                    <c:v>Prac. ve
službách 
a prodeji</c:v>
                  </c:pt>
                  <c:pt idx="17">
                    <c:v>Řemesln.
a opraváři</c:v>
                  </c:pt>
                  <c:pt idx="20">
                    <c:v>Obsluha 
strojů, 
montéři</c:v>
                  </c:pt>
                  <c:pt idx="23">
                    <c:v>Pomocní,
nekvalif.
pracov.</c:v>
                  </c:pt>
                  <c:pt idx="26">
                    <c:v>Tř.
 6</c:v>
                  </c:pt>
                  <c:pt idx="27">
                    <c:v>Tř. 
0</c:v>
                  </c:pt>
                  <c:pt idx="28">
                    <c:v>Všechni 
zaměstnanci</c:v>
                  </c:pt>
                </c:lvl>
              </c:multiLvlStrCache>
            </c:multiLvlStrRef>
          </c:cat>
          <c:val>
            <c:numRef>
              <c:f>'GRAF-8-ISCO-vzděl-Ž-M'!$D$3:$D$35</c:f>
              <c:numCache>
                <c:formatCode>#,##0</c:formatCode>
                <c:ptCount val="33"/>
                <c:pt idx="0">
                  <c:v>75.170566731179008</c:v>
                </c:pt>
                <c:pt idx="1">
                  <c:v>75.213163799551225</c:v>
                </c:pt>
                <c:pt idx="2">
                  <c:v>74.919249236141425</c:v>
                </c:pt>
                <c:pt idx="3">
                  <c:v>72.80461358816099</c:v>
                </c:pt>
                <c:pt idx="4">
                  <c:v>74.372651230452178</c:v>
                </c:pt>
                <c:pt idx="5">
                  <c:v>73.06353885204291</c:v>
                </c:pt>
                <c:pt idx="6">
                  <c:v>79.837182256188726</c:v>
                </c:pt>
                <c:pt idx="7">
                  <c:v>81.325932778291715</c:v>
                </c:pt>
                <c:pt idx="8">
                  <c:v>76.475617750163877</c:v>
                </c:pt>
                <c:pt idx="9">
                  <c:v>81.971468898074406</c:v>
                </c:pt>
                <c:pt idx="10">
                  <c:v>77.429546316188549</c:v>
                </c:pt>
                <c:pt idx="11">
                  <c:v>81.337492109464932</c:v>
                </c:pt>
                <c:pt idx="12">
                  <c:v>81.370850370781071</c:v>
                </c:pt>
                <c:pt idx="13">
                  <c:v>81.47248463037937</c:v>
                </c:pt>
                <c:pt idx="14">
                  <c:v>97.813411078717209</c:v>
                </c:pt>
                <c:pt idx="15">
                  <c:v>94.814497367454393</c:v>
                </c:pt>
                <c:pt idx="16">
                  <c:v>77.307370368738717</c:v>
                </c:pt>
                <c:pt idx="17">
                  <c:v>87.190662986101017</c:v>
                </c:pt>
                <c:pt idx="18">
                  <c:v>74.507297765317062</c:v>
                </c:pt>
                <c:pt idx="19">
                  <c:v>78.323014599098059</c:v>
                </c:pt>
                <c:pt idx="20">
                  <c:v>87.916740952041366</c:v>
                </c:pt>
                <c:pt idx="21">
                  <c:v>83.36906713751209</c:v>
                </c:pt>
                <c:pt idx="22">
                  <c:v>81.98219678906375</c:v>
                </c:pt>
                <c:pt idx="23">
                  <c:v>86.968378676709307</c:v>
                </c:pt>
                <c:pt idx="24">
                  <c:v>78.304770221591525</c:v>
                </c:pt>
                <c:pt idx="25">
                  <c:v>79.111858876312837</c:v>
                </c:pt>
                <c:pt idx="26" formatCode="0">
                  <c:v>88.601925092919089</c:v>
                </c:pt>
                <c:pt idx="27" formatCode="0">
                  <c:v>103.4725913326955</c:v>
                </c:pt>
                <c:pt idx="28" formatCode="0.0">
                  <c:v>82.940027055463702</c:v>
                </c:pt>
                <c:pt idx="29" formatCode="0.0">
                  <c:v>73.919911202185801</c:v>
                </c:pt>
                <c:pt idx="30" formatCode="0.0">
                  <c:v>79.142931971452896</c:v>
                </c:pt>
                <c:pt idx="31" formatCode="0.0">
                  <c:v>73.448414291449211</c:v>
                </c:pt>
                <c:pt idx="32" formatCode="0.0">
                  <c:v>70.660534298855069</c:v>
                </c:pt>
              </c:numCache>
            </c:numRef>
          </c:val>
          <c:smooth val="0"/>
          <c:extLst>
            <c:ext xmlns:c16="http://schemas.microsoft.com/office/drawing/2014/chart" uri="{C3380CC4-5D6E-409C-BE32-E72D297353CC}">
              <c16:uniqueId val="{00000001-82D8-4624-A148-42783D8C5F08}"/>
            </c:ext>
          </c:extLst>
        </c:ser>
        <c:ser>
          <c:idx val="1"/>
          <c:order val="1"/>
          <c:tx>
            <c:strRef>
              <c:f>'GRAF-8-ISCO-vzděl-Ž-M'!$E$2</c:f>
              <c:strCache>
                <c:ptCount val="1"/>
                <c:pt idx="0">
                  <c:v>rok 2012</c:v>
                </c:pt>
              </c:strCache>
            </c:strRef>
          </c:tx>
          <c:spPr>
            <a:ln w="28575" cap="rnd">
              <a:noFill/>
              <a:round/>
            </a:ln>
            <a:effectLst/>
          </c:spPr>
          <c:marker>
            <c:symbol val="circle"/>
            <c:size val="4"/>
            <c:spPr>
              <a:solidFill>
                <a:srgbClr val="BD1B21"/>
              </a:solidFill>
              <a:ln w="9525">
                <a:noFill/>
              </a:ln>
              <a:effectLst/>
            </c:spPr>
          </c:marker>
          <c:cat>
            <c:multiLvlStrRef>
              <c:f>'GRAF-8-ISCO-vzděl-Ž-M'!$A$3:$C$35</c:f>
              <c:multiLvlStrCache>
                <c:ptCount val="33"/>
                <c:lvl>
                  <c:pt idx="0">
                    <c:v>SŠ s mat.</c:v>
                  </c:pt>
                  <c:pt idx="1">
                    <c:v>VOŠ a VŠ (Bc.)</c:v>
                  </c:pt>
                  <c:pt idx="2">
                    <c:v>VŠ (ost. stupně)</c:v>
                  </c:pt>
                  <c:pt idx="3">
                    <c:v>SŠ s mat.</c:v>
                  </c:pt>
                  <c:pt idx="4">
                    <c:v>VOŠ a VŠ (Bc.)</c:v>
                  </c:pt>
                  <c:pt idx="5">
                    <c:v>VŠ (ost. stupně)</c:v>
                  </c:pt>
                  <c:pt idx="6">
                    <c:v>SŠ bez mat.</c:v>
                  </c:pt>
                  <c:pt idx="7">
                    <c:v>SŠ s mat.</c:v>
                  </c:pt>
                  <c:pt idx="8">
                    <c:v>VOŠ a VŠ (Bc.)</c:v>
                  </c:pt>
                  <c:pt idx="9">
                    <c:v>VŠ (ost. stupně)</c:v>
                  </c:pt>
                  <c:pt idx="10">
                    <c:v>SŠ bez mat.</c:v>
                  </c:pt>
                  <c:pt idx="11">
                    <c:v>SŠ s mat.</c:v>
                  </c:pt>
                  <c:pt idx="12">
                    <c:v>VOŠ a VŠ (Bc.)</c:v>
                  </c:pt>
                  <c:pt idx="13">
                    <c:v>VŠ (ost. stupně)</c:v>
                  </c:pt>
                  <c:pt idx="14">
                    <c:v>ZŠ, neukonč.</c:v>
                  </c:pt>
                  <c:pt idx="15">
                    <c:v>SŠ bez mat.</c:v>
                  </c:pt>
                  <c:pt idx="16">
                    <c:v>SŠ s mat.</c:v>
                  </c:pt>
                  <c:pt idx="17">
                    <c:v>ZŠ, neukonč.</c:v>
                  </c:pt>
                  <c:pt idx="18">
                    <c:v>SŠ bez mat.</c:v>
                  </c:pt>
                  <c:pt idx="19">
                    <c:v>SŠ s mat.</c:v>
                  </c:pt>
                  <c:pt idx="20">
                    <c:v>ZŠ, neukonč.</c:v>
                  </c:pt>
                  <c:pt idx="21">
                    <c:v>SŠ bez mat.</c:v>
                  </c:pt>
                  <c:pt idx="22">
                    <c:v>SŠ s mat.</c:v>
                  </c:pt>
                  <c:pt idx="23">
                    <c:v>ZŠ, neukonč.</c:v>
                  </c:pt>
                  <c:pt idx="24">
                    <c:v>SŠ bez mat.</c:v>
                  </c:pt>
                  <c:pt idx="25">
                    <c:v>SŠ s mat.</c:v>
                  </c:pt>
                  <c:pt idx="26">
                    <c:v>úhrnem</c:v>
                  </c:pt>
                  <c:pt idx="27">
                    <c:v>úhrnem</c:v>
                  </c:pt>
                  <c:pt idx="28">
                    <c:v>ZŠ, neukonč.</c:v>
                  </c:pt>
                  <c:pt idx="29">
                    <c:v>SŠ bez mat.</c:v>
                  </c:pt>
                  <c:pt idx="30">
                    <c:v>SŠ s mat.</c:v>
                  </c:pt>
                  <c:pt idx="31">
                    <c:v>VOŠ a VŠ (Bc.)</c:v>
                  </c:pt>
                  <c:pt idx="32">
                    <c:v>VŠ (ost. stupně)</c:v>
                  </c:pt>
                </c:lvl>
                <c:lvl>
                  <c:pt idx="0">
                    <c:v>Zákonod.
řídící 
prac.</c:v>
                  </c:pt>
                  <c:pt idx="3">
                    <c:v>Specia-
listé</c:v>
                  </c:pt>
                  <c:pt idx="6">
                    <c:v>Techničtí 
a odborní 
pracovníci</c:v>
                  </c:pt>
                  <c:pt idx="10">
                    <c:v>Úředníci</c:v>
                  </c:pt>
                  <c:pt idx="14">
                    <c:v>Prac. ve
službách 
a prodeji</c:v>
                  </c:pt>
                  <c:pt idx="17">
                    <c:v>Řemesln.
a opraváři</c:v>
                  </c:pt>
                  <c:pt idx="20">
                    <c:v>Obsluha 
strojů, 
montéři</c:v>
                  </c:pt>
                  <c:pt idx="23">
                    <c:v>Pomocní,
nekvalif.
pracov.</c:v>
                  </c:pt>
                  <c:pt idx="26">
                    <c:v>Tř.
 6</c:v>
                  </c:pt>
                  <c:pt idx="27">
                    <c:v>Tř. 
0</c:v>
                  </c:pt>
                  <c:pt idx="28">
                    <c:v>Všechni 
zaměstnanci</c:v>
                  </c:pt>
                </c:lvl>
              </c:multiLvlStrCache>
            </c:multiLvlStrRef>
          </c:cat>
          <c:val>
            <c:numRef>
              <c:f>'GRAF-8-ISCO-vzděl-Ž-M'!$E$3:$E$35</c:f>
              <c:numCache>
                <c:formatCode>#,##0</c:formatCode>
                <c:ptCount val="33"/>
                <c:pt idx="0">
                  <c:v>77.393058240188253</c:v>
                </c:pt>
                <c:pt idx="1">
                  <c:v>72.877218558763204</c:v>
                </c:pt>
                <c:pt idx="2">
                  <c:v>71.477164724125856</c:v>
                </c:pt>
                <c:pt idx="3">
                  <c:v>71.896326776395028</c:v>
                </c:pt>
                <c:pt idx="4">
                  <c:v>76.146105106224368</c:v>
                </c:pt>
                <c:pt idx="5">
                  <c:v>72.887985664962201</c:v>
                </c:pt>
                <c:pt idx="6">
                  <c:v>81.415131744944674</c:v>
                </c:pt>
                <c:pt idx="7">
                  <c:v>81.638464849829461</c:v>
                </c:pt>
                <c:pt idx="8">
                  <c:v>79.111302052965897</c:v>
                </c:pt>
                <c:pt idx="9">
                  <c:v>81.894819261385877</c:v>
                </c:pt>
                <c:pt idx="10">
                  <c:v>83.335593833355944</c:v>
                </c:pt>
                <c:pt idx="11">
                  <c:v>81.162340178225492</c:v>
                </c:pt>
                <c:pt idx="12">
                  <c:v>83.25247282710896</c:v>
                </c:pt>
                <c:pt idx="13">
                  <c:v>78.476213402341045</c:v>
                </c:pt>
                <c:pt idx="14">
                  <c:v>97.444831591173056</c:v>
                </c:pt>
                <c:pt idx="15">
                  <c:v>93.235713360114033</c:v>
                </c:pt>
                <c:pt idx="16">
                  <c:v>83.366326833613783</c:v>
                </c:pt>
                <c:pt idx="17">
                  <c:v>86.458818054909258</c:v>
                </c:pt>
                <c:pt idx="18">
                  <c:v>73.423018086925225</c:v>
                </c:pt>
                <c:pt idx="19">
                  <c:v>77.971896760205155</c:v>
                </c:pt>
                <c:pt idx="20">
                  <c:v>86.872474071188591</c:v>
                </c:pt>
                <c:pt idx="21">
                  <c:v>80.553193393904138</c:v>
                </c:pt>
                <c:pt idx="22">
                  <c:v>80.028165407758294</c:v>
                </c:pt>
                <c:pt idx="23">
                  <c:v>81.929374630104562</c:v>
                </c:pt>
                <c:pt idx="24">
                  <c:v>76.554694229112826</c:v>
                </c:pt>
                <c:pt idx="25">
                  <c:v>78.015639731573401</c:v>
                </c:pt>
                <c:pt idx="26" formatCode="0">
                  <c:v>88.24355971896955</c:v>
                </c:pt>
                <c:pt idx="27" formatCode="0">
                  <c:v>98.781701636341921</c:v>
                </c:pt>
                <c:pt idx="28" formatCode="0.0">
                  <c:v>81.536236541860845</c:v>
                </c:pt>
                <c:pt idx="29" formatCode="0.0">
                  <c:v>73.868586363427951</c:v>
                </c:pt>
                <c:pt idx="30" formatCode="0.0">
                  <c:v>80.117856271139161</c:v>
                </c:pt>
                <c:pt idx="31" formatCode="0.0">
                  <c:v>75.321821036106755</c:v>
                </c:pt>
                <c:pt idx="32" formatCode="0.0">
                  <c:v>69.265843125439389</c:v>
                </c:pt>
              </c:numCache>
            </c:numRef>
          </c:val>
          <c:smooth val="0"/>
          <c:extLst>
            <c:ext xmlns:c16="http://schemas.microsoft.com/office/drawing/2014/chart" uri="{C3380CC4-5D6E-409C-BE32-E72D297353CC}">
              <c16:uniqueId val="{00000002-82D8-4624-A148-42783D8C5F08}"/>
            </c:ext>
          </c:extLst>
        </c:ser>
        <c:dLbls>
          <c:showLegendKey val="0"/>
          <c:showVal val="0"/>
          <c:showCatName val="0"/>
          <c:showSerName val="0"/>
          <c:showPercent val="0"/>
          <c:showBubbleSize val="0"/>
        </c:dLbls>
        <c:marker val="1"/>
        <c:smooth val="0"/>
        <c:axId val="111845376"/>
        <c:axId val="111847296"/>
      </c:lineChart>
      <c:catAx>
        <c:axId val="111845376"/>
        <c:scaling>
          <c:orientation val="minMax"/>
        </c:scaling>
        <c:delete val="0"/>
        <c:axPos val="b"/>
        <c:numFmt formatCode="General" sourceLinked="1"/>
        <c:majorTickMark val="none"/>
        <c:minorTickMark val="none"/>
        <c:tickLblPos val="low"/>
        <c:spPr>
          <a:noFill/>
          <a:ln w="6350" cap="flat" cmpd="sng" algn="ctr">
            <a:solidFill>
              <a:schemeClr val="tx1">
                <a:lumMod val="95000"/>
                <a:lumOff val="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cs-CZ"/>
          </a:p>
        </c:txPr>
        <c:crossAx val="111847296"/>
        <c:crossesAt val="100"/>
        <c:auto val="1"/>
        <c:lblAlgn val="ctr"/>
        <c:lblOffset val="0"/>
        <c:noMultiLvlLbl val="0"/>
      </c:catAx>
      <c:valAx>
        <c:axId val="111847296"/>
        <c:scaling>
          <c:orientation val="minMax"/>
          <c:max val="107"/>
          <c:min val="60"/>
        </c:scaling>
        <c:delete val="0"/>
        <c:axPos val="l"/>
        <c:majorGridlines>
          <c:spPr>
            <a:ln w="9525" cap="flat" cmpd="sng" algn="ctr">
              <a:solidFill>
                <a:srgbClr val="D9D9D9"/>
              </a:solidFill>
              <a:round/>
            </a:ln>
            <a:effectLst/>
          </c:spPr>
        </c:majorGridlines>
        <c:numFmt formatCode="#,##0" sourceLinked="1"/>
        <c:majorTickMark val="none"/>
        <c:minorTickMark val="none"/>
        <c:tickLblPos val="low"/>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cs-CZ"/>
          </a:p>
        </c:txPr>
        <c:crossAx val="111845376"/>
        <c:crosses val="autoZero"/>
        <c:crossBetween val="between"/>
        <c:majorUnit val="5"/>
      </c:valAx>
      <c:spPr>
        <a:noFill/>
        <a:ln w="6350">
          <a:solidFill>
            <a:schemeClr val="tx1">
              <a:lumMod val="95000"/>
              <a:lumOff val="5000"/>
            </a:schemeClr>
          </a:solidFill>
        </a:ln>
        <a:effectLst/>
      </c:spPr>
    </c:plotArea>
    <c:legend>
      <c:legendPos val="b"/>
      <c:layout>
        <c:manualLayout>
          <c:xMode val="edge"/>
          <c:yMode val="edge"/>
          <c:x val="0.32407736683264826"/>
          <c:y val="0.95350940984453569"/>
          <c:w val="0.35521256268931717"/>
          <c:h val="4.3827491409961013E-2"/>
        </c:manualLayout>
      </c:layout>
      <c:overlay val="0"/>
      <c:spPr>
        <a:noFill/>
        <a:ln w="6350">
          <a:solidFill>
            <a:schemeClr val="tx1">
              <a:lumMod val="95000"/>
              <a:lumOff val="5000"/>
            </a:schemeClr>
          </a:solid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cs-CZ"/>
        </a:p>
      </c:txPr>
    </c:legend>
    <c:plotVisOnly val="1"/>
    <c:dispBlanksAs val="gap"/>
    <c:showDLblsOverMax val="0"/>
  </c:chart>
  <c:spPr>
    <a:solidFill>
      <a:schemeClr val="bg1"/>
    </a:solidFill>
    <a:ln w="9525" cap="flat" cmpd="sng" algn="ctr">
      <a:noFill/>
      <a:round/>
    </a:ln>
    <a:effectLst/>
  </c:spPr>
  <c:txPr>
    <a:bodyPr/>
    <a:lstStyle/>
    <a:p>
      <a:pPr>
        <a:defRPr/>
      </a:pPr>
      <a:endParaRPr lang="cs-CZ"/>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0699962741733386E-2"/>
          <c:y val="1.6099489550526948E-2"/>
          <c:w val="0.92836229463414977"/>
          <c:h val="0.6118417970823028"/>
        </c:manualLayout>
      </c:layout>
      <c:barChart>
        <c:barDir val="col"/>
        <c:grouping val="clustered"/>
        <c:varyColors val="0"/>
        <c:ser>
          <c:idx val="8"/>
          <c:order val="8"/>
          <c:tx>
            <c:strRef>
              <c:f>'Graf-3-EA-ženy s dětmi'!$A$16</c:f>
              <c:strCache>
                <c:ptCount val="1"/>
                <c:pt idx="0">
                  <c:v>Práce na zkrácený úvazek: všechny ženy s nejml. dítětem do 6 let</c:v>
                </c:pt>
              </c:strCache>
            </c:strRef>
          </c:tx>
          <c:spPr>
            <a:solidFill>
              <a:schemeClr val="bg1">
                <a:lumMod val="85000"/>
              </a:schemeClr>
            </a:solidFill>
            <a:ln>
              <a:noFill/>
            </a:ln>
            <a:effectLst/>
          </c:spPr>
          <c:invertIfNegative val="0"/>
          <c:cat>
            <c:strRef>
              <c:f>'Graf-3-EA-ženy s dětmi'!$B$7:$O$7</c:f>
              <c:strCache>
                <c:ptCount val="14"/>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strCache>
            </c:strRef>
          </c:cat>
          <c:val>
            <c:numRef>
              <c:f>'Graf-3-EA-ženy s dětmi'!$B$16:$O$16</c:f>
              <c:numCache>
                <c:formatCode>#\ ##0.0</c:formatCode>
                <c:ptCount val="14"/>
                <c:pt idx="0">
                  <c:v>18.399999999999999</c:v>
                </c:pt>
                <c:pt idx="1">
                  <c:v>20.9</c:v>
                </c:pt>
                <c:pt idx="2">
                  <c:v>21.4</c:v>
                </c:pt>
                <c:pt idx="3">
                  <c:v>19.7</c:v>
                </c:pt>
                <c:pt idx="4">
                  <c:v>19.2</c:v>
                </c:pt>
                <c:pt idx="5">
                  <c:v>22.5</c:v>
                </c:pt>
                <c:pt idx="6">
                  <c:v>15.2</c:v>
                </c:pt>
                <c:pt idx="7">
                  <c:v>17.7</c:v>
                </c:pt>
                <c:pt idx="8">
                  <c:v>18.100000000000001</c:v>
                </c:pt>
                <c:pt idx="9">
                  <c:v>18.600000000000001</c:v>
                </c:pt>
                <c:pt idx="10">
                  <c:v>18</c:v>
                </c:pt>
                <c:pt idx="11">
                  <c:v>20.399999999999999</c:v>
                </c:pt>
                <c:pt idx="12">
                  <c:v>23</c:v>
                </c:pt>
                <c:pt idx="13">
                  <c:v>23.7</c:v>
                </c:pt>
              </c:numCache>
            </c:numRef>
          </c:val>
          <c:extLst>
            <c:ext xmlns:c16="http://schemas.microsoft.com/office/drawing/2014/chart" uri="{C3380CC4-5D6E-409C-BE32-E72D297353CC}">
              <c16:uniqueId val="{00000000-AC6C-4369-AAE8-5A142143413C}"/>
            </c:ext>
          </c:extLst>
        </c:ser>
        <c:ser>
          <c:idx val="9"/>
          <c:order val="9"/>
          <c:tx>
            <c:strRef>
              <c:f>'Graf-3-EA-ženy s dětmi'!$A$17</c:f>
              <c:strCache>
                <c:ptCount val="1"/>
                <c:pt idx="0">
                  <c:v>Práce na zkrácený úvazek: všechny ženy s nejml. dítětem ve věku 6–11 let</c:v>
                </c:pt>
              </c:strCache>
            </c:strRef>
          </c:tx>
          <c:spPr>
            <a:solidFill>
              <a:schemeClr val="bg1">
                <a:lumMod val="65000"/>
              </a:schemeClr>
            </a:solidFill>
            <a:ln>
              <a:noFill/>
            </a:ln>
            <a:effectLst/>
          </c:spPr>
          <c:invertIfNegative val="0"/>
          <c:cat>
            <c:strRef>
              <c:f>'Graf-3-EA-ženy s dětmi'!$B$7:$O$7</c:f>
              <c:strCache>
                <c:ptCount val="14"/>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strCache>
            </c:strRef>
          </c:cat>
          <c:val>
            <c:numRef>
              <c:f>'Graf-3-EA-ženy s dětmi'!$B$17:$O$17</c:f>
              <c:numCache>
                <c:formatCode>#\ ##0.0</c:formatCode>
                <c:ptCount val="14"/>
                <c:pt idx="0">
                  <c:v>10.6</c:v>
                </c:pt>
                <c:pt idx="1">
                  <c:v>10.8</c:v>
                </c:pt>
                <c:pt idx="2">
                  <c:v>9.1999999999999993</c:v>
                </c:pt>
                <c:pt idx="3">
                  <c:v>9.4</c:v>
                </c:pt>
                <c:pt idx="4">
                  <c:v>9</c:v>
                </c:pt>
                <c:pt idx="5">
                  <c:v>10.6</c:v>
                </c:pt>
                <c:pt idx="6">
                  <c:v>10.5</c:v>
                </c:pt>
                <c:pt idx="7">
                  <c:v>8.1999999999999993</c:v>
                </c:pt>
                <c:pt idx="8">
                  <c:v>10.6</c:v>
                </c:pt>
                <c:pt idx="9">
                  <c:v>10.3</c:v>
                </c:pt>
                <c:pt idx="10">
                  <c:v>9.6</c:v>
                </c:pt>
                <c:pt idx="11">
                  <c:v>10</c:v>
                </c:pt>
                <c:pt idx="12">
                  <c:v>10.199999999999999</c:v>
                </c:pt>
                <c:pt idx="13">
                  <c:v>11.4</c:v>
                </c:pt>
              </c:numCache>
            </c:numRef>
          </c:val>
          <c:extLst>
            <c:ext xmlns:c16="http://schemas.microsoft.com/office/drawing/2014/chart" uri="{C3380CC4-5D6E-409C-BE32-E72D297353CC}">
              <c16:uniqueId val="{00000001-AC6C-4369-AAE8-5A142143413C}"/>
            </c:ext>
          </c:extLst>
        </c:ser>
        <c:dLbls>
          <c:showLegendKey val="0"/>
          <c:showVal val="0"/>
          <c:showCatName val="0"/>
          <c:showSerName val="0"/>
          <c:showPercent val="0"/>
          <c:showBubbleSize val="0"/>
        </c:dLbls>
        <c:gapWidth val="150"/>
        <c:axId val="151240064"/>
        <c:axId val="148845696"/>
      </c:barChart>
      <c:lineChart>
        <c:grouping val="standard"/>
        <c:varyColors val="0"/>
        <c:ser>
          <c:idx val="0"/>
          <c:order val="0"/>
          <c:tx>
            <c:strRef>
              <c:f>'Graf-3-EA-ženy s dětmi'!$A$8</c:f>
              <c:strCache>
                <c:ptCount val="1"/>
                <c:pt idx="0">
                  <c:v>Míra zaměstnanosti: všechny ženy, nejml. dítě do 6 let </c:v>
                </c:pt>
              </c:strCache>
            </c:strRef>
          </c:tx>
          <c:spPr>
            <a:ln w="19050" cap="rnd">
              <a:solidFill>
                <a:srgbClr val="BD1B21"/>
              </a:solidFill>
              <a:round/>
            </a:ln>
            <a:effectLst/>
          </c:spPr>
          <c:marker>
            <c:symbol val="none"/>
          </c:marker>
          <c:cat>
            <c:strRef>
              <c:f>'Graf-3-EA-ženy s dětmi'!$B$7:$O$7</c:f>
              <c:strCache>
                <c:ptCount val="14"/>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strCache>
            </c:strRef>
          </c:cat>
          <c:val>
            <c:numRef>
              <c:f>'Graf-3-EA-ženy s dětmi'!$B$8:$O$8</c:f>
              <c:numCache>
                <c:formatCode>#\ ##0.0</c:formatCode>
                <c:ptCount val="14"/>
                <c:pt idx="0">
                  <c:v>36.200000000000003</c:v>
                </c:pt>
                <c:pt idx="1">
                  <c:v>35.1</c:v>
                </c:pt>
                <c:pt idx="2">
                  <c:v>33.9</c:v>
                </c:pt>
                <c:pt idx="3">
                  <c:v>34</c:v>
                </c:pt>
                <c:pt idx="4">
                  <c:v>34.6</c:v>
                </c:pt>
                <c:pt idx="5">
                  <c:v>36.5</c:v>
                </c:pt>
                <c:pt idx="6">
                  <c:v>40.5</c:v>
                </c:pt>
                <c:pt idx="7">
                  <c:v>40.4</c:v>
                </c:pt>
                <c:pt idx="8">
                  <c:v>43.7</c:v>
                </c:pt>
                <c:pt idx="9">
                  <c:v>45.3</c:v>
                </c:pt>
                <c:pt idx="10">
                  <c:v>44.2</c:v>
                </c:pt>
                <c:pt idx="11">
                  <c:v>45.6</c:v>
                </c:pt>
                <c:pt idx="12">
                  <c:v>45.1</c:v>
                </c:pt>
                <c:pt idx="13">
                  <c:v>47.9</c:v>
                </c:pt>
              </c:numCache>
            </c:numRef>
          </c:val>
          <c:smooth val="0"/>
          <c:extLst>
            <c:ext xmlns:c16="http://schemas.microsoft.com/office/drawing/2014/chart" uri="{C3380CC4-5D6E-409C-BE32-E72D297353CC}">
              <c16:uniqueId val="{00000002-AC6C-4369-AAE8-5A142143413C}"/>
            </c:ext>
          </c:extLst>
        </c:ser>
        <c:ser>
          <c:idx val="1"/>
          <c:order val="1"/>
          <c:tx>
            <c:strRef>
              <c:f>'Graf-3-EA-ženy s dětmi'!$A$9</c:f>
              <c:strCache>
                <c:ptCount val="1"/>
                <c:pt idx="0">
                  <c:v>z toho ženy s primárním a nižším sekundárním vzděl. (ISCED 0–2)</c:v>
                </c:pt>
              </c:strCache>
            </c:strRef>
          </c:tx>
          <c:spPr>
            <a:ln w="12700" cap="rnd">
              <a:solidFill>
                <a:schemeClr val="accent6">
                  <a:lumMod val="75000"/>
                </a:schemeClr>
              </a:solidFill>
              <a:prstDash val="sysDash"/>
              <a:round/>
            </a:ln>
            <a:effectLst/>
          </c:spPr>
          <c:marker>
            <c:symbol val="none"/>
          </c:marker>
          <c:cat>
            <c:strRef>
              <c:f>'Graf-3-EA-ženy s dětmi'!$B$7:$O$7</c:f>
              <c:strCache>
                <c:ptCount val="14"/>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strCache>
            </c:strRef>
          </c:cat>
          <c:val>
            <c:numRef>
              <c:f>'Graf-3-EA-ženy s dětmi'!$B$9:$O$9</c:f>
              <c:numCache>
                <c:formatCode>#\ ##0.0</c:formatCode>
                <c:ptCount val="14"/>
                <c:pt idx="0">
                  <c:v>17.8</c:v>
                </c:pt>
                <c:pt idx="1">
                  <c:v>23.5</c:v>
                </c:pt>
                <c:pt idx="2">
                  <c:v>22.7</c:v>
                </c:pt>
                <c:pt idx="3">
                  <c:v>23.6</c:v>
                </c:pt>
                <c:pt idx="4">
                  <c:v>22.5</c:v>
                </c:pt>
                <c:pt idx="5">
                  <c:v>22.9</c:v>
                </c:pt>
                <c:pt idx="6">
                  <c:v>18</c:v>
                </c:pt>
                <c:pt idx="7">
                  <c:v>19.7</c:v>
                </c:pt>
                <c:pt idx="8">
                  <c:v>23.5</c:v>
                </c:pt>
                <c:pt idx="9">
                  <c:v>15.8</c:v>
                </c:pt>
                <c:pt idx="10">
                  <c:v>26.6</c:v>
                </c:pt>
                <c:pt idx="11">
                  <c:v>24.5</c:v>
                </c:pt>
                <c:pt idx="12">
                  <c:v>19.8</c:v>
                </c:pt>
                <c:pt idx="13">
                  <c:v>33</c:v>
                </c:pt>
              </c:numCache>
            </c:numRef>
          </c:val>
          <c:smooth val="0"/>
          <c:extLst>
            <c:ext xmlns:c16="http://schemas.microsoft.com/office/drawing/2014/chart" uri="{C3380CC4-5D6E-409C-BE32-E72D297353CC}">
              <c16:uniqueId val="{00000003-AC6C-4369-AAE8-5A142143413C}"/>
            </c:ext>
          </c:extLst>
        </c:ser>
        <c:ser>
          <c:idx val="2"/>
          <c:order val="2"/>
          <c:tx>
            <c:strRef>
              <c:f>'Graf-3-EA-ženy s dětmi'!$A$10</c:f>
              <c:strCache>
                <c:ptCount val="1"/>
                <c:pt idx="0">
                  <c:v>z toho ženy s vyšším sekundárním vzděl. (ISCED 3–4)</c:v>
                </c:pt>
              </c:strCache>
            </c:strRef>
          </c:tx>
          <c:spPr>
            <a:ln w="15875" cap="rnd">
              <a:solidFill>
                <a:schemeClr val="accent6">
                  <a:lumMod val="75000"/>
                </a:schemeClr>
              </a:solidFill>
              <a:round/>
            </a:ln>
            <a:effectLst/>
          </c:spPr>
          <c:marker>
            <c:symbol val="none"/>
          </c:marker>
          <c:cat>
            <c:strRef>
              <c:f>'Graf-3-EA-ženy s dětmi'!$B$7:$O$7</c:f>
              <c:strCache>
                <c:ptCount val="14"/>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strCache>
            </c:strRef>
          </c:cat>
          <c:val>
            <c:numRef>
              <c:f>'Graf-3-EA-ženy s dětmi'!$B$10:$O$10</c:f>
              <c:numCache>
                <c:formatCode>#\ ##0.0</c:formatCode>
                <c:ptCount val="14"/>
                <c:pt idx="0">
                  <c:v>36.5</c:v>
                </c:pt>
                <c:pt idx="1">
                  <c:v>35</c:v>
                </c:pt>
                <c:pt idx="2">
                  <c:v>33.200000000000003</c:v>
                </c:pt>
                <c:pt idx="3">
                  <c:v>33.4</c:v>
                </c:pt>
                <c:pt idx="4">
                  <c:v>34.799999999999997</c:v>
                </c:pt>
                <c:pt idx="5">
                  <c:v>37.1</c:v>
                </c:pt>
                <c:pt idx="6">
                  <c:v>42</c:v>
                </c:pt>
                <c:pt idx="7">
                  <c:v>40.6</c:v>
                </c:pt>
                <c:pt idx="8">
                  <c:v>44.9</c:v>
                </c:pt>
                <c:pt idx="9">
                  <c:v>46.5</c:v>
                </c:pt>
                <c:pt idx="10">
                  <c:v>44.8</c:v>
                </c:pt>
                <c:pt idx="11">
                  <c:v>46.7</c:v>
                </c:pt>
                <c:pt idx="12">
                  <c:v>46</c:v>
                </c:pt>
                <c:pt idx="13">
                  <c:v>46.4</c:v>
                </c:pt>
              </c:numCache>
            </c:numRef>
          </c:val>
          <c:smooth val="0"/>
          <c:extLst>
            <c:ext xmlns:c16="http://schemas.microsoft.com/office/drawing/2014/chart" uri="{C3380CC4-5D6E-409C-BE32-E72D297353CC}">
              <c16:uniqueId val="{00000004-AC6C-4369-AAE8-5A142143413C}"/>
            </c:ext>
          </c:extLst>
        </c:ser>
        <c:ser>
          <c:idx val="3"/>
          <c:order val="3"/>
          <c:tx>
            <c:strRef>
              <c:f>'Graf-3-EA-ženy s dětmi'!$A$11</c:f>
              <c:strCache>
                <c:ptCount val="1"/>
                <c:pt idx="0">
                  <c:v>z toho ženy s terciárním vzděláním (ISCED 5–8)</c:v>
                </c:pt>
              </c:strCache>
            </c:strRef>
          </c:tx>
          <c:spPr>
            <a:ln w="15875" cap="rnd">
              <a:solidFill>
                <a:schemeClr val="accent6">
                  <a:lumMod val="75000"/>
                </a:schemeClr>
              </a:solidFill>
              <a:prstDash val="dash"/>
              <a:round/>
            </a:ln>
            <a:effectLst/>
          </c:spPr>
          <c:marker>
            <c:symbol val="none"/>
          </c:marker>
          <c:cat>
            <c:strRef>
              <c:f>'Graf-3-EA-ženy s dětmi'!$B$7:$O$7</c:f>
              <c:strCache>
                <c:ptCount val="14"/>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strCache>
            </c:strRef>
          </c:cat>
          <c:val>
            <c:numRef>
              <c:f>'Graf-3-EA-ženy s dětmi'!$B$11:$O$11</c:f>
              <c:numCache>
                <c:formatCode>#\ ##0.0</c:formatCode>
                <c:ptCount val="14"/>
                <c:pt idx="0">
                  <c:v>45.5</c:v>
                </c:pt>
                <c:pt idx="1">
                  <c:v>41.6</c:v>
                </c:pt>
                <c:pt idx="2">
                  <c:v>42.8</c:v>
                </c:pt>
                <c:pt idx="3">
                  <c:v>40.9</c:v>
                </c:pt>
                <c:pt idx="4">
                  <c:v>38.700000000000003</c:v>
                </c:pt>
                <c:pt idx="5">
                  <c:v>39.299999999999997</c:v>
                </c:pt>
                <c:pt idx="6">
                  <c:v>43.4</c:v>
                </c:pt>
                <c:pt idx="7">
                  <c:v>44.9</c:v>
                </c:pt>
                <c:pt idx="8">
                  <c:v>45</c:v>
                </c:pt>
                <c:pt idx="9">
                  <c:v>47.5</c:v>
                </c:pt>
                <c:pt idx="10">
                  <c:v>46.8</c:v>
                </c:pt>
                <c:pt idx="11">
                  <c:v>47.7</c:v>
                </c:pt>
                <c:pt idx="12">
                  <c:v>48.3</c:v>
                </c:pt>
                <c:pt idx="13">
                  <c:v>52.9</c:v>
                </c:pt>
              </c:numCache>
            </c:numRef>
          </c:val>
          <c:smooth val="0"/>
          <c:extLst>
            <c:ext xmlns:c16="http://schemas.microsoft.com/office/drawing/2014/chart" uri="{C3380CC4-5D6E-409C-BE32-E72D297353CC}">
              <c16:uniqueId val="{00000005-AC6C-4369-AAE8-5A142143413C}"/>
            </c:ext>
          </c:extLst>
        </c:ser>
        <c:ser>
          <c:idx val="4"/>
          <c:order val="4"/>
          <c:tx>
            <c:strRef>
              <c:f>'Graf-3-EA-ženy s dětmi'!$A$12</c:f>
              <c:strCache>
                <c:ptCount val="1"/>
                <c:pt idx="0">
                  <c:v>Míra zaměstnanosti: všechny ženy, nejml. dítě ve věku 6–11 let </c:v>
                </c:pt>
              </c:strCache>
            </c:strRef>
          </c:tx>
          <c:spPr>
            <a:ln w="19050" cap="rnd">
              <a:solidFill>
                <a:srgbClr val="00B050"/>
              </a:solidFill>
              <a:round/>
            </a:ln>
            <a:effectLst/>
          </c:spPr>
          <c:marker>
            <c:symbol val="none"/>
          </c:marker>
          <c:cat>
            <c:strRef>
              <c:f>'Graf-3-EA-ženy s dětmi'!$B$7:$O$7</c:f>
              <c:strCache>
                <c:ptCount val="14"/>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strCache>
            </c:strRef>
          </c:cat>
          <c:val>
            <c:numRef>
              <c:f>'Graf-3-EA-ženy s dětmi'!$B$12:$O$12</c:f>
              <c:numCache>
                <c:formatCode>#\ ##0.0</c:formatCode>
                <c:ptCount val="14"/>
                <c:pt idx="0">
                  <c:v>80.099999999999994</c:v>
                </c:pt>
                <c:pt idx="1">
                  <c:v>81.5</c:v>
                </c:pt>
                <c:pt idx="2">
                  <c:v>82.9</c:v>
                </c:pt>
                <c:pt idx="3">
                  <c:v>84.9</c:v>
                </c:pt>
                <c:pt idx="4">
                  <c:v>84.8</c:v>
                </c:pt>
                <c:pt idx="5">
                  <c:v>84.8</c:v>
                </c:pt>
                <c:pt idx="6">
                  <c:v>85.8</c:v>
                </c:pt>
                <c:pt idx="7">
                  <c:v>85.8</c:v>
                </c:pt>
                <c:pt idx="8">
                  <c:v>85.4</c:v>
                </c:pt>
                <c:pt idx="9">
                  <c:v>85.2</c:v>
                </c:pt>
                <c:pt idx="10">
                  <c:v>85</c:v>
                </c:pt>
                <c:pt idx="11">
                  <c:v>91.8</c:v>
                </c:pt>
                <c:pt idx="12">
                  <c:v>90</c:v>
                </c:pt>
                <c:pt idx="13">
                  <c:v>92.4</c:v>
                </c:pt>
              </c:numCache>
            </c:numRef>
          </c:val>
          <c:smooth val="0"/>
          <c:extLst>
            <c:ext xmlns:c16="http://schemas.microsoft.com/office/drawing/2014/chart" uri="{C3380CC4-5D6E-409C-BE32-E72D297353CC}">
              <c16:uniqueId val="{00000006-AC6C-4369-AAE8-5A142143413C}"/>
            </c:ext>
          </c:extLst>
        </c:ser>
        <c:ser>
          <c:idx val="5"/>
          <c:order val="5"/>
          <c:tx>
            <c:strRef>
              <c:f>'Graf-3-EA-ženy s dětmi'!$A$13</c:f>
              <c:strCache>
                <c:ptCount val="1"/>
                <c:pt idx="0">
                  <c:v>z toho ženy s primárním a nižším sekundárním vzděláním</c:v>
                </c:pt>
              </c:strCache>
            </c:strRef>
          </c:tx>
          <c:spPr>
            <a:ln w="12700" cap="rnd">
              <a:solidFill>
                <a:srgbClr val="92D050"/>
              </a:solidFill>
              <a:prstDash val="sysDash"/>
              <a:round/>
            </a:ln>
            <a:effectLst/>
          </c:spPr>
          <c:marker>
            <c:symbol val="none"/>
          </c:marker>
          <c:cat>
            <c:strRef>
              <c:f>'Graf-3-EA-ženy s dětmi'!$B$7:$O$7</c:f>
              <c:strCache>
                <c:ptCount val="14"/>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strCache>
            </c:strRef>
          </c:cat>
          <c:val>
            <c:numRef>
              <c:f>'Graf-3-EA-ženy s dětmi'!$B$13:$O$13</c:f>
              <c:numCache>
                <c:formatCode>#\ ##0.0</c:formatCode>
                <c:ptCount val="14"/>
                <c:pt idx="0">
                  <c:v>46.5</c:v>
                </c:pt>
                <c:pt idx="1">
                  <c:v>51.2</c:v>
                </c:pt>
                <c:pt idx="2">
                  <c:v>52.3</c:v>
                </c:pt>
                <c:pt idx="3">
                  <c:v>53.3</c:v>
                </c:pt>
                <c:pt idx="4">
                  <c:v>50.6</c:v>
                </c:pt>
                <c:pt idx="5">
                  <c:v>53.2</c:v>
                </c:pt>
                <c:pt idx="6">
                  <c:v>61.6</c:v>
                </c:pt>
                <c:pt idx="7">
                  <c:v>59.1</c:v>
                </c:pt>
                <c:pt idx="8">
                  <c:v>63.6</c:v>
                </c:pt>
                <c:pt idx="9">
                  <c:v>53.6</c:v>
                </c:pt>
                <c:pt idx="10">
                  <c:v>44.7</c:v>
                </c:pt>
                <c:pt idx="11">
                  <c:v>70.400000000000006</c:v>
                </c:pt>
                <c:pt idx="12">
                  <c:v>63.5</c:v>
                </c:pt>
                <c:pt idx="13">
                  <c:v>63.8</c:v>
                </c:pt>
              </c:numCache>
            </c:numRef>
          </c:val>
          <c:smooth val="0"/>
          <c:extLst>
            <c:ext xmlns:c16="http://schemas.microsoft.com/office/drawing/2014/chart" uri="{C3380CC4-5D6E-409C-BE32-E72D297353CC}">
              <c16:uniqueId val="{00000007-AC6C-4369-AAE8-5A142143413C}"/>
            </c:ext>
          </c:extLst>
        </c:ser>
        <c:ser>
          <c:idx val="6"/>
          <c:order val="6"/>
          <c:tx>
            <c:strRef>
              <c:f>'Graf-3-EA-ženy s dětmi'!$A$14</c:f>
              <c:strCache>
                <c:ptCount val="1"/>
                <c:pt idx="0">
                  <c:v>z toho ženy s vyšším sekundárním vzděláním</c:v>
                </c:pt>
              </c:strCache>
            </c:strRef>
          </c:tx>
          <c:spPr>
            <a:ln w="15875" cap="rnd">
              <a:solidFill>
                <a:srgbClr val="92D050"/>
              </a:solidFill>
              <a:round/>
            </a:ln>
            <a:effectLst/>
          </c:spPr>
          <c:marker>
            <c:symbol val="none"/>
          </c:marker>
          <c:cat>
            <c:strRef>
              <c:f>'Graf-3-EA-ženy s dětmi'!$B$7:$O$7</c:f>
              <c:strCache>
                <c:ptCount val="14"/>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strCache>
            </c:strRef>
          </c:cat>
          <c:val>
            <c:numRef>
              <c:f>'Graf-3-EA-ženy s dětmi'!$B$14:$O$14</c:f>
              <c:numCache>
                <c:formatCode>#\ ##0.0</c:formatCode>
                <c:ptCount val="14"/>
                <c:pt idx="0">
                  <c:v>81.8</c:v>
                </c:pt>
                <c:pt idx="1">
                  <c:v>82.9</c:v>
                </c:pt>
                <c:pt idx="2">
                  <c:v>84.2</c:v>
                </c:pt>
                <c:pt idx="3">
                  <c:v>86.8</c:v>
                </c:pt>
                <c:pt idx="4">
                  <c:v>86.6</c:v>
                </c:pt>
                <c:pt idx="5">
                  <c:v>85.8</c:v>
                </c:pt>
                <c:pt idx="6">
                  <c:v>85.9</c:v>
                </c:pt>
                <c:pt idx="7">
                  <c:v>86.8</c:v>
                </c:pt>
                <c:pt idx="8">
                  <c:v>84.4</c:v>
                </c:pt>
                <c:pt idx="9">
                  <c:v>85.7</c:v>
                </c:pt>
                <c:pt idx="10">
                  <c:v>85.7</c:v>
                </c:pt>
                <c:pt idx="11">
                  <c:v>92</c:v>
                </c:pt>
                <c:pt idx="12">
                  <c:v>91</c:v>
                </c:pt>
                <c:pt idx="13">
                  <c:v>93.2</c:v>
                </c:pt>
              </c:numCache>
            </c:numRef>
          </c:val>
          <c:smooth val="0"/>
          <c:extLst>
            <c:ext xmlns:c16="http://schemas.microsoft.com/office/drawing/2014/chart" uri="{C3380CC4-5D6E-409C-BE32-E72D297353CC}">
              <c16:uniqueId val="{00000008-AC6C-4369-AAE8-5A142143413C}"/>
            </c:ext>
          </c:extLst>
        </c:ser>
        <c:ser>
          <c:idx val="7"/>
          <c:order val="7"/>
          <c:tx>
            <c:strRef>
              <c:f>'Graf-3-EA-ženy s dětmi'!$A$15</c:f>
              <c:strCache>
                <c:ptCount val="1"/>
                <c:pt idx="0">
                  <c:v>z toho ženy s terciárním vzděláním</c:v>
                </c:pt>
              </c:strCache>
            </c:strRef>
          </c:tx>
          <c:spPr>
            <a:ln w="15875" cap="rnd">
              <a:solidFill>
                <a:srgbClr val="92D050"/>
              </a:solidFill>
              <a:prstDash val="dash"/>
              <a:round/>
            </a:ln>
            <a:effectLst/>
          </c:spPr>
          <c:marker>
            <c:symbol val="none"/>
          </c:marker>
          <c:cat>
            <c:strRef>
              <c:f>'Graf-3-EA-ženy s dětmi'!$B$7:$O$7</c:f>
              <c:strCache>
                <c:ptCount val="14"/>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strCache>
            </c:strRef>
          </c:cat>
          <c:val>
            <c:numRef>
              <c:f>'Graf-3-EA-ženy s dětmi'!$B$15:$O$15</c:f>
              <c:numCache>
                <c:formatCode>#\ ##0.0</c:formatCode>
                <c:ptCount val="14"/>
                <c:pt idx="0">
                  <c:v>96</c:v>
                </c:pt>
                <c:pt idx="1">
                  <c:v>95.7</c:v>
                </c:pt>
                <c:pt idx="2">
                  <c:v>95.8</c:v>
                </c:pt>
                <c:pt idx="3">
                  <c:v>94.4</c:v>
                </c:pt>
                <c:pt idx="4">
                  <c:v>95.4</c:v>
                </c:pt>
                <c:pt idx="5">
                  <c:v>94.9</c:v>
                </c:pt>
                <c:pt idx="6">
                  <c:v>95.4</c:v>
                </c:pt>
                <c:pt idx="7">
                  <c:v>93.3</c:v>
                </c:pt>
                <c:pt idx="8">
                  <c:v>95.9</c:v>
                </c:pt>
                <c:pt idx="9">
                  <c:v>94.3</c:v>
                </c:pt>
                <c:pt idx="10">
                  <c:v>92.2</c:v>
                </c:pt>
                <c:pt idx="11">
                  <c:v>96.7</c:v>
                </c:pt>
                <c:pt idx="12">
                  <c:v>94</c:v>
                </c:pt>
                <c:pt idx="13">
                  <c:v>97</c:v>
                </c:pt>
              </c:numCache>
            </c:numRef>
          </c:val>
          <c:smooth val="0"/>
          <c:extLst>
            <c:ext xmlns:c16="http://schemas.microsoft.com/office/drawing/2014/chart" uri="{C3380CC4-5D6E-409C-BE32-E72D297353CC}">
              <c16:uniqueId val="{00000009-AC6C-4369-AAE8-5A142143413C}"/>
            </c:ext>
          </c:extLst>
        </c:ser>
        <c:dLbls>
          <c:showLegendKey val="0"/>
          <c:showVal val="0"/>
          <c:showCatName val="0"/>
          <c:showSerName val="0"/>
          <c:showPercent val="0"/>
          <c:showBubbleSize val="0"/>
        </c:dLbls>
        <c:marker val="1"/>
        <c:smooth val="0"/>
        <c:axId val="151240064"/>
        <c:axId val="148845696"/>
      </c:lineChart>
      <c:catAx>
        <c:axId val="151240064"/>
        <c:scaling>
          <c:orientation val="minMax"/>
        </c:scaling>
        <c:delete val="0"/>
        <c:axPos val="b"/>
        <c:numFmt formatCode="General" sourceLinked="1"/>
        <c:majorTickMark val="none"/>
        <c:minorTickMark val="none"/>
        <c:tickLblPos val="nextTo"/>
        <c:spPr>
          <a:noFill/>
          <a:ln w="6350" cap="flat" cmpd="sng" algn="ctr">
            <a:solidFill>
              <a:schemeClr val="tx1">
                <a:lumMod val="95000"/>
                <a:lumOff val="5000"/>
              </a:schemeClr>
            </a:solidFill>
            <a:round/>
          </a:ln>
          <a:effectLst/>
        </c:spPr>
        <c:txPr>
          <a:bodyPr rot="-1800000" spcFirstLastPara="1" vertOverflow="ellipsis"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cs-CZ"/>
          </a:p>
        </c:txPr>
        <c:crossAx val="148845696"/>
        <c:crosses val="autoZero"/>
        <c:auto val="1"/>
        <c:lblAlgn val="ctr"/>
        <c:lblOffset val="0"/>
        <c:noMultiLvlLbl val="0"/>
      </c:catAx>
      <c:valAx>
        <c:axId val="148845696"/>
        <c:scaling>
          <c:orientation val="minMax"/>
          <c:max val="10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cs-CZ"/>
          </a:p>
        </c:txPr>
        <c:crossAx val="151240064"/>
        <c:crosses val="autoZero"/>
        <c:crossBetween val="between"/>
        <c:majorUnit val="10"/>
      </c:valAx>
      <c:spPr>
        <a:noFill/>
        <a:ln w="6350">
          <a:solidFill>
            <a:schemeClr val="tx1">
              <a:lumMod val="95000"/>
              <a:lumOff val="5000"/>
            </a:schemeClr>
          </a:solidFill>
        </a:ln>
        <a:effectLst/>
      </c:spPr>
    </c:plotArea>
    <c:legend>
      <c:legendPos val="b"/>
      <c:layout>
        <c:manualLayout>
          <c:xMode val="edge"/>
          <c:yMode val="edge"/>
          <c:x val="5.6429633205414734E-2"/>
          <c:y val="0.69167377719220124"/>
          <c:w val="0.93162726077736313"/>
          <c:h val="0.29949296369273748"/>
        </c:manualLayout>
      </c:layout>
      <c:overlay val="0"/>
      <c:spPr>
        <a:noFill/>
        <a:ln w="6350">
          <a:solidFill>
            <a:schemeClr val="tx1">
              <a:lumMod val="95000"/>
              <a:lumOff val="5000"/>
            </a:schemeClr>
          </a:solid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cs-CZ"/>
        </a:p>
      </c:txPr>
    </c:legend>
    <c:plotVisOnly val="1"/>
    <c:dispBlanksAs val="gap"/>
    <c:showDLblsOverMax val="0"/>
  </c:chart>
  <c:spPr>
    <a:solidFill>
      <a:schemeClr val="bg1"/>
    </a:solidFill>
    <a:ln w="9525" cap="flat" cmpd="sng" algn="ctr">
      <a:noFill/>
      <a:round/>
    </a:ln>
    <a:effectLst/>
  </c:spPr>
  <c:txPr>
    <a:bodyPr/>
    <a:lstStyle/>
    <a:p>
      <a:pPr>
        <a:defRPr/>
      </a:pPr>
      <a:endParaRPr lang="cs-CZ"/>
    </a:p>
  </c:txPr>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3525063584250089E-2"/>
          <c:y val="1.9021834627399627E-2"/>
          <c:w val="0.8899201055690884"/>
          <c:h val="0.68275056216154428"/>
        </c:manualLayout>
      </c:layout>
      <c:barChart>
        <c:barDir val="col"/>
        <c:grouping val="clustered"/>
        <c:varyColors val="0"/>
        <c:ser>
          <c:idx val="7"/>
          <c:order val="7"/>
          <c:tx>
            <c:strRef>
              <c:f>'GRAF-9-Odvětví vs. kombinace'!$B$10</c:f>
              <c:strCache>
                <c:ptCount val="1"/>
                <c:pt idx="0">
                  <c:v>VŠ/SŠ bez mat.(2018)</c:v>
                </c:pt>
              </c:strCache>
            </c:strRef>
          </c:tx>
          <c:spPr>
            <a:solidFill>
              <a:schemeClr val="bg1">
                <a:lumMod val="85000"/>
              </a:schemeClr>
            </a:solidFill>
            <a:ln>
              <a:noFill/>
            </a:ln>
            <a:effectLst/>
          </c:spPr>
          <c:invertIfNegative val="0"/>
          <c:cat>
            <c:strRef>
              <c:f>'GRAF-9-Odvětví vs. kombinace'!$C$2:$U$2</c:f>
              <c:strCache>
                <c:ptCount val="19"/>
                <c:pt idx="0">
                  <c:v>Zemědělství (A)</c:v>
                </c:pt>
                <c:pt idx="1">
                  <c:v>Těžba  
a dobývání (B)</c:v>
                </c:pt>
                <c:pt idx="2">
                  <c:v>Zpracovatelský 
průmysl (C)</c:v>
                </c:pt>
                <c:pt idx="3">
                  <c:v>Energetika (D)</c:v>
                </c:pt>
                <c:pt idx="4">
                  <c:v>Odpady, 
zásob. vodou (E)</c:v>
                </c:pt>
                <c:pt idx="5">
                  <c:v>Stavebnictví (F)</c:v>
                </c:pt>
                <c:pt idx="6">
                  <c:v>Obchod (G)</c:v>
                </c:pt>
                <c:pt idx="7">
                  <c:v>Doprava a 
skladování (H)</c:v>
                </c:pt>
                <c:pt idx="8">
                  <c:v>Ubytování, stravo-
vání a pohost. (I)</c:v>
                </c:pt>
                <c:pt idx="9">
                  <c:v>Informační a 
komunikač. čin. (J)</c:v>
                </c:pt>
                <c:pt idx="10">
                  <c:v>Peněžnictví,
pojišťovnictví (K)</c:v>
                </c:pt>
                <c:pt idx="11">
                  <c:v>Činnosti v oblasti 
nemovitostí (L)</c:v>
                </c:pt>
                <c:pt idx="12">
                  <c:v>Profesní, vědecké
a technické čin. (M)</c:v>
                </c:pt>
                <c:pt idx="13">
                  <c:v>Administrativní
a podpůr. čin. (N)</c:v>
                </c:pt>
                <c:pt idx="14">
                  <c:v>Veř.správa,obrana,
soc.zabezpeč. (O)</c:v>
                </c:pt>
                <c:pt idx="15">
                  <c:v>Vzdělávání (P)</c:v>
                </c:pt>
                <c:pt idx="16">
                  <c:v>Zdravotní a 
sociální péče (Q)</c:v>
                </c:pt>
                <c:pt idx="17">
                  <c:v>Kulturní, zábavní 
a rekreač. čin. (R)</c:v>
                </c:pt>
                <c:pt idx="18">
                  <c:v>Ost. činnosti (S)</c:v>
                </c:pt>
              </c:strCache>
            </c:strRef>
          </c:cat>
          <c:val>
            <c:numRef>
              <c:f>'GRAF-9-Odvětví vs. kombinace'!$C$10:$U$10</c:f>
              <c:numCache>
                <c:formatCode>0.00</c:formatCode>
                <c:ptCount val="19"/>
                <c:pt idx="0">
                  <c:v>1.4303782364872928</c:v>
                </c:pt>
                <c:pt idx="1">
                  <c:v>1.9302251084772417</c:v>
                </c:pt>
                <c:pt idx="2">
                  <c:v>1.9762678583519535</c:v>
                </c:pt>
                <c:pt idx="3">
                  <c:v>1.9993801070724149</c:v>
                </c:pt>
                <c:pt idx="4">
                  <c:v>1.7960293419948177</c:v>
                </c:pt>
                <c:pt idx="5">
                  <c:v>1.7970172684458399</c:v>
                </c:pt>
                <c:pt idx="6">
                  <c:v>2.1889960993635804</c:v>
                </c:pt>
                <c:pt idx="7">
                  <c:v>2.0883234654875213</c:v>
                </c:pt>
                <c:pt idx="8">
                  <c:v>1.8526670859299068</c:v>
                </c:pt>
                <c:pt idx="9">
                  <c:v>2.3305005353319057</c:v>
                </c:pt>
                <c:pt idx="10">
                  <c:v>2.8208562712577581</c:v>
                </c:pt>
                <c:pt idx="11">
                  <c:v>1.4882588058955784</c:v>
                </c:pt>
                <c:pt idx="12">
                  <c:v>1.8928422883502856</c:v>
                </c:pt>
                <c:pt idx="13">
                  <c:v>1.8431542020438254</c:v>
                </c:pt>
                <c:pt idx="14">
                  <c:v>1.9552086729703293</c:v>
                </c:pt>
                <c:pt idx="15">
                  <c:v>2.0972488472099893</c:v>
                </c:pt>
                <c:pt idx="16">
                  <c:v>2.3717863382976954</c:v>
                </c:pt>
                <c:pt idx="17">
                  <c:v>1.5872045813923672</c:v>
                </c:pt>
                <c:pt idx="18">
                  <c:v>1.6165922511882471</c:v>
                </c:pt>
              </c:numCache>
            </c:numRef>
          </c:val>
          <c:extLst>
            <c:ext xmlns:c16="http://schemas.microsoft.com/office/drawing/2014/chart" uri="{C3380CC4-5D6E-409C-BE32-E72D297353CC}">
              <c16:uniqueId val="{00000000-DD4C-4C79-BE76-13EB703E9BF6}"/>
            </c:ext>
          </c:extLst>
        </c:ser>
        <c:ser>
          <c:idx val="8"/>
          <c:order val="8"/>
          <c:tx>
            <c:strRef>
              <c:f>'GRAF-9-Odvětví vs. kombinace'!$B$11</c:f>
              <c:strCache>
                <c:ptCount val="1"/>
                <c:pt idx="0">
                  <c:v>VŠ/SŠ bez mat.(2012)</c:v>
                </c:pt>
              </c:strCache>
            </c:strRef>
          </c:tx>
          <c:spPr>
            <a:solidFill>
              <a:schemeClr val="bg1">
                <a:lumMod val="75000"/>
              </a:schemeClr>
            </a:solidFill>
            <a:ln>
              <a:noFill/>
            </a:ln>
            <a:effectLst/>
          </c:spPr>
          <c:invertIfNegative val="0"/>
          <c:cat>
            <c:strRef>
              <c:f>'GRAF-9-Odvětví vs. kombinace'!$C$2:$U$2</c:f>
              <c:strCache>
                <c:ptCount val="19"/>
                <c:pt idx="0">
                  <c:v>Zemědělství (A)</c:v>
                </c:pt>
                <c:pt idx="1">
                  <c:v>Těžba  
a dobývání (B)</c:v>
                </c:pt>
                <c:pt idx="2">
                  <c:v>Zpracovatelský 
průmysl (C)</c:v>
                </c:pt>
                <c:pt idx="3">
                  <c:v>Energetika (D)</c:v>
                </c:pt>
                <c:pt idx="4">
                  <c:v>Odpady, 
zásob. vodou (E)</c:v>
                </c:pt>
                <c:pt idx="5">
                  <c:v>Stavebnictví (F)</c:v>
                </c:pt>
                <c:pt idx="6">
                  <c:v>Obchod (G)</c:v>
                </c:pt>
                <c:pt idx="7">
                  <c:v>Doprava a 
skladování (H)</c:v>
                </c:pt>
                <c:pt idx="8">
                  <c:v>Ubytování, stravo-
vání a pohost. (I)</c:v>
                </c:pt>
                <c:pt idx="9">
                  <c:v>Informační a 
komunikač. čin. (J)</c:v>
                </c:pt>
                <c:pt idx="10">
                  <c:v>Peněžnictví,
pojišťovnictví (K)</c:v>
                </c:pt>
                <c:pt idx="11">
                  <c:v>Činnosti v oblasti 
nemovitostí (L)</c:v>
                </c:pt>
                <c:pt idx="12">
                  <c:v>Profesní, vědecké
a technické čin. (M)</c:v>
                </c:pt>
                <c:pt idx="13">
                  <c:v>Administrativní
a podpůr. čin. (N)</c:v>
                </c:pt>
                <c:pt idx="14">
                  <c:v>Veř.správa,obrana,
soc.zabezpeč. (O)</c:v>
                </c:pt>
                <c:pt idx="15">
                  <c:v>Vzdělávání (P)</c:v>
                </c:pt>
                <c:pt idx="16">
                  <c:v>Zdravotní a 
sociální péče (Q)</c:v>
                </c:pt>
                <c:pt idx="17">
                  <c:v>Kulturní, zábavní 
a rekreač. čin. (R)</c:v>
                </c:pt>
                <c:pt idx="18">
                  <c:v>Ost. činnosti (S)</c:v>
                </c:pt>
              </c:strCache>
            </c:strRef>
          </c:cat>
          <c:val>
            <c:numRef>
              <c:f>'GRAF-9-Odvětví vs. kombinace'!$C$11:$U$11</c:f>
              <c:numCache>
                <c:formatCode>0.00</c:formatCode>
                <c:ptCount val="19"/>
                <c:pt idx="0">
                  <c:v>1.6024876644736843</c:v>
                </c:pt>
                <c:pt idx="1">
                  <c:v>2.2287104622871046</c:v>
                </c:pt>
                <c:pt idx="2">
                  <c:v>2.3122844133744191</c:v>
                </c:pt>
                <c:pt idx="3">
                  <c:v>2.4230651575405324</c:v>
                </c:pt>
                <c:pt idx="4">
                  <c:v>2.0039395624768259</c:v>
                </c:pt>
                <c:pt idx="5">
                  <c:v>2.1061733261073066</c:v>
                </c:pt>
                <c:pt idx="6">
                  <c:v>2.664928436702541</c:v>
                </c:pt>
                <c:pt idx="7">
                  <c:v>2.3629960654782143</c:v>
                </c:pt>
                <c:pt idx="8">
                  <c:v>2.2578985448991076</c:v>
                </c:pt>
                <c:pt idx="9">
                  <c:v>2.2671558377371404</c:v>
                </c:pt>
                <c:pt idx="10">
                  <c:v>3.0416884377099351</c:v>
                </c:pt>
                <c:pt idx="11">
                  <c:v>1.5942560175054705</c:v>
                </c:pt>
                <c:pt idx="12">
                  <c:v>1.9860172672672673</c:v>
                </c:pt>
                <c:pt idx="13">
                  <c:v>2.1224679551039385</c:v>
                </c:pt>
                <c:pt idx="14">
                  <c:v>1.9498744130173638</c:v>
                </c:pt>
                <c:pt idx="15">
                  <c:v>2.2022908859506471</c:v>
                </c:pt>
                <c:pt idx="16">
                  <c:v>2.7315207648640571</c:v>
                </c:pt>
                <c:pt idx="17">
                  <c:v>1.548119086083545</c:v>
                </c:pt>
                <c:pt idx="18">
                  <c:v>1.6266602847911931</c:v>
                </c:pt>
              </c:numCache>
            </c:numRef>
          </c:val>
          <c:extLst>
            <c:ext xmlns:c16="http://schemas.microsoft.com/office/drawing/2014/chart" uri="{C3380CC4-5D6E-409C-BE32-E72D297353CC}">
              <c16:uniqueId val="{00000001-DD4C-4C79-BE76-13EB703E9BF6}"/>
            </c:ext>
          </c:extLst>
        </c:ser>
        <c:dLbls>
          <c:showLegendKey val="0"/>
          <c:showVal val="0"/>
          <c:showCatName val="0"/>
          <c:showSerName val="0"/>
          <c:showPercent val="0"/>
          <c:showBubbleSize val="0"/>
        </c:dLbls>
        <c:gapWidth val="56"/>
        <c:axId val="120452608"/>
        <c:axId val="120451072"/>
      </c:barChart>
      <c:lineChart>
        <c:grouping val="standard"/>
        <c:varyColors val="0"/>
        <c:ser>
          <c:idx val="0"/>
          <c:order val="0"/>
          <c:tx>
            <c:strRef>
              <c:f>'GRAF-9-Odvětví vs. kombinace'!$B$3</c:f>
              <c:strCache>
                <c:ptCount val="1"/>
                <c:pt idx="0">
                  <c:v>tř.2</c:v>
                </c:pt>
              </c:strCache>
            </c:strRef>
          </c:tx>
          <c:spPr>
            <a:ln w="28575" cap="rnd">
              <a:noFill/>
              <a:round/>
            </a:ln>
            <a:effectLst/>
          </c:spPr>
          <c:marker>
            <c:symbol val="circle"/>
            <c:size val="4"/>
            <c:spPr>
              <a:solidFill>
                <a:srgbClr val="BD1B21"/>
              </a:solidFill>
              <a:ln w="9525">
                <a:noFill/>
              </a:ln>
              <a:effectLst/>
            </c:spPr>
          </c:marker>
          <c:cat>
            <c:strRef>
              <c:f>'GRAF-9-Odvětví vs. kombinace'!$C$2:$U$2</c:f>
              <c:strCache>
                <c:ptCount val="19"/>
                <c:pt idx="0">
                  <c:v>Zemědělství (A)</c:v>
                </c:pt>
                <c:pt idx="1">
                  <c:v>Těžba  
a dobývání (B)</c:v>
                </c:pt>
                <c:pt idx="2">
                  <c:v>Zpracovatelský 
průmysl (C)</c:v>
                </c:pt>
                <c:pt idx="3">
                  <c:v>Energetika (D)</c:v>
                </c:pt>
                <c:pt idx="4">
                  <c:v>Odpady, 
zásob. vodou (E)</c:v>
                </c:pt>
                <c:pt idx="5">
                  <c:v>Stavebnictví (F)</c:v>
                </c:pt>
                <c:pt idx="6">
                  <c:v>Obchod (G)</c:v>
                </c:pt>
                <c:pt idx="7">
                  <c:v>Doprava a 
skladování (H)</c:v>
                </c:pt>
                <c:pt idx="8">
                  <c:v>Ubytování, stravo-
vání a pohost. (I)</c:v>
                </c:pt>
                <c:pt idx="9">
                  <c:v>Informační a 
komunikač. čin. (J)</c:v>
                </c:pt>
                <c:pt idx="10">
                  <c:v>Peněžnictví,
pojišťovnictví (K)</c:v>
                </c:pt>
                <c:pt idx="11">
                  <c:v>Činnosti v oblasti 
nemovitostí (L)</c:v>
                </c:pt>
                <c:pt idx="12">
                  <c:v>Profesní, vědecké
a technické čin. (M)</c:v>
                </c:pt>
                <c:pt idx="13">
                  <c:v>Administrativní
a podpůr. čin. (N)</c:v>
                </c:pt>
                <c:pt idx="14">
                  <c:v>Veř.správa,obrana,
soc.zabezpeč. (O)</c:v>
                </c:pt>
                <c:pt idx="15">
                  <c:v>Vzdělávání (P)</c:v>
                </c:pt>
                <c:pt idx="16">
                  <c:v>Zdravotní a 
sociální péče (Q)</c:v>
                </c:pt>
                <c:pt idx="17">
                  <c:v>Kulturní, zábavní 
a rekreač. čin. (R)</c:v>
                </c:pt>
                <c:pt idx="18">
                  <c:v>Ost. činnosti (S)</c:v>
                </c:pt>
              </c:strCache>
            </c:strRef>
          </c:cat>
          <c:val>
            <c:numRef>
              <c:f>'GRAF-9-Odvětví vs. kombinace'!$C$3:$U$3</c:f>
              <c:numCache>
                <c:formatCode>#,##0</c:formatCode>
                <c:ptCount val="19"/>
                <c:pt idx="0">
                  <c:v>35955</c:v>
                </c:pt>
                <c:pt idx="1">
                  <c:v>59838</c:v>
                </c:pt>
                <c:pt idx="2">
                  <c:v>51890</c:v>
                </c:pt>
                <c:pt idx="3">
                  <c:v>63874</c:v>
                </c:pt>
                <c:pt idx="4">
                  <c:v>42914</c:v>
                </c:pt>
                <c:pt idx="5">
                  <c:v>45581</c:v>
                </c:pt>
                <c:pt idx="6">
                  <c:v>55829</c:v>
                </c:pt>
                <c:pt idx="7">
                  <c:v>44405</c:v>
                </c:pt>
                <c:pt idx="9">
                  <c:v>63607</c:v>
                </c:pt>
                <c:pt idx="10">
                  <c:v>63851</c:v>
                </c:pt>
                <c:pt idx="12">
                  <c:v>48311</c:v>
                </c:pt>
                <c:pt idx="13">
                  <c:v>41239</c:v>
                </c:pt>
                <c:pt idx="14">
                  <c:v>42489</c:v>
                </c:pt>
                <c:pt idx="15">
                  <c:v>36794</c:v>
                </c:pt>
                <c:pt idx="16">
                  <c:v>50466</c:v>
                </c:pt>
                <c:pt idx="17">
                  <c:v>35066</c:v>
                </c:pt>
                <c:pt idx="18">
                  <c:v>31806</c:v>
                </c:pt>
              </c:numCache>
            </c:numRef>
          </c:val>
          <c:smooth val="0"/>
          <c:extLst>
            <c:ext xmlns:c16="http://schemas.microsoft.com/office/drawing/2014/chart" uri="{C3380CC4-5D6E-409C-BE32-E72D297353CC}">
              <c16:uniqueId val="{00000002-DD4C-4C79-BE76-13EB703E9BF6}"/>
            </c:ext>
          </c:extLst>
        </c:ser>
        <c:ser>
          <c:idx val="1"/>
          <c:order val="1"/>
          <c:tx>
            <c:strRef>
              <c:f>'GRAF-9-Odvětví vs. kombinace'!$B$4</c:f>
              <c:strCache>
                <c:ptCount val="1"/>
                <c:pt idx="0">
                  <c:v>tř.3</c:v>
                </c:pt>
              </c:strCache>
            </c:strRef>
          </c:tx>
          <c:spPr>
            <a:ln w="28575" cap="rnd">
              <a:noFill/>
              <a:round/>
            </a:ln>
            <a:effectLst/>
          </c:spPr>
          <c:marker>
            <c:symbol val="circle"/>
            <c:size val="4"/>
            <c:spPr>
              <a:solidFill>
                <a:schemeClr val="accent6">
                  <a:lumMod val="75000"/>
                </a:schemeClr>
              </a:solidFill>
              <a:ln w="9525">
                <a:noFill/>
              </a:ln>
              <a:effectLst/>
            </c:spPr>
          </c:marker>
          <c:cat>
            <c:strRef>
              <c:f>'GRAF-9-Odvětví vs. kombinace'!$C$2:$U$2</c:f>
              <c:strCache>
                <c:ptCount val="19"/>
                <c:pt idx="0">
                  <c:v>Zemědělství (A)</c:v>
                </c:pt>
                <c:pt idx="1">
                  <c:v>Těžba  
a dobývání (B)</c:v>
                </c:pt>
                <c:pt idx="2">
                  <c:v>Zpracovatelský 
průmysl (C)</c:v>
                </c:pt>
                <c:pt idx="3">
                  <c:v>Energetika (D)</c:v>
                </c:pt>
                <c:pt idx="4">
                  <c:v>Odpady, 
zásob. vodou (E)</c:v>
                </c:pt>
                <c:pt idx="5">
                  <c:v>Stavebnictví (F)</c:v>
                </c:pt>
                <c:pt idx="6">
                  <c:v>Obchod (G)</c:v>
                </c:pt>
                <c:pt idx="7">
                  <c:v>Doprava a 
skladování (H)</c:v>
                </c:pt>
                <c:pt idx="8">
                  <c:v>Ubytování, stravo-
vání a pohost. (I)</c:v>
                </c:pt>
                <c:pt idx="9">
                  <c:v>Informační a 
komunikač. čin. (J)</c:v>
                </c:pt>
                <c:pt idx="10">
                  <c:v>Peněžnictví,
pojišťovnictví (K)</c:v>
                </c:pt>
                <c:pt idx="11">
                  <c:v>Činnosti v oblasti 
nemovitostí (L)</c:v>
                </c:pt>
                <c:pt idx="12">
                  <c:v>Profesní, vědecké
a technické čin. (M)</c:v>
                </c:pt>
                <c:pt idx="13">
                  <c:v>Administrativní
a podpůr. čin. (N)</c:v>
                </c:pt>
                <c:pt idx="14">
                  <c:v>Veř.správa,obrana,
soc.zabezpeč. (O)</c:v>
                </c:pt>
                <c:pt idx="15">
                  <c:v>Vzdělávání (P)</c:v>
                </c:pt>
                <c:pt idx="16">
                  <c:v>Zdravotní a 
sociální péče (Q)</c:v>
                </c:pt>
                <c:pt idx="17">
                  <c:v>Kulturní, zábavní 
a rekreač. čin. (R)</c:v>
                </c:pt>
                <c:pt idx="18">
                  <c:v>Ost. činnosti (S)</c:v>
                </c:pt>
              </c:strCache>
            </c:strRef>
          </c:cat>
          <c:val>
            <c:numRef>
              <c:f>'GRAF-9-Odvětví vs. kombinace'!$C$4:$U$4</c:f>
              <c:numCache>
                <c:formatCode>#,##0</c:formatCode>
                <c:ptCount val="19"/>
                <c:pt idx="0">
                  <c:v>31139</c:v>
                </c:pt>
                <c:pt idx="1">
                  <c:v>44972</c:v>
                </c:pt>
                <c:pt idx="2">
                  <c:v>38562</c:v>
                </c:pt>
                <c:pt idx="3">
                  <c:v>45575</c:v>
                </c:pt>
                <c:pt idx="4">
                  <c:v>34197</c:v>
                </c:pt>
                <c:pt idx="5">
                  <c:v>33816</c:v>
                </c:pt>
                <c:pt idx="6">
                  <c:v>36932</c:v>
                </c:pt>
                <c:pt idx="7">
                  <c:v>43769</c:v>
                </c:pt>
                <c:pt idx="8">
                  <c:v>29141</c:v>
                </c:pt>
                <c:pt idx="9">
                  <c:v>47118</c:v>
                </c:pt>
                <c:pt idx="10">
                  <c:v>45713</c:v>
                </c:pt>
                <c:pt idx="11">
                  <c:v>31609</c:v>
                </c:pt>
                <c:pt idx="12">
                  <c:v>33355</c:v>
                </c:pt>
                <c:pt idx="13">
                  <c:v>33869</c:v>
                </c:pt>
                <c:pt idx="14">
                  <c:v>38000</c:v>
                </c:pt>
                <c:pt idx="15">
                  <c:v>32964</c:v>
                </c:pt>
                <c:pt idx="16">
                  <c:v>32508.000000000004</c:v>
                </c:pt>
                <c:pt idx="17">
                  <c:v>30944</c:v>
                </c:pt>
                <c:pt idx="18">
                  <c:v>29475</c:v>
                </c:pt>
              </c:numCache>
            </c:numRef>
          </c:val>
          <c:smooth val="0"/>
          <c:extLst>
            <c:ext xmlns:c16="http://schemas.microsoft.com/office/drawing/2014/chart" uri="{C3380CC4-5D6E-409C-BE32-E72D297353CC}">
              <c16:uniqueId val="{00000003-DD4C-4C79-BE76-13EB703E9BF6}"/>
            </c:ext>
          </c:extLst>
        </c:ser>
        <c:ser>
          <c:idx val="2"/>
          <c:order val="2"/>
          <c:tx>
            <c:strRef>
              <c:f>'GRAF-9-Odvětví vs. kombinace'!$B$5</c:f>
              <c:strCache>
                <c:ptCount val="1"/>
                <c:pt idx="0">
                  <c:v>tř.4</c:v>
                </c:pt>
              </c:strCache>
            </c:strRef>
          </c:tx>
          <c:spPr>
            <a:ln w="28575" cap="rnd">
              <a:noFill/>
              <a:round/>
            </a:ln>
            <a:effectLst/>
          </c:spPr>
          <c:marker>
            <c:symbol val="circle"/>
            <c:size val="4"/>
            <c:spPr>
              <a:solidFill>
                <a:srgbClr val="FFFF00"/>
              </a:solidFill>
              <a:ln w="3175">
                <a:solidFill>
                  <a:schemeClr val="tx1">
                    <a:lumMod val="95000"/>
                    <a:lumOff val="5000"/>
                  </a:schemeClr>
                </a:solidFill>
              </a:ln>
              <a:effectLst/>
            </c:spPr>
          </c:marker>
          <c:cat>
            <c:strRef>
              <c:f>'GRAF-9-Odvětví vs. kombinace'!$C$2:$U$2</c:f>
              <c:strCache>
                <c:ptCount val="19"/>
                <c:pt idx="0">
                  <c:v>Zemědělství (A)</c:v>
                </c:pt>
                <c:pt idx="1">
                  <c:v>Těžba  
a dobývání (B)</c:v>
                </c:pt>
                <c:pt idx="2">
                  <c:v>Zpracovatelský 
průmysl (C)</c:v>
                </c:pt>
                <c:pt idx="3">
                  <c:v>Energetika (D)</c:v>
                </c:pt>
                <c:pt idx="4">
                  <c:v>Odpady, 
zásob. vodou (E)</c:v>
                </c:pt>
                <c:pt idx="5">
                  <c:v>Stavebnictví (F)</c:v>
                </c:pt>
                <c:pt idx="6">
                  <c:v>Obchod (G)</c:v>
                </c:pt>
                <c:pt idx="7">
                  <c:v>Doprava a 
skladování (H)</c:v>
                </c:pt>
                <c:pt idx="8">
                  <c:v>Ubytování, stravo-
vání a pohost. (I)</c:v>
                </c:pt>
                <c:pt idx="9">
                  <c:v>Informační a 
komunikač. čin. (J)</c:v>
                </c:pt>
                <c:pt idx="10">
                  <c:v>Peněžnictví,
pojišťovnictví (K)</c:v>
                </c:pt>
                <c:pt idx="11">
                  <c:v>Činnosti v oblasti 
nemovitostí (L)</c:v>
                </c:pt>
                <c:pt idx="12">
                  <c:v>Profesní, vědecké
a technické čin. (M)</c:v>
                </c:pt>
                <c:pt idx="13">
                  <c:v>Administrativní
a podpůr. čin. (N)</c:v>
                </c:pt>
                <c:pt idx="14">
                  <c:v>Veř.správa,obrana,
soc.zabezpeč. (O)</c:v>
                </c:pt>
                <c:pt idx="15">
                  <c:v>Vzdělávání (P)</c:v>
                </c:pt>
                <c:pt idx="16">
                  <c:v>Zdravotní a 
sociální péče (Q)</c:v>
                </c:pt>
                <c:pt idx="17">
                  <c:v>Kulturní, zábavní 
a rekreač. čin. (R)</c:v>
                </c:pt>
                <c:pt idx="18">
                  <c:v>Ost. činnosti (S)</c:v>
                </c:pt>
              </c:strCache>
            </c:strRef>
          </c:cat>
          <c:val>
            <c:numRef>
              <c:f>'GRAF-9-Odvětví vs. kombinace'!$C$5:$U$5</c:f>
              <c:numCache>
                <c:formatCode>#,##0</c:formatCode>
                <c:ptCount val="19"/>
                <c:pt idx="0">
                  <c:v>23479</c:v>
                </c:pt>
                <c:pt idx="1">
                  <c:v>29865</c:v>
                </c:pt>
                <c:pt idx="2">
                  <c:v>29589</c:v>
                </c:pt>
                <c:pt idx="3">
                  <c:v>31811</c:v>
                </c:pt>
                <c:pt idx="4">
                  <c:v>26676</c:v>
                </c:pt>
                <c:pt idx="5">
                  <c:v>24000</c:v>
                </c:pt>
                <c:pt idx="6">
                  <c:v>26500</c:v>
                </c:pt>
                <c:pt idx="7">
                  <c:v>28600</c:v>
                </c:pt>
                <c:pt idx="8">
                  <c:v>21891</c:v>
                </c:pt>
                <c:pt idx="9">
                  <c:v>31000</c:v>
                </c:pt>
                <c:pt idx="10">
                  <c:v>31010</c:v>
                </c:pt>
                <c:pt idx="11">
                  <c:v>26300</c:v>
                </c:pt>
                <c:pt idx="12">
                  <c:v>27059</c:v>
                </c:pt>
                <c:pt idx="13">
                  <c:v>25294</c:v>
                </c:pt>
                <c:pt idx="14">
                  <c:v>31940</c:v>
                </c:pt>
                <c:pt idx="15">
                  <c:v>28773</c:v>
                </c:pt>
                <c:pt idx="16">
                  <c:v>26827</c:v>
                </c:pt>
                <c:pt idx="17">
                  <c:v>26901</c:v>
                </c:pt>
                <c:pt idx="18">
                  <c:v>21800</c:v>
                </c:pt>
              </c:numCache>
            </c:numRef>
          </c:val>
          <c:smooth val="0"/>
          <c:extLst>
            <c:ext xmlns:c16="http://schemas.microsoft.com/office/drawing/2014/chart" uri="{C3380CC4-5D6E-409C-BE32-E72D297353CC}">
              <c16:uniqueId val="{00000004-DD4C-4C79-BE76-13EB703E9BF6}"/>
            </c:ext>
          </c:extLst>
        </c:ser>
        <c:ser>
          <c:idx val="3"/>
          <c:order val="3"/>
          <c:tx>
            <c:strRef>
              <c:f>'GRAF-9-Odvětví vs. kombinace'!$B$6</c:f>
              <c:strCache>
                <c:ptCount val="1"/>
                <c:pt idx="0">
                  <c:v>tř.5</c:v>
                </c:pt>
              </c:strCache>
            </c:strRef>
          </c:tx>
          <c:spPr>
            <a:ln w="28575" cap="rnd">
              <a:noFill/>
              <a:round/>
            </a:ln>
            <a:effectLst/>
          </c:spPr>
          <c:marker>
            <c:symbol val="circle"/>
            <c:size val="4"/>
            <c:spPr>
              <a:solidFill>
                <a:srgbClr val="92D050"/>
              </a:solidFill>
              <a:ln w="9525">
                <a:noFill/>
              </a:ln>
              <a:effectLst/>
            </c:spPr>
          </c:marker>
          <c:cat>
            <c:strRef>
              <c:f>'GRAF-9-Odvětví vs. kombinace'!$C$2:$U$2</c:f>
              <c:strCache>
                <c:ptCount val="19"/>
                <c:pt idx="0">
                  <c:v>Zemědělství (A)</c:v>
                </c:pt>
                <c:pt idx="1">
                  <c:v>Těžba  
a dobývání (B)</c:v>
                </c:pt>
                <c:pt idx="2">
                  <c:v>Zpracovatelský 
průmysl (C)</c:v>
                </c:pt>
                <c:pt idx="3">
                  <c:v>Energetika (D)</c:v>
                </c:pt>
                <c:pt idx="4">
                  <c:v>Odpady, 
zásob. vodou (E)</c:v>
                </c:pt>
                <c:pt idx="5">
                  <c:v>Stavebnictví (F)</c:v>
                </c:pt>
                <c:pt idx="6">
                  <c:v>Obchod (G)</c:v>
                </c:pt>
                <c:pt idx="7">
                  <c:v>Doprava a 
skladování (H)</c:v>
                </c:pt>
                <c:pt idx="8">
                  <c:v>Ubytování, stravo-
vání a pohost. (I)</c:v>
                </c:pt>
                <c:pt idx="9">
                  <c:v>Informační a 
komunikač. čin. (J)</c:v>
                </c:pt>
                <c:pt idx="10">
                  <c:v>Peněžnictví,
pojišťovnictví (K)</c:v>
                </c:pt>
                <c:pt idx="11">
                  <c:v>Činnosti v oblasti 
nemovitostí (L)</c:v>
                </c:pt>
                <c:pt idx="12">
                  <c:v>Profesní, vědecké
a technické čin. (M)</c:v>
                </c:pt>
                <c:pt idx="13">
                  <c:v>Administrativní
a podpůr. čin. (N)</c:v>
                </c:pt>
                <c:pt idx="14">
                  <c:v>Veř.správa,obrana,
soc.zabezpeč. (O)</c:v>
                </c:pt>
                <c:pt idx="15">
                  <c:v>Vzdělávání (P)</c:v>
                </c:pt>
                <c:pt idx="16">
                  <c:v>Zdravotní a 
sociální péče (Q)</c:v>
                </c:pt>
                <c:pt idx="17">
                  <c:v>Kulturní, zábavní 
a rekreač. čin. (R)</c:v>
                </c:pt>
                <c:pt idx="18">
                  <c:v>Ost. činnosti (S)</c:v>
                </c:pt>
              </c:strCache>
            </c:strRef>
          </c:cat>
          <c:val>
            <c:numRef>
              <c:f>'GRAF-9-Odvětví vs. kombinace'!$C$6:$U$6</c:f>
              <c:numCache>
                <c:formatCode>#,##0</c:formatCode>
                <c:ptCount val="19"/>
                <c:pt idx="0">
                  <c:v>18251</c:v>
                </c:pt>
                <c:pt idx="1">
                  <c:v>28860</c:v>
                </c:pt>
                <c:pt idx="2">
                  <c:v>22021</c:v>
                </c:pt>
                <c:pt idx="3">
                  <c:v>38420</c:v>
                </c:pt>
                <c:pt idx="5">
                  <c:v>17090</c:v>
                </c:pt>
                <c:pt idx="6">
                  <c:v>23833</c:v>
                </c:pt>
                <c:pt idx="7">
                  <c:v>29958</c:v>
                </c:pt>
                <c:pt idx="8">
                  <c:v>18000</c:v>
                </c:pt>
                <c:pt idx="9">
                  <c:v>31600</c:v>
                </c:pt>
                <c:pt idx="11">
                  <c:v>24866</c:v>
                </c:pt>
                <c:pt idx="12">
                  <c:v>19872</c:v>
                </c:pt>
                <c:pt idx="13">
                  <c:v>17500</c:v>
                </c:pt>
                <c:pt idx="14">
                  <c:v>37400</c:v>
                </c:pt>
                <c:pt idx="15">
                  <c:v>21072</c:v>
                </c:pt>
                <c:pt idx="16">
                  <c:v>25519</c:v>
                </c:pt>
                <c:pt idx="17">
                  <c:v>22915</c:v>
                </c:pt>
                <c:pt idx="18">
                  <c:v>21300</c:v>
                </c:pt>
              </c:numCache>
            </c:numRef>
          </c:val>
          <c:smooth val="0"/>
          <c:extLst>
            <c:ext xmlns:c16="http://schemas.microsoft.com/office/drawing/2014/chart" uri="{C3380CC4-5D6E-409C-BE32-E72D297353CC}">
              <c16:uniqueId val="{00000005-DD4C-4C79-BE76-13EB703E9BF6}"/>
            </c:ext>
          </c:extLst>
        </c:ser>
        <c:ser>
          <c:idx val="4"/>
          <c:order val="4"/>
          <c:tx>
            <c:strRef>
              <c:f>'GRAF-9-Odvětví vs. kombinace'!$B$7</c:f>
              <c:strCache>
                <c:ptCount val="1"/>
                <c:pt idx="0">
                  <c:v>tř.7</c:v>
                </c:pt>
              </c:strCache>
            </c:strRef>
          </c:tx>
          <c:spPr>
            <a:ln w="28575" cap="rnd">
              <a:noFill/>
              <a:round/>
            </a:ln>
            <a:effectLst/>
          </c:spPr>
          <c:marker>
            <c:symbol val="circle"/>
            <c:size val="4"/>
            <c:spPr>
              <a:solidFill>
                <a:srgbClr val="009E47"/>
              </a:solidFill>
              <a:ln w="9525">
                <a:noFill/>
              </a:ln>
              <a:effectLst/>
            </c:spPr>
          </c:marker>
          <c:cat>
            <c:strRef>
              <c:f>'GRAF-9-Odvětví vs. kombinace'!$C$2:$U$2</c:f>
              <c:strCache>
                <c:ptCount val="19"/>
                <c:pt idx="0">
                  <c:v>Zemědělství (A)</c:v>
                </c:pt>
                <c:pt idx="1">
                  <c:v>Těžba  
a dobývání (B)</c:v>
                </c:pt>
                <c:pt idx="2">
                  <c:v>Zpracovatelský 
průmysl (C)</c:v>
                </c:pt>
                <c:pt idx="3">
                  <c:v>Energetika (D)</c:v>
                </c:pt>
                <c:pt idx="4">
                  <c:v>Odpady, 
zásob. vodou (E)</c:v>
                </c:pt>
                <c:pt idx="5">
                  <c:v>Stavebnictví (F)</c:v>
                </c:pt>
                <c:pt idx="6">
                  <c:v>Obchod (G)</c:v>
                </c:pt>
                <c:pt idx="7">
                  <c:v>Doprava a 
skladování (H)</c:v>
                </c:pt>
                <c:pt idx="8">
                  <c:v>Ubytování, stravo-
vání a pohost. (I)</c:v>
                </c:pt>
                <c:pt idx="9">
                  <c:v>Informační a 
komunikač. čin. (J)</c:v>
                </c:pt>
                <c:pt idx="10">
                  <c:v>Peněžnictví,
pojišťovnictví (K)</c:v>
                </c:pt>
                <c:pt idx="11">
                  <c:v>Činnosti v oblasti 
nemovitostí (L)</c:v>
                </c:pt>
                <c:pt idx="12">
                  <c:v>Profesní, vědecké
a technické čin. (M)</c:v>
                </c:pt>
                <c:pt idx="13">
                  <c:v>Administrativní
a podpůr. čin. (N)</c:v>
                </c:pt>
                <c:pt idx="14">
                  <c:v>Veř.správa,obrana,
soc.zabezpeč. (O)</c:v>
                </c:pt>
                <c:pt idx="15">
                  <c:v>Vzdělávání (P)</c:v>
                </c:pt>
                <c:pt idx="16">
                  <c:v>Zdravotní a 
sociální péče (Q)</c:v>
                </c:pt>
                <c:pt idx="17">
                  <c:v>Kulturní, zábavní 
a rekreač. čin. (R)</c:v>
                </c:pt>
                <c:pt idx="18">
                  <c:v>Ost. činnosti (S)</c:v>
                </c:pt>
              </c:strCache>
            </c:strRef>
          </c:cat>
          <c:val>
            <c:numRef>
              <c:f>'GRAF-9-Odvětví vs. kombinace'!$C$7:$U$7</c:f>
              <c:numCache>
                <c:formatCode>#,##0</c:formatCode>
                <c:ptCount val="19"/>
                <c:pt idx="0">
                  <c:v>25236</c:v>
                </c:pt>
                <c:pt idx="1">
                  <c:v>35300</c:v>
                </c:pt>
                <c:pt idx="2">
                  <c:v>30408</c:v>
                </c:pt>
                <c:pt idx="3">
                  <c:v>37729</c:v>
                </c:pt>
                <c:pt idx="4">
                  <c:v>28700</c:v>
                </c:pt>
                <c:pt idx="5">
                  <c:v>24600</c:v>
                </c:pt>
                <c:pt idx="6">
                  <c:v>26200</c:v>
                </c:pt>
                <c:pt idx="7">
                  <c:v>29000</c:v>
                </c:pt>
                <c:pt idx="8">
                  <c:v>17400</c:v>
                </c:pt>
                <c:pt idx="9">
                  <c:v>34566</c:v>
                </c:pt>
                <c:pt idx="11">
                  <c:v>25700</c:v>
                </c:pt>
                <c:pt idx="12">
                  <c:v>29679</c:v>
                </c:pt>
                <c:pt idx="13">
                  <c:v>22530</c:v>
                </c:pt>
                <c:pt idx="14">
                  <c:v>25962</c:v>
                </c:pt>
                <c:pt idx="15">
                  <c:v>25000</c:v>
                </c:pt>
                <c:pt idx="16">
                  <c:v>26242</c:v>
                </c:pt>
                <c:pt idx="17">
                  <c:v>26267</c:v>
                </c:pt>
                <c:pt idx="18">
                  <c:v>22300</c:v>
                </c:pt>
              </c:numCache>
            </c:numRef>
          </c:val>
          <c:smooth val="0"/>
          <c:extLst>
            <c:ext xmlns:c16="http://schemas.microsoft.com/office/drawing/2014/chart" uri="{C3380CC4-5D6E-409C-BE32-E72D297353CC}">
              <c16:uniqueId val="{00000006-DD4C-4C79-BE76-13EB703E9BF6}"/>
            </c:ext>
          </c:extLst>
        </c:ser>
        <c:ser>
          <c:idx val="5"/>
          <c:order val="5"/>
          <c:tx>
            <c:strRef>
              <c:f>'GRAF-9-Odvětví vs. kombinace'!$B$8</c:f>
              <c:strCache>
                <c:ptCount val="1"/>
                <c:pt idx="0">
                  <c:v>tř.8</c:v>
                </c:pt>
              </c:strCache>
            </c:strRef>
          </c:tx>
          <c:spPr>
            <a:ln w="28575" cap="rnd">
              <a:noFill/>
              <a:round/>
            </a:ln>
            <a:effectLst/>
          </c:spPr>
          <c:marker>
            <c:symbol val="circle"/>
            <c:size val="4"/>
            <c:spPr>
              <a:solidFill>
                <a:srgbClr val="71C6FF"/>
              </a:solidFill>
              <a:ln w="9525">
                <a:noFill/>
              </a:ln>
              <a:effectLst/>
            </c:spPr>
          </c:marker>
          <c:cat>
            <c:strRef>
              <c:f>'GRAF-9-Odvětví vs. kombinace'!$C$2:$U$2</c:f>
              <c:strCache>
                <c:ptCount val="19"/>
                <c:pt idx="0">
                  <c:v>Zemědělství (A)</c:v>
                </c:pt>
                <c:pt idx="1">
                  <c:v>Těžba  
a dobývání (B)</c:v>
                </c:pt>
                <c:pt idx="2">
                  <c:v>Zpracovatelský 
průmysl (C)</c:v>
                </c:pt>
                <c:pt idx="3">
                  <c:v>Energetika (D)</c:v>
                </c:pt>
                <c:pt idx="4">
                  <c:v>Odpady, 
zásob. vodou (E)</c:v>
                </c:pt>
                <c:pt idx="5">
                  <c:v>Stavebnictví (F)</c:v>
                </c:pt>
                <c:pt idx="6">
                  <c:v>Obchod (G)</c:v>
                </c:pt>
                <c:pt idx="7">
                  <c:v>Doprava a 
skladování (H)</c:v>
                </c:pt>
                <c:pt idx="8">
                  <c:v>Ubytování, stravo-
vání a pohost. (I)</c:v>
                </c:pt>
                <c:pt idx="9">
                  <c:v>Informační a 
komunikač. čin. (J)</c:v>
                </c:pt>
                <c:pt idx="10">
                  <c:v>Peněžnictví,
pojišťovnictví (K)</c:v>
                </c:pt>
                <c:pt idx="11">
                  <c:v>Činnosti v oblasti 
nemovitostí (L)</c:v>
                </c:pt>
                <c:pt idx="12">
                  <c:v>Profesní, vědecké
a technické čin. (M)</c:v>
                </c:pt>
                <c:pt idx="13">
                  <c:v>Administrativní
a podpůr. čin. (N)</c:v>
                </c:pt>
                <c:pt idx="14">
                  <c:v>Veř.správa,obrana,
soc.zabezpeč. (O)</c:v>
                </c:pt>
                <c:pt idx="15">
                  <c:v>Vzdělávání (P)</c:v>
                </c:pt>
                <c:pt idx="16">
                  <c:v>Zdravotní a 
sociální péče (Q)</c:v>
                </c:pt>
                <c:pt idx="17">
                  <c:v>Kulturní, zábavní 
a rekreač. čin. (R)</c:v>
                </c:pt>
                <c:pt idx="18">
                  <c:v>Ost. činnosti (S)</c:v>
                </c:pt>
              </c:strCache>
            </c:strRef>
          </c:cat>
          <c:val>
            <c:numRef>
              <c:f>'GRAF-9-Odvětví vs. kombinace'!$C$8:$U$8</c:f>
              <c:numCache>
                <c:formatCode>#,##0</c:formatCode>
                <c:ptCount val="19"/>
                <c:pt idx="0">
                  <c:v>26719</c:v>
                </c:pt>
                <c:pt idx="1">
                  <c:v>34800</c:v>
                </c:pt>
                <c:pt idx="2">
                  <c:v>28974</c:v>
                </c:pt>
                <c:pt idx="3">
                  <c:v>35978</c:v>
                </c:pt>
                <c:pt idx="4">
                  <c:v>29400</c:v>
                </c:pt>
                <c:pt idx="5">
                  <c:v>28220</c:v>
                </c:pt>
                <c:pt idx="6">
                  <c:v>25600</c:v>
                </c:pt>
                <c:pt idx="7">
                  <c:v>27562</c:v>
                </c:pt>
                <c:pt idx="8">
                  <c:v>20765</c:v>
                </c:pt>
                <c:pt idx="12">
                  <c:v>23807</c:v>
                </c:pt>
                <c:pt idx="13">
                  <c:v>24327</c:v>
                </c:pt>
                <c:pt idx="14">
                  <c:v>26968</c:v>
                </c:pt>
                <c:pt idx="15">
                  <c:v>24400</c:v>
                </c:pt>
                <c:pt idx="16">
                  <c:v>24286</c:v>
                </c:pt>
                <c:pt idx="18">
                  <c:v>19976</c:v>
                </c:pt>
              </c:numCache>
            </c:numRef>
          </c:val>
          <c:smooth val="0"/>
          <c:extLst>
            <c:ext xmlns:c16="http://schemas.microsoft.com/office/drawing/2014/chart" uri="{C3380CC4-5D6E-409C-BE32-E72D297353CC}">
              <c16:uniqueId val="{00000007-DD4C-4C79-BE76-13EB703E9BF6}"/>
            </c:ext>
          </c:extLst>
        </c:ser>
        <c:ser>
          <c:idx val="6"/>
          <c:order val="6"/>
          <c:tx>
            <c:strRef>
              <c:f>'GRAF-9-Odvětví vs. kombinace'!$B$9</c:f>
              <c:strCache>
                <c:ptCount val="1"/>
                <c:pt idx="0">
                  <c:v>tř.9</c:v>
                </c:pt>
              </c:strCache>
            </c:strRef>
          </c:tx>
          <c:spPr>
            <a:ln w="28575" cap="rnd">
              <a:noFill/>
              <a:round/>
            </a:ln>
            <a:effectLst/>
          </c:spPr>
          <c:marker>
            <c:symbol val="circle"/>
            <c:size val="4"/>
            <c:spPr>
              <a:solidFill>
                <a:srgbClr val="0071BC"/>
              </a:solidFill>
              <a:ln w="9525">
                <a:noFill/>
              </a:ln>
              <a:effectLst/>
            </c:spPr>
          </c:marker>
          <c:cat>
            <c:strRef>
              <c:f>'GRAF-9-Odvětví vs. kombinace'!$C$2:$U$2</c:f>
              <c:strCache>
                <c:ptCount val="19"/>
                <c:pt idx="0">
                  <c:v>Zemědělství (A)</c:v>
                </c:pt>
                <c:pt idx="1">
                  <c:v>Těžba  
a dobývání (B)</c:v>
                </c:pt>
                <c:pt idx="2">
                  <c:v>Zpracovatelský 
průmysl (C)</c:v>
                </c:pt>
                <c:pt idx="3">
                  <c:v>Energetika (D)</c:v>
                </c:pt>
                <c:pt idx="4">
                  <c:v>Odpady, 
zásob. vodou (E)</c:v>
                </c:pt>
                <c:pt idx="5">
                  <c:v>Stavebnictví (F)</c:v>
                </c:pt>
                <c:pt idx="6">
                  <c:v>Obchod (G)</c:v>
                </c:pt>
                <c:pt idx="7">
                  <c:v>Doprava a 
skladování (H)</c:v>
                </c:pt>
                <c:pt idx="8">
                  <c:v>Ubytování, stravo-
vání a pohost. (I)</c:v>
                </c:pt>
                <c:pt idx="9">
                  <c:v>Informační a 
komunikač. čin. (J)</c:v>
                </c:pt>
                <c:pt idx="10">
                  <c:v>Peněžnictví,
pojišťovnictví (K)</c:v>
                </c:pt>
                <c:pt idx="11">
                  <c:v>Činnosti v oblasti 
nemovitostí (L)</c:v>
                </c:pt>
                <c:pt idx="12">
                  <c:v>Profesní, vědecké
a technické čin. (M)</c:v>
                </c:pt>
                <c:pt idx="13">
                  <c:v>Administrativní
a podpůr. čin. (N)</c:v>
                </c:pt>
                <c:pt idx="14">
                  <c:v>Veř.správa,obrana,
soc.zabezpeč. (O)</c:v>
                </c:pt>
                <c:pt idx="15">
                  <c:v>Vzdělávání (P)</c:v>
                </c:pt>
                <c:pt idx="16">
                  <c:v>Zdravotní a 
sociální péče (Q)</c:v>
                </c:pt>
                <c:pt idx="17">
                  <c:v>Kulturní, zábavní 
a rekreač. čin. (R)</c:v>
                </c:pt>
                <c:pt idx="18">
                  <c:v>Ost. činnosti (S)</c:v>
                </c:pt>
              </c:strCache>
            </c:strRef>
          </c:cat>
          <c:val>
            <c:numRef>
              <c:f>'GRAF-9-Odvětví vs. kombinace'!$C$9:$U$9</c:f>
              <c:numCache>
                <c:formatCode>#,##0</c:formatCode>
                <c:ptCount val="19"/>
                <c:pt idx="0">
                  <c:v>20318</c:v>
                </c:pt>
                <c:pt idx="1">
                  <c:v>27156</c:v>
                </c:pt>
                <c:pt idx="2">
                  <c:v>23138</c:v>
                </c:pt>
                <c:pt idx="3">
                  <c:v>20441</c:v>
                </c:pt>
                <c:pt idx="4">
                  <c:v>21592</c:v>
                </c:pt>
                <c:pt idx="5">
                  <c:v>21470</c:v>
                </c:pt>
                <c:pt idx="6">
                  <c:v>21773</c:v>
                </c:pt>
                <c:pt idx="7">
                  <c:v>20289</c:v>
                </c:pt>
                <c:pt idx="8">
                  <c:v>16472</c:v>
                </c:pt>
                <c:pt idx="11">
                  <c:v>16430</c:v>
                </c:pt>
                <c:pt idx="12">
                  <c:v>17858</c:v>
                </c:pt>
                <c:pt idx="13">
                  <c:v>16769</c:v>
                </c:pt>
                <c:pt idx="14">
                  <c:v>17768</c:v>
                </c:pt>
                <c:pt idx="15">
                  <c:v>16417</c:v>
                </c:pt>
                <c:pt idx="16">
                  <c:v>18227</c:v>
                </c:pt>
                <c:pt idx="17">
                  <c:v>18630</c:v>
                </c:pt>
                <c:pt idx="18">
                  <c:v>17554</c:v>
                </c:pt>
              </c:numCache>
            </c:numRef>
          </c:val>
          <c:smooth val="0"/>
          <c:extLst>
            <c:ext xmlns:c16="http://schemas.microsoft.com/office/drawing/2014/chart" uri="{C3380CC4-5D6E-409C-BE32-E72D297353CC}">
              <c16:uniqueId val="{00000008-DD4C-4C79-BE76-13EB703E9BF6}"/>
            </c:ext>
          </c:extLst>
        </c:ser>
        <c:ser>
          <c:idx val="9"/>
          <c:order val="9"/>
          <c:tx>
            <c:strRef>
              <c:f>'GRAF-9-Odvětví vs. kombinace'!$B$12</c:f>
              <c:strCache>
                <c:ptCount val="1"/>
                <c:pt idx="0">
                  <c:v>celkem</c:v>
                </c:pt>
              </c:strCache>
            </c:strRef>
          </c:tx>
          <c:spPr>
            <a:ln w="25400" cap="rnd">
              <a:noFill/>
              <a:round/>
            </a:ln>
            <a:effectLst/>
          </c:spPr>
          <c:marker>
            <c:symbol val="dash"/>
            <c:size val="5"/>
            <c:spPr>
              <a:solidFill>
                <a:schemeClr val="accent4">
                  <a:lumMod val="60000"/>
                </a:schemeClr>
              </a:solidFill>
              <a:ln w="9525">
                <a:noFill/>
              </a:ln>
              <a:effectLst/>
            </c:spPr>
          </c:marker>
          <c:cat>
            <c:strRef>
              <c:f>'GRAF-9-Odvětví vs. kombinace'!$C$2:$U$2</c:f>
              <c:strCache>
                <c:ptCount val="19"/>
                <c:pt idx="0">
                  <c:v>Zemědělství (A)</c:v>
                </c:pt>
                <c:pt idx="1">
                  <c:v>Těžba  
a dobývání (B)</c:v>
                </c:pt>
                <c:pt idx="2">
                  <c:v>Zpracovatelský 
průmysl (C)</c:v>
                </c:pt>
                <c:pt idx="3">
                  <c:v>Energetika (D)</c:v>
                </c:pt>
                <c:pt idx="4">
                  <c:v>Odpady, 
zásob. vodou (E)</c:v>
                </c:pt>
                <c:pt idx="5">
                  <c:v>Stavebnictví (F)</c:v>
                </c:pt>
                <c:pt idx="6">
                  <c:v>Obchod (G)</c:v>
                </c:pt>
                <c:pt idx="7">
                  <c:v>Doprava a 
skladování (H)</c:v>
                </c:pt>
                <c:pt idx="8">
                  <c:v>Ubytování, stravo-
vání a pohost. (I)</c:v>
                </c:pt>
                <c:pt idx="9">
                  <c:v>Informační a 
komunikač. čin. (J)</c:v>
                </c:pt>
                <c:pt idx="10">
                  <c:v>Peněžnictví,
pojišťovnictví (K)</c:v>
                </c:pt>
                <c:pt idx="11">
                  <c:v>Činnosti v oblasti 
nemovitostí (L)</c:v>
                </c:pt>
                <c:pt idx="12">
                  <c:v>Profesní, vědecké
a technické čin. (M)</c:v>
                </c:pt>
                <c:pt idx="13">
                  <c:v>Administrativní
a podpůr. čin. (N)</c:v>
                </c:pt>
                <c:pt idx="14">
                  <c:v>Veř.správa,obrana,
soc.zabezpeč. (O)</c:v>
                </c:pt>
                <c:pt idx="15">
                  <c:v>Vzdělávání (P)</c:v>
                </c:pt>
                <c:pt idx="16">
                  <c:v>Zdravotní a 
sociální péče (Q)</c:v>
                </c:pt>
                <c:pt idx="17">
                  <c:v>Kulturní, zábavní 
a rekreač. čin. (R)</c:v>
                </c:pt>
                <c:pt idx="18">
                  <c:v>Ost. činnosti (S)</c:v>
                </c:pt>
              </c:strCache>
            </c:strRef>
          </c:cat>
          <c:val>
            <c:numRef>
              <c:f>'GRAF-9-Odvětví vs. kombinace'!$C$12:$U$12</c:f>
              <c:numCache>
                <c:formatCode>#,##0</c:formatCode>
                <c:ptCount val="19"/>
                <c:pt idx="0">
                  <c:v>26910</c:v>
                </c:pt>
                <c:pt idx="1">
                  <c:v>38157</c:v>
                </c:pt>
                <c:pt idx="2">
                  <c:v>33984</c:v>
                </c:pt>
                <c:pt idx="3">
                  <c:v>47528</c:v>
                </c:pt>
                <c:pt idx="4">
                  <c:v>30265</c:v>
                </c:pt>
                <c:pt idx="5">
                  <c:v>29612</c:v>
                </c:pt>
                <c:pt idx="6">
                  <c:v>31246</c:v>
                </c:pt>
                <c:pt idx="7">
                  <c:v>31200</c:v>
                </c:pt>
                <c:pt idx="8">
                  <c:v>19511</c:v>
                </c:pt>
                <c:pt idx="9">
                  <c:v>56557</c:v>
                </c:pt>
                <c:pt idx="10">
                  <c:v>56589</c:v>
                </c:pt>
                <c:pt idx="11">
                  <c:v>29218</c:v>
                </c:pt>
                <c:pt idx="12">
                  <c:v>39725</c:v>
                </c:pt>
                <c:pt idx="13">
                  <c:v>22834</c:v>
                </c:pt>
                <c:pt idx="14">
                  <c:v>37856</c:v>
                </c:pt>
                <c:pt idx="15">
                  <c:v>33263</c:v>
                </c:pt>
                <c:pt idx="16">
                  <c:v>35065</c:v>
                </c:pt>
                <c:pt idx="17">
                  <c:v>29156</c:v>
                </c:pt>
                <c:pt idx="18">
                  <c:v>26169</c:v>
                </c:pt>
              </c:numCache>
            </c:numRef>
          </c:val>
          <c:smooth val="0"/>
          <c:extLst>
            <c:ext xmlns:c16="http://schemas.microsoft.com/office/drawing/2014/chart" uri="{C3380CC4-5D6E-409C-BE32-E72D297353CC}">
              <c16:uniqueId val="{00000009-DD4C-4C79-BE76-13EB703E9BF6}"/>
            </c:ext>
          </c:extLst>
        </c:ser>
        <c:dLbls>
          <c:showLegendKey val="0"/>
          <c:showVal val="0"/>
          <c:showCatName val="0"/>
          <c:showSerName val="0"/>
          <c:showPercent val="0"/>
          <c:showBubbleSize val="0"/>
        </c:dLbls>
        <c:marker val="1"/>
        <c:smooth val="0"/>
        <c:axId val="120439168"/>
        <c:axId val="120441088"/>
      </c:lineChart>
      <c:catAx>
        <c:axId val="120439168"/>
        <c:scaling>
          <c:orientation val="minMax"/>
        </c:scaling>
        <c:delete val="0"/>
        <c:axPos val="b"/>
        <c:numFmt formatCode="General" sourceLinked="1"/>
        <c:majorTickMark val="none"/>
        <c:minorTickMark val="none"/>
        <c:tickLblPos val="nextTo"/>
        <c:spPr>
          <a:noFill/>
          <a:ln w="6350" cap="flat" cmpd="sng" algn="ctr">
            <a:solidFill>
              <a:schemeClr val="tx1">
                <a:lumMod val="95000"/>
                <a:lumOff val="5000"/>
              </a:schemeClr>
            </a:solidFill>
            <a:round/>
          </a:ln>
          <a:effectLst/>
        </c:spPr>
        <c:txPr>
          <a:bodyPr rot="-5400000" spcFirstLastPara="1" vertOverflow="ellipsis" wrap="square" anchor="ctr" anchorCtr="1"/>
          <a:lstStyle/>
          <a:p>
            <a:pPr>
              <a:defRPr sz="7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cs-CZ"/>
          </a:p>
        </c:txPr>
        <c:crossAx val="120441088"/>
        <c:crosses val="autoZero"/>
        <c:auto val="1"/>
        <c:lblAlgn val="ctr"/>
        <c:lblOffset val="0"/>
        <c:noMultiLvlLbl val="0"/>
      </c:catAx>
      <c:valAx>
        <c:axId val="120441088"/>
        <c:scaling>
          <c:orientation val="minMax"/>
          <c:max val="65000"/>
          <c:min val="0"/>
        </c:scaling>
        <c:delete val="0"/>
        <c:axPos val="l"/>
        <c:majorGridlines>
          <c:spPr>
            <a:ln w="9525" cap="flat" cmpd="sng" algn="ctr">
              <a:solidFill>
                <a:srgbClr val="D9D9D9"/>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cs-CZ"/>
          </a:p>
        </c:txPr>
        <c:crossAx val="120439168"/>
        <c:crosses val="autoZero"/>
        <c:crossBetween val="between"/>
        <c:majorUnit val="5000"/>
        <c:minorUnit val="1"/>
      </c:valAx>
      <c:valAx>
        <c:axId val="120451072"/>
        <c:scaling>
          <c:orientation val="minMax"/>
          <c:max val="13"/>
        </c:scaling>
        <c:delete val="0"/>
        <c:axPos val="r"/>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20452608"/>
        <c:crosses val="max"/>
        <c:crossBetween val="between"/>
        <c:majorUnit val="1"/>
      </c:valAx>
      <c:catAx>
        <c:axId val="120452608"/>
        <c:scaling>
          <c:orientation val="minMax"/>
        </c:scaling>
        <c:delete val="1"/>
        <c:axPos val="b"/>
        <c:numFmt formatCode="General" sourceLinked="1"/>
        <c:majorTickMark val="out"/>
        <c:minorTickMark val="none"/>
        <c:tickLblPos val="nextTo"/>
        <c:crossAx val="120451072"/>
        <c:crosses val="autoZero"/>
        <c:auto val="1"/>
        <c:lblAlgn val="ctr"/>
        <c:lblOffset val="100"/>
        <c:noMultiLvlLbl val="0"/>
      </c:catAx>
      <c:spPr>
        <a:noFill/>
        <a:ln w="6350">
          <a:solidFill>
            <a:schemeClr val="tx1">
              <a:lumMod val="95000"/>
              <a:lumOff val="5000"/>
            </a:schemeClr>
          </a:solidFill>
        </a:ln>
        <a:effectLst/>
      </c:spPr>
    </c:plotArea>
    <c:legend>
      <c:legendPos val="b"/>
      <c:layout>
        <c:manualLayout>
          <c:xMode val="edge"/>
          <c:yMode val="edge"/>
          <c:x val="4.8226484453513477E-2"/>
          <c:y val="0.93301619574665096"/>
          <c:w val="0.91523345968624947"/>
          <c:h val="5.1468613097239997E-2"/>
        </c:manualLayout>
      </c:layout>
      <c:overlay val="0"/>
      <c:spPr>
        <a:noFill/>
        <a:ln w="6350">
          <a:solidFill>
            <a:schemeClr val="tx1">
              <a:lumMod val="95000"/>
              <a:lumOff val="5000"/>
            </a:schemeClr>
          </a:solid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cs-CZ"/>
        </a:p>
      </c:txPr>
    </c:legend>
    <c:plotVisOnly val="1"/>
    <c:dispBlanksAs val="gap"/>
    <c:showDLblsOverMax val="0"/>
  </c:chart>
  <c:spPr>
    <a:solidFill>
      <a:schemeClr val="bg1"/>
    </a:solidFill>
    <a:ln w="9525" cap="flat" cmpd="sng" algn="ctr">
      <a:noFill/>
      <a:round/>
    </a:ln>
    <a:effectLst/>
  </c:spPr>
  <c:txPr>
    <a:bodyPr/>
    <a:lstStyle/>
    <a:p>
      <a:pPr>
        <a:defRPr/>
      </a:pPr>
      <a:endParaRPr lang="cs-CZ"/>
    </a:p>
  </c:txPr>
  <c:externalData r:id="rId3">
    <c:autoUpdate val="0"/>
  </c:externalData>
  <c:userShapes r:id="rId4"/>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7788402881737458E-2"/>
          <c:y val="1.7240232458063474E-2"/>
          <c:w val="0.90431595676555143"/>
          <c:h val="0.70236815634040095"/>
        </c:manualLayout>
      </c:layout>
      <c:barChart>
        <c:barDir val="col"/>
        <c:grouping val="stacked"/>
        <c:varyColors val="0"/>
        <c:ser>
          <c:idx val="0"/>
          <c:order val="0"/>
          <c:tx>
            <c:strRef>
              <c:f>'GRAF-5'!$D$68</c:f>
              <c:strCache>
                <c:ptCount val="1"/>
              </c:strCache>
            </c:strRef>
          </c:tx>
          <c:spPr>
            <a:noFill/>
            <a:ln>
              <a:noFill/>
            </a:ln>
            <a:effectLst/>
          </c:spPr>
          <c:invertIfNegative val="0"/>
          <c:dLbls>
            <c:dLbl>
              <c:idx val="0"/>
              <c:tx>
                <c:rich>
                  <a:bodyPr/>
                  <a:lstStyle/>
                  <a:p>
                    <a:r>
                      <a:rPr lang="en-US"/>
                      <a:t>KVK</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E51-4C90-86AB-E6AF041A4924}"/>
                </c:ext>
              </c:extLst>
            </c:dLbl>
            <c:dLbl>
              <c:idx val="1"/>
              <c:layout>
                <c:manualLayout>
                  <c:x val="0"/>
                  <c:y val="0"/>
                </c:manualLayout>
              </c:layout>
              <c:tx>
                <c:rich>
                  <a:bodyPr/>
                  <a:lstStyle/>
                  <a:p>
                    <a:r>
                      <a:rPr lang="en-US"/>
                      <a:t>ZLK</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E51-4C90-86AB-E6AF041A4924}"/>
                </c:ext>
              </c:extLst>
            </c:dLbl>
            <c:dLbl>
              <c:idx val="2"/>
              <c:layout>
                <c:manualLayout>
                  <c:x val="2.5355212769764861E-2"/>
                  <c:y val="-1.3776647879424633E-2"/>
                </c:manualLayout>
              </c:layout>
              <c:tx>
                <c:rich>
                  <a:bodyPr/>
                  <a:lstStyle/>
                  <a:p>
                    <a:r>
                      <a:rPr lang="en-US"/>
                      <a:t>KVK</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E51-4C90-86AB-E6AF041A4924}"/>
                </c:ext>
              </c:extLst>
            </c:dLbl>
            <c:dLbl>
              <c:idx val="3"/>
              <c:layout>
                <c:manualLayout>
                  <c:x val="0"/>
                  <c:y val="-3.7886122505875468E-2"/>
                </c:manualLayout>
              </c:layout>
              <c:tx>
                <c:rich>
                  <a:bodyPr/>
                  <a:lstStyle/>
                  <a:p>
                    <a:r>
                      <a:rPr lang="en-US"/>
                      <a:t>KVK</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E51-4C90-86AB-E6AF041A4924}"/>
                </c:ext>
              </c:extLst>
            </c:dLbl>
            <c:dLbl>
              <c:idx val="4"/>
              <c:layout>
                <c:manualLayout>
                  <c:x val="-2.5252777445992519E-3"/>
                  <c:y val="-2.0665971319364682E-2"/>
                </c:manualLayout>
              </c:layout>
              <c:tx>
                <c:rich>
                  <a:bodyPr/>
                  <a:lstStyle/>
                  <a:p>
                    <a:r>
                      <a:rPr lang="en-US"/>
                      <a:t>JHČ</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E51-4C90-86AB-E6AF041A4924}"/>
                </c:ext>
              </c:extLst>
            </c:dLbl>
            <c:dLbl>
              <c:idx val="5"/>
              <c:layout>
                <c:manualLayout>
                  <c:x val="-2.786738468973847E-6"/>
                  <c:y val="-4.477590891314466E-2"/>
                </c:manualLayout>
              </c:layout>
              <c:tx>
                <c:rich>
                  <a:bodyPr/>
                  <a:lstStyle/>
                  <a:p>
                    <a:r>
                      <a:rPr lang="en-US"/>
                      <a:t>JHČ</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E51-4C90-86AB-E6AF041A4924}"/>
                </c:ext>
              </c:extLst>
            </c:dLbl>
            <c:dLbl>
              <c:idx val="6"/>
              <c:layout>
                <c:manualLayout>
                  <c:x val="0"/>
                  <c:y val="-6.547581748812209E-2"/>
                </c:manualLayout>
              </c:layout>
              <c:tx>
                <c:rich>
                  <a:bodyPr/>
                  <a:lstStyle/>
                  <a:p>
                    <a:r>
                      <a:rPr lang="en-US"/>
                      <a:t>OLK</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8E51-4C90-86AB-E6AF041A4924}"/>
                </c:ext>
              </c:extLst>
            </c:dLbl>
            <c:dLbl>
              <c:idx val="7"/>
              <c:layout>
                <c:manualLayout>
                  <c:x val="-4.6410893573947784E-17"/>
                  <c:y val="-5.8583811775301135E-2"/>
                </c:manualLayout>
              </c:layout>
              <c:tx>
                <c:rich>
                  <a:bodyPr/>
                  <a:lstStyle/>
                  <a:p>
                    <a:r>
                      <a:rPr lang="en-US"/>
                      <a:t>OLK</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8E51-4C90-86AB-E6AF041A4924}"/>
                </c:ext>
              </c:extLst>
            </c:dLbl>
            <c:dLbl>
              <c:idx val="8"/>
              <c:layout>
                <c:manualLayout>
                  <c:x val="-4.6410893573947784E-17"/>
                  <c:y val="-6.8920870920358229E-2"/>
                </c:manualLayout>
              </c:layout>
              <c:tx>
                <c:rich>
                  <a:bodyPr/>
                  <a:lstStyle/>
                  <a:p>
                    <a:r>
                      <a:rPr lang="en-US"/>
                      <a:t>OLK</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8E51-4C90-86AB-E6AF041A4924}"/>
                </c:ext>
              </c:extLst>
            </c:dLbl>
            <c:dLbl>
              <c:idx val="9"/>
              <c:layout>
                <c:manualLayout>
                  <c:x val="-4.635081990216439E-17"/>
                  <c:y val="-7.231921620314212E-2"/>
                </c:manualLayout>
              </c:layout>
              <c:tx>
                <c:rich>
                  <a:bodyPr/>
                  <a:lstStyle/>
                  <a:p>
                    <a:r>
                      <a:rPr lang="en-US"/>
                      <a:t>OLK</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8E51-4C90-86AB-E6AF041A4924}"/>
                </c:ext>
              </c:extLst>
            </c:dLbl>
            <c:dLbl>
              <c:idx val="10"/>
              <c:layout>
                <c:manualLayout>
                  <c:x val="-9.2639378909995118E-17"/>
                  <c:y val="-7.2317422235044976E-2"/>
                </c:manualLayout>
              </c:layout>
              <c:tx>
                <c:rich>
                  <a:bodyPr/>
                  <a:lstStyle/>
                  <a:p>
                    <a:r>
                      <a:rPr lang="en-US"/>
                      <a:t>MSK</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8E51-4C90-86AB-E6AF041A4924}"/>
                </c:ext>
              </c:extLst>
            </c:dLbl>
            <c:dLbl>
              <c:idx val="11"/>
              <c:layout>
                <c:manualLayout>
                  <c:x val="-2.526557702400243E-3"/>
                  <c:y val="-6.5430048688850162E-2"/>
                </c:manualLayout>
              </c:layout>
              <c:tx>
                <c:rich>
                  <a:bodyPr/>
                  <a:lstStyle/>
                  <a:p>
                    <a:r>
                      <a:rPr lang="en-US"/>
                      <a:t>MSK</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8E51-4C90-86AB-E6AF041A4924}"/>
                </c:ext>
              </c:extLst>
            </c:dLbl>
            <c:dLbl>
              <c:idx val="12"/>
              <c:layout>
                <c:manualLayout>
                  <c:x val="0"/>
                  <c:y val="-9.2959750158429763E-2"/>
                </c:manualLayout>
              </c:layout>
              <c:tx>
                <c:rich>
                  <a:bodyPr/>
                  <a:lstStyle/>
                  <a:p>
                    <a:r>
                      <a:rPr lang="en-US"/>
                      <a:t>ZLK</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8E51-4C90-86AB-E6AF041A4924}"/>
                </c:ext>
              </c:extLst>
            </c:dLbl>
            <c:dLbl>
              <c:idx val="13"/>
              <c:layout>
                <c:manualLayout>
                  <c:x val="0"/>
                  <c:y val="-9.9913840250709679E-2"/>
                </c:manualLayout>
              </c:layout>
              <c:tx>
                <c:rich>
                  <a:bodyPr/>
                  <a:lstStyle/>
                  <a:p>
                    <a:r>
                      <a:rPr lang="en-US"/>
                      <a:t>MSK</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8E51-4C90-86AB-E6AF041A4924}"/>
                </c:ext>
              </c:extLst>
            </c:dLbl>
            <c:dLbl>
              <c:idx val="14"/>
              <c:layout>
                <c:manualLayout>
                  <c:x val="0"/>
                  <c:y val="-9.3023230578247004E-2"/>
                </c:manualLayout>
              </c:layout>
              <c:tx>
                <c:rich>
                  <a:bodyPr/>
                  <a:lstStyle/>
                  <a:p>
                    <a:r>
                      <a:rPr lang="en-US"/>
                      <a:t>OLK</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8E51-4C90-86AB-E6AF041A4924}"/>
                </c:ext>
              </c:extLst>
            </c:dLbl>
            <c:dLbl>
              <c:idx val="15"/>
              <c:layout>
                <c:manualLayout>
                  <c:x val="0"/>
                  <c:y val="-8.6069087860138144E-2"/>
                </c:manualLayout>
              </c:layout>
              <c:tx>
                <c:rich>
                  <a:bodyPr/>
                  <a:lstStyle/>
                  <a:p>
                    <a:r>
                      <a:rPr lang="en-US"/>
                      <a:t>JHČ</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8E51-4C90-86AB-E6AF041A4924}"/>
                </c:ext>
              </c:extLst>
            </c:dLbl>
            <c:dLbl>
              <c:idx val="16"/>
              <c:layout>
                <c:manualLayout>
                  <c:x val="0"/>
                  <c:y val="-8.6069087860138144E-2"/>
                </c:manualLayout>
              </c:layout>
              <c:tx>
                <c:rich>
                  <a:bodyPr/>
                  <a:lstStyle/>
                  <a:p>
                    <a:r>
                      <a:rPr lang="en-US"/>
                      <a:t>OLK</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8E51-4C90-86AB-E6AF041A4924}"/>
                </c:ext>
              </c:extLst>
            </c:dLbl>
            <c:dLbl>
              <c:idx val="17"/>
              <c:layout>
                <c:manualLayout>
                  <c:x val="0"/>
                  <c:y val="-8.9511851374543608E-2"/>
                </c:manualLayout>
              </c:layout>
              <c:tx>
                <c:rich>
                  <a:bodyPr/>
                  <a:lstStyle/>
                  <a:p>
                    <a:r>
                      <a:rPr lang="en-US"/>
                      <a:t>KVK</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8E51-4C90-86AB-E6AF041A4924}"/>
                </c:ext>
              </c:extLst>
            </c:dLbl>
            <c:dLbl>
              <c:idx val="18"/>
              <c:layout>
                <c:manualLayout>
                  <c:x val="0"/>
                  <c:y val="-7.9271279562203381E-2"/>
                </c:manualLayout>
              </c:layout>
              <c:tx>
                <c:rich>
                  <a:bodyPr/>
                  <a:lstStyle/>
                  <a:p>
                    <a:r>
                      <a:rPr lang="en-US"/>
                      <a:t>KVK</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8E51-4C90-86AB-E6AF041A4924}"/>
                </c:ext>
              </c:extLst>
            </c:dLbl>
            <c:dLbl>
              <c:idx val="19"/>
              <c:layout>
                <c:manualLayout>
                  <c:x val="0"/>
                  <c:y val="-9.3057589051282086E-2"/>
                </c:manualLayout>
              </c:layout>
              <c:tx>
                <c:rich>
                  <a:bodyPr/>
                  <a:lstStyle/>
                  <a:p>
                    <a:r>
                      <a:rPr lang="en-US"/>
                      <a:t>PAK</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8E51-4C90-86AB-E6AF041A4924}"/>
                </c:ext>
              </c:extLst>
            </c:dLbl>
            <c:dLbl>
              <c:idx val="20"/>
              <c:layout>
                <c:manualLayout>
                  <c:x val="0"/>
                  <c:y val="-9.6504166423551863E-2"/>
                </c:manualLayout>
              </c:layout>
              <c:tx>
                <c:rich>
                  <a:bodyPr/>
                  <a:lstStyle/>
                  <a:p>
                    <a:r>
                      <a:rPr lang="en-US"/>
                      <a:t>PAK</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8E51-4C90-86AB-E6AF041A4924}"/>
                </c:ext>
              </c:extLst>
            </c:dLbl>
            <c:dLbl>
              <c:idx val="21"/>
              <c:layout>
                <c:manualLayout>
                  <c:x val="0"/>
                  <c:y val="-8.616443430674274E-2"/>
                </c:manualLayout>
              </c:layout>
              <c:tx>
                <c:rich>
                  <a:bodyPr/>
                  <a:lstStyle/>
                  <a:p>
                    <a:r>
                      <a:rPr lang="en-US"/>
                      <a:t>ZLK</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8E51-4C90-86AB-E6AF041A4924}"/>
                </c:ext>
              </c:extLst>
            </c:dLbl>
            <c:dLbl>
              <c:idx val="22"/>
              <c:layout>
                <c:manualLayout>
                  <c:x val="0"/>
                  <c:y val="-8.9611011679012448E-2"/>
                </c:manualLayout>
              </c:layout>
              <c:tx>
                <c:rich>
                  <a:bodyPr/>
                  <a:lstStyle/>
                  <a:p>
                    <a:r>
                      <a:rPr lang="en-US"/>
                      <a:t>MSK</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8E51-4C90-86AB-E6AF041A4924}"/>
                </c:ext>
              </c:extLst>
            </c:dLbl>
            <c:dLbl>
              <c:idx val="23"/>
              <c:layout>
                <c:manualLayout>
                  <c:x val="-5.0656343326612825E-3"/>
                  <c:y val="-0.11373477389949274"/>
                </c:manualLayout>
              </c:layout>
              <c:tx>
                <c:rich>
                  <a:bodyPr/>
                  <a:lstStyle/>
                  <a:p>
                    <a:r>
                      <a:rPr lang="en-US"/>
                      <a:t>MSK</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8E51-4C90-86AB-E6AF041A4924}"/>
                </c:ext>
              </c:extLst>
            </c:dLbl>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'GRAF-5'!$B$69:$C$92</c:f>
              <c:multiLvlStrCache>
                <c:ptCount val="24"/>
                <c:lvl>
                  <c:pt idx="0">
                    <c:v>2012</c:v>
                  </c:pt>
                  <c:pt idx="1">
                    <c:v>2015</c:v>
                  </c:pt>
                  <c:pt idx="2">
                    <c:v>2018</c:v>
                  </c:pt>
                  <c:pt idx="3">
                    <c:v>2012</c:v>
                  </c:pt>
                  <c:pt idx="4">
                    <c:v>2015</c:v>
                  </c:pt>
                  <c:pt idx="5">
                    <c:v>2018</c:v>
                  </c:pt>
                  <c:pt idx="6">
                    <c:v>2012</c:v>
                  </c:pt>
                  <c:pt idx="7">
                    <c:v>2015</c:v>
                  </c:pt>
                  <c:pt idx="8">
                    <c:v>2018</c:v>
                  </c:pt>
                  <c:pt idx="9">
                    <c:v>2012</c:v>
                  </c:pt>
                  <c:pt idx="10">
                    <c:v>2015</c:v>
                  </c:pt>
                  <c:pt idx="11">
                    <c:v>2018</c:v>
                  </c:pt>
                  <c:pt idx="12">
                    <c:v>2012</c:v>
                  </c:pt>
                  <c:pt idx="13">
                    <c:v>2015</c:v>
                  </c:pt>
                  <c:pt idx="14">
                    <c:v>2018</c:v>
                  </c:pt>
                  <c:pt idx="15">
                    <c:v>2012</c:v>
                  </c:pt>
                  <c:pt idx="16">
                    <c:v>2015</c:v>
                  </c:pt>
                  <c:pt idx="17">
                    <c:v>2018</c:v>
                  </c:pt>
                  <c:pt idx="18">
                    <c:v>2012</c:v>
                  </c:pt>
                  <c:pt idx="19">
                    <c:v>2015</c:v>
                  </c:pt>
                  <c:pt idx="20">
                    <c:v>2018</c:v>
                  </c:pt>
                  <c:pt idx="21">
                    <c:v>2012</c:v>
                  </c:pt>
                  <c:pt idx="22">
                    <c:v>2015</c:v>
                  </c:pt>
                  <c:pt idx="23">
                    <c:v>2018</c:v>
                  </c:pt>
                </c:lvl>
                <c:lvl>
                  <c:pt idx="0">
                    <c:v>Zákonodárci 
a řídící 
pracovníci</c:v>
                  </c:pt>
                  <c:pt idx="3">
                    <c:v>Specialisté</c:v>
                  </c:pt>
                  <c:pt idx="6">
                    <c:v>Techničtí a 
odborní 
pracovníci</c:v>
                  </c:pt>
                  <c:pt idx="9">
                    <c:v>Úředníci</c:v>
                  </c:pt>
                  <c:pt idx="12">
                    <c:v>Pracovníci 
ve 
službách 
a prodeji</c:v>
                  </c:pt>
                  <c:pt idx="15">
                    <c:v>Řemeslníci 
a opraváři</c:v>
                  </c:pt>
                  <c:pt idx="18">
                    <c:v>Obsluha 
strojů
a zařízení, 
montéři</c:v>
                  </c:pt>
                  <c:pt idx="21">
                    <c:v>Pomocní a 
nekvalifik. 
pracovníci</c:v>
                  </c:pt>
                </c:lvl>
              </c:multiLvlStrCache>
            </c:multiLvlStrRef>
          </c:cat>
          <c:val>
            <c:numRef>
              <c:f>'GRAF-5'!$D$69:$D$92</c:f>
              <c:numCache>
                <c:formatCode>#\ ##0.0</c:formatCode>
                <c:ptCount val="24"/>
                <c:pt idx="0">
                  <c:v>72.914923767734891</c:v>
                </c:pt>
                <c:pt idx="1">
                  <c:v>73.457581435098433</c:v>
                </c:pt>
                <c:pt idx="2">
                  <c:v>70.951856786976421</c:v>
                </c:pt>
                <c:pt idx="3">
                  <c:v>81.035845713506887</c:v>
                </c:pt>
                <c:pt idx="4">
                  <c:v>80.097284150790443</c:v>
                </c:pt>
                <c:pt idx="5">
                  <c:v>82.645308344941114</c:v>
                </c:pt>
                <c:pt idx="6">
                  <c:v>86.820943217333294</c:v>
                </c:pt>
                <c:pt idx="7">
                  <c:v>85.94185322363893</c:v>
                </c:pt>
                <c:pt idx="8">
                  <c:v>87.192051545833564</c:v>
                </c:pt>
                <c:pt idx="9">
                  <c:v>88.898443157132505</c:v>
                </c:pt>
                <c:pt idx="10">
                  <c:v>88.190197260745975</c:v>
                </c:pt>
                <c:pt idx="11">
                  <c:v>87.324146367790462</c:v>
                </c:pt>
                <c:pt idx="12">
                  <c:v>92.300159138205402</c:v>
                </c:pt>
                <c:pt idx="13">
                  <c:v>94.532488114104595</c:v>
                </c:pt>
                <c:pt idx="14">
                  <c:v>93.298365772248474</c:v>
                </c:pt>
                <c:pt idx="15">
                  <c:v>91.87638786084382</c:v>
                </c:pt>
                <c:pt idx="16">
                  <c:v>92.209601824093241</c:v>
                </c:pt>
                <c:pt idx="17">
                  <c:v>92.512959677138781</c:v>
                </c:pt>
                <c:pt idx="18">
                  <c:v>90.672153635116601</c:v>
                </c:pt>
                <c:pt idx="19">
                  <c:v>93.070348454963835</c:v>
                </c:pt>
                <c:pt idx="20">
                  <c:v>94.293255341156339</c:v>
                </c:pt>
                <c:pt idx="21">
                  <c:v>91.998099633500757</c:v>
                </c:pt>
                <c:pt idx="22">
                  <c:v>92.36752244846339</c:v>
                </c:pt>
                <c:pt idx="23">
                  <c:v>95.161534196865077</c:v>
                </c:pt>
              </c:numCache>
            </c:numRef>
          </c:val>
          <c:extLst>
            <c:ext xmlns:c16="http://schemas.microsoft.com/office/drawing/2014/chart" uri="{C3380CC4-5D6E-409C-BE32-E72D297353CC}">
              <c16:uniqueId val="{00000018-8E51-4C90-86AB-E6AF041A4924}"/>
            </c:ext>
          </c:extLst>
        </c:ser>
        <c:ser>
          <c:idx val="1"/>
          <c:order val="1"/>
          <c:tx>
            <c:strRef>
              <c:f>'GRAF-5'!$E$68</c:f>
              <c:strCache>
                <c:ptCount val="1"/>
                <c:pt idx="0">
                  <c:v>Rozpětí mimopražských krajů</c:v>
                </c:pt>
              </c:strCache>
            </c:strRef>
          </c:tx>
          <c:spPr>
            <a:solidFill>
              <a:srgbClr val="92D050"/>
            </a:solidFill>
            <a:ln>
              <a:noFill/>
            </a:ln>
            <a:effectLst/>
          </c:spPr>
          <c:invertIfNegative val="0"/>
          <c:dLbls>
            <c:dLbl>
              <c:idx val="0"/>
              <c:layout>
                <c:manualLayout>
                  <c:x val="0"/>
                  <c:y val="-0.15498781462169459"/>
                </c:manualLayout>
              </c:layout>
              <c:tx>
                <c:rich>
                  <a:bodyPr/>
                  <a:lstStyle/>
                  <a:p>
                    <a:r>
                      <a:rPr lang="en-US"/>
                      <a:t>STČ</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8E51-4C90-86AB-E6AF041A4924}"/>
                </c:ext>
              </c:extLst>
            </c:dLbl>
            <c:dLbl>
              <c:idx val="1"/>
              <c:layout>
                <c:manualLayout>
                  <c:x val="0"/>
                  <c:y val="-0.17220898425528708"/>
                </c:manualLayout>
              </c:layout>
              <c:tx>
                <c:rich>
                  <a:bodyPr/>
                  <a:lstStyle/>
                  <a:p>
                    <a:r>
                      <a:rPr lang="en-US"/>
                      <a:t>STČ</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A-8E51-4C90-86AB-E6AF041A4924}"/>
                </c:ext>
              </c:extLst>
            </c:dLbl>
            <c:dLbl>
              <c:idx val="2"/>
              <c:layout>
                <c:manualLayout>
                  <c:x val="-2.3172789693792145E-17"/>
                  <c:y val="-0.2204278795380567"/>
                </c:manualLayout>
              </c:layout>
              <c:tx>
                <c:rich>
                  <a:bodyPr/>
                  <a:lstStyle/>
                  <a:p>
                    <a:r>
                      <a:rPr lang="en-US"/>
                      <a:t>STČ</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B-8E51-4C90-86AB-E6AF041A4924}"/>
                </c:ext>
              </c:extLst>
            </c:dLbl>
            <c:dLbl>
              <c:idx val="3"/>
              <c:layout>
                <c:manualLayout>
                  <c:x val="0"/>
                  <c:y val="-9.299317694753155E-2"/>
                </c:manualLayout>
              </c:layout>
              <c:tx>
                <c:rich>
                  <a:bodyPr/>
                  <a:lstStyle/>
                  <a:p>
                    <a:r>
                      <a:rPr lang="en-US"/>
                      <a:t>JHM</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C-8E51-4C90-86AB-E6AF041A4924}"/>
                </c:ext>
              </c:extLst>
            </c:dLbl>
            <c:dLbl>
              <c:idx val="4"/>
              <c:layout>
                <c:manualLayout>
                  <c:x val="0"/>
                  <c:y val="-0.1102182176132691"/>
                </c:manualLayout>
              </c:layout>
              <c:tx>
                <c:rich>
                  <a:bodyPr/>
                  <a:lstStyle/>
                  <a:p>
                    <a:r>
                      <a:rPr lang="en-US"/>
                      <a:t>JHM</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D-8E51-4C90-86AB-E6AF041A4924}"/>
                </c:ext>
              </c:extLst>
            </c:dLbl>
            <c:dLbl>
              <c:idx val="5"/>
              <c:layout>
                <c:manualLayout>
                  <c:x val="-4.634557938758429E-17"/>
                  <c:y val="-8.6107475416345128E-2"/>
                </c:manualLayout>
              </c:layout>
              <c:tx>
                <c:rich>
                  <a:bodyPr/>
                  <a:lstStyle/>
                  <a:p>
                    <a:r>
                      <a:rPr lang="en-US"/>
                      <a:t>JHM</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E-8E51-4C90-86AB-E6AF041A4924}"/>
                </c:ext>
              </c:extLst>
            </c:dLbl>
            <c:dLbl>
              <c:idx val="6"/>
              <c:layout>
                <c:manualLayout>
                  <c:x val="0"/>
                  <c:y val="-9.9935032260077189E-2"/>
                </c:manualLayout>
              </c:layout>
              <c:tx>
                <c:rich>
                  <a:bodyPr/>
                  <a:lstStyle/>
                  <a:p>
                    <a:r>
                      <a:rPr lang="en-US"/>
                      <a:t>STČ</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F-8E51-4C90-86AB-E6AF041A4924}"/>
                </c:ext>
              </c:extLst>
            </c:dLbl>
            <c:dLbl>
              <c:idx val="7"/>
              <c:layout>
                <c:manualLayout>
                  <c:x val="-4.6410893573947784E-17"/>
                  <c:y val="-0.10338008569231333"/>
                </c:manualLayout>
              </c:layout>
              <c:tx>
                <c:rich>
                  <a:bodyPr/>
                  <a:lstStyle/>
                  <a:p>
                    <a:r>
                      <a:rPr lang="en-US"/>
                      <a:t>STČ</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0-8E51-4C90-86AB-E6AF041A4924}"/>
                </c:ext>
              </c:extLst>
            </c:dLbl>
            <c:dLbl>
              <c:idx val="8"/>
              <c:layout>
                <c:manualLayout>
                  <c:x val="-4.6410893573947784E-17"/>
                  <c:y val="-9.993503226007712E-2"/>
                </c:manualLayout>
              </c:layout>
              <c:tx>
                <c:rich>
                  <a:bodyPr/>
                  <a:lstStyle/>
                  <a:p>
                    <a:r>
                      <a:rPr lang="en-US"/>
                      <a:t>STČ</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1-8E51-4C90-86AB-E6AF041A4924}"/>
                </c:ext>
              </c:extLst>
            </c:dLbl>
            <c:dLbl>
              <c:idx val="9"/>
              <c:layout>
                <c:manualLayout>
                  <c:x val="0"/>
                  <c:y val="-6.5430048688850162E-2"/>
                </c:manualLayout>
              </c:layout>
              <c:tx>
                <c:rich>
                  <a:bodyPr/>
                  <a:lstStyle/>
                  <a:p>
                    <a:r>
                      <a:rPr lang="en-US"/>
                      <a:t>STČ</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2-8E51-4C90-86AB-E6AF041A4924}"/>
                </c:ext>
              </c:extLst>
            </c:dLbl>
            <c:dLbl>
              <c:idx val="10"/>
              <c:layout>
                <c:manualLayout>
                  <c:x val="0"/>
                  <c:y val="-7.9204795781239665E-2"/>
                </c:manualLayout>
              </c:layout>
              <c:tx>
                <c:rich>
                  <a:bodyPr/>
                  <a:lstStyle/>
                  <a:p>
                    <a:r>
                      <a:rPr lang="en-US"/>
                      <a:t>VYS</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3-8E51-4C90-86AB-E6AF041A4924}"/>
                </c:ext>
              </c:extLst>
            </c:dLbl>
            <c:dLbl>
              <c:idx val="11"/>
              <c:layout>
                <c:manualLayout>
                  <c:x val="-2.5264583862501058E-3"/>
                  <c:y val="-8.6093827315895988E-2"/>
                </c:manualLayout>
              </c:layout>
              <c:tx>
                <c:rich>
                  <a:bodyPr/>
                  <a:lstStyle/>
                  <a:p>
                    <a:r>
                      <a:rPr lang="en-US"/>
                      <a:t>VYS</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4-8E51-4C90-86AB-E6AF041A4924}"/>
                </c:ext>
              </c:extLst>
            </c:dLbl>
            <c:dLbl>
              <c:idx val="12"/>
              <c:layout>
                <c:manualLayout>
                  <c:x val="0"/>
                  <c:y val="-6.5460791888396E-2"/>
                </c:manualLayout>
              </c:layout>
              <c:tx>
                <c:rich>
                  <a:bodyPr/>
                  <a:lstStyle/>
                  <a:p>
                    <a:r>
                      <a:rPr lang="en-US"/>
                      <a:t>KVK</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5-8E51-4C90-86AB-E6AF041A4924}"/>
                </c:ext>
              </c:extLst>
            </c:dLbl>
            <c:dLbl>
              <c:idx val="13"/>
              <c:layout>
                <c:manualLayout>
                  <c:x val="0"/>
                  <c:y val="-5.8570182215933263E-2"/>
                </c:manualLayout>
              </c:layout>
              <c:tx>
                <c:rich>
                  <a:bodyPr/>
                  <a:lstStyle/>
                  <a:p>
                    <a:r>
                      <a:rPr lang="en-US"/>
                      <a:t>JHČ</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6-8E51-4C90-86AB-E6AF041A4924}"/>
                </c:ext>
              </c:extLst>
            </c:dLbl>
            <c:dLbl>
              <c:idx val="14"/>
              <c:layout>
                <c:manualLayout>
                  <c:x val="0"/>
                  <c:y val="-5.8570182215933263E-2"/>
                </c:manualLayout>
              </c:layout>
              <c:tx>
                <c:rich>
                  <a:bodyPr/>
                  <a:lstStyle/>
                  <a:p>
                    <a:r>
                      <a:rPr lang="en-US"/>
                      <a:t>JHČ</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7-8E51-4C90-86AB-E6AF041A4924}"/>
                </c:ext>
              </c:extLst>
            </c:dLbl>
            <c:dLbl>
              <c:idx val="15"/>
              <c:layout>
                <c:manualLayout>
                  <c:x val="0"/>
                  <c:y val="-9.9840141917760236E-2"/>
                </c:manualLayout>
              </c:layout>
              <c:tx>
                <c:rich>
                  <a:bodyPr/>
                  <a:lstStyle/>
                  <a:p>
                    <a:r>
                      <a:rPr lang="en-US"/>
                      <a:t>STČ</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8-8E51-4C90-86AB-E6AF041A4924}"/>
                </c:ext>
              </c:extLst>
            </c:dLbl>
            <c:dLbl>
              <c:idx val="16"/>
              <c:layout>
                <c:manualLayout>
                  <c:x val="-9.2767218456919867E-17"/>
                  <c:y val="-0.11369505959563515"/>
                </c:manualLayout>
              </c:layout>
              <c:tx>
                <c:rich>
                  <a:bodyPr/>
                  <a:lstStyle/>
                  <a:p>
                    <a:r>
                      <a:rPr lang="en-US"/>
                      <a:t>STČ</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9-8E51-4C90-86AB-E6AF041A4924}"/>
                </c:ext>
              </c:extLst>
            </c:dLbl>
            <c:dLbl>
              <c:idx val="17"/>
              <c:layout>
                <c:manualLayout>
                  <c:x val="-9.2767218456919867E-17"/>
                  <c:y val="-9.9913840250709748E-2"/>
                </c:manualLayout>
              </c:layout>
              <c:tx>
                <c:rich>
                  <a:bodyPr/>
                  <a:lstStyle/>
                  <a:p>
                    <a:r>
                      <a:rPr lang="en-US"/>
                      <a:t>STČ</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A-8E51-4C90-86AB-E6AF041A4924}"/>
                </c:ext>
              </c:extLst>
            </c:dLbl>
            <c:dLbl>
              <c:idx val="18"/>
              <c:layout>
                <c:manualLayout>
                  <c:x val="-2.532790664652227E-3"/>
                  <c:y val="-0.10684389854036092"/>
                </c:manualLayout>
              </c:layout>
              <c:tx>
                <c:rich>
                  <a:bodyPr/>
                  <a:lstStyle/>
                  <a:p>
                    <a:r>
                      <a:rPr lang="en-US"/>
                      <a:t>MSK</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B-8E51-4C90-86AB-E6AF041A4924}"/>
                </c:ext>
              </c:extLst>
            </c:dLbl>
            <c:dLbl>
              <c:idx val="19"/>
              <c:layout>
                <c:manualLayout>
                  <c:x val="0"/>
                  <c:y val="-8.6164434306742671E-2"/>
                </c:manualLayout>
              </c:layout>
              <c:tx>
                <c:rich>
                  <a:bodyPr/>
                  <a:lstStyle/>
                  <a:p>
                    <a:r>
                      <a:rPr lang="en-US"/>
                      <a:t>STČ</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C-8E51-4C90-86AB-E6AF041A4924}"/>
                </c:ext>
              </c:extLst>
            </c:dLbl>
            <c:dLbl>
              <c:idx val="20"/>
              <c:layout>
                <c:manualLayout>
                  <c:x val="0"/>
                  <c:y val="-8.2717856934472964E-2"/>
                </c:manualLayout>
              </c:layout>
              <c:tx>
                <c:rich>
                  <a:bodyPr/>
                  <a:lstStyle/>
                  <a:p>
                    <a:r>
                      <a:rPr lang="en-US"/>
                      <a:t>STČ</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D-8E51-4C90-86AB-E6AF041A4924}"/>
                </c:ext>
              </c:extLst>
            </c:dLbl>
            <c:dLbl>
              <c:idx val="21"/>
              <c:layout>
                <c:manualLayout>
                  <c:x val="0"/>
                  <c:y val="-8.6164434306742671E-2"/>
                </c:manualLayout>
              </c:layout>
              <c:tx>
                <c:rich>
                  <a:bodyPr/>
                  <a:lstStyle/>
                  <a:p>
                    <a:r>
                      <a:rPr lang="en-US"/>
                      <a:t>STČ</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E-8E51-4C90-86AB-E6AF041A4924}"/>
                </c:ext>
              </c:extLst>
            </c:dLbl>
            <c:dLbl>
              <c:idx val="22"/>
              <c:layout>
                <c:manualLayout>
                  <c:x val="-1.8573583643825786E-16"/>
                  <c:y val="-0.12063020802943974"/>
                </c:manualLayout>
              </c:layout>
              <c:tx>
                <c:rich>
                  <a:bodyPr/>
                  <a:lstStyle/>
                  <a:p>
                    <a:r>
                      <a:rPr lang="en-US"/>
                      <a:t>LBK</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F-8E51-4C90-86AB-E6AF041A4924}"/>
                </c:ext>
              </c:extLst>
            </c:dLbl>
            <c:dLbl>
              <c:idx val="23"/>
              <c:layout>
                <c:manualLayout>
                  <c:x val="-2.5327906646521342E-3"/>
                  <c:y val="-9.3057589051282114E-2"/>
                </c:manualLayout>
              </c:layout>
              <c:tx>
                <c:rich>
                  <a:bodyPr/>
                  <a:lstStyle/>
                  <a:p>
                    <a:r>
                      <a:rPr lang="en-US"/>
                      <a:t>PLK</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0-8E51-4C90-86AB-E6AF041A4924}"/>
                </c:ext>
              </c:extLst>
            </c:dLbl>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'GRAF-5'!$B$69:$C$92</c:f>
              <c:multiLvlStrCache>
                <c:ptCount val="24"/>
                <c:lvl>
                  <c:pt idx="0">
                    <c:v>2012</c:v>
                  </c:pt>
                  <c:pt idx="1">
                    <c:v>2015</c:v>
                  </c:pt>
                  <c:pt idx="2">
                    <c:v>2018</c:v>
                  </c:pt>
                  <c:pt idx="3">
                    <c:v>2012</c:v>
                  </c:pt>
                  <c:pt idx="4">
                    <c:v>2015</c:v>
                  </c:pt>
                  <c:pt idx="5">
                    <c:v>2018</c:v>
                  </c:pt>
                  <c:pt idx="6">
                    <c:v>2012</c:v>
                  </c:pt>
                  <c:pt idx="7">
                    <c:v>2015</c:v>
                  </c:pt>
                  <c:pt idx="8">
                    <c:v>2018</c:v>
                  </c:pt>
                  <c:pt idx="9">
                    <c:v>2012</c:v>
                  </c:pt>
                  <c:pt idx="10">
                    <c:v>2015</c:v>
                  </c:pt>
                  <c:pt idx="11">
                    <c:v>2018</c:v>
                  </c:pt>
                  <c:pt idx="12">
                    <c:v>2012</c:v>
                  </c:pt>
                  <c:pt idx="13">
                    <c:v>2015</c:v>
                  </c:pt>
                  <c:pt idx="14">
                    <c:v>2018</c:v>
                  </c:pt>
                  <c:pt idx="15">
                    <c:v>2012</c:v>
                  </c:pt>
                  <c:pt idx="16">
                    <c:v>2015</c:v>
                  </c:pt>
                  <c:pt idx="17">
                    <c:v>2018</c:v>
                  </c:pt>
                  <c:pt idx="18">
                    <c:v>2012</c:v>
                  </c:pt>
                  <c:pt idx="19">
                    <c:v>2015</c:v>
                  </c:pt>
                  <c:pt idx="20">
                    <c:v>2018</c:v>
                  </c:pt>
                  <c:pt idx="21">
                    <c:v>2012</c:v>
                  </c:pt>
                  <c:pt idx="22">
                    <c:v>2015</c:v>
                  </c:pt>
                  <c:pt idx="23">
                    <c:v>2018</c:v>
                  </c:pt>
                </c:lvl>
                <c:lvl>
                  <c:pt idx="0">
                    <c:v>Zákonodárci 
a řídící 
pracovníci</c:v>
                  </c:pt>
                  <c:pt idx="3">
                    <c:v>Specialisté</c:v>
                  </c:pt>
                  <c:pt idx="6">
                    <c:v>Techničtí a 
odborní 
pracovníci</c:v>
                  </c:pt>
                  <c:pt idx="9">
                    <c:v>Úředníci</c:v>
                  </c:pt>
                  <c:pt idx="12">
                    <c:v>Pracovníci 
ve 
službách 
a prodeji</c:v>
                  </c:pt>
                  <c:pt idx="15">
                    <c:v>Řemeslníci 
a opraváři</c:v>
                  </c:pt>
                  <c:pt idx="18">
                    <c:v>Obsluha 
strojů
a zařízení, 
montéři</c:v>
                  </c:pt>
                  <c:pt idx="21">
                    <c:v>Pomocní a 
nekvalifik. 
pracovníci</c:v>
                  </c:pt>
                </c:lvl>
              </c:multiLvlStrCache>
            </c:multiLvlStrRef>
          </c:cat>
          <c:val>
            <c:numRef>
              <c:f>'GRAF-5'!$E$69:$E$92</c:f>
              <c:numCache>
                <c:formatCode>#\ ##0.0</c:formatCode>
                <c:ptCount val="24"/>
                <c:pt idx="0">
                  <c:v>30.026805074183457</c:v>
                </c:pt>
                <c:pt idx="1">
                  <c:v>33.246228182625003</c:v>
                </c:pt>
                <c:pt idx="2">
                  <c:v>43.053704883842187</c:v>
                </c:pt>
                <c:pt idx="3">
                  <c:v>15.753032574621784</c:v>
                </c:pt>
                <c:pt idx="4">
                  <c:v>18.608127280097264</c:v>
                </c:pt>
                <c:pt idx="5">
                  <c:v>15.01625089696509</c:v>
                </c:pt>
                <c:pt idx="6">
                  <c:v>17.526424834076622</c:v>
                </c:pt>
                <c:pt idx="7">
                  <c:v>17.997967812776551</c:v>
                </c:pt>
                <c:pt idx="8">
                  <c:v>17.014998104932587</c:v>
                </c:pt>
                <c:pt idx="9">
                  <c:v>10.771180304127455</c:v>
                </c:pt>
                <c:pt idx="10">
                  <c:v>13.829787234042556</c:v>
                </c:pt>
                <c:pt idx="11">
                  <c:v>15.42114921023277</c:v>
                </c:pt>
                <c:pt idx="12">
                  <c:v>10.888725670216672</c:v>
                </c:pt>
                <c:pt idx="13">
                  <c:v>8.8465021507810633</c:v>
                </c:pt>
                <c:pt idx="14">
                  <c:v>9.597295071307812</c:v>
                </c:pt>
                <c:pt idx="15">
                  <c:v>18.925795706883804</c:v>
                </c:pt>
                <c:pt idx="16">
                  <c:v>20.571718110036727</c:v>
                </c:pt>
                <c:pt idx="17">
                  <c:v>17.569495181435485</c:v>
                </c:pt>
                <c:pt idx="18">
                  <c:v>17.563029184995969</c:v>
                </c:pt>
                <c:pt idx="19">
                  <c:v>13.96888012272629</c:v>
                </c:pt>
                <c:pt idx="20">
                  <c:v>14.666333773228232</c:v>
                </c:pt>
                <c:pt idx="21">
                  <c:v>15.711958734898857</c:v>
                </c:pt>
                <c:pt idx="22">
                  <c:v>22.29669912735551</c:v>
                </c:pt>
                <c:pt idx="23">
                  <c:v>17.539438536364088</c:v>
                </c:pt>
              </c:numCache>
            </c:numRef>
          </c:val>
          <c:extLst>
            <c:ext xmlns:c16="http://schemas.microsoft.com/office/drawing/2014/chart" uri="{C3380CC4-5D6E-409C-BE32-E72D297353CC}">
              <c16:uniqueId val="{00000031-8E51-4C90-86AB-E6AF041A4924}"/>
            </c:ext>
          </c:extLst>
        </c:ser>
        <c:dLbls>
          <c:showLegendKey val="0"/>
          <c:showVal val="0"/>
          <c:showCatName val="0"/>
          <c:showSerName val="0"/>
          <c:showPercent val="0"/>
          <c:showBubbleSize val="0"/>
        </c:dLbls>
        <c:gapWidth val="89"/>
        <c:overlap val="100"/>
        <c:axId val="41390464"/>
        <c:axId val="41392384"/>
      </c:barChart>
      <c:lineChart>
        <c:grouping val="standard"/>
        <c:varyColors val="0"/>
        <c:ser>
          <c:idx val="2"/>
          <c:order val="2"/>
          <c:tx>
            <c:strRef>
              <c:f>'GRAF-5'!$F$68</c:f>
              <c:strCache>
                <c:ptCount val="1"/>
                <c:pt idx="0">
                  <c:v>Praha</c:v>
                </c:pt>
              </c:strCache>
            </c:strRef>
          </c:tx>
          <c:spPr>
            <a:ln w="28575" cap="rnd">
              <a:noFill/>
              <a:round/>
            </a:ln>
            <a:effectLst/>
          </c:spPr>
          <c:marker>
            <c:symbol val="circle"/>
            <c:size val="5"/>
            <c:spPr>
              <a:solidFill>
                <a:srgbClr val="BD1B21"/>
              </a:solidFill>
              <a:ln w="9525">
                <a:noFill/>
              </a:ln>
              <a:effectLst/>
            </c:spPr>
          </c:marker>
          <c:cat>
            <c:multiLvlStrRef>
              <c:f>'GRAF-5'!$B$69:$C$92</c:f>
              <c:multiLvlStrCache>
                <c:ptCount val="24"/>
                <c:lvl>
                  <c:pt idx="0">
                    <c:v>2012</c:v>
                  </c:pt>
                  <c:pt idx="1">
                    <c:v>2015</c:v>
                  </c:pt>
                  <c:pt idx="2">
                    <c:v>2018</c:v>
                  </c:pt>
                  <c:pt idx="3">
                    <c:v>2012</c:v>
                  </c:pt>
                  <c:pt idx="4">
                    <c:v>2015</c:v>
                  </c:pt>
                  <c:pt idx="5">
                    <c:v>2018</c:v>
                  </c:pt>
                  <c:pt idx="6">
                    <c:v>2012</c:v>
                  </c:pt>
                  <c:pt idx="7">
                    <c:v>2015</c:v>
                  </c:pt>
                  <c:pt idx="8">
                    <c:v>2018</c:v>
                  </c:pt>
                  <c:pt idx="9">
                    <c:v>2012</c:v>
                  </c:pt>
                  <c:pt idx="10">
                    <c:v>2015</c:v>
                  </c:pt>
                  <c:pt idx="11">
                    <c:v>2018</c:v>
                  </c:pt>
                  <c:pt idx="12">
                    <c:v>2012</c:v>
                  </c:pt>
                  <c:pt idx="13">
                    <c:v>2015</c:v>
                  </c:pt>
                  <c:pt idx="14">
                    <c:v>2018</c:v>
                  </c:pt>
                  <c:pt idx="15">
                    <c:v>2012</c:v>
                  </c:pt>
                  <c:pt idx="16">
                    <c:v>2015</c:v>
                  </c:pt>
                  <c:pt idx="17">
                    <c:v>2018</c:v>
                  </c:pt>
                  <c:pt idx="18">
                    <c:v>2012</c:v>
                  </c:pt>
                  <c:pt idx="19">
                    <c:v>2015</c:v>
                  </c:pt>
                  <c:pt idx="20">
                    <c:v>2018</c:v>
                  </c:pt>
                  <c:pt idx="21">
                    <c:v>2012</c:v>
                  </c:pt>
                  <c:pt idx="22">
                    <c:v>2015</c:v>
                  </c:pt>
                  <c:pt idx="23">
                    <c:v>2018</c:v>
                  </c:pt>
                </c:lvl>
                <c:lvl>
                  <c:pt idx="0">
                    <c:v>Zákonodárci 
a řídící 
pracovníci</c:v>
                  </c:pt>
                  <c:pt idx="3">
                    <c:v>Specialisté</c:v>
                  </c:pt>
                  <c:pt idx="6">
                    <c:v>Techničtí a 
odborní 
pracovníci</c:v>
                  </c:pt>
                  <c:pt idx="9">
                    <c:v>Úředníci</c:v>
                  </c:pt>
                  <c:pt idx="12">
                    <c:v>Pracovníci 
ve 
službách 
a prodeji</c:v>
                  </c:pt>
                  <c:pt idx="15">
                    <c:v>Řemeslníci 
a opraváři</c:v>
                  </c:pt>
                  <c:pt idx="18">
                    <c:v>Obsluha 
strojů
a zařízení, 
montéři</c:v>
                  </c:pt>
                  <c:pt idx="21">
                    <c:v>Pomocní a 
nekvalifik. 
pracovníci</c:v>
                  </c:pt>
                </c:lvl>
              </c:multiLvlStrCache>
            </c:multiLvlStrRef>
          </c:cat>
          <c:val>
            <c:numRef>
              <c:f>'GRAF-5'!$F$69:$F$92</c:f>
              <c:numCache>
                <c:formatCode>#\ ##0.0</c:formatCode>
                <c:ptCount val="24"/>
                <c:pt idx="0">
                  <c:v>140.46371071007837</c:v>
                </c:pt>
                <c:pt idx="1">
                  <c:v>133.66531900207079</c:v>
                </c:pt>
                <c:pt idx="2">
                  <c:v>126.47297375586581</c:v>
                </c:pt>
                <c:pt idx="3">
                  <c:v>125.99972740902277</c:v>
                </c:pt>
                <c:pt idx="4">
                  <c:v>121.17197000405351</c:v>
                </c:pt>
                <c:pt idx="5">
                  <c:v>118.73496264404204</c:v>
                </c:pt>
                <c:pt idx="6">
                  <c:v>120.76061382870387</c:v>
                </c:pt>
                <c:pt idx="7">
                  <c:v>116.50332688714806</c:v>
                </c:pt>
                <c:pt idx="8">
                  <c:v>114.06140018409225</c:v>
                </c:pt>
                <c:pt idx="9">
                  <c:v>116.7994207096307</c:v>
                </c:pt>
                <c:pt idx="10">
                  <c:v>114.54044275992766</c:v>
                </c:pt>
                <c:pt idx="11">
                  <c:v>113.36307703378547</c:v>
                </c:pt>
                <c:pt idx="12">
                  <c:v>113.54510956053372</c:v>
                </c:pt>
                <c:pt idx="13">
                  <c:v>114.08761602897894</c:v>
                </c:pt>
                <c:pt idx="14">
                  <c:v>113.08249165546837</c:v>
                </c:pt>
                <c:pt idx="15">
                  <c:v>109.5762398223538</c:v>
                </c:pt>
                <c:pt idx="16">
                  <c:v>104.74602035215132</c:v>
                </c:pt>
                <c:pt idx="17">
                  <c:v>103.25992415544654</c:v>
                </c:pt>
                <c:pt idx="18">
                  <c:v>108.94943474764676</c:v>
                </c:pt>
                <c:pt idx="19">
                  <c:v>106.77624369932062</c:v>
                </c:pt>
                <c:pt idx="20">
                  <c:v>107.383100902379</c:v>
                </c:pt>
                <c:pt idx="21">
                  <c:v>104.31654676258992</c:v>
                </c:pt>
                <c:pt idx="22">
                  <c:v>99.038826356393074</c:v>
                </c:pt>
                <c:pt idx="23">
                  <c:v>93.014464996723959</c:v>
                </c:pt>
              </c:numCache>
            </c:numRef>
          </c:val>
          <c:smooth val="0"/>
          <c:extLst>
            <c:ext xmlns:c16="http://schemas.microsoft.com/office/drawing/2014/chart" uri="{C3380CC4-5D6E-409C-BE32-E72D297353CC}">
              <c16:uniqueId val="{00000032-8E51-4C90-86AB-E6AF041A4924}"/>
            </c:ext>
          </c:extLst>
        </c:ser>
        <c:dLbls>
          <c:showLegendKey val="0"/>
          <c:showVal val="0"/>
          <c:showCatName val="0"/>
          <c:showSerName val="0"/>
          <c:showPercent val="0"/>
          <c:showBubbleSize val="0"/>
        </c:dLbls>
        <c:marker val="1"/>
        <c:smooth val="0"/>
        <c:axId val="41390464"/>
        <c:axId val="41392384"/>
      </c:lineChart>
      <c:catAx>
        <c:axId val="41390464"/>
        <c:scaling>
          <c:orientation val="minMax"/>
        </c:scaling>
        <c:delete val="0"/>
        <c:axPos val="b"/>
        <c:numFmt formatCode="General" sourceLinked="1"/>
        <c:majorTickMark val="none"/>
        <c:minorTickMark val="none"/>
        <c:tickLblPos val="low"/>
        <c:spPr>
          <a:noFill/>
          <a:ln w="6350" cap="flat" cmpd="sng" algn="ctr">
            <a:solidFill>
              <a:schemeClr val="tx1">
                <a:lumMod val="95000"/>
                <a:lumOff val="5000"/>
              </a:schemeClr>
            </a:solidFill>
            <a:round/>
          </a:ln>
          <a:effectLst/>
        </c:spPr>
        <c:txPr>
          <a:bodyPr rot="-60000000" spcFirstLastPara="1" vertOverflow="ellipsis" vert="horz" wrap="square" anchor="ctr" anchorCtr="1"/>
          <a:lstStyle/>
          <a:p>
            <a:pPr>
              <a:defRPr sz="800" b="0" i="0" u="none" strike="noStrike" kern="1200" baseline="0">
                <a:solidFill>
                  <a:schemeClr val="tx1">
                    <a:lumMod val="95000"/>
                    <a:lumOff val="5000"/>
                  </a:schemeClr>
                </a:solidFill>
                <a:latin typeface="Arial" panose="020B0604020202020204" pitchFamily="34" charset="0"/>
                <a:ea typeface="+mn-ea"/>
                <a:cs typeface="Arial" panose="020B0604020202020204" pitchFamily="34" charset="0"/>
              </a:defRPr>
            </a:pPr>
            <a:endParaRPr lang="cs-CZ"/>
          </a:p>
        </c:txPr>
        <c:crossAx val="41392384"/>
        <c:crossesAt val="100"/>
        <c:auto val="1"/>
        <c:lblAlgn val="ctr"/>
        <c:lblOffset val="0"/>
        <c:noMultiLvlLbl val="0"/>
      </c:catAx>
      <c:valAx>
        <c:axId val="41392384"/>
        <c:scaling>
          <c:orientation val="minMax"/>
          <c:max val="141"/>
          <c:min val="7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95000"/>
                    <a:lumOff val="5000"/>
                  </a:schemeClr>
                </a:solidFill>
                <a:latin typeface="Arial" panose="020B0604020202020204" pitchFamily="34" charset="0"/>
                <a:ea typeface="+mn-ea"/>
                <a:cs typeface="Arial" panose="020B0604020202020204" pitchFamily="34" charset="0"/>
              </a:defRPr>
            </a:pPr>
            <a:endParaRPr lang="cs-CZ"/>
          </a:p>
        </c:txPr>
        <c:crossAx val="41390464"/>
        <c:crosses val="autoZero"/>
        <c:crossBetween val="between"/>
        <c:majorUnit val="5"/>
      </c:valAx>
      <c:spPr>
        <a:noFill/>
        <a:ln w="6350">
          <a:solidFill>
            <a:schemeClr val="tx1">
              <a:lumMod val="95000"/>
              <a:lumOff val="5000"/>
            </a:schemeClr>
          </a:solidFill>
        </a:ln>
        <a:effectLst/>
      </c:spPr>
    </c:plotArea>
    <c:legend>
      <c:legendPos val="b"/>
      <c:layout>
        <c:manualLayout>
          <c:xMode val="edge"/>
          <c:yMode val="edge"/>
          <c:x val="0.26860308162762236"/>
          <c:y val="0.94971821565619507"/>
          <c:w val="0.45772173090351725"/>
          <c:h val="4.3687868287043533E-2"/>
        </c:manualLayout>
      </c:layout>
      <c:overlay val="0"/>
      <c:spPr>
        <a:noFill/>
        <a:ln w="6350">
          <a:solidFill>
            <a:schemeClr val="tx1">
              <a:lumMod val="95000"/>
              <a:lumOff val="5000"/>
            </a:schemeClr>
          </a:solidFill>
        </a:ln>
        <a:effectLst/>
      </c:spPr>
      <c:txPr>
        <a:bodyPr rot="0" spcFirstLastPara="1" vertOverflow="ellipsis" vert="horz" wrap="square" anchor="ctr" anchorCtr="1"/>
        <a:lstStyle/>
        <a:p>
          <a:pPr>
            <a:defRPr sz="800" b="0" i="0" u="none" strike="noStrike" kern="1200" baseline="0">
              <a:solidFill>
                <a:schemeClr val="tx1">
                  <a:lumMod val="95000"/>
                  <a:lumOff val="5000"/>
                </a:schemeClr>
              </a:solidFill>
              <a:latin typeface="Arial" panose="020B0604020202020204" pitchFamily="34" charset="0"/>
              <a:ea typeface="+mn-ea"/>
              <a:cs typeface="Arial" panose="020B0604020202020204" pitchFamily="34" charset="0"/>
            </a:defRPr>
          </a:pPr>
          <a:endParaRPr lang="cs-CZ"/>
        </a:p>
      </c:txPr>
    </c:legend>
    <c:plotVisOnly val="1"/>
    <c:dispBlanksAs val="gap"/>
    <c:showDLblsOverMax val="0"/>
  </c:chart>
  <c:spPr>
    <a:solidFill>
      <a:schemeClr val="bg1"/>
    </a:solidFill>
    <a:ln w="9525" cap="flat" cmpd="sng" algn="ctr">
      <a:noFill/>
      <a:round/>
    </a:ln>
    <a:effectLst/>
  </c:spPr>
  <c:txPr>
    <a:bodyPr/>
    <a:lstStyle/>
    <a:p>
      <a:pPr>
        <a:defRPr/>
      </a:pPr>
      <a:endParaRPr lang="cs-CZ"/>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1755603720266684E-2"/>
          <c:y val="2.0121757685483802E-2"/>
          <c:w val="0.93317151422629663"/>
          <c:h val="0.73673488686900745"/>
        </c:manualLayout>
      </c:layout>
      <c:barChart>
        <c:barDir val="col"/>
        <c:grouping val="clustered"/>
        <c:varyColors val="0"/>
        <c:ser>
          <c:idx val="0"/>
          <c:order val="0"/>
          <c:tx>
            <c:strRef>
              <c:f>'Graf-4-SNÚ-zaměstn+podniktal'!$B$67</c:f>
              <c:strCache>
                <c:ptCount val="1"/>
                <c:pt idx="0">
                  <c:v>Zaměstnanost celkem (úvazky na plnou pracovní dobu)</c:v>
                </c:pt>
              </c:strCache>
            </c:strRef>
          </c:tx>
          <c:spPr>
            <a:solidFill>
              <a:schemeClr val="bg1">
                <a:lumMod val="65000"/>
              </a:schemeClr>
            </a:solidFill>
            <a:ln w="15875">
              <a:noFill/>
            </a:ln>
            <a:effectLst/>
          </c:spPr>
          <c:invertIfNegative val="0"/>
          <c:cat>
            <c:numRef>
              <c:f>'Graf-4-SNÚ-zaměstn+podniktal'!$C$66:$P$66</c:f>
              <c:numCache>
                <c:formatCode>General</c:formatCode>
                <c:ptCount val="14"/>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numCache>
            </c:numRef>
          </c:cat>
          <c:val>
            <c:numRef>
              <c:f>'Graf-4-SNÚ-zaměstn+podniktal'!$C$67:$P$67</c:f>
              <c:numCache>
                <c:formatCode>0.0</c:formatCode>
                <c:ptCount val="14"/>
                <c:pt idx="0">
                  <c:v>1.514640384121904</c:v>
                </c:pt>
                <c:pt idx="1">
                  <c:v>0.40841243183827292</c:v>
                </c:pt>
                <c:pt idx="2">
                  <c:v>1.9657856990307891</c:v>
                </c:pt>
                <c:pt idx="3">
                  <c:v>2.2957458900292904</c:v>
                </c:pt>
                <c:pt idx="4">
                  <c:v>-1.8395839269729781</c:v>
                </c:pt>
                <c:pt idx="5">
                  <c:v>-0.90904659729640969</c:v>
                </c:pt>
                <c:pt idx="6">
                  <c:v>-0.10762084642082957</c:v>
                </c:pt>
                <c:pt idx="7">
                  <c:v>9.425972621616549E-2</c:v>
                </c:pt>
                <c:pt idx="8">
                  <c:v>7.9830205455238196E-2</c:v>
                </c:pt>
                <c:pt idx="9">
                  <c:v>0.65747679844861295</c:v>
                </c:pt>
                <c:pt idx="10">
                  <c:v>1.3109120746584346</c:v>
                </c:pt>
                <c:pt idx="11">
                  <c:v>1.2505069279832541</c:v>
                </c:pt>
                <c:pt idx="12">
                  <c:v>1.2028924777152519</c:v>
                </c:pt>
                <c:pt idx="13">
                  <c:v>1.3242014785300711</c:v>
                </c:pt>
              </c:numCache>
            </c:numRef>
          </c:val>
          <c:extLst>
            <c:ext xmlns:c16="http://schemas.microsoft.com/office/drawing/2014/chart" uri="{C3380CC4-5D6E-409C-BE32-E72D297353CC}">
              <c16:uniqueId val="{00000000-1F52-4421-9F0D-BE05BCF83221}"/>
            </c:ext>
          </c:extLst>
        </c:ser>
        <c:ser>
          <c:idx val="1"/>
          <c:order val="1"/>
          <c:tx>
            <c:strRef>
              <c:f>'Graf-4-SNÚ-zaměstn+podniktal'!$B$68</c:f>
              <c:strCache>
                <c:ptCount val="1"/>
                <c:pt idx="0">
                  <c:v>Zaměstnanost celkem (odpracované hodiny)</c:v>
                </c:pt>
              </c:strCache>
            </c:strRef>
          </c:tx>
          <c:spPr>
            <a:solidFill>
              <a:schemeClr val="bg1">
                <a:lumMod val="85000"/>
              </a:schemeClr>
            </a:solidFill>
            <a:ln w="12700">
              <a:noFill/>
              <a:prstDash val="sysDot"/>
            </a:ln>
            <a:effectLst/>
          </c:spPr>
          <c:invertIfNegative val="0"/>
          <c:cat>
            <c:numRef>
              <c:f>'Graf-4-SNÚ-zaměstn+podniktal'!$C$66:$P$66</c:f>
              <c:numCache>
                <c:formatCode>General</c:formatCode>
                <c:ptCount val="14"/>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numCache>
            </c:numRef>
          </c:cat>
          <c:val>
            <c:numRef>
              <c:f>'Graf-4-SNÚ-zaměstn+podniktal'!$C$68:$P$68</c:f>
              <c:numCache>
                <c:formatCode>0.0</c:formatCode>
                <c:ptCount val="14"/>
                <c:pt idx="0">
                  <c:v>1.9373544912762122</c:v>
                </c:pt>
                <c:pt idx="1">
                  <c:v>0.35360755620932594</c:v>
                </c:pt>
                <c:pt idx="2">
                  <c:v>1.2478934118478258</c:v>
                </c:pt>
                <c:pt idx="3">
                  <c:v>2.4746209789637397</c:v>
                </c:pt>
                <c:pt idx="4">
                  <c:v>-2.3970483131377116</c:v>
                </c:pt>
                <c:pt idx="5">
                  <c:v>0.11913514638639827</c:v>
                </c:pt>
                <c:pt idx="6">
                  <c:v>6.6446854713348102E-2</c:v>
                </c:pt>
                <c:pt idx="7">
                  <c:v>-1.2206374903874178</c:v>
                </c:pt>
                <c:pt idx="8">
                  <c:v>-0.41900327889992245</c:v>
                </c:pt>
                <c:pt idx="9">
                  <c:v>1.3351077463600101</c:v>
                </c:pt>
                <c:pt idx="10">
                  <c:v>0.25303782545887543</c:v>
                </c:pt>
                <c:pt idx="11">
                  <c:v>2.8836952933693847</c:v>
                </c:pt>
                <c:pt idx="12">
                  <c:v>1.8874592905544711</c:v>
                </c:pt>
                <c:pt idx="13">
                  <c:v>1.4792740304981178</c:v>
                </c:pt>
              </c:numCache>
            </c:numRef>
          </c:val>
          <c:extLst>
            <c:ext xmlns:c16="http://schemas.microsoft.com/office/drawing/2014/chart" uri="{C3380CC4-5D6E-409C-BE32-E72D297353CC}">
              <c16:uniqueId val="{00000001-1F52-4421-9F0D-BE05BCF83221}"/>
            </c:ext>
          </c:extLst>
        </c:ser>
        <c:dLbls>
          <c:showLegendKey val="0"/>
          <c:showVal val="0"/>
          <c:showCatName val="0"/>
          <c:showSerName val="0"/>
          <c:showPercent val="0"/>
          <c:showBubbleSize val="0"/>
        </c:dLbls>
        <c:gapWidth val="150"/>
        <c:axId val="100938112"/>
        <c:axId val="100939648"/>
      </c:barChart>
      <c:lineChart>
        <c:grouping val="standard"/>
        <c:varyColors val="0"/>
        <c:ser>
          <c:idx val="2"/>
          <c:order val="2"/>
          <c:tx>
            <c:strRef>
              <c:f>'Graf-4-SNÚ-zaměstn+podniktal'!$B$69</c:f>
              <c:strCache>
                <c:ptCount val="1"/>
                <c:pt idx="0">
                  <c:v>Zaměstnanci (úvazky na plnou pracovní dobu)</c:v>
                </c:pt>
              </c:strCache>
            </c:strRef>
          </c:tx>
          <c:spPr>
            <a:ln w="15875" cap="rnd">
              <a:solidFill>
                <a:srgbClr val="BD1B21"/>
              </a:solidFill>
              <a:round/>
            </a:ln>
            <a:effectLst/>
          </c:spPr>
          <c:marker>
            <c:symbol val="none"/>
          </c:marker>
          <c:cat>
            <c:numRef>
              <c:f>'Graf-4-SNÚ-zaměstn+podniktal'!$C$66:$P$66</c:f>
              <c:numCache>
                <c:formatCode>General</c:formatCode>
                <c:ptCount val="14"/>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numCache>
            </c:numRef>
          </c:cat>
          <c:val>
            <c:numRef>
              <c:f>'Graf-4-SNÚ-zaměstn+podniktal'!$C$69:$P$69</c:f>
              <c:numCache>
                <c:formatCode>0.0</c:formatCode>
                <c:ptCount val="14"/>
                <c:pt idx="0">
                  <c:v>2.6820134957257791</c:v>
                </c:pt>
                <c:pt idx="1">
                  <c:v>0.2717276336820903</c:v>
                </c:pt>
                <c:pt idx="2">
                  <c:v>2.3021385855294771</c:v>
                </c:pt>
                <c:pt idx="3">
                  <c:v>2.4906193413417981</c:v>
                </c:pt>
                <c:pt idx="4">
                  <c:v>-2.3440642101986797</c:v>
                </c:pt>
                <c:pt idx="5">
                  <c:v>-1.7557918174797846</c:v>
                </c:pt>
                <c:pt idx="6">
                  <c:v>-0.40467687699499877</c:v>
                </c:pt>
                <c:pt idx="7">
                  <c:v>0.33434590429837452</c:v>
                </c:pt>
                <c:pt idx="8">
                  <c:v>0.88214404708688265</c:v>
                </c:pt>
                <c:pt idx="9">
                  <c:v>0.84652771313400965</c:v>
                </c:pt>
                <c:pt idx="10">
                  <c:v>1.765345111158354</c:v>
                </c:pt>
                <c:pt idx="11">
                  <c:v>1.5048223350835173</c:v>
                </c:pt>
                <c:pt idx="12">
                  <c:v>1.3396956219851006</c:v>
                </c:pt>
                <c:pt idx="13">
                  <c:v>1.4882101530696159</c:v>
                </c:pt>
              </c:numCache>
            </c:numRef>
          </c:val>
          <c:smooth val="0"/>
          <c:extLst>
            <c:ext xmlns:c16="http://schemas.microsoft.com/office/drawing/2014/chart" uri="{C3380CC4-5D6E-409C-BE32-E72D297353CC}">
              <c16:uniqueId val="{00000002-1F52-4421-9F0D-BE05BCF83221}"/>
            </c:ext>
          </c:extLst>
        </c:ser>
        <c:ser>
          <c:idx val="3"/>
          <c:order val="3"/>
          <c:tx>
            <c:strRef>
              <c:f>'Graf-4-SNÚ-zaměstn+podniktal'!$B$70</c:f>
              <c:strCache>
                <c:ptCount val="1"/>
                <c:pt idx="0">
                  <c:v>Zaměstnanci (odpracované hodiny)</c:v>
                </c:pt>
              </c:strCache>
            </c:strRef>
          </c:tx>
          <c:spPr>
            <a:ln w="12700" cap="rnd">
              <a:solidFill>
                <a:srgbClr val="C00000"/>
              </a:solidFill>
              <a:prstDash val="sysDot"/>
              <a:round/>
            </a:ln>
            <a:effectLst/>
          </c:spPr>
          <c:marker>
            <c:symbol val="x"/>
            <c:size val="3"/>
            <c:spPr>
              <a:noFill/>
              <a:ln w="9525">
                <a:solidFill>
                  <a:srgbClr val="BD1B21"/>
                </a:solidFill>
              </a:ln>
              <a:effectLst/>
            </c:spPr>
          </c:marker>
          <c:cat>
            <c:numRef>
              <c:f>'Graf-4-SNÚ-zaměstn+podniktal'!$C$66:$P$66</c:f>
              <c:numCache>
                <c:formatCode>General</c:formatCode>
                <c:ptCount val="14"/>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numCache>
            </c:numRef>
          </c:cat>
          <c:val>
            <c:numRef>
              <c:f>'Graf-4-SNÚ-zaměstn+podniktal'!$C$70:$P$70</c:f>
              <c:numCache>
                <c:formatCode>0.0</c:formatCode>
                <c:ptCount val="14"/>
                <c:pt idx="0">
                  <c:v>3.5158225500839535</c:v>
                </c:pt>
                <c:pt idx="1">
                  <c:v>0.45168501795859584</c:v>
                </c:pt>
                <c:pt idx="2">
                  <c:v>2.0414070762211196</c:v>
                </c:pt>
                <c:pt idx="3">
                  <c:v>2.8040015403437053</c:v>
                </c:pt>
                <c:pt idx="4">
                  <c:v>-2.5800956422020604</c:v>
                </c:pt>
                <c:pt idx="5">
                  <c:v>-0.62608673111684254</c:v>
                </c:pt>
                <c:pt idx="6">
                  <c:v>-3.6410139571785381E-3</c:v>
                </c:pt>
                <c:pt idx="7">
                  <c:v>-6.9304061413646659E-2</c:v>
                </c:pt>
                <c:pt idx="8">
                  <c:v>0.69333091146992842</c:v>
                </c:pt>
                <c:pt idx="9">
                  <c:v>1.6227049339919284</c:v>
                </c:pt>
                <c:pt idx="10">
                  <c:v>0.65870845205440154</c:v>
                </c:pt>
                <c:pt idx="11">
                  <c:v>3.2694946602231312</c:v>
                </c:pt>
                <c:pt idx="12">
                  <c:v>1.9663538892499042</c:v>
                </c:pt>
                <c:pt idx="13">
                  <c:v>1.4758993064125689</c:v>
                </c:pt>
              </c:numCache>
            </c:numRef>
          </c:val>
          <c:smooth val="0"/>
          <c:extLst>
            <c:ext xmlns:c16="http://schemas.microsoft.com/office/drawing/2014/chart" uri="{C3380CC4-5D6E-409C-BE32-E72D297353CC}">
              <c16:uniqueId val="{00000003-1F52-4421-9F0D-BE05BCF83221}"/>
            </c:ext>
          </c:extLst>
        </c:ser>
        <c:ser>
          <c:idx val="4"/>
          <c:order val="4"/>
          <c:tx>
            <c:strRef>
              <c:f>'Graf-4-SNÚ-zaměstn+podniktal'!$B$71</c:f>
              <c:strCache>
                <c:ptCount val="1"/>
                <c:pt idx="0">
                  <c:v>Sebezaměstnaní (úvazky na plnou pracovní dobu)</c:v>
                </c:pt>
              </c:strCache>
            </c:strRef>
          </c:tx>
          <c:spPr>
            <a:ln w="15875" cap="rnd">
              <a:solidFill>
                <a:srgbClr val="00B050"/>
              </a:solidFill>
              <a:round/>
            </a:ln>
            <a:effectLst/>
          </c:spPr>
          <c:marker>
            <c:symbol val="none"/>
          </c:marker>
          <c:cat>
            <c:numRef>
              <c:f>'Graf-4-SNÚ-zaměstn+podniktal'!$C$66:$P$66</c:f>
              <c:numCache>
                <c:formatCode>General</c:formatCode>
                <c:ptCount val="14"/>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numCache>
            </c:numRef>
          </c:cat>
          <c:val>
            <c:numRef>
              <c:f>'Graf-4-SNÚ-zaměstn+podniktal'!$C$71:$P$71</c:f>
              <c:numCache>
                <c:formatCode>0.0</c:formatCode>
                <c:ptCount val="14"/>
                <c:pt idx="0">
                  <c:v>-4.5736448992914802</c:v>
                </c:pt>
                <c:pt idx="1">
                  <c:v>1.1754763677337661</c:v>
                </c:pt>
                <c:pt idx="2">
                  <c:v>9.5061571260373526E-2</c:v>
                </c:pt>
                <c:pt idx="3">
                  <c:v>1.1880020928122421</c:v>
                </c:pt>
                <c:pt idx="4">
                  <c:v>1.0650134697500162</c:v>
                </c:pt>
                <c:pt idx="5">
                  <c:v>3.8017278226067512</c:v>
                </c:pt>
                <c:pt idx="6">
                  <c:v>1.4565360072471067</c:v>
                </c:pt>
                <c:pt idx="7">
                  <c:v>-1.146729471955922</c:v>
                </c:pt>
                <c:pt idx="8">
                  <c:v>-4.1294099936424704</c:v>
                </c:pt>
                <c:pt idx="9">
                  <c:v>-0.38620260063848388</c:v>
                </c:pt>
                <c:pt idx="10">
                  <c:v>-1.2288888541487641</c:v>
                </c:pt>
                <c:pt idx="11">
                  <c:v>-0.21393590627971548</c:v>
                </c:pt>
                <c:pt idx="12">
                  <c:v>0.40156024262802226</c:v>
                </c:pt>
                <c:pt idx="13">
                  <c:v>0.35453476691940122</c:v>
                </c:pt>
              </c:numCache>
            </c:numRef>
          </c:val>
          <c:smooth val="0"/>
          <c:extLst>
            <c:ext xmlns:c16="http://schemas.microsoft.com/office/drawing/2014/chart" uri="{C3380CC4-5D6E-409C-BE32-E72D297353CC}">
              <c16:uniqueId val="{00000004-1F52-4421-9F0D-BE05BCF83221}"/>
            </c:ext>
          </c:extLst>
        </c:ser>
        <c:ser>
          <c:idx val="5"/>
          <c:order val="5"/>
          <c:tx>
            <c:strRef>
              <c:f>'Graf-4-SNÚ-zaměstn+podniktal'!$B$72</c:f>
              <c:strCache>
                <c:ptCount val="1"/>
                <c:pt idx="0">
                  <c:v>Sebezaměstnaní (odpracované hodiny)</c:v>
                </c:pt>
              </c:strCache>
            </c:strRef>
          </c:tx>
          <c:spPr>
            <a:ln w="12700" cap="rnd">
              <a:solidFill>
                <a:srgbClr val="00B050"/>
              </a:solidFill>
              <a:prstDash val="sysDot"/>
              <a:round/>
            </a:ln>
            <a:effectLst/>
          </c:spPr>
          <c:marker>
            <c:symbol val="x"/>
            <c:size val="3"/>
            <c:spPr>
              <a:noFill/>
              <a:ln w="9525">
                <a:solidFill>
                  <a:srgbClr val="00B050"/>
                </a:solidFill>
              </a:ln>
              <a:effectLst/>
            </c:spPr>
          </c:marker>
          <c:cat>
            <c:numRef>
              <c:f>'Graf-4-SNÚ-zaměstn+podniktal'!$C$66:$P$66</c:f>
              <c:numCache>
                <c:formatCode>General</c:formatCode>
                <c:ptCount val="14"/>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numCache>
            </c:numRef>
          </c:cat>
          <c:val>
            <c:numRef>
              <c:f>'Graf-4-SNÚ-zaměstn+podniktal'!$C$72:$P$72</c:f>
              <c:numCache>
                <c:formatCode>0.0</c:formatCode>
                <c:ptCount val="14"/>
                <c:pt idx="0">
                  <c:v>-4.1605860857834358</c:v>
                </c:pt>
                <c:pt idx="1">
                  <c:v>-5.5633499000094892E-2</c:v>
                </c:pt>
                <c:pt idx="2">
                  <c:v>-2.0799531538954739</c:v>
                </c:pt>
                <c:pt idx="3">
                  <c:v>1.0351209561617341</c:v>
                </c:pt>
                <c:pt idx="4">
                  <c:v>-1.5830663891265715</c:v>
                </c:pt>
                <c:pt idx="5">
                  <c:v>3.3994447072470848</c:v>
                </c:pt>
                <c:pt idx="6">
                  <c:v>0.36294793033468492</c:v>
                </c:pt>
                <c:pt idx="7">
                  <c:v>-6.0734701076717101</c:v>
                </c:pt>
                <c:pt idx="8">
                  <c:v>-5.4071603247698192</c:v>
                </c:pt>
                <c:pt idx="9">
                  <c:v>-3.7770143539432872E-2</c:v>
                </c:pt>
                <c:pt idx="10">
                  <c:v>-1.7156445531122535</c:v>
                </c:pt>
                <c:pt idx="11">
                  <c:v>0.96621653537107477</c:v>
                </c:pt>
                <c:pt idx="12">
                  <c:v>1.486396573412762</c:v>
                </c:pt>
                <c:pt idx="13">
                  <c:v>1.4965106600934917</c:v>
                </c:pt>
              </c:numCache>
            </c:numRef>
          </c:val>
          <c:smooth val="0"/>
          <c:extLst>
            <c:ext xmlns:c16="http://schemas.microsoft.com/office/drawing/2014/chart" uri="{C3380CC4-5D6E-409C-BE32-E72D297353CC}">
              <c16:uniqueId val="{00000005-1F52-4421-9F0D-BE05BCF83221}"/>
            </c:ext>
          </c:extLst>
        </c:ser>
        <c:dLbls>
          <c:showLegendKey val="0"/>
          <c:showVal val="0"/>
          <c:showCatName val="0"/>
          <c:showSerName val="0"/>
          <c:showPercent val="0"/>
          <c:showBubbleSize val="0"/>
        </c:dLbls>
        <c:marker val="1"/>
        <c:smooth val="0"/>
        <c:axId val="100938112"/>
        <c:axId val="100939648"/>
      </c:lineChart>
      <c:catAx>
        <c:axId val="100938112"/>
        <c:scaling>
          <c:orientation val="minMax"/>
        </c:scaling>
        <c:delete val="0"/>
        <c:axPos val="b"/>
        <c:numFmt formatCode="General" sourceLinked="1"/>
        <c:majorTickMark val="none"/>
        <c:minorTickMark val="none"/>
        <c:tickLblPos val="low"/>
        <c:spPr>
          <a:noFill/>
          <a:ln w="6350" cap="flat" cmpd="sng" algn="ctr">
            <a:solidFill>
              <a:schemeClr val="tx1">
                <a:lumMod val="95000"/>
                <a:lumOff val="5000"/>
              </a:schemeClr>
            </a:solidFill>
            <a:round/>
          </a:ln>
          <a:effectLst/>
        </c:spPr>
        <c:txPr>
          <a:bodyPr rot="0" spcFirstLastPara="1" vertOverflow="ellipsis"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cs-CZ"/>
          </a:p>
        </c:txPr>
        <c:crossAx val="100939648"/>
        <c:crossesAt val="0"/>
        <c:auto val="1"/>
        <c:lblAlgn val="ctr"/>
        <c:lblOffset val="0"/>
        <c:noMultiLvlLbl val="0"/>
      </c:catAx>
      <c:valAx>
        <c:axId val="100939648"/>
        <c:scaling>
          <c:orientation val="minMax"/>
          <c:max val="4"/>
          <c:min val="-7"/>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cs-CZ"/>
          </a:p>
        </c:txPr>
        <c:crossAx val="100938112"/>
        <c:crosses val="autoZero"/>
        <c:crossBetween val="between"/>
        <c:majorUnit val="1"/>
      </c:valAx>
      <c:spPr>
        <a:noFill/>
        <a:ln w="6350">
          <a:solidFill>
            <a:schemeClr val="tx1">
              <a:lumMod val="95000"/>
              <a:lumOff val="5000"/>
            </a:schemeClr>
          </a:solidFill>
        </a:ln>
        <a:effectLst/>
      </c:spPr>
    </c:plotArea>
    <c:legend>
      <c:legendPos val="b"/>
      <c:layout>
        <c:manualLayout>
          <c:xMode val="edge"/>
          <c:yMode val="edge"/>
          <c:x val="5.36963050396689E-2"/>
          <c:y val="0.80716134773889991"/>
          <c:w val="0.92153829646649965"/>
          <c:h val="0.17677458214287406"/>
        </c:manualLayout>
      </c:layout>
      <c:overlay val="0"/>
      <c:spPr>
        <a:noFill/>
        <a:ln w="6350">
          <a:solidFill>
            <a:schemeClr val="tx1">
              <a:lumMod val="95000"/>
              <a:lumOff val="5000"/>
            </a:schemeClr>
          </a:solid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cs-CZ"/>
        </a:p>
      </c:txPr>
    </c:legend>
    <c:plotVisOnly val="1"/>
    <c:dispBlanksAs val="gap"/>
    <c:showDLblsOverMax val="0"/>
  </c:chart>
  <c:spPr>
    <a:solidFill>
      <a:schemeClr val="bg1"/>
    </a:solidFill>
    <a:ln w="9525" cap="flat" cmpd="sng" algn="ctr">
      <a:noFill/>
      <a:round/>
    </a:ln>
    <a:effectLst/>
  </c:spPr>
  <c:txPr>
    <a:bodyPr/>
    <a:lstStyle/>
    <a:p>
      <a:pPr>
        <a:defRPr/>
      </a:pPr>
      <a:endParaRPr lang="cs-CZ"/>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1755603720266684E-2"/>
          <c:y val="1.6667989341713259E-2"/>
          <c:w val="0.93541051170689848"/>
          <c:h val="0.68882375745146662"/>
        </c:manualLayout>
      </c:layout>
      <c:barChart>
        <c:barDir val="col"/>
        <c:grouping val="stacked"/>
        <c:varyColors val="0"/>
        <c:ser>
          <c:idx val="0"/>
          <c:order val="0"/>
          <c:tx>
            <c:strRef>
              <c:f>'Graf-5-zaměstn-průmysl'!$A$161</c:f>
              <c:strCache>
                <c:ptCount val="1"/>
                <c:pt idx="0">
                  <c:v>Těžební průmysl</c:v>
                </c:pt>
              </c:strCache>
            </c:strRef>
          </c:tx>
          <c:spPr>
            <a:solidFill>
              <a:schemeClr val="tx1">
                <a:lumMod val="95000"/>
                <a:lumOff val="5000"/>
              </a:schemeClr>
            </a:solidFill>
            <a:ln w="6350">
              <a:noFill/>
            </a:ln>
            <a:effectLst/>
          </c:spPr>
          <c:invertIfNegative val="0"/>
          <c:cat>
            <c:numRef>
              <c:f>'Graf-5-zaměstn-průmysl'!$N$160:$AA$160</c:f>
              <c:numCache>
                <c:formatCode>General</c:formatCode>
                <c:ptCount val="14"/>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numCache>
            </c:numRef>
          </c:cat>
          <c:val>
            <c:numRef>
              <c:f>'Graf-5-zaměstn-průmysl'!$N$161:$AA$161</c:f>
              <c:numCache>
                <c:formatCode>0.00</c:formatCode>
                <c:ptCount val="14"/>
                <c:pt idx="0">
                  <c:v>-6.9744724601931984E-2</c:v>
                </c:pt>
                <c:pt idx="1">
                  <c:v>4.5544615029043372E-3</c:v>
                </c:pt>
                <c:pt idx="2">
                  <c:v>-0.18561027591049598</c:v>
                </c:pt>
                <c:pt idx="3">
                  <c:v>0.15327964314040493</c:v>
                </c:pt>
                <c:pt idx="4">
                  <c:v>-0.37188001219496147</c:v>
                </c:pt>
                <c:pt idx="5">
                  <c:v>-0.16186188309800489</c:v>
                </c:pt>
                <c:pt idx="6">
                  <c:v>-6.9960247850747614E-2</c:v>
                </c:pt>
                <c:pt idx="7">
                  <c:v>-3.1187451536622741E-2</c:v>
                </c:pt>
                <c:pt idx="8">
                  <c:v>-9.6536163550946297E-2</c:v>
                </c:pt>
                <c:pt idx="9">
                  <c:v>0.12887385281668118</c:v>
                </c:pt>
                <c:pt idx="10">
                  <c:v>-0.10085170667000992</c:v>
                </c:pt>
                <c:pt idx="11">
                  <c:v>-0.15784177364416091</c:v>
                </c:pt>
                <c:pt idx="12">
                  <c:v>-0.15155335536334671</c:v>
                </c:pt>
                <c:pt idx="13">
                  <c:v>-0.11187504823622064</c:v>
                </c:pt>
              </c:numCache>
            </c:numRef>
          </c:val>
          <c:extLst>
            <c:ext xmlns:c16="http://schemas.microsoft.com/office/drawing/2014/chart" uri="{C3380CC4-5D6E-409C-BE32-E72D297353CC}">
              <c16:uniqueId val="{00000000-78A9-4FD6-AE47-F22C21268808}"/>
            </c:ext>
          </c:extLst>
        </c:ser>
        <c:ser>
          <c:idx val="1"/>
          <c:order val="1"/>
          <c:tx>
            <c:strRef>
              <c:f>'Graf-5-zaměstn-průmysl'!$A$162</c:f>
              <c:strCache>
                <c:ptCount val="1"/>
                <c:pt idx="0">
                  <c:v>Potravinářský, nápojový a tabák. průmysl</c:v>
                </c:pt>
              </c:strCache>
            </c:strRef>
          </c:tx>
          <c:spPr>
            <a:solidFill>
              <a:schemeClr val="accent3">
                <a:lumMod val="40000"/>
                <a:lumOff val="60000"/>
              </a:schemeClr>
            </a:solidFill>
            <a:ln>
              <a:noFill/>
            </a:ln>
          </c:spPr>
          <c:invertIfNegative val="0"/>
          <c:cat>
            <c:numRef>
              <c:f>'Graf-5-zaměstn-průmysl'!$N$160:$AA$160</c:f>
              <c:numCache>
                <c:formatCode>General</c:formatCode>
                <c:ptCount val="14"/>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numCache>
            </c:numRef>
          </c:cat>
          <c:val>
            <c:numRef>
              <c:f>'Graf-5-zaměstn-průmysl'!$N$162:$AA$162</c:f>
              <c:numCache>
                <c:formatCode>0.00</c:formatCode>
                <c:ptCount val="14"/>
                <c:pt idx="0">
                  <c:v>-0.5065158627651235</c:v>
                </c:pt>
                <c:pt idx="1">
                  <c:v>-0.42499243755459482</c:v>
                </c:pt>
                <c:pt idx="2">
                  <c:v>-0.58858715812325146</c:v>
                </c:pt>
                <c:pt idx="3">
                  <c:v>0.10142916228732959</c:v>
                </c:pt>
                <c:pt idx="4">
                  <c:v>0.18093609575694958</c:v>
                </c:pt>
                <c:pt idx="5">
                  <c:v>-0.45544190937020312</c:v>
                </c:pt>
                <c:pt idx="6">
                  <c:v>-6.5836275345861395E-2</c:v>
                </c:pt>
                <c:pt idx="7">
                  <c:v>0.1174869749667297</c:v>
                </c:pt>
                <c:pt idx="8">
                  <c:v>-0.12880925048586644</c:v>
                </c:pt>
                <c:pt idx="9">
                  <c:v>-0.10116668490129799</c:v>
                </c:pt>
                <c:pt idx="10">
                  <c:v>0.20387452646972137</c:v>
                </c:pt>
                <c:pt idx="11">
                  <c:v>0.10232876070086361</c:v>
                </c:pt>
                <c:pt idx="12">
                  <c:v>1.8095923028459287E-2</c:v>
                </c:pt>
                <c:pt idx="13">
                  <c:v>2.1240427790131477E-2</c:v>
                </c:pt>
              </c:numCache>
            </c:numRef>
          </c:val>
          <c:extLst>
            <c:ext xmlns:c16="http://schemas.microsoft.com/office/drawing/2014/chart" uri="{C3380CC4-5D6E-409C-BE32-E72D297353CC}">
              <c16:uniqueId val="{00000001-78A9-4FD6-AE47-F22C21268808}"/>
            </c:ext>
          </c:extLst>
        </c:ser>
        <c:ser>
          <c:idx val="2"/>
          <c:order val="2"/>
          <c:tx>
            <c:strRef>
              <c:f>'Graf-5-zaměstn-průmysl'!$A$163</c:f>
              <c:strCache>
                <c:ptCount val="1"/>
                <c:pt idx="0">
                  <c:v>Textilní, oděvní a kožedělný průmysl</c:v>
                </c:pt>
              </c:strCache>
            </c:strRef>
          </c:tx>
          <c:spPr>
            <a:solidFill>
              <a:srgbClr val="9DD553"/>
            </a:solidFill>
            <a:ln>
              <a:noFill/>
            </a:ln>
          </c:spPr>
          <c:invertIfNegative val="0"/>
          <c:cat>
            <c:numRef>
              <c:f>'Graf-5-zaměstn-průmysl'!$N$160:$AA$160</c:f>
              <c:numCache>
                <c:formatCode>General</c:formatCode>
                <c:ptCount val="14"/>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numCache>
            </c:numRef>
          </c:cat>
          <c:val>
            <c:numRef>
              <c:f>'Graf-5-zaměstn-průmysl'!$N$163:$AA$163</c:f>
              <c:numCache>
                <c:formatCode>0.00</c:formatCode>
                <c:ptCount val="14"/>
                <c:pt idx="0">
                  <c:v>-0.28036547344951596</c:v>
                </c:pt>
                <c:pt idx="1">
                  <c:v>-0.87289313669842705</c:v>
                </c:pt>
                <c:pt idx="2">
                  <c:v>-0.37156275365711011</c:v>
                </c:pt>
                <c:pt idx="3">
                  <c:v>-0.48790233400664146</c:v>
                </c:pt>
                <c:pt idx="4">
                  <c:v>-0.64553757240757792</c:v>
                </c:pt>
                <c:pt idx="5">
                  <c:v>-0.31222342940043218</c:v>
                </c:pt>
                <c:pt idx="6">
                  <c:v>1.1782778585389079E-3</c:v>
                </c:pt>
                <c:pt idx="7">
                  <c:v>-5.8814691710617449E-2</c:v>
                </c:pt>
                <c:pt idx="8">
                  <c:v>-4.6074078058406062E-2</c:v>
                </c:pt>
                <c:pt idx="9">
                  <c:v>-4.9375594105619411E-2</c:v>
                </c:pt>
                <c:pt idx="10">
                  <c:v>8.3973052984265245E-2</c:v>
                </c:pt>
                <c:pt idx="11">
                  <c:v>2.4596953103394829E-2</c:v>
                </c:pt>
                <c:pt idx="12">
                  <c:v>-5.1227429161447263E-2</c:v>
                </c:pt>
                <c:pt idx="13">
                  <c:v>-2.0976571544291341E-2</c:v>
                </c:pt>
              </c:numCache>
            </c:numRef>
          </c:val>
          <c:extLst>
            <c:ext xmlns:c16="http://schemas.microsoft.com/office/drawing/2014/chart" uri="{C3380CC4-5D6E-409C-BE32-E72D297353CC}">
              <c16:uniqueId val="{00000002-78A9-4FD6-AE47-F22C21268808}"/>
            </c:ext>
          </c:extLst>
        </c:ser>
        <c:ser>
          <c:idx val="3"/>
          <c:order val="3"/>
          <c:tx>
            <c:strRef>
              <c:f>'Graf-5-zaměstn-průmysl'!$A$164</c:f>
              <c:strCache>
                <c:ptCount val="1"/>
                <c:pt idx="0">
                  <c:v>Dřevozprac., papírenský, nábytkář. průmysl</c:v>
                </c:pt>
              </c:strCache>
            </c:strRef>
          </c:tx>
          <c:spPr>
            <a:solidFill>
              <a:srgbClr val="00B050"/>
            </a:solidFill>
            <a:ln>
              <a:noFill/>
            </a:ln>
          </c:spPr>
          <c:invertIfNegative val="0"/>
          <c:cat>
            <c:numRef>
              <c:f>'Graf-5-zaměstn-průmysl'!$N$160:$AA$160</c:f>
              <c:numCache>
                <c:formatCode>General</c:formatCode>
                <c:ptCount val="14"/>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numCache>
            </c:numRef>
          </c:cat>
          <c:val>
            <c:numRef>
              <c:f>'Graf-5-zaměstn-průmysl'!$N$164:$AA$164</c:f>
              <c:numCache>
                <c:formatCode>0.00</c:formatCode>
                <c:ptCount val="14"/>
                <c:pt idx="0">
                  <c:v>-0.30560113921005538</c:v>
                </c:pt>
                <c:pt idx="1">
                  <c:v>-2.5695320120863296E-2</c:v>
                </c:pt>
                <c:pt idx="2">
                  <c:v>-0.26041559728592834</c:v>
                </c:pt>
                <c:pt idx="3">
                  <c:v>6.8888976494227164E-2</c:v>
                </c:pt>
                <c:pt idx="4">
                  <c:v>-0.2601370607494598</c:v>
                </c:pt>
                <c:pt idx="5">
                  <c:v>-0.13371820174733731</c:v>
                </c:pt>
                <c:pt idx="6">
                  <c:v>-0.31099171228811201</c:v>
                </c:pt>
                <c:pt idx="7">
                  <c:v>-4.9486937940531828E-2</c:v>
                </c:pt>
                <c:pt idx="8">
                  <c:v>-0.27630291972352888</c:v>
                </c:pt>
                <c:pt idx="9">
                  <c:v>-0.11807516173171147</c:v>
                </c:pt>
                <c:pt idx="10">
                  <c:v>2.9064901575037581E-2</c:v>
                </c:pt>
                <c:pt idx="11">
                  <c:v>-4.1719693937802463E-2</c:v>
                </c:pt>
                <c:pt idx="12">
                  <c:v>-0.10125733400483453</c:v>
                </c:pt>
                <c:pt idx="13">
                  <c:v>7.064750982369819E-2</c:v>
                </c:pt>
              </c:numCache>
            </c:numRef>
          </c:val>
          <c:extLst>
            <c:ext xmlns:c16="http://schemas.microsoft.com/office/drawing/2014/chart" uri="{C3380CC4-5D6E-409C-BE32-E72D297353CC}">
              <c16:uniqueId val="{00000003-78A9-4FD6-AE47-F22C21268808}"/>
            </c:ext>
          </c:extLst>
        </c:ser>
        <c:ser>
          <c:idx val="4"/>
          <c:order val="4"/>
          <c:tx>
            <c:strRef>
              <c:f>'Graf-5-zaměstn-průmysl'!$A$165</c:f>
              <c:strCache>
                <c:ptCount val="1"/>
                <c:pt idx="0">
                  <c:v>(Petro-)chemický a farmaceutický průmysl</c:v>
                </c:pt>
              </c:strCache>
            </c:strRef>
          </c:tx>
          <c:spPr>
            <a:solidFill>
              <a:srgbClr val="7030A0"/>
            </a:solidFill>
            <a:ln>
              <a:noFill/>
            </a:ln>
          </c:spPr>
          <c:invertIfNegative val="0"/>
          <c:cat>
            <c:numRef>
              <c:f>'Graf-5-zaměstn-průmysl'!$N$160:$AA$160</c:f>
              <c:numCache>
                <c:formatCode>General</c:formatCode>
                <c:ptCount val="14"/>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numCache>
            </c:numRef>
          </c:cat>
          <c:val>
            <c:numRef>
              <c:f>'Graf-5-zaměstn-průmysl'!$N$165:$AA$165</c:f>
              <c:numCache>
                <c:formatCode>0.00</c:formatCode>
                <c:ptCount val="14"/>
                <c:pt idx="0">
                  <c:v>5.3660454117192113E-2</c:v>
                </c:pt>
                <c:pt idx="1">
                  <c:v>-0.10366498196909116</c:v>
                </c:pt>
                <c:pt idx="2">
                  <c:v>-0.18704752362219243</c:v>
                </c:pt>
                <c:pt idx="3">
                  <c:v>6.7485806264955799E-3</c:v>
                </c:pt>
                <c:pt idx="4">
                  <c:v>0.10948953486830765</c:v>
                </c:pt>
                <c:pt idx="5">
                  <c:v>-0.10821745493975173</c:v>
                </c:pt>
                <c:pt idx="6">
                  <c:v>-3.5053766291532396E-2</c:v>
                </c:pt>
                <c:pt idx="7">
                  <c:v>4.6638768850428981E-2</c:v>
                </c:pt>
                <c:pt idx="8">
                  <c:v>-4.2252265131902333E-2</c:v>
                </c:pt>
                <c:pt idx="9">
                  <c:v>6.7349731240470792E-2</c:v>
                </c:pt>
                <c:pt idx="10">
                  <c:v>-9.4548475003134475E-3</c:v>
                </c:pt>
                <c:pt idx="11">
                  <c:v>4.8922116669735595E-2</c:v>
                </c:pt>
                <c:pt idx="12">
                  <c:v>5.4420827342940181E-2</c:v>
                </c:pt>
                <c:pt idx="13">
                  <c:v>-1.431420133682774E-2</c:v>
                </c:pt>
              </c:numCache>
            </c:numRef>
          </c:val>
          <c:extLst>
            <c:ext xmlns:c16="http://schemas.microsoft.com/office/drawing/2014/chart" uri="{C3380CC4-5D6E-409C-BE32-E72D297353CC}">
              <c16:uniqueId val="{00000004-78A9-4FD6-AE47-F22C21268808}"/>
            </c:ext>
          </c:extLst>
        </c:ser>
        <c:ser>
          <c:idx val="5"/>
          <c:order val="5"/>
          <c:tx>
            <c:strRef>
              <c:f>'Graf-5-zaměstn-průmysl'!$A$166</c:f>
              <c:strCache>
                <c:ptCount val="1"/>
                <c:pt idx="0">
                  <c:v>Gumárenský a plastikářský průmysl</c:v>
                </c:pt>
              </c:strCache>
            </c:strRef>
          </c:tx>
          <c:spPr>
            <a:solidFill>
              <a:schemeClr val="accent1">
                <a:lumMod val="40000"/>
                <a:lumOff val="60000"/>
              </a:schemeClr>
            </a:solidFill>
            <a:ln>
              <a:noFill/>
            </a:ln>
          </c:spPr>
          <c:invertIfNegative val="0"/>
          <c:cat>
            <c:numRef>
              <c:f>'Graf-5-zaměstn-průmysl'!$N$160:$AA$160</c:f>
              <c:numCache>
                <c:formatCode>General</c:formatCode>
                <c:ptCount val="14"/>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numCache>
            </c:numRef>
          </c:cat>
          <c:val>
            <c:numRef>
              <c:f>'Graf-5-zaměstn-průmysl'!$N$166:$AA$166</c:f>
              <c:numCache>
                <c:formatCode>0.00</c:formatCode>
                <c:ptCount val="14"/>
                <c:pt idx="0">
                  <c:v>0.44730910848077976</c:v>
                </c:pt>
                <c:pt idx="1">
                  <c:v>0.44722092877026232</c:v>
                </c:pt>
                <c:pt idx="2">
                  <c:v>0.51439780005283398</c:v>
                </c:pt>
                <c:pt idx="3">
                  <c:v>0.42121833930126923</c:v>
                </c:pt>
                <c:pt idx="4">
                  <c:v>-0.76304661921236461</c:v>
                </c:pt>
                <c:pt idx="5">
                  <c:v>-0.32615240874911361</c:v>
                </c:pt>
                <c:pt idx="6">
                  <c:v>0.38308758875746246</c:v>
                </c:pt>
                <c:pt idx="7">
                  <c:v>-2.0934042812253674E-2</c:v>
                </c:pt>
                <c:pt idx="8">
                  <c:v>2.7885079500786513E-2</c:v>
                </c:pt>
                <c:pt idx="9">
                  <c:v>0.1239718154162672</c:v>
                </c:pt>
                <c:pt idx="10">
                  <c:v>0.34331601812249285</c:v>
                </c:pt>
                <c:pt idx="11">
                  <c:v>0.34211507976683181</c:v>
                </c:pt>
                <c:pt idx="12">
                  <c:v>0.21482255683417295</c:v>
                </c:pt>
                <c:pt idx="13">
                  <c:v>9.9275912497353708E-2</c:v>
                </c:pt>
              </c:numCache>
            </c:numRef>
          </c:val>
          <c:extLst>
            <c:ext xmlns:c16="http://schemas.microsoft.com/office/drawing/2014/chart" uri="{C3380CC4-5D6E-409C-BE32-E72D297353CC}">
              <c16:uniqueId val="{00000005-78A9-4FD6-AE47-F22C21268808}"/>
            </c:ext>
          </c:extLst>
        </c:ser>
        <c:ser>
          <c:idx val="6"/>
          <c:order val="6"/>
          <c:tx>
            <c:strRef>
              <c:f>'Graf-5-zaměstn-průmysl'!$A$167</c:f>
              <c:strCache>
                <c:ptCount val="1"/>
                <c:pt idx="0">
                  <c:v>Kovovýroba</c:v>
                </c:pt>
              </c:strCache>
            </c:strRef>
          </c:tx>
          <c:spPr>
            <a:ln>
              <a:noFill/>
            </a:ln>
          </c:spPr>
          <c:invertIfNegative val="0"/>
          <c:cat>
            <c:numRef>
              <c:f>'Graf-5-zaměstn-průmysl'!$N$160:$AA$160</c:f>
              <c:numCache>
                <c:formatCode>General</c:formatCode>
                <c:ptCount val="14"/>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numCache>
            </c:numRef>
          </c:cat>
          <c:val>
            <c:numRef>
              <c:f>'Graf-5-zaměstn-průmysl'!$N$167:$AA$167</c:f>
              <c:numCache>
                <c:formatCode>0.00</c:formatCode>
                <c:ptCount val="14"/>
                <c:pt idx="0">
                  <c:v>0.69155430209172009</c:v>
                </c:pt>
                <c:pt idx="1">
                  <c:v>-0.22221693511931742</c:v>
                </c:pt>
                <c:pt idx="2">
                  <c:v>0.18335174379211591</c:v>
                </c:pt>
                <c:pt idx="3">
                  <c:v>0.591001937043104</c:v>
                </c:pt>
                <c:pt idx="4">
                  <c:v>-1.1049031693641387</c:v>
                </c:pt>
                <c:pt idx="5">
                  <c:v>3.3429550436834196E-2</c:v>
                </c:pt>
                <c:pt idx="6">
                  <c:v>0.64127772450979992</c:v>
                </c:pt>
                <c:pt idx="7">
                  <c:v>0.28068706382960573</c:v>
                </c:pt>
                <c:pt idx="8">
                  <c:v>0.19512478219205143</c:v>
                </c:pt>
                <c:pt idx="9">
                  <c:v>0.39159463987075438</c:v>
                </c:pt>
                <c:pt idx="10">
                  <c:v>0.52954149592496158</c:v>
                </c:pt>
                <c:pt idx="11">
                  <c:v>9.1661021371490903E-2</c:v>
                </c:pt>
                <c:pt idx="12">
                  <c:v>0.11003917900394</c:v>
                </c:pt>
                <c:pt idx="13">
                  <c:v>0.37065206134394141</c:v>
                </c:pt>
              </c:numCache>
            </c:numRef>
          </c:val>
          <c:extLst>
            <c:ext xmlns:c16="http://schemas.microsoft.com/office/drawing/2014/chart" uri="{C3380CC4-5D6E-409C-BE32-E72D297353CC}">
              <c16:uniqueId val="{00000006-78A9-4FD6-AE47-F22C21268808}"/>
            </c:ext>
          </c:extLst>
        </c:ser>
        <c:ser>
          <c:idx val="7"/>
          <c:order val="7"/>
          <c:tx>
            <c:strRef>
              <c:f>'Graf-5-zaměstn-průmysl'!$A$168</c:f>
              <c:strCache>
                <c:ptCount val="1"/>
                <c:pt idx="0">
                  <c:v>Výroba PC, optic. přístrojů, elektrotechnika</c:v>
                </c:pt>
              </c:strCache>
            </c:strRef>
          </c:tx>
          <c:spPr>
            <a:solidFill>
              <a:srgbClr val="FFFF00"/>
            </a:solidFill>
            <a:ln>
              <a:noFill/>
            </a:ln>
          </c:spPr>
          <c:invertIfNegative val="0"/>
          <c:cat>
            <c:numRef>
              <c:f>'Graf-5-zaměstn-průmysl'!$N$160:$AA$160</c:f>
              <c:numCache>
                <c:formatCode>General</c:formatCode>
                <c:ptCount val="14"/>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numCache>
            </c:numRef>
          </c:cat>
          <c:val>
            <c:numRef>
              <c:f>'Graf-5-zaměstn-průmysl'!$N$168:$AA$168</c:f>
              <c:numCache>
                <c:formatCode>0.00</c:formatCode>
                <c:ptCount val="14"/>
                <c:pt idx="0">
                  <c:v>0.42685712661440856</c:v>
                </c:pt>
                <c:pt idx="1">
                  <c:v>0.61390062436909099</c:v>
                </c:pt>
                <c:pt idx="2">
                  <c:v>0.65990202077028015</c:v>
                </c:pt>
                <c:pt idx="3">
                  <c:v>7.0158511463567896E-3</c:v>
                </c:pt>
                <c:pt idx="4">
                  <c:v>-1.122797948065376</c:v>
                </c:pt>
                <c:pt idx="5">
                  <c:v>-0.24136421138047626</c:v>
                </c:pt>
                <c:pt idx="6">
                  <c:v>0.58214290448437733</c:v>
                </c:pt>
                <c:pt idx="7">
                  <c:v>0.35011118540085445</c:v>
                </c:pt>
                <c:pt idx="8">
                  <c:v>4.5437109237322103E-2</c:v>
                </c:pt>
                <c:pt idx="9">
                  <c:v>0.15302881971727222</c:v>
                </c:pt>
                <c:pt idx="10">
                  <c:v>0.29513131382459845</c:v>
                </c:pt>
                <c:pt idx="11">
                  <c:v>0.43669783866165368</c:v>
                </c:pt>
                <c:pt idx="12">
                  <c:v>0.25760078664042046</c:v>
                </c:pt>
                <c:pt idx="13">
                  <c:v>0.18621654550168099</c:v>
                </c:pt>
              </c:numCache>
            </c:numRef>
          </c:val>
          <c:extLst>
            <c:ext xmlns:c16="http://schemas.microsoft.com/office/drawing/2014/chart" uri="{C3380CC4-5D6E-409C-BE32-E72D297353CC}">
              <c16:uniqueId val="{00000007-78A9-4FD6-AE47-F22C21268808}"/>
            </c:ext>
          </c:extLst>
        </c:ser>
        <c:ser>
          <c:idx val="8"/>
          <c:order val="8"/>
          <c:tx>
            <c:strRef>
              <c:f>'Graf-5-zaměstn-průmysl'!$A$169</c:f>
              <c:strCache>
                <c:ptCount val="1"/>
                <c:pt idx="0">
                  <c:v>Strojírenský průmysl</c:v>
                </c:pt>
              </c:strCache>
            </c:strRef>
          </c:tx>
          <c:spPr>
            <a:solidFill>
              <a:srgbClr val="F8A124"/>
            </a:solidFill>
            <a:ln>
              <a:noFill/>
            </a:ln>
          </c:spPr>
          <c:invertIfNegative val="0"/>
          <c:cat>
            <c:numRef>
              <c:f>'Graf-5-zaměstn-průmysl'!$N$160:$AA$160</c:f>
              <c:numCache>
                <c:formatCode>General</c:formatCode>
                <c:ptCount val="14"/>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numCache>
            </c:numRef>
          </c:cat>
          <c:val>
            <c:numRef>
              <c:f>'Graf-5-zaměstn-průmysl'!$N$169:$AA$169</c:f>
              <c:numCache>
                <c:formatCode>0.00</c:formatCode>
                <c:ptCount val="14"/>
                <c:pt idx="0">
                  <c:v>0.47081155543908482</c:v>
                </c:pt>
                <c:pt idx="1">
                  <c:v>0.19665756907316737</c:v>
                </c:pt>
                <c:pt idx="2">
                  <c:v>1.363605876563686</c:v>
                </c:pt>
                <c:pt idx="3">
                  <c:v>-5.4990909461444193E-2</c:v>
                </c:pt>
                <c:pt idx="4">
                  <c:v>-1.4997150090799418</c:v>
                </c:pt>
                <c:pt idx="5">
                  <c:v>-0.43315554241231319</c:v>
                </c:pt>
                <c:pt idx="6">
                  <c:v>0.44833472517405393</c:v>
                </c:pt>
                <c:pt idx="7">
                  <c:v>0.36812585489575295</c:v>
                </c:pt>
                <c:pt idx="8">
                  <c:v>1.8896741692157361E-2</c:v>
                </c:pt>
                <c:pt idx="9">
                  <c:v>4.0495091568637526E-3</c:v>
                </c:pt>
                <c:pt idx="10">
                  <c:v>0.30150458139888503</c:v>
                </c:pt>
                <c:pt idx="11">
                  <c:v>0.12196555475302161</c:v>
                </c:pt>
                <c:pt idx="12">
                  <c:v>0.12733675248702631</c:v>
                </c:pt>
                <c:pt idx="13">
                  <c:v>8.5225567406366068E-2</c:v>
                </c:pt>
              </c:numCache>
            </c:numRef>
          </c:val>
          <c:extLst>
            <c:ext xmlns:c16="http://schemas.microsoft.com/office/drawing/2014/chart" uri="{C3380CC4-5D6E-409C-BE32-E72D297353CC}">
              <c16:uniqueId val="{00000008-78A9-4FD6-AE47-F22C21268808}"/>
            </c:ext>
          </c:extLst>
        </c:ser>
        <c:ser>
          <c:idx val="9"/>
          <c:order val="9"/>
          <c:tx>
            <c:strRef>
              <c:f>'Graf-5-zaměstn-průmysl'!$A$170</c:f>
              <c:strCache>
                <c:ptCount val="1"/>
                <c:pt idx="0">
                  <c:v>Výroba dopravních prostředků</c:v>
                </c:pt>
              </c:strCache>
            </c:strRef>
          </c:tx>
          <c:spPr>
            <a:solidFill>
              <a:srgbClr val="BD1B21"/>
            </a:solidFill>
          </c:spPr>
          <c:invertIfNegative val="0"/>
          <c:cat>
            <c:numRef>
              <c:f>'Graf-5-zaměstn-průmysl'!$N$160:$AA$160</c:f>
              <c:numCache>
                <c:formatCode>General</c:formatCode>
                <c:ptCount val="14"/>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numCache>
            </c:numRef>
          </c:cat>
          <c:val>
            <c:numRef>
              <c:f>'Graf-5-zaměstn-průmysl'!$N$170:$AA$170</c:f>
              <c:numCache>
                <c:formatCode>0.00</c:formatCode>
                <c:ptCount val="14"/>
                <c:pt idx="0">
                  <c:v>1.1152916348621054</c:v>
                </c:pt>
                <c:pt idx="1">
                  <c:v>0.39426681666933022</c:v>
                </c:pt>
                <c:pt idx="2">
                  <c:v>1.1335093619578283</c:v>
                </c:pt>
                <c:pt idx="3">
                  <c:v>0.18241212980527696</c:v>
                </c:pt>
                <c:pt idx="4">
                  <c:v>-0.90766294190161645</c:v>
                </c:pt>
                <c:pt idx="5">
                  <c:v>1.4714716645273171E-2</c:v>
                </c:pt>
                <c:pt idx="6">
                  <c:v>1.3936817795530481</c:v>
                </c:pt>
                <c:pt idx="7">
                  <c:v>-0.12204404551089362</c:v>
                </c:pt>
                <c:pt idx="8">
                  <c:v>-0.16787667151234892</c:v>
                </c:pt>
                <c:pt idx="9">
                  <c:v>0.53908202600494859</c:v>
                </c:pt>
                <c:pt idx="10">
                  <c:v>1.2579849688935543</c:v>
                </c:pt>
                <c:pt idx="11">
                  <c:v>0.86503814905889465</c:v>
                </c:pt>
                <c:pt idx="12">
                  <c:v>0.31814229383122222</c:v>
                </c:pt>
                <c:pt idx="13">
                  <c:v>8.5225567406366068E-2</c:v>
                </c:pt>
              </c:numCache>
            </c:numRef>
          </c:val>
          <c:extLst>
            <c:ext xmlns:c16="http://schemas.microsoft.com/office/drawing/2014/chart" uri="{C3380CC4-5D6E-409C-BE32-E72D297353CC}">
              <c16:uniqueId val="{00000009-78A9-4FD6-AE47-F22C21268808}"/>
            </c:ext>
          </c:extLst>
        </c:ser>
        <c:ser>
          <c:idx val="10"/>
          <c:order val="10"/>
          <c:tx>
            <c:strRef>
              <c:f>'Graf-5-zaměstn-průmysl'!$A$171</c:f>
              <c:strCache>
                <c:ptCount val="1"/>
                <c:pt idx="0">
                  <c:v>Energetika, vodní a odpadové hospodářství</c:v>
                </c:pt>
              </c:strCache>
            </c:strRef>
          </c:tx>
          <c:spPr>
            <a:solidFill>
              <a:schemeClr val="bg2">
                <a:lumMod val="50000"/>
              </a:schemeClr>
            </a:solidFill>
            <a:ln>
              <a:noFill/>
            </a:ln>
          </c:spPr>
          <c:invertIfNegative val="0"/>
          <c:cat>
            <c:numRef>
              <c:f>'Graf-5-zaměstn-průmysl'!$N$160:$AA$160</c:f>
              <c:numCache>
                <c:formatCode>General</c:formatCode>
                <c:ptCount val="14"/>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numCache>
            </c:numRef>
          </c:cat>
          <c:val>
            <c:numRef>
              <c:f>'Graf-5-zaměstn-průmysl'!$N$171:$AA$171</c:f>
              <c:numCache>
                <c:formatCode>0.00</c:formatCode>
                <c:ptCount val="14"/>
                <c:pt idx="0">
                  <c:v>-0.10309185435693127</c:v>
                </c:pt>
                <c:pt idx="1">
                  <c:v>-0.38420621514052672</c:v>
                </c:pt>
                <c:pt idx="2">
                  <c:v>0.11114715637118196</c:v>
                </c:pt>
                <c:pt idx="3">
                  <c:v>0.15207692580102924</c:v>
                </c:pt>
                <c:pt idx="4">
                  <c:v>4.7653132911811932E-2</c:v>
                </c:pt>
                <c:pt idx="5">
                  <c:v>-7.5930795116142771E-2</c:v>
                </c:pt>
                <c:pt idx="6">
                  <c:v>7.850276232515449E-2</c:v>
                </c:pt>
                <c:pt idx="7">
                  <c:v>-6.4083804527307123E-4</c:v>
                </c:pt>
                <c:pt idx="8">
                  <c:v>4.2181490818448748E-2</c:v>
                </c:pt>
                <c:pt idx="9">
                  <c:v>7.6301277797748424E-2</c:v>
                </c:pt>
                <c:pt idx="10">
                  <c:v>9.7700090836572204E-2</c:v>
                </c:pt>
                <c:pt idx="11">
                  <c:v>3.920564072005206E-2</c:v>
                </c:pt>
                <c:pt idx="12">
                  <c:v>0.1217483056694136</c:v>
                </c:pt>
                <c:pt idx="13">
                  <c:v>7.9816514366643401E-2</c:v>
                </c:pt>
              </c:numCache>
            </c:numRef>
          </c:val>
          <c:extLst>
            <c:ext xmlns:c16="http://schemas.microsoft.com/office/drawing/2014/chart" uri="{C3380CC4-5D6E-409C-BE32-E72D297353CC}">
              <c16:uniqueId val="{0000000A-78A9-4FD6-AE47-F22C21268808}"/>
            </c:ext>
          </c:extLst>
        </c:ser>
        <c:ser>
          <c:idx val="11"/>
          <c:order val="11"/>
          <c:tx>
            <c:strRef>
              <c:f>'Graf-5-zaměstn-průmysl'!$A$172</c:f>
              <c:strCache>
                <c:ptCount val="1"/>
                <c:pt idx="0">
                  <c:v>Ostatní průmyslové obory*</c:v>
                </c:pt>
              </c:strCache>
            </c:strRef>
          </c:tx>
          <c:spPr>
            <a:solidFill>
              <a:schemeClr val="bg1">
                <a:lumMod val="85000"/>
              </a:schemeClr>
            </a:solidFill>
            <a:ln>
              <a:noFill/>
            </a:ln>
          </c:spPr>
          <c:invertIfNegative val="0"/>
          <c:cat>
            <c:numRef>
              <c:f>'Graf-5-zaměstn-průmysl'!$N$160:$AA$160</c:f>
              <c:numCache>
                <c:formatCode>General</c:formatCode>
                <c:ptCount val="14"/>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numCache>
            </c:numRef>
          </c:cat>
          <c:val>
            <c:numRef>
              <c:f>'Graf-5-zaměstn-průmysl'!$N$172:$AA$172</c:f>
              <c:numCache>
                <c:formatCode>0.00</c:formatCode>
                <c:ptCount val="14"/>
                <c:pt idx="0">
                  <c:v>4.8322140206308713E-2</c:v>
                </c:pt>
                <c:pt idx="1">
                  <c:v>-0.29991468881811828</c:v>
                </c:pt>
                <c:pt idx="2">
                  <c:v>5.5915780021709084E-2</c:v>
                </c:pt>
                <c:pt idx="3">
                  <c:v>-0.32540185793102488</c:v>
                </c:pt>
                <c:pt idx="4">
                  <c:v>-0.87737437202582258</c:v>
                </c:pt>
                <c:pt idx="5">
                  <c:v>-0.80338067043391925</c:v>
                </c:pt>
                <c:pt idx="6">
                  <c:v>0.37778533839403666</c:v>
                </c:pt>
                <c:pt idx="7">
                  <c:v>-0.27249857769556046</c:v>
                </c:pt>
                <c:pt idx="8">
                  <c:v>4.8692727656195797E-2</c:v>
                </c:pt>
                <c:pt idx="9">
                  <c:v>0.22378866393194366</c:v>
                </c:pt>
                <c:pt idx="10">
                  <c:v>4.1951508538427697E-2</c:v>
                </c:pt>
                <c:pt idx="11">
                  <c:v>0.25881158665975457</c:v>
                </c:pt>
                <c:pt idx="12">
                  <c:v>-6.1539444122517793E-2</c:v>
                </c:pt>
                <c:pt idx="13">
                  <c:v>0.15831374750408583</c:v>
                </c:pt>
              </c:numCache>
            </c:numRef>
          </c:val>
          <c:extLst>
            <c:ext xmlns:c16="http://schemas.microsoft.com/office/drawing/2014/chart" uri="{C3380CC4-5D6E-409C-BE32-E72D297353CC}">
              <c16:uniqueId val="{0000000B-78A9-4FD6-AE47-F22C21268808}"/>
            </c:ext>
          </c:extLst>
        </c:ser>
        <c:dLbls>
          <c:showLegendKey val="0"/>
          <c:showVal val="0"/>
          <c:showCatName val="0"/>
          <c:showSerName val="0"/>
          <c:showPercent val="0"/>
          <c:showBubbleSize val="0"/>
        </c:dLbls>
        <c:gapWidth val="38"/>
        <c:overlap val="100"/>
        <c:axId val="101018624"/>
        <c:axId val="101040896"/>
      </c:barChart>
      <c:lineChart>
        <c:grouping val="standard"/>
        <c:varyColors val="0"/>
        <c:ser>
          <c:idx val="12"/>
          <c:order val="12"/>
          <c:tx>
            <c:strRef>
              <c:f>'Graf-5-zaměstn-průmysl'!$A$173</c:f>
              <c:strCache>
                <c:ptCount val="1"/>
                <c:pt idx="0">
                  <c:v>Průmysl celkem</c:v>
                </c:pt>
              </c:strCache>
            </c:strRef>
          </c:tx>
          <c:spPr>
            <a:ln w="19050">
              <a:noFill/>
              <a:prstDash val="sysDot"/>
            </a:ln>
          </c:spPr>
          <c:marker>
            <c:symbol val="diamond"/>
            <c:size val="7"/>
            <c:spPr>
              <a:solidFill>
                <a:schemeClr val="bg1"/>
              </a:solidFill>
              <a:ln>
                <a:solidFill>
                  <a:schemeClr val="tx1">
                    <a:lumMod val="95000"/>
                    <a:lumOff val="5000"/>
                  </a:schemeClr>
                </a:solidFill>
              </a:ln>
            </c:spPr>
          </c:marker>
          <c:cat>
            <c:numRef>
              <c:f>'Graf-5-zaměstn-průmysl'!$N$160:$AA$160</c:f>
              <c:numCache>
                <c:formatCode>General</c:formatCode>
                <c:ptCount val="14"/>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numCache>
            </c:numRef>
          </c:cat>
          <c:val>
            <c:numRef>
              <c:f>'Graf-5-zaměstn-průmysl'!$N$173:$AA$173</c:f>
              <c:numCache>
                <c:formatCode>0.00</c:formatCode>
                <c:ptCount val="14"/>
                <c:pt idx="0">
                  <c:v>1.9884872674280443</c:v>
                </c:pt>
                <c:pt idx="1">
                  <c:v>-0.67698331503618314</c:v>
                </c:pt>
                <c:pt idx="2">
                  <c:v>2.4286064309306568</c:v>
                </c:pt>
                <c:pt idx="3">
                  <c:v>0.81577644424638163</c:v>
                </c:pt>
                <c:pt idx="4">
                  <c:v>-7.2149759414641865</c:v>
                </c:pt>
                <c:pt idx="5">
                  <c:v>-3.0033022395655848</c:v>
                </c:pt>
                <c:pt idx="6">
                  <c:v>3.4241490992802137</c:v>
                </c:pt>
                <c:pt idx="7">
                  <c:v>0.60744326269161775</c:v>
                </c:pt>
                <c:pt idx="8">
                  <c:v>-0.37963341736603695</c:v>
                </c:pt>
                <c:pt idx="9">
                  <c:v>1.4394228952143171</c:v>
                </c:pt>
                <c:pt idx="10">
                  <c:v>3.0737359043981907</c:v>
                </c:pt>
                <c:pt idx="11">
                  <c:v>2.1317812338837268</c:v>
                </c:pt>
                <c:pt idx="12">
                  <c:v>0.85662906218544965</c:v>
                </c:pt>
                <c:pt idx="13">
                  <c:v>1.0094480325229256</c:v>
                </c:pt>
              </c:numCache>
            </c:numRef>
          </c:val>
          <c:smooth val="0"/>
          <c:extLst>
            <c:ext xmlns:c16="http://schemas.microsoft.com/office/drawing/2014/chart" uri="{C3380CC4-5D6E-409C-BE32-E72D297353CC}">
              <c16:uniqueId val="{0000000C-78A9-4FD6-AE47-F22C21268808}"/>
            </c:ext>
          </c:extLst>
        </c:ser>
        <c:dLbls>
          <c:showLegendKey val="0"/>
          <c:showVal val="0"/>
          <c:showCatName val="0"/>
          <c:showSerName val="0"/>
          <c:showPercent val="0"/>
          <c:showBubbleSize val="0"/>
        </c:dLbls>
        <c:marker val="1"/>
        <c:smooth val="0"/>
        <c:axId val="101018624"/>
        <c:axId val="101040896"/>
      </c:lineChart>
      <c:catAx>
        <c:axId val="101018624"/>
        <c:scaling>
          <c:orientation val="minMax"/>
        </c:scaling>
        <c:delete val="0"/>
        <c:axPos val="b"/>
        <c:numFmt formatCode="General" sourceLinked="1"/>
        <c:majorTickMark val="none"/>
        <c:minorTickMark val="none"/>
        <c:tickLblPos val="low"/>
        <c:spPr>
          <a:noFill/>
          <a:ln w="6350" cap="flat" cmpd="sng" algn="ctr">
            <a:solidFill>
              <a:schemeClr val="tx1">
                <a:lumMod val="95000"/>
                <a:lumOff val="5000"/>
              </a:schemeClr>
            </a:solidFill>
            <a:round/>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cs-CZ"/>
          </a:p>
        </c:txPr>
        <c:crossAx val="101040896"/>
        <c:crossesAt val="0"/>
        <c:auto val="1"/>
        <c:lblAlgn val="ctr"/>
        <c:lblOffset val="10"/>
        <c:noMultiLvlLbl val="0"/>
      </c:catAx>
      <c:valAx>
        <c:axId val="101040896"/>
        <c:scaling>
          <c:orientation val="minMax"/>
          <c:max val="4.2"/>
          <c:min val="-8"/>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cs-CZ"/>
          </a:p>
        </c:txPr>
        <c:crossAx val="101018624"/>
        <c:crossesAt val="1"/>
        <c:crossBetween val="between"/>
        <c:majorUnit val="1"/>
        <c:minorUnit val="1"/>
      </c:valAx>
      <c:spPr>
        <a:noFill/>
        <a:ln w="6350">
          <a:solidFill>
            <a:schemeClr val="tx1">
              <a:lumMod val="95000"/>
              <a:lumOff val="5000"/>
            </a:schemeClr>
          </a:solidFill>
        </a:ln>
        <a:effectLst/>
      </c:spPr>
    </c:plotArea>
    <c:legend>
      <c:legendPos val="b"/>
      <c:layout>
        <c:manualLayout>
          <c:xMode val="edge"/>
          <c:yMode val="edge"/>
          <c:x val="4.7612208383927324E-2"/>
          <c:y val="0.78610772888038449"/>
          <c:w val="0.93834592128180894"/>
          <c:h val="0.20296539210570352"/>
        </c:manualLayout>
      </c:layout>
      <c:overlay val="0"/>
      <c:spPr>
        <a:noFill/>
        <a:ln w="6350">
          <a:solidFill>
            <a:schemeClr val="tx1">
              <a:lumMod val="95000"/>
              <a:lumOff val="5000"/>
            </a:schemeClr>
          </a:solid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cs-CZ"/>
        </a:p>
      </c:txPr>
    </c:legend>
    <c:plotVisOnly val="1"/>
    <c:dispBlanksAs val="gap"/>
    <c:showDLblsOverMax val="0"/>
  </c:chart>
  <c:spPr>
    <a:solidFill>
      <a:schemeClr val="bg1"/>
    </a:solidFill>
    <a:ln w="9525" cap="flat" cmpd="sng" algn="ctr">
      <a:noFill/>
      <a:round/>
    </a:ln>
    <a:effectLst/>
  </c:spPr>
  <c:txPr>
    <a:bodyPr/>
    <a:lstStyle/>
    <a:p>
      <a:pPr>
        <a:defRPr/>
      </a:pPr>
      <a:endParaRPr lang="cs-CZ"/>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1755603720266684E-2"/>
          <c:y val="1.6667989341713225E-2"/>
          <c:w val="0.93541051170689848"/>
          <c:h val="0.68882375745146662"/>
        </c:manualLayout>
      </c:layout>
      <c:barChart>
        <c:barDir val="col"/>
        <c:grouping val="stacked"/>
        <c:varyColors val="0"/>
        <c:ser>
          <c:idx val="0"/>
          <c:order val="0"/>
          <c:tx>
            <c:strRef>
              <c:f>'Graf-6-zaměstn-služby'!$A$184</c:f>
              <c:strCache>
                <c:ptCount val="1"/>
                <c:pt idx="0">
                  <c:v>Obchod</c:v>
                </c:pt>
              </c:strCache>
            </c:strRef>
          </c:tx>
          <c:spPr>
            <a:solidFill>
              <a:srgbClr val="93FFC4"/>
            </a:solidFill>
            <a:ln w="6350">
              <a:noFill/>
            </a:ln>
            <a:effectLst/>
          </c:spPr>
          <c:invertIfNegative val="0"/>
          <c:cat>
            <c:numRef>
              <c:f>'Graf-6-zaměstn-služby'!$M$183:$Z$183</c:f>
              <c:numCache>
                <c:formatCode>General</c:formatCode>
                <c:ptCount val="14"/>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numCache>
            </c:numRef>
          </c:cat>
          <c:val>
            <c:numRef>
              <c:f>'Graf-6-zaměstn-služby'!$M$184:$Z$184</c:f>
              <c:numCache>
                <c:formatCode>0.00</c:formatCode>
                <c:ptCount val="14"/>
                <c:pt idx="0">
                  <c:v>0.51919879865739016</c:v>
                </c:pt>
                <c:pt idx="1">
                  <c:v>0.42733549172176288</c:v>
                </c:pt>
                <c:pt idx="2">
                  <c:v>0.15636465406931063</c:v>
                </c:pt>
                <c:pt idx="3">
                  <c:v>1.0668372120050948</c:v>
                </c:pt>
                <c:pt idx="4">
                  <c:v>-0.25183443098013136</c:v>
                </c:pt>
                <c:pt idx="5">
                  <c:v>0.36185015615390215</c:v>
                </c:pt>
                <c:pt idx="6">
                  <c:v>-4.4686141689696604E-2</c:v>
                </c:pt>
                <c:pt idx="7">
                  <c:v>-3.2909335281444192E-2</c:v>
                </c:pt>
                <c:pt idx="8">
                  <c:v>9.8068781437907052E-2</c:v>
                </c:pt>
                <c:pt idx="9">
                  <c:v>0.15152207349201285</c:v>
                </c:pt>
                <c:pt idx="10">
                  <c:v>-0.10046297479155498</c:v>
                </c:pt>
                <c:pt idx="11">
                  <c:v>-0.24925997900216756</c:v>
                </c:pt>
                <c:pt idx="12">
                  <c:v>-2.7163758107533711E-2</c:v>
                </c:pt>
                <c:pt idx="13">
                  <c:v>0.27854276199690475</c:v>
                </c:pt>
              </c:numCache>
            </c:numRef>
          </c:val>
          <c:extLst>
            <c:ext xmlns:c16="http://schemas.microsoft.com/office/drawing/2014/chart" uri="{C3380CC4-5D6E-409C-BE32-E72D297353CC}">
              <c16:uniqueId val="{00000000-1520-497A-8D16-5B4BD64C5784}"/>
            </c:ext>
          </c:extLst>
        </c:ser>
        <c:ser>
          <c:idx val="1"/>
          <c:order val="1"/>
          <c:tx>
            <c:strRef>
              <c:f>'Graf-6-zaměstn-služby'!$A$185</c:f>
              <c:strCache>
                <c:ptCount val="1"/>
                <c:pt idx="0">
                  <c:v>Doprava a skladování</c:v>
                </c:pt>
              </c:strCache>
            </c:strRef>
          </c:tx>
          <c:spPr>
            <a:solidFill>
              <a:srgbClr val="92D050"/>
            </a:solidFill>
            <a:ln>
              <a:noFill/>
            </a:ln>
          </c:spPr>
          <c:invertIfNegative val="0"/>
          <c:cat>
            <c:numRef>
              <c:f>'Graf-6-zaměstn-služby'!$M$183:$Z$183</c:f>
              <c:numCache>
                <c:formatCode>General</c:formatCode>
                <c:ptCount val="14"/>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numCache>
            </c:numRef>
          </c:cat>
          <c:val>
            <c:numRef>
              <c:f>'Graf-6-zaměstn-služby'!$M$185:$Z$185</c:f>
              <c:numCache>
                <c:formatCode>0.00</c:formatCode>
                <c:ptCount val="14"/>
                <c:pt idx="0">
                  <c:v>-3.169172813593775E-2</c:v>
                </c:pt>
                <c:pt idx="1">
                  <c:v>-0.20256514262697026</c:v>
                </c:pt>
                <c:pt idx="2">
                  <c:v>0.30343514904768043</c:v>
                </c:pt>
                <c:pt idx="3">
                  <c:v>0.31685004028589875</c:v>
                </c:pt>
                <c:pt idx="4">
                  <c:v>-0.19716093529268111</c:v>
                </c:pt>
                <c:pt idx="5">
                  <c:v>-0.16954417421248377</c:v>
                </c:pt>
                <c:pt idx="6">
                  <c:v>-6.5825489898623191E-2</c:v>
                </c:pt>
                <c:pt idx="7">
                  <c:v>-0.20489145420919411</c:v>
                </c:pt>
                <c:pt idx="8">
                  <c:v>4.098695248679092E-2</c:v>
                </c:pt>
                <c:pt idx="9">
                  <c:v>6.362801513035804E-2</c:v>
                </c:pt>
                <c:pt idx="10">
                  <c:v>0.25962489018515317</c:v>
                </c:pt>
                <c:pt idx="11">
                  <c:v>0.13329792573364158</c:v>
                </c:pt>
                <c:pt idx="12">
                  <c:v>0.17939598552289931</c:v>
                </c:pt>
                <c:pt idx="13">
                  <c:v>0.26242273327050986</c:v>
                </c:pt>
              </c:numCache>
            </c:numRef>
          </c:val>
          <c:extLst>
            <c:ext xmlns:c16="http://schemas.microsoft.com/office/drawing/2014/chart" uri="{C3380CC4-5D6E-409C-BE32-E72D297353CC}">
              <c16:uniqueId val="{00000001-1520-497A-8D16-5B4BD64C5784}"/>
            </c:ext>
          </c:extLst>
        </c:ser>
        <c:ser>
          <c:idx val="2"/>
          <c:order val="2"/>
          <c:tx>
            <c:strRef>
              <c:f>'Graf-6-zaměstn-služby'!$A$186</c:f>
              <c:strCache>
                <c:ptCount val="1"/>
                <c:pt idx="0">
                  <c:v>Ubytování, stravování a pohostinství</c:v>
                </c:pt>
              </c:strCache>
            </c:strRef>
          </c:tx>
          <c:spPr>
            <a:solidFill>
              <a:srgbClr val="00B050"/>
            </a:solidFill>
            <a:ln>
              <a:noFill/>
            </a:ln>
          </c:spPr>
          <c:invertIfNegative val="0"/>
          <c:cat>
            <c:numRef>
              <c:f>'Graf-6-zaměstn-služby'!$M$183:$Z$183</c:f>
              <c:numCache>
                <c:formatCode>General</c:formatCode>
                <c:ptCount val="14"/>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numCache>
            </c:numRef>
          </c:cat>
          <c:val>
            <c:numRef>
              <c:f>'Graf-6-zaměstn-služby'!$M$186:$Z$186</c:f>
              <c:numCache>
                <c:formatCode>0.00</c:formatCode>
                <c:ptCount val="14"/>
                <c:pt idx="0">
                  <c:v>-8.2190325516758155E-3</c:v>
                </c:pt>
                <c:pt idx="1">
                  <c:v>0.11907497840375927</c:v>
                </c:pt>
                <c:pt idx="2">
                  <c:v>0.22685406290509733</c:v>
                </c:pt>
                <c:pt idx="3">
                  <c:v>0.2231950948732071</c:v>
                </c:pt>
                <c:pt idx="4">
                  <c:v>0.36856795011980209</c:v>
                </c:pt>
                <c:pt idx="5">
                  <c:v>-0.12945572268409972</c:v>
                </c:pt>
                <c:pt idx="6">
                  <c:v>-6.6946765778659861E-3</c:v>
                </c:pt>
                <c:pt idx="7">
                  <c:v>-8.635783017116562E-2</c:v>
                </c:pt>
                <c:pt idx="8">
                  <c:v>-7.17105054890846E-2</c:v>
                </c:pt>
                <c:pt idx="9">
                  <c:v>-0.2663305836231688</c:v>
                </c:pt>
                <c:pt idx="10">
                  <c:v>0.10196975563290206</c:v>
                </c:pt>
                <c:pt idx="11">
                  <c:v>9.3561768622590108E-2</c:v>
                </c:pt>
                <c:pt idx="12">
                  <c:v>0.20719964370363755</c:v>
                </c:pt>
                <c:pt idx="13">
                  <c:v>-1.1271426336033896E-2</c:v>
                </c:pt>
              </c:numCache>
            </c:numRef>
          </c:val>
          <c:extLst>
            <c:ext xmlns:c16="http://schemas.microsoft.com/office/drawing/2014/chart" uri="{C3380CC4-5D6E-409C-BE32-E72D297353CC}">
              <c16:uniqueId val="{00000002-1520-497A-8D16-5B4BD64C5784}"/>
            </c:ext>
          </c:extLst>
        </c:ser>
        <c:ser>
          <c:idx val="3"/>
          <c:order val="3"/>
          <c:tx>
            <c:strRef>
              <c:f>'Graf-6-zaměstn-služby'!$A$187</c:f>
              <c:strCache>
                <c:ptCount val="1"/>
                <c:pt idx="0">
                  <c:v>Informační a komunikační čin.</c:v>
                </c:pt>
              </c:strCache>
            </c:strRef>
          </c:tx>
          <c:spPr>
            <a:solidFill>
              <a:srgbClr val="93CFF1"/>
            </a:solidFill>
            <a:ln>
              <a:noFill/>
            </a:ln>
          </c:spPr>
          <c:invertIfNegative val="0"/>
          <c:cat>
            <c:numRef>
              <c:f>'Graf-6-zaměstn-služby'!$M$183:$Z$183</c:f>
              <c:numCache>
                <c:formatCode>General</c:formatCode>
                <c:ptCount val="14"/>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numCache>
            </c:numRef>
          </c:cat>
          <c:val>
            <c:numRef>
              <c:f>'Graf-6-zaměstn-služby'!$M$187:$Z$187</c:f>
              <c:numCache>
                <c:formatCode>0.00</c:formatCode>
                <c:ptCount val="14"/>
                <c:pt idx="0">
                  <c:v>0.27524786305153631</c:v>
                </c:pt>
                <c:pt idx="1">
                  <c:v>0.20577766057382535</c:v>
                </c:pt>
                <c:pt idx="2">
                  <c:v>0.22681925332048705</c:v>
                </c:pt>
                <c:pt idx="3">
                  <c:v>0.3413512070647633</c:v>
                </c:pt>
                <c:pt idx="4">
                  <c:v>0.17684798393956327</c:v>
                </c:pt>
                <c:pt idx="5">
                  <c:v>-0.11759718320158677</c:v>
                </c:pt>
                <c:pt idx="6">
                  <c:v>-0.17241265590681465</c:v>
                </c:pt>
                <c:pt idx="7">
                  <c:v>5.9416854581087697E-2</c:v>
                </c:pt>
                <c:pt idx="8">
                  <c:v>6.2446787772557875E-2</c:v>
                </c:pt>
                <c:pt idx="9">
                  <c:v>0.13857797676153943</c:v>
                </c:pt>
                <c:pt idx="10">
                  <c:v>9.1848119111679213E-2</c:v>
                </c:pt>
                <c:pt idx="11">
                  <c:v>0.2229964568593239</c:v>
                </c:pt>
                <c:pt idx="12">
                  <c:v>0.11886143859774762</c:v>
                </c:pt>
                <c:pt idx="13">
                  <c:v>0.17215686928891999</c:v>
                </c:pt>
              </c:numCache>
            </c:numRef>
          </c:val>
          <c:extLst>
            <c:ext xmlns:c16="http://schemas.microsoft.com/office/drawing/2014/chart" uri="{C3380CC4-5D6E-409C-BE32-E72D297353CC}">
              <c16:uniqueId val="{00000003-1520-497A-8D16-5B4BD64C5784}"/>
            </c:ext>
          </c:extLst>
        </c:ser>
        <c:ser>
          <c:idx val="4"/>
          <c:order val="4"/>
          <c:tx>
            <c:strRef>
              <c:f>'Graf-6-zaměstn-služby'!$A$188</c:f>
              <c:strCache>
                <c:ptCount val="1"/>
                <c:pt idx="0">
                  <c:v>Peněžnictví a pojišťovnictví</c:v>
                </c:pt>
              </c:strCache>
            </c:strRef>
          </c:tx>
          <c:spPr>
            <a:solidFill>
              <a:schemeClr val="tx1">
                <a:lumMod val="85000"/>
                <a:lumOff val="15000"/>
              </a:schemeClr>
            </a:solidFill>
            <a:ln>
              <a:noFill/>
            </a:ln>
          </c:spPr>
          <c:invertIfNegative val="0"/>
          <c:cat>
            <c:numRef>
              <c:f>'Graf-6-zaměstn-služby'!$M$183:$Z$183</c:f>
              <c:numCache>
                <c:formatCode>General</c:formatCode>
                <c:ptCount val="14"/>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numCache>
            </c:numRef>
          </c:cat>
          <c:val>
            <c:numRef>
              <c:f>'Graf-6-zaměstn-služby'!$M$188:$Z$188</c:f>
              <c:numCache>
                <c:formatCode>0.00</c:formatCode>
                <c:ptCount val="14"/>
                <c:pt idx="0">
                  <c:v>2.4728879598710202E-2</c:v>
                </c:pt>
                <c:pt idx="1">
                  <c:v>6.7921808019221125E-2</c:v>
                </c:pt>
                <c:pt idx="2">
                  <c:v>0.10749199727649847</c:v>
                </c:pt>
                <c:pt idx="3">
                  <c:v>8.5669128224018745E-2</c:v>
                </c:pt>
                <c:pt idx="4">
                  <c:v>2.2423387857337874E-2</c:v>
                </c:pt>
                <c:pt idx="5">
                  <c:v>-8.1428637779922264E-2</c:v>
                </c:pt>
                <c:pt idx="6">
                  <c:v>4.2641462143747387E-2</c:v>
                </c:pt>
                <c:pt idx="7">
                  <c:v>0.175249712501794</c:v>
                </c:pt>
                <c:pt idx="8">
                  <c:v>1.8993953591439693E-2</c:v>
                </c:pt>
                <c:pt idx="9">
                  <c:v>6.0019558497054697E-2</c:v>
                </c:pt>
                <c:pt idx="10">
                  <c:v>-7.6911335119195012E-2</c:v>
                </c:pt>
                <c:pt idx="11">
                  <c:v>2.1166645781377082E-2</c:v>
                </c:pt>
                <c:pt idx="12">
                  <c:v>-0.11390221303041224</c:v>
                </c:pt>
                <c:pt idx="13">
                  <c:v>4.949352569900918E-2</c:v>
                </c:pt>
              </c:numCache>
            </c:numRef>
          </c:val>
          <c:extLst>
            <c:ext xmlns:c16="http://schemas.microsoft.com/office/drawing/2014/chart" uri="{C3380CC4-5D6E-409C-BE32-E72D297353CC}">
              <c16:uniqueId val="{00000004-1520-497A-8D16-5B4BD64C5784}"/>
            </c:ext>
          </c:extLst>
        </c:ser>
        <c:ser>
          <c:idx val="5"/>
          <c:order val="5"/>
          <c:tx>
            <c:strRef>
              <c:f>'Graf-6-zaměstn-služby'!$A$189</c:f>
              <c:strCache>
                <c:ptCount val="1"/>
                <c:pt idx="0">
                  <c:v>Profesní vědecké a technic. čin.</c:v>
                </c:pt>
              </c:strCache>
            </c:strRef>
          </c:tx>
          <c:spPr>
            <a:solidFill>
              <a:srgbClr val="00B0F0"/>
            </a:solidFill>
            <a:ln>
              <a:noFill/>
            </a:ln>
          </c:spPr>
          <c:invertIfNegative val="0"/>
          <c:cat>
            <c:numRef>
              <c:f>'Graf-6-zaměstn-služby'!$M$183:$Z$183</c:f>
              <c:numCache>
                <c:formatCode>General</c:formatCode>
                <c:ptCount val="14"/>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numCache>
            </c:numRef>
          </c:cat>
          <c:val>
            <c:numRef>
              <c:f>'Graf-6-zaměstn-služby'!$M$189:$Z$189</c:f>
              <c:numCache>
                <c:formatCode>0.00</c:formatCode>
                <c:ptCount val="14"/>
                <c:pt idx="0">
                  <c:v>0.38744304102768745</c:v>
                </c:pt>
                <c:pt idx="1">
                  <c:v>0.16567413983066773</c:v>
                </c:pt>
                <c:pt idx="2">
                  <c:v>0.49067590466629613</c:v>
                </c:pt>
                <c:pt idx="3">
                  <c:v>8.0945602312420734E-2</c:v>
                </c:pt>
                <c:pt idx="4">
                  <c:v>9.1441256659408721E-2</c:v>
                </c:pt>
                <c:pt idx="5">
                  <c:v>6.0511491748267476E-2</c:v>
                </c:pt>
                <c:pt idx="6">
                  <c:v>-0.41164016278287308</c:v>
                </c:pt>
                <c:pt idx="7">
                  <c:v>0.24416926268086711</c:v>
                </c:pt>
                <c:pt idx="8">
                  <c:v>6.7111969356420262E-2</c:v>
                </c:pt>
                <c:pt idx="9">
                  <c:v>0.2862929629798836</c:v>
                </c:pt>
                <c:pt idx="10">
                  <c:v>0.1955539483226551</c:v>
                </c:pt>
                <c:pt idx="11">
                  <c:v>0.39327108434908276</c:v>
                </c:pt>
                <c:pt idx="12">
                  <c:v>0.14858479699809957</c:v>
                </c:pt>
                <c:pt idx="13">
                  <c:v>0.39793172475176658</c:v>
                </c:pt>
              </c:numCache>
            </c:numRef>
          </c:val>
          <c:extLst>
            <c:ext xmlns:c16="http://schemas.microsoft.com/office/drawing/2014/chart" uri="{C3380CC4-5D6E-409C-BE32-E72D297353CC}">
              <c16:uniqueId val="{00000005-1520-497A-8D16-5B4BD64C5784}"/>
            </c:ext>
          </c:extLst>
        </c:ser>
        <c:ser>
          <c:idx val="6"/>
          <c:order val="6"/>
          <c:tx>
            <c:strRef>
              <c:f>'Graf-6-zaměstn-služby'!$A$190</c:f>
              <c:strCache>
                <c:ptCount val="1"/>
                <c:pt idx="0">
                  <c:v>Administrativní a podpůrné čin.</c:v>
                </c:pt>
              </c:strCache>
            </c:strRef>
          </c:tx>
          <c:spPr>
            <a:solidFill>
              <a:srgbClr val="0070C0"/>
            </a:solidFill>
            <a:ln>
              <a:noFill/>
            </a:ln>
          </c:spPr>
          <c:invertIfNegative val="0"/>
          <c:cat>
            <c:numRef>
              <c:f>'Graf-6-zaměstn-služby'!$M$183:$Z$183</c:f>
              <c:numCache>
                <c:formatCode>General</c:formatCode>
                <c:ptCount val="14"/>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numCache>
            </c:numRef>
          </c:cat>
          <c:val>
            <c:numRef>
              <c:f>'Graf-6-zaměstn-služby'!$M$190:$Z$190</c:f>
              <c:numCache>
                <c:formatCode>0.00</c:formatCode>
                <c:ptCount val="14"/>
                <c:pt idx="0">
                  <c:v>-3.5783298925854974E-2</c:v>
                </c:pt>
                <c:pt idx="1">
                  <c:v>3.8338400992138325E-2</c:v>
                </c:pt>
                <c:pt idx="2">
                  <c:v>0.28825817015760491</c:v>
                </c:pt>
                <c:pt idx="3">
                  <c:v>0.28596021975609587</c:v>
                </c:pt>
                <c:pt idx="4">
                  <c:v>-0.14855494455486343</c:v>
                </c:pt>
                <c:pt idx="5">
                  <c:v>-0.15778445589232509</c:v>
                </c:pt>
                <c:pt idx="6">
                  <c:v>-1.8632966830021094E-2</c:v>
                </c:pt>
                <c:pt idx="7">
                  <c:v>-3.3342791571878616E-3</c:v>
                </c:pt>
                <c:pt idx="8">
                  <c:v>0.14668663808687285</c:v>
                </c:pt>
                <c:pt idx="9">
                  <c:v>5.7967041879946377E-2</c:v>
                </c:pt>
                <c:pt idx="10">
                  <c:v>0.11579283204699931</c:v>
                </c:pt>
                <c:pt idx="11">
                  <c:v>-7.1096555615361677E-3</c:v>
                </c:pt>
                <c:pt idx="12">
                  <c:v>-7.582815867474074E-3</c:v>
                </c:pt>
                <c:pt idx="13">
                  <c:v>0.15814629744664321</c:v>
                </c:pt>
              </c:numCache>
            </c:numRef>
          </c:val>
          <c:extLst>
            <c:ext xmlns:c16="http://schemas.microsoft.com/office/drawing/2014/chart" uri="{C3380CC4-5D6E-409C-BE32-E72D297353CC}">
              <c16:uniqueId val="{00000006-1520-497A-8D16-5B4BD64C5784}"/>
            </c:ext>
          </c:extLst>
        </c:ser>
        <c:ser>
          <c:idx val="7"/>
          <c:order val="7"/>
          <c:tx>
            <c:strRef>
              <c:f>'Graf-6-zaměstn-služby'!$A$191</c:f>
              <c:strCache>
                <c:ptCount val="1"/>
                <c:pt idx="0">
                  <c:v>Veř. správa, obrana, soc. zabezp.</c:v>
                </c:pt>
              </c:strCache>
            </c:strRef>
          </c:tx>
          <c:spPr>
            <a:solidFill>
              <a:schemeClr val="accent4">
                <a:lumMod val="40000"/>
                <a:lumOff val="60000"/>
              </a:schemeClr>
            </a:solidFill>
            <a:ln>
              <a:noFill/>
            </a:ln>
          </c:spPr>
          <c:invertIfNegative val="0"/>
          <c:cat>
            <c:numRef>
              <c:f>'Graf-6-zaměstn-služby'!$M$183:$Z$183</c:f>
              <c:numCache>
                <c:formatCode>General</c:formatCode>
                <c:ptCount val="14"/>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numCache>
            </c:numRef>
          </c:cat>
          <c:val>
            <c:numRef>
              <c:f>'Graf-6-zaměstn-služby'!$M$191:$Z$191</c:f>
              <c:numCache>
                <c:formatCode>0.00</c:formatCode>
                <c:ptCount val="14"/>
                <c:pt idx="0">
                  <c:v>3.5532062122965315E-2</c:v>
                </c:pt>
                <c:pt idx="1">
                  <c:v>2.6476796265288899E-2</c:v>
                </c:pt>
                <c:pt idx="2">
                  <c:v>2.102498910460009E-2</c:v>
                </c:pt>
                <c:pt idx="3">
                  <c:v>-3.0821856128197146E-2</c:v>
                </c:pt>
                <c:pt idx="4">
                  <c:v>-0.13487008284781163</c:v>
                </c:pt>
                <c:pt idx="5">
                  <c:v>0.2544644930622571</c:v>
                </c:pt>
                <c:pt idx="6">
                  <c:v>-0.70643678312545455</c:v>
                </c:pt>
                <c:pt idx="7">
                  <c:v>-0.52048097643702518</c:v>
                </c:pt>
                <c:pt idx="8">
                  <c:v>9.646929060915424E-2</c:v>
                </c:pt>
                <c:pt idx="9">
                  <c:v>9.9282215075933281E-2</c:v>
                </c:pt>
                <c:pt idx="10">
                  <c:v>0.16486147770651979</c:v>
                </c:pt>
                <c:pt idx="11">
                  <c:v>0.29295676615206562</c:v>
                </c:pt>
                <c:pt idx="12">
                  <c:v>0.1331632052338696</c:v>
                </c:pt>
                <c:pt idx="13">
                  <c:v>8.5039448417954078E-2</c:v>
                </c:pt>
              </c:numCache>
            </c:numRef>
          </c:val>
          <c:extLst>
            <c:ext xmlns:c16="http://schemas.microsoft.com/office/drawing/2014/chart" uri="{C3380CC4-5D6E-409C-BE32-E72D297353CC}">
              <c16:uniqueId val="{00000007-1520-497A-8D16-5B4BD64C5784}"/>
            </c:ext>
          </c:extLst>
        </c:ser>
        <c:ser>
          <c:idx val="8"/>
          <c:order val="8"/>
          <c:tx>
            <c:strRef>
              <c:f>'Graf-6-zaměstn-služby'!$A$192</c:f>
              <c:strCache>
                <c:ptCount val="1"/>
                <c:pt idx="0">
                  <c:v>Vzdělávání</c:v>
                </c:pt>
              </c:strCache>
            </c:strRef>
          </c:tx>
          <c:spPr>
            <a:solidFill>
              <a:srgbClr val="F8A124"/>
            </a:solidFill>
            <a:ln>
              <a:noFill/>
            </a:ln>
          </c:spPr>
          <c:invertIfNegative val="0"/>
          <c:cat>
            <c:numRef>
              <c:f>'Graf-6-zaměstn-služby'!$M$183:$Z$183</c:f>
              <c:numCache>
                <c:formatCode>General</c:formatCode>
                <c:ptCount val="14"/>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numCache>
            </c:numRef>
          </c:cat>
          <c:val>
            <c:numRef>
              <c:f>'Graf-6-zaměstn-služby'!$M$192:$Z$192</c:f>
              <c:numCache>
                <c:formatCode>0.00</c:formatCode>
                <c:ptCount val="14"/>
                <c:pt idx="0">
                  <c:v>9.2598707350758092E-2</c:v>
                </c:pt>
                <c:pt idx="1">
                  <c:v>-3.2054574678509765E-2</c:v>
                </c:pt>
                <c:pt idx="2">
                  <c:v>0.15361469688509966</c:v>
                </c:pt>
                <c:pt idx="3">
                  <c:v>-8.9033366103502223E-2</c:v>
                </c:pt>
                <c:pt idx="4">
                  <c:v>-0.24382136737817095</c:v>
                </c:pt>
                <c:pt idx="5">
                  <c:v>-0.23697314732555047</c:v>
                </c:pt>
                <c:pt idx="6">
                  <c:v>0.25182537117529391</c:v>
                </c:pt>
                <c:pt idx="7">
                  <c:v>1.5404369706207921E-2</c:v>
                </c:pt>
                <c:pt idx="8">
                  <c:v>0.17167868228613561</c:v>
                </c:pt>
                <c:pt idx="9">
                  <c:v>0.11530508673206923</c:v>
                </c:pt>
                <c:pt idx="10">
                  <c:v>7.8287091539555407E-3</c:v>
                </c:pt>
                <c:pt idx="11">
                  <c:v>0.13732348413378076</c:v>
                </c:pt>
                <c:pt idx="12">
                  <c:v>0.39113891974628923</c:v>
                </c:pt>
                <c:pt idx="13">
                  <c:v>5.2201186774145814E-2</c:v>
                </c:pt>
              </c:numCache>
            </c:numRef>
          </c:val>
          <c:extLst>
            <c:ext xmlns:c16="http://schemas.microsoft.com/office/drawing/2014/chart" uri="{C3380CC4-5D6E-409C-BE32-E72D297353CC}">
              <c16:uniqueId val="{00000008-1520-497A-8D16-5B4BD64C5784}"/>
            </c:ext>
          </c:extLst>
        </c:ser>
        <c:ser>
          <c:idx val="9"/>
          <c:order val="9"/>
          <c:tx>
            <c:strRef>
              <c:f>'Graf-6-zaměstn-služby'!$A$193</c:f>
              <c:strCache>
                <c:ptCount val="1"/>
                <c:pt idx="0">
                  <c:v>Zdravotní a sociální péče</c:v>
                </c:pt>
              </c:strCache>
            </c:strRef>
          </c:tx>
          <c:spPr>
            <a:solidFill>
              <a:srgbClr val="BD1B21"/>
            </a:solidFill>
          </c:spPr>
          <c:invertIfNegative val="0"/>
          <c:cat>
            <c:numRef>
              <c:f>'Graf-6-zaměstn-služby'!$M$183:$Z$183</c:f>
              <c:numCache>
                <c:formatCode>General</c:formatCode>
                <c:ptCount val="14"/>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numCache>
            </c:numRef>
          </c:cat>
          <c:val>
            <c:numRef>
              <c:f>'Graf-6-zaměstn-služby'!$M$193:$Z$193</c:f>
              <c:numCache>
                <c:formatCode>0.00</c:formatCode>
                <c:ptCount val="14"/>
                <c:pt idx="0">
                  <c:v>0.30916483144163964</c:v>
                </c:pt>
                <c:pt idx="1">
                  <c:v>0.18900902293914235</c:v>
                </c:pt>
                <c:pt idx="2">
                  <c:v>0.1018876541542458</c:v>
                </c:pt>
                <c:pt idx="3">
                  <c:v>0.4111846297146477</c:v>
                </c:pt>
                <c:pt idx="4">
                  <c:v>0.21384657390417075</c:v>
                </c:pt>
                <c:pt idx="5">
                  <c:v>-4.713769444298898E-2</c:v>
                </c:pt>
                <c:pt idx="6">
                  <c:v>0.27138174167122753</c:v>
                </c:pt>
                <c:pt idx="7">
                  <c:v>0.10402950970426128</c:v>
                </c:pt>
                <c:pt idx="8">
                  <c:v>5.0084056575322562E-2</c:v>
                </c:pt>
                <c:pt idx="9">
                  <c:v>0.23468210159162756</c:v>
                </c:pt>
                <c:pt idx="10">
                  <c:v>8.2250580274403171E-2</c:v>
                </c:pt>
                <c:pt idx="11">
                  <c:v>0.2328655677757942</c:v>
                </c:pt>
                <c:pt idx="12">
                  <c:v>0.35037728508315857</c:v>
                </c:pt>
                <c:pt idx="13">
                  <c:v>0.20298012734192886</c:v>
                </c:pt>
              </c:numCache>
            </c:numRef>
          </c:val>
          <c:extLst>
            <c:ext xmlns:c16="http://schemas.microsoft.com/office/drawing/2014/chart" uri="{C3380CC4-5D6E-409C-BE32-E72D297353CC}">
              <c16:uniqueId val="{00000009-1520-497A-8D16-5B4BD64C5784}"/>
            </c:ext>
          </c:extLst>
        </c:ser>
        <c:ser>
          <c:idx val="10"/>
          <c:order val="10"/>
          <c:tx>
            <c:strRef>
              <c:f>'Graf-6-zaměstn-služby'!$A$194</c:f>
              <c:strCache>
                <c:ptCount val="1"/>
                <c:pt idx="0">
                  <c:v>Kulturní, zábavní a rekreační čin.</c:v>
                </c:pt>
              </c:strCache>
            </c:strRef>
          </c:tx>
          <c:spPr>
            <a:solidFill>
              <a:srgbClr val="DC8488"/>
            </a:solidFill>
            <a:ln>
              <a:noFill/>
            </a:ln>
          </c:spPr>
          <c:invertIfNegative val="0"/>
          <c:cat>
            <c:numRef>
              <c:f>'Graf-6-zaměstn-služby'!$M$183:$Z$183</c:f>
              <c:numCache>
                <c:formatCode>General</c:formatCode>
                <c:ptCount val="14"/>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numCache>
            </c:numRef>
          </c:cat>
          <c:val>
            <c:numRef>
              <c:f>'Graf-6-zaměstn-služby'!$M$194:$Z$194</c:f>
              <c:numCache>
                <c:formatCode>0.00</c:formatCode>
                <c:ptCount val="14"/>
                <c:pt idx="0">
                  <c:v>-9.4034346224413264E-3</c:v>
                </c:pt>
                <c:pt idx="1">
                  <c:v>2.478228130431041E-2</c:v>
                </c:pt>
                <c:pt idx="2">
                  <c:v>1.9354129043307366E-2</c:v>
                </c:pt>
                <c:pt idx="3">
                  <c:v>7.9688260882714773E-2</c:v>
                </c:pt>
                <c:pt idx="4">
                  <c:v>5.8960319836647235E-2</c:v>
                </c:pt>
                <c:pt idx="5">
                  <c:v>-1.482317435314119E-2</c:v>
                </c:pt>
                <c:pt idx="6">
                  <c:v>5.4348901479424352E-2</c:v>
                </c:pt>
                <c:pt idx="7">
                  <c:v>7.1620316296395273E-2</c:v>
                </c:pt>
                <c:pt idx="8">
                  <c:v>7.4309678085807927E-3</c:v>
                </c:pt>
                <c:pt idx="9">
                  <c:v>1.0494318832634495E-2</c:v>
                </c:pt>
                <c:pt idx="10">
                  <c:v>8.3397043958036834E-2</c:v>
                </c:pt>
                <c:pt idx="11">
                  <c:v>5.7916098272970423E-2</c:v>
                </c:pt>
                <c:pt idx="12">
                  <c:v>0.10088024654069938</c:v>
                </c:pt>
                <c:pt idx="13">
                  <c:v>-0.1038986226505918</c:v>
                </c:pt>
              </c:numCache>
            </c:numRef>
          </c:val>
          <c:extLst>
            <c:ext xmlns:c16="http://schemas.microsoft.com/office/drawing/2014/chart" uri="{C3380CC4-5D6E-409C-BE32-E72D297353CC}">
              <c16:uniqueId val="{0000000A-1520-497A-8D16-5B4BD64C5784}"/>
            </c:ext>
          </c:extLst>
        </c:ser>
        <c:ser>
          <c:idx val="11"/>
          <c:order val="11"/>
          <c:tx>
            <c:strRef>
              <c:f>'Graf-6-zaměstn-služby'!$A$195</c:f>
              <c:strCache>
                <c:ptCount val="1"/>
                <c:pt idx="0">
                  <c:v>Ostatní odvětví služeb*</c:v>
                </c:pt>
              </c:strCache>
            </c:strRef>
          </c:tx>
          <c:spPr>
            <a:solidFill>
              <a:schemeClr val="bg1">
                <a:lumMod val="75000"/>
              </a:schemeClr>
            </a:solidFill>
            <a:ln>
              <a:noFill/>
            </a:ln>
          </c:spPr>
          <c:invertIfNegative val="0"/>
          <c:cat>
            <c:numRef>
              <c:f>'Graf-6-zaměstn-služby'!$M$183:$Z$183</c:f>
              <c:numCache>
                <c:formatCode>General</c:formatCode>
                <c:ptCount val="14"/>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numCache>
            </c:numRef>
          </c:cat>
          <c:val>
            <c:numRef>
              <c:f>'Graf-6-zaměstn-služby'!$M$195:$Z$195</c:f>
              <c:numCache>
                <c:formatCode>0.00</c:formatCode>
                <c:ptCount val="14"/>
                <c:pt idx="0">
                  <c:v>0.10842662593280628</c:v>
                </c:pt>
                <c:pt idx="1">
                  <c:v>0.38596108475787139</c:v>
                </c:pt>
                <c:pt idx="2">
                  <c:v>0.33897573493476107</c:v>
                </c:pt>
                <c:pt idx="3">
                  <c:v>0.2808289074348635</c:v>
                </c:pt>
                <c:pt idx="4">
                  <c:v>0.1509621611924894</c:v>
                </c:pt>
                <c:pt idx="5">
                  <c:v>0.16173730238649608</c:v>
                </c:pt>
                <c:pt idx="6">
                  <c:v>-0.2858264133022882</c:v>
                </c:pt>
                <c:pt idx="7">
                  <c:v>0.23830093136421646</c:v>
                </c:pt>
                <c:pt idx="8">
                  <c:v>-3.0890166630288766E-2</c:v>
                </c:pt>
                <c:pt idx="9">
                  <c:v>0.11401398756969464</c:v>
                </c:pt>
                <c:pt idx="10">
                  <c:v>-2.6532445249807479E-2</c:v>
                </c:pt>
                <c:pt idx="11">
                  <c:v>0.13742087667571962</c:v>
                </c:pt>
                <c:pt idx="12">
                  <c:v>0.14071402609768346</c:v>
                </c:pt>
                <c:pt idx="13">
                  <c:v>0.11721653700853128</c:v>
                </c:pt>
              </c:numCache>
            </c:numRef>
          </c:val>
          <c:extLst>
            <c:ext xmlns:c16="http://schemas.microsoft.com/office/drawing/2014/chart" uri="{C3380CC4-5D6E-409C-BE32-E72D297353CC}">
              <c16:uniqueId val="{0000000B-1520-497A-8D16-5B4BD64C5784}"/>
            </c:ext>
          </c:extLst>
        </c:ser>
        <c:dLbls>
          <c:showLegendKey val="0"/>
          <c:showVal val="0"/>
          <c:showCatName val="0"/>
          <c:showSerName val="0"/>
          <c:showPercent val="0"/>
          <c:showBubbleSize val="0"/>
        </c:dLbls>
        <c:gapWidth val="38"/>
        <c:overlap val="100"/>
        <c:axId val="142208000"/>
        <c:axId val="142512896"/>
      </c:barChart>
      <c:lineChart>
        <c:grouping val="standard"/>
        <c:varyColors val="0"/>
        <c:ser>
          <c:idx val="12"/>
          <c:order val="12"/>
          <c:tx>
            <c:strRef>
              <c:f>'Graf-6-zaměstn-služby'!$A$196</c:f>
              <c:strCache>
                <c:ptCount val="1"/>
                <c:pt idx="0">
                  <c:v>Služby celkem</c:v>
                </c:pt>
              </c:strCache>
            </c:strRef>
          </c:tx>
          <c:spPr>
            <a:ln w="19050">
              <a:noFill/>
              <a:prstDash val="sysDot"/>
            </a:ln>
          </c:spPr>
          <c:marker>
            <c:symbol val="diamond"/>
            <c:size val="7"/>
            <c:spPr>
              <a:solidFill>
                <a:schemeClr val="bg1"/>
              </a:solidFill>
              <a:ln>
                <a:solidFill>
                  <a:schemeClr val="tx1">
                    <a:lumMod val="95000"/>
                    <a:lumOff val="5000"/>
                  </a:schemeClr>
                </a:solidFill>
              </a:ln>
            </c:spPr>
          </c:marker>
          <c:cat>
            <c:numRef>
              <c:f>'Graf-6-zaměstn-služby'!$M$183:$Z$183</c:f>
              <c:numCache>
                <c:formatCode>General</c:formatCode>
                <c:ptCount val="14"/>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numCache>
            </c:numRef>
          </c:cat>
          <c:val>
            <c:numRef>
              <c:f>'Graf-6-zaměstn-služby'!$M$196:$Z$196</c:f>
              <c:numCache>
                <c:formatCode>0.00</c:formatCode>
                <c:ptCount val="14"/>
                <c:pt idx="0">
                  <c:v>1.6672433149475836</c:v>
                </c:pt>
                <c:pt idx="1">
                  <c:v>1.4157319475025076</c:v>
                </c:pt>
                <c:pt idx="2">
                  <c:v>2.4347563955649889</c:v>
                </c:pt>
                <c:pt idx="3">
                  <c:v>3.052655080322026</c:v>
                </c:pt>
                <c:pt idx="4">
                  <c:v>0.10680787245576084</c:v>
                </c:pt>
                <c:pt idx="5">
                  <c:v>-0.11618074654117549</c:v>
                </c:pt>
                <c:pt idx="6">
                  <c:v>-1.0919578136439441</c:v>
                </c:pt>
                <c:pt idx="7">
                  <c:v>6.0217081578812781E-2</c:v>
                </c:pt>
                <c:pt idx="8">
                  <c:v>0.65735740789180852</c:v>
                </c:pt>
                <c:pt idx="9">
                  <c:v>1.0654547549195854</c:v>
                </c:pt>
                <c:pt idx="10">
                  <c:v>0.89922060123174674</c:v>
                </c:pt>
                <c:pt idx="11">
                  <c:v>1.4664070397926423</c:v>
                </c:pt>
                <c:pt idx="12">
                  <c:v>1.6216667605186643</c:v>
                </c:pt>
                <c:pt idx="13">
                  <c:v>1.6609611630096879</c:v>
                </c:pt>
              </c:numCache>
            </c:numRef>
          </c:val>
          <c:smooth val="0"/>
          <c:extLst>
            <c:ext xmlns:c16="http://schemas.microsoft.com/office/drawing/2014/chart" uri="{C3380CC4-5D6E-409C-BE32-E72D297353CC}">
              <c16:uniqueId val="{0000000C-1520-497A-8D16-5B4BD64C5784}"/>
            </c:ext>
          </c:extLst>
        </c:ser>
        <c:dLbls>
          <c:showLegendKey val="0"/>
          <c:showVal val="0"/>
          <c:showCatName val="0"/>
          <c:showSerName val="0"/>
          <c:showPercent val="0"/>
          <c:showBubbleSize val="0"/>
        </c:dLbls>
        <c:marker val="1"/>
        <c:smooth val="0"/>
        <c:axId val="142208000"/>
        <c:axId val="142512896"/>
      </c:lineChart>
      <c:catAx>
        <c:axId val="142208000"/>
        <c:scaling>
          <c:orientation val="minMax"/>
        </c:scaling>
        <c:delete val="0"/>
        <c:axPos val="b"/>
        <c:numFmt formatCode="General" sourceLinked="1"/>
        <c:majorTickMark val="none"/>
        <c:minorTickMark val="none"/>
        <c:tickLblPos val="low"/>
        <c:spPr>
          <a:noFill/>
          <a:ln w="6350" cap="flat" cmpd="sng" algn="ctr">
            <a:solidFill>
              <a:schemeClr val="tx1">
                <a:lumMod val="95000"/>
                <a:lumOff val="5000"/>
              </a:schemeClr>
            </a:solidFill>
            <a:round/>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cs-CZ"/>
          </a:p>
        </c:txPr>
        <c:crossAx val="142512896"/>
        <c:crossesAt val="0"/>
        <c:auto val="1"/>
        <c:lblAlgn val="ctr"/>
        <c:lblOffset val="10"/>
        <c:noMultiLvlLbl val="0"/>
      </c:catAx>
      <c:valAx>
        <c:axId val="142512896"/>
        <c:scaling>
          <c:orientation val="minMax"/>
          <c:max val="3.5"/>
          <c:min val="-2"/>
        </c:scaling>
        <c:delete val="0"/>
        <c:axPos val="l"/>
        <c:majorGridlines>
          <c:spPr>
            <a:ln w="9525" cap="flat" cmpd="sng" algn="ctr">
              <a:solidFill>
                <a:schemeClr val="tx1">
                  <a:lumMod val="15000"/>
                  <a:lumOff val="85000"/>
                </a:schemeClr>
              </a:solidFill>
              <a:round/>
            </a:ln>
            <a:effectLst/>
          </c:spPr>
        </c:majorGridlines>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cs-CZ"/>
          </a:p>
        </c:txPr>
        <c:crossAx val="142208000"/>
        <c:crossesAt val="1"/>
        <c:crossBetween val="between"/>
        <c:majorUnit val="0.5"/>
        <c:minorUnit val="0.5"/>
      </c:valAx>
      <c:spPr>
        <a:noFill/>
        <a:ln w="6350">
          <a:solidFill>
            <a:schemeClr val="tx1">
              <a:lumMod val="95000"/>
              <a:lumOff val="5000"/>
            </a:schemeClr>
          </a:solidFill>
        </a:ln>
        <a:effectLst/>
      </c:spPr>
    </c:plotArea>
    <c:legend>
      <c:legendPos val="b"/>
      <c:layout>
        <c:manualLayout>
          <c:xMode val="edge"/>
          <c:yMode val="edge"/>
          <c:x val="5.8626432976154393E-2"/>
          <c:y val="0.7897173962287859"/>
          <c:w val="0.93559244568924438"/>
          <c:h val="0.20296539210570325"/>
        </c:manualLayout>
      </c:layout>
      <c:overlay val="0"/>
      <c:spPr>
        <a:noFill/>
        <a:ln w="6350">
          <a:solidFill>
            <a:schemeClr val="tx1">
              <a:lumMod val="95000"/>
              <a:lumOff val="5000"/>
            </a:schemeClr>
          </a:solid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cs-CZ"/>
        </a:p>
      </c:txPr>
    </c:legend>
    <c:plotVisOnly val="1"/>
    <c:dispBlanksAs val="gap"/>
    <c:showDLblsOverMax val="0"/>
  </c:chart>
  <c:spPr>
    <a:solidFill>
      <a:schemeClr val="bg1"/>
    </a:solidFill>
    <a:ln w="9525" cap="flat" cmpd="sng" algn="ctr">
      <a:noFill/>
      <a:round/>
    </a:ln>
    <a:effectLst/>
  </c:spPr>
  <c:txPr>
    <a:bodyPr/>
    <a:lstStyle/>
    <a:p>
      <a:pPr>
        <a:defRPr/>
      </a:pPr>
      <a:endParaRPr lang="cs-CZ"/>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1755603720266684E-2"/>
          <c:y val="1.5986414492110076E-2"/>
          <c:w val="0.93317151422629663"/>
          <c:h val="0.75795221065990215"/>
        </c:manualLayout>
      </c:layout>
      <c:barChart>
        <c:barDir val="col"/>
        <c:grouping val="clustered"/>
        <c:varyColors val="0"/>
        <c:ser>
          <c:idx val="0"/>
          <c:order val="0"/>
          <c:tx>
            <c:strRef>
              <c:f>'Graf-7-Produktivita-celkem'!$A$5</c:f>
              <c:strCache>
                <c:ptCount val="1"/>
                <c:pt idx="0">
                  <c:v>Hodinová produktivita práce v národním hospodářství (meziročně v %)</c:v>
                </c:pt>
              </c:strCache>
            </c:strRef>
          </c:tx>
          <c:spPr>
            <a:solidFill>
              <a:schemeClr val="bg1">
                <a:lumMod val="85000"/>
              </a:schemeClr>
            </a:solidFill>
            <a:ln w="15875">
              <a:noFill/>
            </a:ln>
            <a:effectLst/>
          </c:spPr>
          <c:invertIfNegative val="0"/>
          <c:cat>
            <c:numRef>
              <c:f>'Graf-7-Produktivita-celkem'!$B$4:$O$4</c:f>
              <c:numCache>
                <c:formatCode>General</c:formatCode>
                <c:ptCount val="14"/>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numCache>
            </c:numRef>
          </c:cat>
          <c:val>
            <c:numRef>
              <c:f>'Graf-7-Produktivita-celkem'!$B$5:$O$5</c:f>
              <c:numCache>
                <c:formatCode>0.0</c:formatCode>
                <c:ptCount val="14"/>
                <c:pt idx="0">
                  <c:v>4.5087635809083935</c:v>
                </c:pt>
                <c:pt idx="1">
                  <c:v>6.4770115751568085</c:v>
                </c:pt>
                <c:pt idx="2">
                  <c:v>4.301077411455779</c:v>
                </c:pt>
                <c:pt idx="3">
                  <c:v>0.2026470003056744</c:v>
                </c:pt>
                <c:pt idx="4">
                  <c:v>-2.4646014660150968</c:v>
                </c:pt>
                <c:pt idx="5">
                  <c:v>2.1517214487730456</c:v>
                </c:pt>
                <c:pt idx="6">
                  <c:v>1.7102499246272771</c:v>
                </c:pt>
                <c:pt idx="7">
                  <c:v>0.42599303996301785</c:v>
                </c:pt>
                <c:pt idx="8">
                  <c:v>-6.4939861953575928E-2</c:v>
                </c:pt>
                <c:pt idx="9">
                  <c:v>1.3618265336749431</c:v>
                </c:pt>
                <c:pt idx="10">
                  <c:v>5.0434388855549201</c:v>
                </c:pt>
                <c:pt idx="11">
                  <c:v>-0.42101219706196957</c:v>
                </c:pt>
                <c:pt idx="12">
                  <c:v>2.4194775734321894</c:v>
                </c:pt>
                <c:pt idx="13">
                  <c:v>1.4569580408452083</c:v>
                </c:pt>
              </c:numCache>
            </c:numRef>
          </c:val>
          <c:extLst>
            <c:ext xmlns:c16="http://schemas.microsoft.com/office/drawing/2014/chart" uri="{C3380CC4-5D6E-409C-BE32-E72D297353CC}">
              <c16:uniqueId val="{00000000-2C82-491D-8327-8947C355BA18}"/>
            </c:ext>
          </c:extLst>
        </c:ser>
        <c:ser>
          <c:idx val="1"/>
          <c:order val="1"/>
          <c:tx>
            <c:strRef>
              <c:f>'Graf-7-Produktivita-celkem'!$A$6</c:f>
              <c:strCache>
                <c:ptCount val="1"/>
                <c:pt idx="0">
                  <c:v>Produktivita práce na zaměstnanou osobu v NH (meziročně v %)</c:v>
                </c:pt>
              </c:strCache>
            </c:strRef>
          </c:tx>
          <c:spPr>
            <a:solidFill>
              <a:schemeClr val="bg1">
                <a:lumMod val="65000"/>
              </a:schemeClr>
            </a:solidFill>
            <a:ln w="12700">
              <a:noFill/>
              <a:prstDash val="sysDot"/>
            </a:ln>
            <a:effectLst/>
          </c:spPr>
          <c:invertIfNegative val="0"/>
          <c:cat>
            <c:numRef>
              <c:f>'Graf-7-Produktivita-celkem'!$B$4:$O$4</c:f>
              <c:numCache>
                <c:formatCode>General</c:formatCode>
                <c:ptCount val="14"/>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numCache>
            </c:numRef>
          </c:cat>
          <c:val>
            <c:numRef>
              <c:f>'Graf-7-Produktivita-celkem'!$B$6:$O$6</c:f>
              <c:numCache>
                <c:formatCode>0.0</c:formatCode>
                <c:ptCount val="14"/>
                <c:pt idx="0">
                  <c:v>4.5044886581885919</c:v>
                </c:pt>
                <c:pt idx="1">
                  <c:v>5.4327216142360015</c:v>
                </c:pt>
                <c:pt idx="2">
                  <c:v>3.4428368658525557</c:v>
                </c:pt>
                <c:pt idx="3">
                  <c:v>0.49339171870079213</c:v>
                </c:pt>
                <c:pt idx="4">
                  <c:v>-3.0518120127293429</c:v>
                </c:pt>
                <c:pt idx="5">
                  <c:v>3.3423963394217679</c:v>
                </c:pt>
                <c:pt idx="6">
                  <c:v>2.0563811595486641</c:v>
                </c:pt>
                <c:pt idx="7">
                  <c:v>-1.2147923037447725</c:v>
                </c:pt>
                <c:pt idx="8">
                  <c:v>-0.803063903099698</c:v>
                </c:pt>
                <c:pt idx="9">
                  <c:v>2.1514358981803383</c:v>
                </c:pt>
                <c:pt idx="10">
                  <c:v>3.8267960865420321</c:v>
                </c:pt>
                <c:pt idx="11">
                  <c:v>0.84715852195753882</c:v>
                </c:pt>
                <c:pt idx="12">
                  <c:v>2.7560908143028371</c:v>
                </c:pt>
                <c:pt idx="13">
                  <c:v>1.5891291956798455</c:v>
                </c:pt>
              </c:numCache>
            </c:numRef>
          </c:val>
          <c:extLst>
            <c:ext xmlns:c16="http://schemas.microsoft.com/office/drawing/2014/chart" uri="{C3380CC4-5D6E-409C-BE32-E72D297353CC}">
              <c16:uniqueId val="{00000001-2C82-491D-8327-8947C355BA18}"/>
            </c:ext>
          </c:extLst>
        </c:ser>
        <c:dLbls>
          <c:showLegendKey val="0"/>
          <c:showVal val="0"/>
          <c:showCatName val="0"/>
          <c:showSerName val="0"/>
          <c:showPercent val="0"/>
          <c:showBubbleSize val="0"/>
        </c:dLbls>
        <c:gapWidth val="150"/>
        <c:axId val="142800384"/>
        <c:axId val="142801920"/>
      </c:barChart>
      <c:lineChart>
        <c:grouping val="standard"/>
        <c:varyColors val="0"/>
        <c:ser>
          <c:idx val="2"/>
          <c:order val="2"/>
          <c:tx>
            <c:strRef>
              <c:f>'Graf-7-Produktivita-celkem'!$A$7</c:f>
              <c:strCache>
                <c:ptCount val="1"/>
                <c:pt idx="0">
                  <c:v>Produktivita práce na zaměstnanou osobu v NH (úroveň roku 2010 = 100)</c:v>
                </c:pt>
              </c:strCache>
            </c:strRef>
          </c:tx>
          <c:spPr>
            <a:ln w="15875">
              <a:solidFill>
                <a:schemeClr val="tx1">
                  <a:lumMod val="95000"/>
                  <a:lumOff val="5000"/>
                </a:schemeClr>
              </a:solidFill>
            </a:ln>
          </c:spPr>
          <c:marker>
            <c:symbol val="none"/>
          </c:marker>
          <c:cat>
            <c:numRef>
              <c:f>'Graf-7-Produktivita-celkem'!$B$4:$O$4</c:f>
              <c:numCache>
                <c:formatCode>General</c:formatCode>
                <c:ptCount val="14"/>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numCache>
            </c:numRef>
          </c:cat>
          <c:val>
            <c:numRef>
              <c:f>'Graf-7-Produktivita-celkem'!$B$7:$O$7</c:f>
              <c:numCache>
                <c:formatCode>0</c:formatCode>
                <c:ptCount val="14"/>
                <c:pt idx="0">
                  <c:v>91.068552112280216</c:v>
                </c:pt>
                <c:pt idx="1">
                  <c:v>96.01605302665584</c:v>
                </c:pt>
                <c:pt idx="2">
                  <c:v>99.321729097394069</c:v>
                </c:pt>
                <c:pt idx="3">
                  <c:v>99.811774283631067</c:v>
                </c:pt>
                <c:pt idx="4">
                  <c:v>96.765706565924916</c:v>
                </c:pt>
                <c:pt idx="5">
                  <c:v>100</c:v>
                </c:pt>
                <c:pt idx="6">
                  <c:v>102.05638115954866</c:v>
                </c:pt>
                <c:pt idx="7">
                  <c:v>100.81660809574204</c:v>
                </c:pt>
                <c:pt idx="8">
                  <c:v>100.00698630779566</c:v>
                </c:pt>
                <c:pt idx="9">
                  <c:v>102.15857251190985</c:v>
                </c:pt>
                <c:pt idx="10">
                  <c:v>106.06797276686284</c:v>
                </c:pt>
                <c:pt idx="11">
                  <c:v>106.96653663722491</c:v>
                </c:pt>
                <c:pt idx="12">
                  <c:v>109.91463152786135</c:v>
                </c:pt>
                <c:pt idx="13">
                  <c:v>111.66131702779451</c:v>
                </c:pt>
              </c:numCache>
            </c:numRef>
          </c:val>
          <c:smooth val="0"/>
          <c:extLst>
            <c:ext xmlns:c16="http://schemas.microsoft.com/office/drawing/2014/chart" uri="{C3380CC4-5D6E-409C-BE32-E72D297353CC}">
              <c16:uniqueId val="{00000002-2C82-491D-8327-8947C355BA18}"/>
            </c:ext>
          </c:extLst>
        </c:ser>
        <c:ser>
          <c:idx val="3"/>
          <c:order val="3"/>
          <c:tx>
            <c:strRef>
              <c:f>'Graf-7-Produktivita-celkem'!$A$8</c:f>
              <c:strCache>
                <c:ptCount val="1"/>
                <c:pt idx="0">
                  <c:v>Produktivita práce na zaměstnanou osobu  v průmyslu (úroveň roku 2010 = 100)</c:v>
                </c:pt>
              </c:strCache>
            </c:strRef>
          </c:tx>
          <c:spPr>
            <a:ln w="15875">
              <a:solidFill>
                <a:srgbClr val="BD1B21"/>
              </a:solidFill>
            </a:ln>
          </c:spPr>
          <c:marker>
            <c:symbol val="none"/>
          </c:marker>
          <c:cat>
            <c:numRef>
              <c:f>'Graf-7-Produktivita-celkem'!$B$4:$O$4</c:f>
              <c:numCache>
                <c:formatCode>General</c:formatCode>
                <c:ptCount val="14"/>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numCache>
            </c:numRef>
          </c:cat>
          <c:val>
            <c:numRef>
              <c:f>'Graf-7-Produktivita-celkem'!$B$8:$O$8</c:f>
              <c:numCache>
                <c:formatCode>0</c:formatCode>
                <c:ptCount val="14"/>
                <c:pt idx="0">
                  <c:v>73.888115210880429</c:v>
                </c:pt>
                <c:pt idx="1">
                  <c:v>86.461207291338155</c:v>
                </c:pt>
                <c:pt idx="2">
                  <c:v>88.855981887664171</c:v>
                </c:pt>
                <c:pt idx="3">
                  <c:v>95.246933066877062</c:v>
                </c:pt>
                <c:pt idx="4">
                  <c:v>91.044680232474363</c:v>
                </c:pt>
                <c:pt idx="5">
                  <c:v>100</c:v>
                </c:pt>
                <c:pt idx="6">
                  <c:v>103.18767687655668</c:v>
                </c:pt>
                <c:pt idx="7">
                  <c:v>99.395748460081208</c:v>
                </c:pt>
                <c:pt idx="8">
                  <c:v>95.101171031620439</c:v>
                </c:pt>
                <c:pt idx="9">
                  <c:v>98.607957228598451</c:v>
                </c:pt>
                <c:pt idx="10">
                  <c:v>99.484296964416046</c:v>
                </c:pt>
                <c:pt idx="11">
                  <c:v>99.060966246639296</c:v>
                </c:pt>
                <c:pt idx="12">
                  <c:v>106.70862732802627</c:v>
                </c:pt>
                <c:pt idx="13">
                  <c:v>106.70732821477489</c:v>
                </c:pt>
              </c:numCache>
            </c:numRef>
          </c:val>
          <c:smooth val="0"/>
          <c:extLst>
            <c:ext xmlns:c16="http://schemas.microsoft.com/office/drawing/2014/chart" uri="{C3380CC4-5D6E-409C-BE32-E72D297353CC}">
              <c16:uniqueId val="{00000003-2C82-491D-8327-8947C355BA18}"/>
            </c:ext>
          </c:extLst>
        </c:ser>
        <c:ser>
          <c:idx val="4"/>
          <c:order val="4"/>
          <c:tx>
            <c:strRef>
              <c:f>'Graf-7-Produktivita-celkem'!$A$9</c:f>
              <c:strCache>
                <c:ptCount val="1"/>
                <c:pt idx="0">
                  <c:v>Produktivita pr. na zaměstn. osobu v tržních službách* (úroveň roku 2010 = 100)</c:v>
                </c:pt>
              </c:strCache>
            </c:strRef>
          </c:tx>
          <c:spPr>
            <a:ln w="15875">
              <a:solidFill>
                <a:srgbClr val="0071BC"/>
              </a:solidFill>
            </a:ln>
          </c:spPr>
          <c:marker>
            <c:symbol val="none"/>
          </c:marker>
          <c:cat>
            <c:numRef>
              <c:f>'Graf-7-Produktivita-celkem'!$B$4:$O$4</c:f>
              <c:numCache>
                <c:formatCode>General</c:formatCode>
                <c:ptCount val="14"/>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numCache>
            </c:numRef>
          </c:cat>
          <c:val>
            <c:numRef>
              <c:f>'Graf-7-Produktivita-celkem'!$B$9:$O$9</c:f>
              <c:numCache>
                <c:formatCode>0</c:formatCode>
                <c:ptCount val="14"/>
                <c:pt idx="0">
                  <c:v>97.883403272231121</c:v>
                </c:pt>
                <c:pt idx="1">
                  <c:v>100.45245963401828</c:v>
                </c:pt>
                <c:pt idx="2">
                  <c:v>105.62746688607281</c:v>
                </c:pt>
                <c:pt idx="3">
                  <c:v>103.11870212388821</c:v>
                </c:pt>
                <c:pt idx="4">
                  <c:v>97.957023253087115</c:v>
                </c:pt>
                <c:pt idx="5">
                  <c:v>100</c:v>
                </c:pt>
                <c:pt idx="6">
                  <c:v>103.19327315375402</c:v>
                </c:pt>
                <c:pt idx="7">
                  <c:v>102.49226919967001</c:v>
                </c:pt>
                <c:pt idx="8">
                  <c:v>103.5611334059839</c:v>
                </c:pt>
                <c:pt idx="9">
                  <c:v>105.92455226626423</c:v>
                </c:pt>
                <c:pt idx="10">
                  <c:v>111.74067474559696</c:v>
                </c:pt>
                <c:pt idx="11">
                  <c:v>113.74326309205433</c:v>
                </c:pt>
                <c:pt idx="12">
                  <c:v>115.77295012342988</c:v>
                </c:pt>
                <c:pt idx="13">
                  <c:v>118.86870388798047</c:v>
                </c:pt>
              </c:numCache>
            </c:numRef>
          </c:val>
          <c:smooth val="0"/>
          <c:extLst>
            <c:ext xmlns:c16="http://schemas.microsoft.com/office/drawing/2014/chart" uri="{C3380CC4-5D6E-409C-BE32-E72D297353CC}">
              <c16:uniqueId val="{00000004-2C82-491D-8327-8947C355BA18}"/>
            </c:ext>
          </c:extLst>
        </c:ser>
        <c:dLbls>
          <c:showLegendKey val="0"/>
          <c:showVal val="0"/>
          <c:showCatName val="0"/>
          <c:showSerName val="0"/>
          <c:showPercent val="0"/>
          <c:showBubbleSize val="0"/>
        </c:dLbls>
        <c:marker val="1"/>
        <c:smooth val="0"/>
        <c:axId val="142551296"/>
        <c:axId val="142549760"/>
      </c:lineChart>
      <c:catAx>
        <c:axId val="142800384"/>
        <c:scaling>
          <c:orientation val="minMax"/>
        </c:scaling>
        <c:delete val="0"/>
        <c:axPos val="b"/>
        <c:numFmt formatCode="General" sourceLinked="1"/>
        <c:majorTickMark val="none"/>
        <c:minorTickMark val="none"/>
        <c:tickLblPos val="low"/>
        <c:spPr>
          <a:noFill/>
          <a:ln w="6350" cap="flat" cmpd="sng" algn="ctr">
            <a:solidFill>
              <a:schemeClr val="tx1">
                <a:lumMod val="95000"/>
                <a:lumOff val="5000"/>
              </a:schemeClr>
            </a:solidFill>
            <a:round/>
          </a:ln>
          <a:effectLst/>
        </c:spPr>
        <c:txPr>
          <a:bodyPr rot="0" spcFirstLastPara="1" vertOverflow="ellipsis"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cs-CZ"/>
          </a:p>
        </c:txPr>
        <c:crossAx val="142801920"/>
        <c:crossesAt val="0"/>
        <c:auto val="1"/>
        <c:lblAlgn val="ctr"/>
        <c:lblOffset val="0"/>
        <c:noMultiLvlLbl val="0"/>
      </c:catAx>
      <c:valAx>
        <c:axId val="142801920"/>
        <c:scaling>
          <c:orientation val="minMax"/>
          <c:max val="7.5"/>
          <c:min val="-5"/>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cs-CZ"/>
          </a:p>
        </c:txPr>
        <c:crossAx val="142800384"/>
        <c:crosses val="autoZero"/>
        <c:crossBetween val="between"/>
        <c:majorUnit val="1"/>
      </c:valAx>
      <c:valAx>
        <c:axId val="142549760"/>
        <c:scaling>
          <c:orientation val="minMax"/>
          <c:max val="137.5"/>
          <c:min val="75"/>
        </c:scaling>
        <c:delete val="0"/>
        <c:axPos val="r"/>
        <c:numFmt formatCode="0" sourceLinked="1"/>
        <c:majorTickMark val="out"/>
        <c:minorTickMark val="none"/>
        <c:tickLblPos val="nextTo"/>
        <c:txPr>
          <a:bodyPr/>
          <a:lstStyle/>
          <a:p>
            <a:pPr>
              <a:defRPr sz="800">
                <a:latin typeface="Arial" panose="020B0604020202020204" pitchFamily="34" charset="0"/>
                <a:cs typeface="Arial" panose="020B0604020202020204" pitchFamily="34" charset="0"/>
              </a:defRPr>
            </a:pPr>
            <a:endParaRPr lang="cs-CZ"/>
          </a:p>
        </c:txPr>
        <c:crossAx val="142551296"/>
        <c:crosses val="max"/>
        <c:crossBetween val="between"/>
        <c:majorUnit val="5"/>
      </c:valAx>
      <c:catAx>
        <c:axId val="142551296"/>
        <c:scaling>
          <c:orientation val="minMax"/>
        </c:scaling>
        <c:delete val="1"/>
        <c:axPos val="b"/>
        <c:numFmt formatCode="General" sourceLinked="1"/>
        <c:majorTickMark val="out"/>
        <c:minorTickMark val="none"/>
        <c:tickLblPos val="none"/>
        <c:crossAx val="142549760"/>
        <c:crosses val="autoZero"/>
        <c:auto val="1"/>
        <c:lblAlgn val="ctr"/>
        <c:lblOffset val="100"/>
        <c:noMultiLvlLbl val="0"/>
      </c:catAx>
      <c:spPr>
        <a:noFill/>
        <a:ln w="6350">
          <a:solidFill>
            <a:schemeClr val="tx1">
              <a:lumMod val="95000"/>
              <a:lumOff val="5000"/>
            </a:schemeClr>
          </a:solidFill>
        </a:ln>
        <a:effectLst/>
      </c:spPr>
    </c:plotArea>
    <c:legend>
      <c:legendPos val="b"/>
      <c:layout>
        <c:manualLayout>
          <c:xMode val="edge"/>
          <c:yMode val="edge"/>
          <c:x val="4.2503844066719663E-2"/>
          <c:y val="0.82122196433188466"/>
          <c:w val="0.88789008341726949"/>
          <c:h val="0.16271401018155021"/>
        </c:manualLayout>
      </c:layout>
      <c:overlay val="0"/>
      <c:spPr>
        <a:noFill/>
        <a:ln w="6350">
          <a:solidFill>
            <a:schemeClr val="tx1">
              <a:lumMod val="95000"/>
              <a:lumOff val="5000"/>
            </a:schemeClr>
          </a:solid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cs-CZ"/>
        </a:p>
      </c:txPr>
    </c:legend>
    <c:plotVisOnly val="1"/>
    <c:dispBlanksAs val="gap"/>
    <c:showDLblsOverMax val="0"/>
  </c:chart>
  <c:spPr>
    <a:solidFill>
      <a:schemeClr val="bg1"/>
    </a:solidFill>
    <a:ln w="9525" cap="flat" cmpd="sng" algn="ctr">
      <a:noFill/>
      <a:round/>
    </a:ln>
    <a:effectLst/>
  </c:spPr>
  <c:txPr>
    <a:bodyPr/>
    <a:lstStyle/>
    <a:p>
      <a:pPr>
        <a:defRPr/>
      </a:pPr>
      <a:endParaRPr lang="cs-CZ"/>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1755603720266684E-2"/>
          <c:y val="1.5999671172066066E-2"/>
          <c:w val="0.91607291098123944"/>
          <c:h val="0.74427381712421181"/>
        </c:manualLayout>
      </c:layout>
      <c:lineChart>
        <c:grouping val="standard"/>
        <c:varyColors val="0"/>
        <c:ser>
          <c:idx val="0"/>
          <c:order val="0"/>
          <c:tx>
            <c:strRef>
              <c:f>'Graf-8-produktivita-odvětví'!$A$44</c:f>
              <c:strCache>
                <c:ptCount val="1"/>
                <c:pt idx="0">
                  <c:v>Všechna odvětví NH</c:v>
                </c:pt>
              </c:strCache>
            </c:strRef>
          </c:tx>
          <c:spPr>
            <a:ln w="19050">
              <a:solidFill>
                <a:schemeClr val="tx1">
                  <a:lumMod val="95000"/>
                  <a:lumOff val="5000"/>
                </a:schemeClr>
              </a:solidFill>
            </a:ln>
            <a:effectLst/>
          </c:spPr>
          <c:marker>
            <c:symbol val="none"/>
          </c:marker>
          <c:cat>
            <c:numRef>
              <c:f>'Graf-8-produktivita-odvětví'!$B$43:$O$43</c:f>
              <c:numCache>
                <c:formatCode>General</c:formatCode>
                <c:ptCount val="14"/>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numCache>
            </c:numRef>
          </c:cat>
          <c:val>
            <c:numRef>
              <c:f>'Graf-8-produktivita-odvětví'!$B$44:$O$44</c:f>
              <c:numCache>
                <c:formatCode>0</c:formatCode>
                <c:ptCount val="14"/>
                <c:pt idx="0">
                  <c:v>100</c:v>
                </c:pt>
                <c:pt idx="1">
                  <c:v>107.04162531734592</c:v>
                </c:pt>
                <c:pt idx="2">
                  <c:v>111.32626297765835</c:v>
                </c:pt>
                <c:pt idx="3">
                  <c:v>112.51579176073247</c:v>
                </c:pt>
                <c:pt idx="4">
                  <c:v>109.01222785267248</c:v>
                </c:pt>
                <c:pt idx="5">
                  <c:v>111.97193057903641</c:v>
                </c:pt>
                <c:pt idx="6">
                  <c:v>114.14313587400331</c:v>
                </c:pt>
                <c:pt idx="7">
                  <c:v>114.57947447234578</c:v>
                </c:pt>
                <c:pt idx="8">
                  <c:v>114.49644010205182</c:v>
                </c:pt>
                <c:pt idx="9">
                  <c:v>116.83008065974867</c:v>
                </c:pt>
                <c:pt idx="10">
                  <c:v>122.04150294597542</c:v>
                </c:pt>
                <c:pt idx="11">
                  <c:v>121.455408848004</c:v>
                </c:pt>
                <c:pt idx="12">
                  <c:v>124.25746172163474</c:v>
                </c:pt>
                <c:pt idx="13">
                  <c:v>126.26028245133602</c:v>
                </c:pt>
              </c:numCache>
            </c:numRef>
          </c:val>
          <c:smooth val="0"/>
          <c:extLst>
            <c:ext xmlns:c16="http://schemas.microsoft.com/office/drawing/2014/chart" uri="{C3380CC4-5D6E-409C-BE32-E72D297353CC}">
              <c16:uniqueId val="{00000000-F573-49C7-BBE2-AEAA4B816C81}"/>
            </c:ext>
          </c:extLst>
        </c:ser>
        <c:ser>
          <c:idx val="1"/>
          <c:order val="1"/>
          <c:tx>
            <c:strRef>
              <c:f>'Graf-8-produktivita-odvětví'!$A$45</c:f>
              <c:strCache>
                <c:ptCount val="1"/>
                <c:pt idx="0">
                  <c:v>Zemědělství, lesnictví a rybářství</c:v>
                </c:pt>
              </c:strCache>
            </c:strRef>
          </c:tx>
          <c:spPr>
            <a:ln w="15875">
              <a:solidFill>
                <a:srgbClr val="48AEE7"/>
              </a:solidFill>
              <a:prstDash val="solid"/>
            </a:ln>
            <a:effectLst/>
          </c:spPr>
          <c:marker>
            <c:symbol val="none"/>
          </c:marker>
          <c:cat>
            <c:numRef>
              <c:f>'Graf-8-produktivita-odvětví'!$B$43:$O$43</c:f>
              <c:numCache>
                <c:formatCode>General</c:formatCode>
                <c:ptCount val="14"/>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numCache>
            </c:numRef>
          </c:cat>
          <c:val>
            <c:numRef>
              <c:f>'Graf-8-produktivita-odvětví'!$B$45:$O$45</c:f>
              <c:numCache>
                <c:formatCode>0</c:formatCode>
                <c:ptCount val="14"/>
                <c:pt idx="0">
                  <c:v>100</c:v>
                </c:pt>
                <c:pt idx="1">
                  <c:v>95.242947167764584</c:v>
                </c:pt>
                <c:pt idx="2">
                  <c:v>72.574280236549797</c:v>
                </c:pt>
                <c:pt idx="3">
                  <c:v>80.178715537023962</c:v>
                </c:pt>
                <c:pt idx="4">
                  <c:v>98.473068543449571</c:v>
                </c:pt>
                <c:pt idx="5">
                  <c:v>84.722094079911599</c:v>
                </c:pt>
                <c:pt idx="6">
                  <c:v>83.461151189842511</c:v>
                </c:pt>
                <c:pt idx="7">
                  <c:v>87.805979720719819</c:v>
                </c:pt>
                <c:pt idx="8">
                  <c:v>84.803667104748513</c:v>
                </c:pt>
                <c:pt idx="9">
                  <c:v>92.13799266361687</c:v>
                </c:pt>
                <c:pt idx="10">
                  <c:v>98.014643619188419</c:v>
                </c:pt>
                <c:pt idx="11">
                  <c:v>101.99104019987669</c:v>
                </c:pt>
                <c:pt idx="12">
                  <c:v>98.383606932800149</c:v>
                </c:pt>
                <c:pt idx="13">
                  <c:v>102.3250468094283</c:v>
                </c:pt>
              </c:numCache>
            </c:numRef>
          </c:val>
          <c:smooth val="0"/>
          <c:extLst>
            <c:ext xmlns:c16="http://schemas.microsoft.com/office/drawing/2014/chart" uri="{C3380CC4-5D6E-409C-BE32-E72D297353CC}">
              <c16:uniqueId val="{00000001-F573-49C7-BBE2-AEAA4B816C81}"/>
            </c:ext>
          </c:extLst>
        </c:ser>
        <c:ser>
          <c:idx val="2"/>
          <c:order val="2"/>
          <c:tx>
            <c:strRef>
              <c:f>'Graf-8-produktivita-odvětví'!$A$46</c:f>
              <c:strCache>
                <c:ptCount val="1"/>
                <c:pt idx="0">
                  <c:v>Zpracovatelský průmysl</c:v>
                </c:pt>
              </c:strCache>
            </c:strRef>
          </c:tx>
          <c:spPr>
            <a:ln w="15875" cap="rnd">
              <a:solidFill>
                <a:srgbClr val="0071BC"/>
              </a:solidFill>
              <a:round/>
            </a:ln>
            <a:effectLst/>
          </c:spPr>
          <c:marker>
            <c:symbol val="none"/>
          </c:marker>
          <c:cat>
            <c:numRef>
              <c:f>'Graf-8-produktivita-odvětví'!$B$43:$O$43</c:f>
              <c:numCache>
                <c:formatCode>General</c:formatCode>
                <c:ptCount val="14"/>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numCache>
            </c:numRef>
          </c:cat>
          <c:val>
            <c:numRef>
              <c:f>'Graf-8-produktivita-odvětví'!$B$46:$O$46</c:f>
              <c:numCache>
                <c:formatCode>0</c:formatCode>
                <c:ptCount val="14"/>
                <c:pt idx="0">
                  <c:v>100</c:v>
                </c:pt>
                <c:pt idx="1">
                  <c:v>120.85396685752868</c:v>
                </c:pt>
                <c:pt idx="2">
                  <c:v>126.56754823028544</c:v>
                </c:pt>
                <c:pt idx="3">
                  <c:v>135.84701392976339</c:v>
                </c:pt>
                <c:pt idx="4">
                  <c:v>132.01189959994562</c:v>
                </c:pt>
                <c:pt idx="5">
                  <c:v>146.13994484067962</c:v>
                </c:pt>
                <c:pt idx="6">
                  <c:v>155.92617603485553</c:v>
                </c:pt>
                <c:pt idx="7">
                  <c:v>150.88191608788802</c:v>
                </c:pt>
                <c:pt idx="8">
                  <c:v>147.55117395848612</c:v>
                </c:pt>
                <c:pt idx="9">
                  <c:v>154.28911452835834</c:v>
                </c:pt>
                <c:pt idx="10">
                  <c:v>157.89879393671134</c:v>
                </c:pt>
                <c:pt idx="11">
                  <c:v>158.62525611012086</c:v>
                </c:pt>
                <c:pt idx="12">
                  <c:v>172.57007521839552</c:v>
                </c:pt>
                <c:pt idx="13">
                  <c:v>173.14363784197138</c:v>
                </c:pt>
              </c:numCache>
            </c:numRef>
          </c:val>
          <c:smooth val="0"/>
          <c:extLst>
            <c:ext xmlns:c16="http://schemas.microsoft.com/office/drawing/2014/chart" uri="{C3380CC4-5D6E-409C-BE32-E72D297353CC}">
              <c16:uniqueId val="{00000002-F573-49C7-BBE2-AEAA4B816C81}"/>
            </c:ext>
          </c:extLst>
        </c:ser>
        <c:ser>
          <c:idx val="3"/>
          <c:order val="3"/>
          <c:tx>
            <c:strRef>
              <c:f>'Graf-8-produktivita-odvětví'!$A$47</c:f>
              <c:strCache>
                <c:ptCount val="1"/>
                <c:pt idx="0">
                  <c:v>Těžba,energetika,hosp.s vodou i odpady</c:v>
                </c:pt>
              </c:strCache>
            </c:strRef>
          </c:tx>
          <c:spPr>
            <a:ln w="15875" cap="rnd">
              <a:solidFill>
                <a:schemeClr val="bg1">
                  <a:lumMod val="50000"/>
                </a:schemeClr>
              </a:solidFill>
              <a:prstDash val="sysDash"/>
              <a:round/>
            </a:ln>
            <a:effectLst/>
          </c:spPr>
          <c:marker>
            <c:symbol val="none"/>
          </c:marker>
          <c:cat>
            <c:numRef>
              <c:f>'Graf-8-produktivita-odvětví'!$B$43:$O$43</c:f>
              <c:numCache>
                <c:formatCode>General</c:formatCode>
                <c:ptCount val="14"/>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numCache>
            </c:numRef>
          </c:cat>
          <c:val>
            <c:numRef>
              <c:f>'Graf-8-produktivita-odvětví'!$B$47:$O$47</c:f>
              <c:numCache>
                <c:formatCode>0</c:formatCode>
                <c:ptCount val="14"/>
                <c:pt idx="0">
                  <c:v>100</c:v>
                </c:pt>
                <c:pt idx="1">
                  <c:v>107.63874872864457</c:v>
                </c:pt>
                <c:pt idx="2">
                  <c:v>108.01538749137352</c:v>
                </c:pt>
                <c:pt idx="3">
                  <c:v>111.64794236056241</c:v>
                </c:pt>
                <c:pt idx="4">
                  <c:v>105.71665196039731</c:v>
                </c:pt>
                <c:pt idx="5">
                  <c:v>97.145923244437867</c:v>
                </c:pt>
                <c:pt idx="6">
                  <c:v>90.697552185844103</c:v>
                </c:pt>
                <c:pt idx="7">
                  <c:v>90.60252340387197</c:v>
                </c:pt>
                <c:pt idx="8">
                  <c:v>80.466595351141564</c:v>
                </c:pt>
                <c:pt idx="9">
                  <c:v>79.145663274903214</c:v>
                </c:pt>
                <c:pt idx="10">
                  <c:v>78.992693329197166</c:v>
                </c:pt>
                <c:pt idx="11">
                  <c:v>74.791353365116251</c:v>
                </c:pt>
                <c:pt idx="12">
                  <c:v>74.955310904715205</c:v>
                </c:pt>
                <c:pt idx="13">
                  <c:v>73.364440990104413</c:v>
                </c:pt>
              </c:numCache>
            </c:numRef>
          </c:val>
          <c:smooth val="0"/>
          <c:extLst>
            <c:ext xmlns:c16="http://schemas.microsoft.com/office/drawing/2014/chart" uri="{C3380CC4-5D6E-409C-BE32-E72D297353CC}">
              <c16:uniqueId val="{00000003-F573-49C7-BBE2-AEAA4B816C81}"/>
            </c:ext>
          </c:extLst>
        </c:ser>
        <c:ser>
          <c:idx val="4"/>
          <c:order val="4"/>
          <c:tx>
            <c:strRef>
              <c:f>'Graf-8-produktivita-odvětví'!$A$48</c:f>
              <c:strCache>
                <c:ptCount val="1"/>
                <c:pt idx="0">
                  <c:v>Stavebnictví</c:v>
                </c:pt>
              </c:strCache>
            </c:strRef>
          </c:tx>
          <c:spPr>
            <a:ln w="15875" cap="rnd">
              <a:solidFill>
                <a:srgbClr val="7030A0"/>
              </a:solidFill>
              <a:round/>
            </a:ln>
            <a:effectLst/>
          </c:spPr>
          <c:marker>
            <c:symbol val="none"/>
          </c:marker>
          <c:cat>
            <c:numRef>
              <c:f>'Graf-8-produktivita-odvětví'!$B$43:$O$43</c:f>
              <c:numCache>
                <c:formatCode>General</c:formatCode>
                <c:ptCount val="14"/>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numCache>
            </c:numRef>
          </c:cat>
          <c:val>
            <c:numRef>
              <c:f>'Graf-8-produktivita-odvětví'!$B$48:$O$48</c:f>
              <c:numCache>
                <c:formatCode>0</c:formatCode>
                <c:ptCount val="14"/>
                <c:pt idx="0">
                  <c:v>100</c:v>
                </c:pt>
                <c:pt idx="1">
                  <c:v>100.47065962375619</c:v>
                </c:pt>
                <c:pt idx="2">
                  <c:v>107.00442357514413</c:v>
                </c:pt>
                <c:pt idx="3">
                  <c:v>103.59802686831819</c:v>
                </c:pt>
                <c:pt idx="4">
                  <c:v>97.332121155737354</c:v>
                </c:pt>
                <c:pt idx="5">
                  <c:v>99.599061866285652</c:v>
                </c:pt>
                <c:pt idx="6">
                  <c:v>97.083309074416889</c:v>
                </c:pt>
                <c:pt idx="7">
                  <c:v>97.252099283862094</c:v>
                </c:pt>
                <c:pt idx="8">
                  <c:v>102.01489406955289</c:v>
                </c:pt>
                <c:pt idx="9">
                  <c:v>107.35866245190347</c:v>
                </c:pt>
                <c:pt idx="10">
                  <c:v>113.50411217418031</c:v>
                </c:pt>
                <c:pt idx="11">
                  <c:v>110.69271718250144</c:v>
                </c:pt>
                <c:pt idx="12">
                  <c:v>106.26657872817573</c:v>
                </c:pt>
                <c:pt idx="13">
                  <c:v>110.23010364668457</c:v>
                </c:pt>
              </c:numCache>
            </c:numRef>
          </c:val>
          <c:smooth val="0"/>
          <c:extLst>
            <c:ext xmlns:c16="http://schemas.microsoft.com/office/drawing/2014/chart" uri="{C3380CC4-5D6E-409C-BE32-E72D297353CC}">
              <c16:uniqueId val="{00000004-F573-49C7-BBE2-AEAA4B816C81}"/>
            </c:ext>
          </c:extLst>
        </c:ser>
        <c:ser>
          <c:idx val="5"/>
          <c:order val="5"/>
          <c:tx>
            <c:strRef>
              <c:f>'Graf-8-produktivita-odvětví'!$A$49</c:f>
              <c:strCache>
                <c:ptCount val="1"/>
                <c:pt idx="0">
                  <c:v>Obchod</c:v>
                </c:pt>
              </c:strCache>
            </c:strRef>
          </c:tx>
          <c:spPr>
            <a:ln w="15875" cap="rnd">
              <a:solidFill>
                <a:srgbClr val="92D050"/>
              </a:solidFill>
              <a:prstDash val="solid"/>
              <a:round/>
            </a:ln>
            <a:effectLst/>
          </c:spPr>
          <c:marker>
            <c:symbol val="none"/>
          </c:marker>
          <c:cat>
            <c:numRef>
              <c:f>'Graf-8-produktivita-odvětví'!$B$43:$O$43</c:f>
              <c:numCache>
                <c:formatCode>General</c:formatCode>
                <c:ptCount val="14"/>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numCache>
            </c:numRef>
          </c:cat>
          <c:val>
            <c:numRef>
              <c:f>'Graf-8-produktivita-odvětví'!$B$49:$O$49</c:f>
              <c:numCache>
                <c:formatCode>0</c:formatCode>
                <c:ptCount val="14"/>
                <c:pt idx="0">
                  <c:v>100</c:v>
                </c:pt>
                <c:pt idx="1">
                  <c:v>105.85115624647246</c:v>
                </c:pt>
                <c:pt idx="2">
                  <c:v>116.76356577059327</c:v>
                </c:pt>
                <c:pt idx="3">
                  <c:v>111.5723217784936</c:v>
                </c:pt>
                <c:pt idx="4">
                  <c:v>104.80254621953279</c:v>
                </c:pt>
                <c:pt idx="5">
                  <c:v>112.11658262302731</c:v>
                </c:pt>
                <c:pt idx="6">
                  <c:v>115.82901286408924</c:v>
                </c:pt>
                <c:pt idx="7">
                  <c:v>121.29410636501318</c:v>
                </c:pt>
                <c:pt idx="8">
                  <c:v>121.09846525866021</c:v>
                </c:pt>
                <c:pt idx="9">
                  <c:v>130.41001368310492</c:v>
                </c:pt>
                <c:pt idx="10">
                  <c:v>145.91532496724</c:v>
                </c:pt>
                <c:pt idx="11">
                  <c:v>145.14429513958854</c:v>
                </c:pt>
                <c:pt idx="12">
                  <c:v>146.90516720016478</c:v>
                </c:pt>
                <c:pt idx="13">
                  <c:v>151.40580664474811</c:v>
                </c:pt>
              </c:numCache>
            </c:numRef>
          </c:val>
          <c:smooth val="0"/>
          <c:extLst>
            <c:ext xmlns:c16="http://schemas.microsoft.com/office/drawing/2014/chart" uri="{C3380CC4-5D6E-409C-BE32-E72D297353CC}">
              <c16:uniqueId val="{00000005-F573-49C7-BBE2-AEAA4B816C81}"/>
            </c:ext>
          </c:extLst>
        </c:ser>
        <c:ser>
          <c:idx val="6"/>
          <c:order val="6"/>
          <c:tx>
            <c:strRef>
              <c:f>'Graf-8-produktivita-odvětví'!$A$50</c:f>
              <c:strCache>
                <c:ptCount val="1"/>
                <c:pt idx="0">
                  <c:v>Doprava, skladování</c:v>
                </c:pt>
              </c:strCache>
            </c:strRef>
          </c:tx>
          <c:spPr>
            <a:ln w="15875">
              <a:solidFill>
                <a:srgbClr val="00B050"/>
              </a:solidFill>
            </a:ln>
          </c:spPr>
          <c:marker>
            <c:symbol val="none"/>
          </c:marker>
          <c:cat>
            <c:numRef>
              <c:f>'Graf-8-produktivita-odvětví'!$B$43:$O$43</c:f>
              <c:numCache>
                <c:formatCode>General</c:formatCode>
                <c:ptCount val="14"/>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numCache>
            </c:numRef>
          </c:cat>
          <c:val>
            <c:numRef>
              <c:f>'Graf-8-produktivita-odvětví'!$B$50:$O$50</c:f>
              <c:numCache>
                <c:formatCode>0</c:formatCode>
                <c:ptCount val="14"/>
                <c:pt idx="0">
                  <c:v>100</c:v>
                </c:pt>
                <c:pt idx="1">
                  <c:v>109.87247622610745</c:v>
                </c:pt>
                <c:pt idx="2">
                  <c:v>109.5782394024798</c:v>
                </c:pt>
                <c:pt idx="3">
                  <c:v>103.87959173705735</c:v>
                </c:pt>
                <c:pt idx="4">
                  <c:v>95.030649761220999</c:v>
                </c:pt>
                <c:pt idx="5">
                  <c:v>96.13168168136373</c:v>
                </c:pt>
                <c:pt idx="6">
                  <c:v>90.553403589790292</c:v>
                </c:pt>
                <c:pt idx="7">
                  <c:v>90.258407491328498</c:v>
                </c:pt>
                <c:pt idx="8">
                  <c:v>88.96316386017655</c:v>
                </c:pt>
                <c:pt idx="9">
                  <c:v>83.839601509955912</c:v>
                </c:pt>
                <c:pt idx="10">
                  <c:v>84.522368939282359</c:v>
                </c:pt>
                <c:pt idx="11">
                  <c:v>85.134391067048981</c:v>
                </c:pt>
                <c:pt idx="12">
                  <c:v>87.088878781421158</c:v>
                </c:pt>
                <c:pt idx="13">
                  <c:v>92.110698636654249</c:v>
                </c:pt>
              </c:numCache>
            </c:numRef>
          </c:val>
          <c:smooth val="0"/>
          <c:extLst>
            <c:ext xmlns:c16="http://schemas.microsoft.com/office/drawing/2014/chart" uri="{C3380CC4-5D6E-409C-BE32-E72D297353CC}">
              <c16:uniqueId val="{00000006-F573-49C7-BBE2-AEAA4B816C81}"/>
            </c:ext>
          </c:extLst>
        </c:ser>
        <c:ser>
          <c:idx val="7"/>
          <c:order val="7"/>
          <c:tx>
            <c:strRef>
              <c:f>'Graf-8-produktivita-odvětví'!$A$51</c:f>
              <c:strCache>
                <c:ptCount val="1"/>
                <c:pt idx="0">
                  <c:v>Informační a komunikační čin.</c:v>
                </c:pt>
              </c:strCache>
            </c:strRef>
          </c:tx>
          <c:spPr>
            <a:ln w="15875">
              <a:solidFill>
                <a:srgbClr val="F8A124"/>
              </a:solidFill>
            </a:ln>
          </c:spPr>
          <c:marker>
            <c:symbol val="none"/>
          </c:marker>
          <c:cat>
            <c:numRef>
              <c:f>'Graf-8-produktivita-odvětví'!$B$43:$O$43</c:f>
              <c:numCache>
                <c:formatCode>General</c:formatCode>
                <c:ptCount val="14"/>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numCache>
            </c:numRef>
          </c:cat>
          <c:val>
            <c:numRef>
              <c:f>'Graf-8-produktivita-odvětví'!$B$51:$O$51</c:f>
              <c:numCache>
                <c:formatCode>0</c:formatCode>
                <c:ptCount val="14"/>
                <c:pt idx="0">
                  <c:v>100</c:v>
                </c:pt>
                <c:pt idx="1">
                  <c:v>104.82049844759574</c:v>
                </c:pt>
                <c:pt idx="2">
                  <c:v>111.90125587795063</c:v>
                </c:pt>
                <c:pt idx="3">
                  <c:v>106.47587023331005</c:v>
                </c:pt>
                <c:pt idx="4">
                  <c:v>100.05655065332834</c:v>
                </c:pt>
                <c:pt idx="5">
                  <c:v>103.05535611871861</c:v>
                </c:pt>
                <c:pt idx="6">
                  <c:v>109.97162677906989</c:v>
                </c:pt>
                <c:pt idx="7">
                  <c:v>106.41101236826763</c:v>
                </c:pt>
                <c:pt idx="8">
                  <c:v>107.95786604692856</c:v>
                </c:pt>
                <c:pt idx="9">
                  <c:v>113.19409622009526</c:v>
                </c:pt>
                <c:pt idx="10">
                  <c:v>125.51583237142907</c:v>
                </c:pt>
                <c:pt idx="11">
                  <c:v>121.53693127191372</c:v>
                </c:pt>
                <c:pt idx="12">
                  <c:v>124.90361793950495</c:v>
                </c:pt>
                <c:pt idx="13">
                  <c:v>132.29075898349041</c:v>
                </c:pt>
              </c:numCache>
            </c:numRef>
          </c:val>
          <c:smooth val="0"/>
          <c:extLst>
            <c:ext xmlns:c16="http://schemas.microsoft.com/office/drawing/2014/chart" uri="{C3380CC4-5D6E-409C-BE32-E72D297353CC}">
              <c16:uniqueId val="{00000007-F573-49C7-BBE2-AEAA4B816C81}"/>
            </c:ext>
          </c:extLst>
        </c:ser>
        <c:ser>
          <c:idx val="8"/>
          <c:order val="8"/>
          <c:tx>
            <c:strRef>
              <c:f>'Graf-8-produktivita-odvětví'!$A$52</c:f>
              <c:strCache>
                <c:ptCount val="1"/>
                <c:pt idx="0">
                  <c:v>Peněžnictví a pojišťovnictví</c:v>
                </c:pt>
              </c:strCache>
            </c:strRef>
          </c:tx>
          <c:spPr>
            <a:ln w="15875">
              <a:solidFill>
                <a:srgbClr val="E8AFB2"/>
              </a:solidFill>
            </a:ln>
          </c:spPr>
          <c:marker>
            <c:symbol val="none"/>
          </c:marker>
          <c:cat>
            <c:numRef>
              <c:f>'Graf-8-produktivita-odvětví'!$B$43:$O$43</c:f>
              <c:numCache>
                <c:formatCode>General</c:formatCode>
                <c:ptCount val="14"/>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numCache>
            </c:numRef>
          </c:cat>
          <c:val>
            <c:numRef>
              <c:f>'Graf-8-produktivita-odvětví'!$B$52:$O$52</c:f>
              <c:numCache>
                <c:formatCode>0</c:formatCode>
                <c:ptCount val="14"/>
                <c:pt idx="0">
                  <c:v>100</c:v>
                </c:pt>
                <c:pt idx="1">
                  <c:v>102.65129852365874</c:v>
                </c:pt>
                <c:pt idx="2">
                  <c:v>120.78578835386158</c:v>
                </c:pt>
                <c:pt idx="3">
                  <c:v>130.56263301077254</c:v>
                </c:pt>
                <c:pt idx="4">
                  <c:v>141.64984724024998</c:v>
                </c:pt>
                <c:pt idx="5">
                  <c:v>144.84906367126709</c:v>
                </c:pt>
                <c:pt idx="6">
                  <c:v>145.11837218009285</c:v>
                </c:pt>
                <c:pt idx="7">
                  <c:v>140.13790091800476</c:v>
                </c:pt>
                <c:pt idx="8">
                  <c:v>152.0857520104436</c:v>
                </c:pt>
                <c:pt idx="9">
                  <c:v>148.82878581235389</c:v>
                </c:pt>
                <c:pt idx="10">
                  <c:v>164.27779525852759</c:v>
                </c:pt>
                <c:pt idx="11">
                  <c:v>173.6767553592571</c:v>
                </c:pt>
                <c:pt idx="12">
                  <c:v>192.12803967252987</c:v>
                </c:pt>
                <c:pt idx="13">
                  <c:v>198.18866048300029</c:v>
                </c:pt>
              </c:numCache>
            </c:numRef>
          </c:val>
          <c:smooth val="0"/>
          <c:extLst>
            <c:ext xmlns:c16="http://schemas.microsoft.com/office/drawing/2014/chart" uri="{C3380CC4-5D6E-409C-BE32-E72D297353CC}">
              <c16:uniqueId val="{00000008-F573-49C7-BBE2-AEAA4B816C81}"/>
            </c:ext>
          </c:extLst>
        </c:ser>
        <c:ser>
          <c:idx val="9"/>
          <c:order val="9"/>
          <c:tx>
            <c:strRef>
              <c:f>'Graf-8-produktivita-odvětví'!$A$53</c:f>
              <c:strCache>
                <c:ptCount val="1"/>
                <c:pt idx="0">
                  <c:v>Odvětví s převahou veř. sektoru*</c:v>
                </c:pt>
              </c:strCache>
            </c:strRef>
          </c:tx>
          <c:spPr>
            <a:ln w="15875">
              <a:solidFill>
                <a:srgbClr val="BD1B21"/>
              </a:solidFill>
            </a:ln>
          </c:spPr>
          <c:marker>
            <c:symbol val="none"/>
          </c:marker>
          <c:cat>
            <c:numRef>
              <c:f>'Graf-8-produktivita-odvětví'!$B$43:$O$43</c:f>
              <c:numCache>
                <c:formatCode>General</c:formatCode>
                <c:ptCount val="14"/>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numCache>
            </c:numRef>
          </c:cat>
          <c:val>
            <c:numRef>
              <c:f>'Graf-8-produktivita-odvětví'!$B$53:$O$53</c:f>
              <c:numCache>
                <c:formatCode>0</c:formatCode>
                <c:ptCount val="14"/>
                <c:pt idx="0">
                  <c:v>100</c:v>
                </c:pt>
                <c:pt idx="1">
                  <c:v>98.749764848964332</c:v>
                </c:pt>
                <c:pt idx="2">
                  <c:v>98.720919059779106</c:v>
                </c:pt>
                <c:pt idx="3">
                  <c:v>98.361066164220915</c:v>
                </c:pt>
                <c:pt idx="4">
                  <c:v>98.253919075838667</c:v>
                </c:pt>
                <c:pt idx="5">
                  <c:v>98.302953418345297</c:v>
                </c:pt>
                <c:pt idx="6">
                  <c:v>96.72878741678376</c:v>
                </c:pt>
                <c:pt idx="7">
                  <c:v>98.806458055010452</c:v>
                </c:pt>
                <c:pt idx="8">
                  <c:v>99.169436214931267</c:v>
                </c:pt>
                <c:pt idx="9">
                  <c:v>96.581343136756317</c:v>
                </c:pt>
                <c:pt idx="10">
                  <c:v>97.743616754935914</c:v>
                </c:pt>
                <c:pt idx="11">
                  <c:v>96.764129938160579</c:v>
                </c:pt>
                <c:pt idx="12">
                  <c:v>94.389346524849188</c:v>
                </c:pt>
                <c:pt idx="13">
                  <c:v>95.270303154840988</c:v>
                </c:pt>
              </c:numCache>
            </c:numRef>
          </c:val>
          <c:smooth val="0"/>
          <c:extLst>
            <c:ext xmlns:c16="http://schemas.microsoft.com/office/drawing/2014/chart" uri="{C3380CC4-5D6E-409C-BE32-E72D297353CC}">
              <c16:uniqueId val="{00000009-F573-49C7-BBE2-AEAA4B816C81}"/>
            </c:ext>
          </c:extLst>
        </c:ser>
        <c:dLbls>
          <c:showLegendKey val="0"/>
          <c:showVal val="0"/>
          <c:showCatName val="0"/>
          <c:showSerName val="0"/>
          <c:showPercent val="0"/>
          <c:showBubbleSize val="0"/>
        </c:dLbls>
        <c:smooth val="0"/>
        <c:axId val="101393536"/>
        <c:axId val="101395072"/>
      </c:lineChart>
      <c:catAx>
        <c:axId val="101393536"/>
        <c:scaling>
          <c:orientation val="minMax"/>
        </c:scaling>
        <c:delete val="0"/>
        <c:axPos val="b"/>
        <c:numFmt formatCode="General" sourceLinked="1"/>
        <c:majorTickMark val="none"/>
        <c:minorTickMark val="none"/>
        <c:tickLblPos val="low"/>
        <c:spPr>
          <a:noFill/>
          <a:ln w="6350" cap="flat" cmpd="sng" algn="ctr">
            <a:solidFill>
              <a:schemeClr val="tx1">
                <a:lumMod val="95000"/>
                <a:lumOff val="5000"/>
              </a:schemeClr>
            </a:solidFill>
            <a:round/>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cs-CZ"/>
          </a:p>
        </c:txPr>
        <c:crossAx val="101395072"/>
        <c:crossesAt val="100"/>
        <c:auto val="1"/>
        <c:lblAlgn val="ctr"/>
        <c:lblOffset val="10"/>
        <c:noMultiLvlLbl val="0"/>
      </c:catAx>
      <c:valAx>
        <c:axId val="101395072"/>
        <c:scaling>
          <c:orientation val="minMax"/>
          <c:max val="200"/>
          <c:min val="7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cs-CZ"/>
          </a:p>
        </c:txPr>
        <c:crossAx val="101393536"/>
        <c:crosses val="autoZero"/>
        <c:crossBetween val="between"/>
        <c:majorUnit val="10"/>
      </c:valAx>
      <c:spPr>
        <a:noFill/>
        <a:ln w="6350">
          <a:solidFill>
            <a:schemeClr val="tx1">
              <a:lumMod val="95000"/>
              <a:lumOff val="5000"/>
            </a:schemeClr>
          </a:solidFill>
        </a:ln>
        <a:effectLst/>
      </c:spPr>
    </c:plotArea>
    <c:legend>
      <c:legendPos val="b"/>
      <c:layout>
        <c:manualLayout>
          <c:xMode val="edge"/>
          <c:yMode val="edge"/>
          <c:x val="1.1665268546928741E-2"/>
          <c:y val="0.81285947364687705"/>
          <c:w val="0.98079404333393461"/>
          <c:h val="0.17632971554231394"/>
        </c:manualLayout>
      </c:layout>
      <c:overlay val="0"/>
      <c:spPr>
        <a:noFill/>
        <a:ln w="6350">
          <a:solidFill>
            <a:schemeClr val="tx1">
              <a:lumMod val="95000"/>
              <a:lumOff val="5000"/>
            </a:schemeClr>
          </a:solid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cs-CZ"/>
        </a:p>
      </c:txPr>
    </c:legend>
    <c:plotVisOnly val="1"/>
    <c:dispBlanksAs val="gap"/>
    <c:showDLblsOverMax val="0"/>
  </c:chart>
  <c:spPr>
    <a:solidFill>
      <a:schemeClr val="bg1"/>
    </a:solidFill>
    <a:ln w="9525" cap="flat" cmpd="sng" algn="ctr">
      <a:noFill/>
      <a:round/>
    </a:ln>
    <a:effectLst/>
  </c:spPr>
  <c:txPr>
    <a:bodyPr/>
    <a:lstStyle/>
    <a:p>
      <a:pPr>
        <a:defRPr/>
      </a:pPr>
      <a:endParaRPr lang="cs-CZ"/>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1755603720266684E-2"/>
          <c:y val="1.5999671172066066E-2"/>
          <c:w val="0.91607291098123966"/>
          <c:h val="0.72288743749310724"/>
        </c:manualLayout>
      </c:layout>
      <c:barChart>
        <c:barDir val="col"/>
        <c:grouping val="clustered"/>
        <c:varyColors val="0"/>
        <c:ser>
          <c:idx val="2"/>
          <c:order val="2"/>
          <c:tx>
            <c:strRef>
              <c:f>'Graf-9-Mzdy a produktivita'!$D$2</c:f>
              <c:strCache>
                <c:ptCount val="1"/>
                <c:pt idx="0">
                  <c:v>Podíl mezd a platů na HDP (pravá osa)</c:v>
                </c:pt>
              </c:strCache>
            </c:strRef>
          </c:tx>
          <c:spPr>
            <a:solidFill>
              <a:schemeClr val="bg1">
                <a:lumMod val="85000"/>
              </a:schemeClr>
            </a:solidFill>
            <a:ln>
              <a:noFill/>
            </a:ln>
          </c:spPr>
          <c:invertIfNegative val="0"/>
          <c:dLbls>
            <c:dLbl>
              <c:idx val="0"/>
              <c:layout>
                <c:manualLayout>
                  <c:x val="0"/>
                  <c:y val="7.213624093504414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FF4-49CA-865B-C444FCF4F0F8}"/>
                </c:ext>
              </c:extLst>
            </c:dLbl>
            <c:dLbl>
              <c:idx val="1"/>
              <c:layout>
                <c:manualLayout>
                  <c:x val="0"/>
                  <c:y val="7.213624093504414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FF4-49CA-865B-C444FCF4F0F8}"/>
                </c:ext>
              </c:extLst>
            </c:dLbl>
            <c:dLbl>
              <c:idx val="2"/>
              <c:layout>
                <c:manualLayout>
                  <c:x val="-2.76328142933452E-3"/>
                  <c:y val="7.21362409350448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FF4-49CA-865B-C444FCF4F0F8}"/>
                </c:ext>
              </c:extLst>
            </c:dLbl>
            <c:dLbl>
              <c:idx val="3"/>
              <c:layout>
                <c:manualLayout>
                  <c:x val="-2.5421434048999958E-17"/>
                  <c:y val="5.028380086709854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FF4-49CA-865B-C444FCF4F0F8}"/>
                </c:ext>
              </c:extLst>
            </c:dLbl>
            <c:dLbl>
              <c:idx val="4"/>
              <c:layout>
                <c:manualLayout>
                  <c:x val="0"/>
                  <c:y val="1.082043614025671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FF4-49CA-865B-C444FCF4F0F8}"/>
                </c:ext>
              </c:extLst>
            </c:dLbl>
            <c:dLbl>
              <c:idx val="5"/>
              <c:layout>
                <c:manualLayout>
                  <c:x val="-5.0659574314074186E-17"/>
                  <c:y val="1.082043614025671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FF4-49CA-865B-C444FCF4F0F8}"/>
                </c:ext>
              </c:extLst>
            </c:dLbl>
            <c:dLbl>
              <c:idx val="6"/>
              <c:layout>
                <c:manualLayout>
                  <c:x val="-2.76328142933452E-3"/>
                  <c:y val="1.082043614025671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FF4-49CA-865B-C444FCF4F0F8}"/>
                </c:ext>
              </c:extLst>
            </c:dLbl>
            <c:dLbl>
              <c:idx val="7"/>
              <c:layout>
                <c:manualLayout>
                  <c:x val="-5.0659574314074186E-17"/>
                  <c:y val="7.213624093504414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7FF4-49CA-865B-C444FCF4F0F8}"/>
                </c:ext>
              </c:extLst>
            </c:dLbl>
            <c:dLbl>
              <c:idx val="8"/>
              <c:layout>
                <c:manualLayout>
                  <c:x val="-5.0659574314074186E-17"/>
                  <c:y val="1.082043614025671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7FF4-49CA-865B-C444FCF4F0F8}"/>
                </c:ext>
              </c:extLst>
            </c:dLbl>
            <c:dLbl>
              <c:idx val="9"/>
              <c:layout>
                <c:manualLayout>
                  <c:x val="-2.7632814293346206E-3"/>
                  <c:y val="1.082043614025671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7FF4-49CA-865B-C444FCF4F0F8}"/>
                </c:ext>
              </c:extLst>
            </c:dLbl>
            <c:dLbl>
              <c:idx val="10"/>
              <c:layout>
                <c:manualLayout>
                  <c:x val="-1.0131914862814837E-16"/>
                  <c:y val="1.082043614025671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7FF4-49CA-865B-C444FCF4F0F8}"/>
                </c:ext>
              </c:extLst>
            </c:dLbl>
            <c:dLbl>
              <c:idx val="11"/>
              <c:layout>
                <c:manualLayout>
                  <c:x val="2.0099106070308961E-5"/>
                  <c:y val="1.08488493079805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7FF4-49CA-865B-C444FCF4F0F8}"/>
                </c:ext>
              </c:extLst>
            </c:dLbl>
            <c:dLbl>
              <c:idx val="12"/>
              <c:layout>
                <c:manualLayout>
                  <c:x val="0"/>
                  <c:y val="1.082043614025664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7FF4-49CA-865B-C444FCF4F0F8}"/>
                </c:ext>
              </c:extLst>
            </c:dLbl>
            <c:dLbl>
              <c:idx val="13"/>
              <c:layout>
                <c:manualLayout>
                  <c:x val="-1.0131914862814837E-16"/>
                  <c:y val="1.082043614025671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7FF4-49CA-865B-C444FCF4F0F8}"/>
                </c:ext>
              </c:extLst>
            </c:dLbl>
            <c:dLbl>
              <c:idx val="14"/>
              <c:layout>
                <c:manualLayout>
                  <c:x val="0"/>
                  <c:y val="1.082043614025664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7FF4-49CA-865B-C444FCF4F0F8}"/>
                </c:ext>
              </c:extLst>
            </c:dLbl>
            <c:dLbl>
              <c:idx val="15"/>
              <c:layout>
                <c:manualLayout>
                  <c:x val="-1.0131914862814837E-16"/>
                  <c:y val="7.21362409350448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7FF4-49CA-865B-C444FCF4F0F8}"/>
                </c:ext>
              </c:extLst>
            </c:dLbl>
            <c:dLbl>
              <c:idx val="16"/>
              <c:layout>
                <c:manualLayout>
                  <c:x val="-2.0263829725629706E-16"/>
                  <c:y val="1.082043614025664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7FF4-49CA-865B-C444FCF4F0F8}"/>
                </c:ext>
              </c:extLst>
            </c:dLbl>
            <c:dLbl>
              <c:idx val="17"/>
              <c:layout>
                <c:manualLayout>
                  <c:x val="0"/>
                  <c:y val="7.21362409350448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7FF4-49CA-865B-C444FCF4F0F8}"/>
                </c:ext>
              </c:extLst>
            </c:dLbl>
            <c:dLbl>
              <c:idx val="18"/>
              <c:layout>
                <c:manualLayout>
                  <c:x val="-1.0131914862814837E-16"/>
                  <c:y val="1.082043614025671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7FF4-49CA-865B-C444FCF4F0F8}"/>
                </c:ext>
              </c:extLst>
            </c:dLbl>
            <c:spPr>
              <a:noFill/>
              <a:ln>
                <a:noFill/>
              </a:ln>
              <a:effectLst/>
            </c:spPr>
            <c:txPr>
              <a:bodyPr wrap="square" lIns="38100" tIns="19050" rIns="38100" bIns="19050" anchor="ctr">
                <a:spAutoFit/>
              </a:bodyPr>
              <a:lstStyle/>
              <a:p>
                <a:pPr>
                  <a:defRPr sz="650">
                    <a:solidFill>
                      <a:schemeClr val="bg1">
                        <a:lumMod val="50000"/>
                      </a:schemeClr>
                    </a:solidFill>
                    <a:latin typeface="Arial" panose="020B0604020202020204" pitchFamily="34" charset="0"/>
                    <a:cs typeface="Arial" panose="020B0604020202020204" pitchFamily="34" charset="0"/>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'Graf-9-Mzdy a produktivita'!$A$10:$A$28</c:f>
              <c:numCache>
                <c:formatCode>General</c:formatCode>
                <c:ptCount val="19"/>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numCache>
            </c:numRef>
          </c:cat>
          <c:val>
            <c:numRef>
              <c:f>'Graf-9-Mzdy a produktivita'!$D$10:$D$28</c:f>
              <c:numCache>
                <c:formatCode>0.0</c:formatCode>
                <c:ptCount val="19"/>
                <c:pt idx="0">
                  <c:v>29.016476050824728</c:v>
                </c:pt>
                <c:pt idx="1">
                  <c:v>29.128582269501063</c:v>
                </c:pt>
                <c:pt idx="2">
                  <c:v>29.863770135036567</c:v>
                </c:pt>
                <c:pt idx="3">
                  <c:v>29.974893092825106</c:v>
                </c:pt>
                <c:pt idx="4">
                  <c:v>29.904546825999105</c:v>
                </c:pt>
                <c:pt idx="5">
                  <c:v>30.105414172611916</c:v>
                </c:pt>
                <c:pt idx="6">
                  <c:v>29.981029367472878</c:v>
                </c:pt>
                <c:pt idx="7">
                  <c:v>29.691074516739985</c:v>
                </c:pt>
                <c:pt idx="8">
                  <c:v>30.474983704499646</c:v>
                </c:pt>
                <c:pt idx="9">
                  <c:v>30.57725035740555</c:v>
                </c:pt>
                <c:pt idx="10">
                  <c:v>30.563735090085359</c:v>
                </c:pt>
                <c:pt idx="11">
                  <c:v>30.661356478021101</c:v>
                </c:pt>
                <c:pt idx="12">
                  <c:v>31.250086208765115</c:v>
                </c:pt>
                <c:pt idx="13">
                  <c:v>31.102200809735571</c:v>
                </c:pt>
                <c:pt idx="14">
                  <c:v>30.617793313488445</c:v>
                </c:pt>
                <c:pt idx="15">
                  <c:v>30.124594655578825</c:v>
                </c:pt>
                <c:pt idx="16">
                  <c:v>30.697505657520257</c:v>
                </c:pt>
                <c:pt idx="17">
                  <c:v>31.397288869401997</c:v>
                </c:pt>
                <c:pt idx="18">
                  <c:v>32.555719571876118</c:v>
                </c:pt>
              </c:numCache>
            </c:numRef>
          </c:val>
          <c:extLst>
            <c:ext xmlns:c16="http://schemas.microsoft.com/office/drawing/2014/chart" uri="{C3380CC4-5D6E-409C-BE32-E72D297353CC}">
              <c16:uniqueId val="{00000013-7FF4-49CA-865B-C444FCF4F0F8}"/>
            </c:ext>
          </c:extLst>
        </c:ser>
        <c:dLbls>
          <c:showLegendKey val="0"/>
          <c:showVal val="0"/>
          <c:showCatName val="0"/>
          <c:showSerName val="0"/>
          <c:showPercent val="0"/>
          <c:showBubbleSize val="0"/>
        </c:dLbls>
        <c:gapWidth val="150"/>
        <c:axId val="142966144"/>
        <c:axId val="142964608"/>
      </c:barChart>
      <c:lineChart>
        <c:grouping val="standard"/>
        <c:varyColors val="0"/>
        <c:ser>
          <c:idx val="0"/>
          <c:order val="0"/>
          <c:tx>
            <c:strRef>
              <c:f>'Graf-9-Mzdy a produktivita'!$B$2</c:f>
              <c:strCache>
                <c:ptCount val="1"/>
                <c:pt idx="0">
                  <c:v>Reálná hodinová produktivita práce v celé ekonomice (2005 = 100)</c:v>
                </c:pt>
              </c:strCache>
            </c:strRef>
          </c:tx>
          <c:spPr>
            <a:ln w="15875">
              <a:solidFill>
                <a:schemeClr val="tx1">
                  <a:lumMod val="95000"/>
                  <a:lumOff val="5000"/>
                </a:schemeClr>
              </a:solidFill>
            </a:ln>
            <a:effectLst/>
          </c:spPr>
          <c:marker>
            <c:symbol val="none"/>
          </c:marker>
          <c:cat>
            <c:numRef>
              <c:f>'Graf-9-Mzdy a produktivita'!$A$10:$A$28</c:f>
              <c:numCache>
                <c:formatCode>General</c:formatCode>
                <c:ptCount val="19"/>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numCache>
            </c:numRef>
          </c:cat>
          <c:val>
            <c:numRef>
              <c:f>'Graf-9-Mzdy a produktivita'!$B$10:$B$28</c:f>
              <c:numCache>
                <c:formatCode>0.0</c:formatCode>
                <c:ptCount val="19"/>
                <c:pt idx="0">
                  <c:v>80.168444193523797</c:v>
                </c:pt>
                <c:pt idx="1">
                  <c:v>86.234984633062936</c:v>
                </c:pt>
                <c:pt idx="2">
                  <c:v>87.197637711052096</c:v>
                </c:pt>
                <c:pt idx="3">
                  <c:v>91.583789349600579</c:v>
                </c:pt>
                <c:pt idx="4">
                  <c:v>95.685755503730732</c:v>
                </c:pt>
                <c:pt idx="5">
                  <c:v>100</c:v>
                </c:pt>
                <c:pt idx="6">
                  <c:v>106.47701157515681</c:v>
                </c:pt>
                <c:pt idx="7">
                  <c:v>111.05667026840904</c:v>
                </c:pt>
                <c:pt idx="8">
                  <c:v>111.28172327934736</c:v>
                </c:pt>
                <c:pt idx="9">
                  <c:v>108.53907229599768</c:v>
                </c:pt>
                <c:pt idx="10">
                  <c:v>110.87453079488996</c:v>
                </c:pt>
                <c:pt idx="11">
                  <c:v>112.77076237424039</c:v>
                </c:pt>
                <c:pt idx="12">
                  <c:v>113.2511579730679</c:v>
                </c:pt>
                <c:pt idx="13">
                  <c:v>113.17761282741937</c:v>
                </c:pt>
                <c:pt idx="14">
                  <c:v>114.71889558908306</c:v>
                </c:pt>
                <c:pt idx="15">
                  <c:v>120.50467297830203</c:v>
                </c:pt>
                <c:pt idx="16">
                  <c:v>119.99733360703372</c:v>
                </c:pt>
                <c:pt idx="17">
                  <c:v>122.90064218237251</c:v>
                </c:pt>
                <c:pt idx="18">
                  <c:v>124.69125297089899</c:v>
                </c:pt>
              </c:numCache>
            </c:numRef>
          </c:val>
          <c:smooth val="0"/>
          <c:extLst>
            <c:ext xmlns:c16="http://schemas.microsoft.com/office/drawing/2014/chart" uri="{C3380CC4-5D6E-409C-BE32-E72D297353CC}">
              <c16:uniqueId val="{00000014-7FF4-49CA-865B-C444FCF4F0F8}"/>
            </c:ext>
          </c:extLst>
        </c:ser>
        <c:ser>
          <c:idx val="1"/>
          <c:order val="1"/>
          <c:tx>
            <c:strRef>
              <c:f>'Graf-9-Mzdy a produktivita'!$C$2</c:f>
              <c:strCache>
                <c:ptCount val="1"/>
                <c:pt idx="0">
                  <c:v>Reálný objem mezd a platů na zaměstnanci odpracovanou hodinu (2005 = 100)**</c:v>
                </c:pt>
              </c:strCache>
            </c:strRef>
          </c:tx>
          <c:spPr>
            <a:ln w="15875"/>
          </c:spPr>
          <c:marker>
            <c:symbol val="none"/>
          </c:marker>
          <c:cat>
            <c:numRef>
              <c:f>'Graf-9-Mzdy a produktivita'!$A$10:$A$28</c:f>
              <c:numCache>
                <c:formatCode>General</c:formatCode>
                <c:ptCount val="19"/>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numCache>
            </c:numRef>
          </c:cat>
          <c:val>
            <c:numRef>
              <c:f>'Graf-9-Mzdy a produktivita'!$C$10:$C$28</c:f>
              <c:numCache>
                <c:formatCode>0.0</c:formatCode>
                <c:ptCount val="19"/>
                <c:pt idx="0">
                  <c:v>74.23684092579326</c:v>
                </c:pt>
                <c:pt idx="1">
                  <c:v>81.645999756551632</c:v>
                </c:pt>
                <c:pt idx="2">
                  <c:v>86.772005640555989</c:v>
                </c:pt>
                <c:pt idx="3">
                  <c:v>94.091109705524275</c:v>
                </c:pt>
                <c:pt idx="4">
                  <c:v>97.495544172959512</c:v>
                </c:pt>
                <c:pt idx="5">
                  <c:v>100</c:v>
                </c:pt>
                <c:pt idx="6">
                  <c:v>104.71679067797595</c:v>
                </c:pt>
                <c:pt idx="7">
                  <c:v>107.92120170953157</c:v>
                </c:pt>
                <c:pt idx="8">
                  <c:v>107.56596768513444</c:v>
                </c:pt>
                <c:pt idx="9">
                  <c:v>107.48314668278634</c:v>
                </c:pt>
                <c:pt idx="10">
                  <c:v>108.35751713220645</c:v>
                </c:pt>
                <c:pt idx="11">
                  <c:v>108.62242440240375</c:v>
                </c:pt>
                <c:pt idx="12">
                  <c:v>109.1332155163544</c:v>
                </c:pt>
                <c:pt idx="13">
                  <c:v>107.97604685971471</c:v>
                </c:pt>
                <c:pt idx="14">
                  <c:v>109.30667165821558</c:v>
                </c:pt>
                <c:pt idx="15">
                  <c:v>113.69540156165681</c:v>
                </c:pt>
                <c:pt idx="16">
                  <c:v>115.70079139553677</c:v>
                </c:pt>
                <c:pt idx="17">
                  <c:v>119.86175688275422</c:v>
                </c:pt>
                <c:pt idx="18">
                  <c:v>126.32804074298993</c:v>
                </c:pt>
              </c:numCache>
            </c:numRef>
          </c:val>
          <c:smooth val="0"/>
          <c:extLst>
            <c:ext xmlns:c16="http://schemas.microsoft.com/office/drawing/2014/chart" uri="{C3380CC4-5D6E-409C-BE32-E72D297353CC}">
              <c16:uniqueId val="{00000015-7FF4-49CA-865B-C444FCF4F0F8}"/>
            </c:ext>
          </c:extLst>
        </c:ser>
        <c:ser>
          <c:idx val="4"/>
          <c:order val="4"/>
          <c:tx>
            <c:strRef>
              <c:f>'Graf-9-Mzdy a produktivita'!$F$2</c:f>
              <c:strCache>
                <c:ptCount val="1"/>
                <c:pt idx="0">
                  <c:v>Poměr mezd a platů na hrubém provoz. přebytku v nefinančních podnicích (v %)</c:v>
                </c:pt>
              </c:strCache>
            </c:strRef>
          </c:tx>
          <c:spPr>
            <a:ln w="15875"/>
          </c:spPr>
          <c:marker>
            <c:symbol val="none"/>
          </c:marker>
          <c:cat>
            <c:numRef>
              <c:f>'Graf-9-Mzdy a produktivita'!$A$10:$A$28</c:f>
              <c:numCache>
                <c:formatCode>General</c:formatCode>
                <c:ptCount val="19"/>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numCache>
            </c:numRef>
          </c:cat>
          <c:val>
            <c:numRef>
              <c:f>'Graf-9-Mzdy a produktivita'!$F$10:$F$28</c:f>
              <c:numCache>
                <c:formatCode>0.0</c:formatCode>
                <c:ptCount val="19"/>
                <c:pt idx="0">
                  <c:v>72.841077031288279</c:v>
                </c:pt>
                <c:pt idx="1">
                  <c:v>69.943899097790847</c:v>
                </c:pt>
                <c:pt idx="2">
                  <c:v>73.049043287501249</c:v>
                </c:pt>
                <c:pt idx="3">
                  <c:v>74.358855453155499</c:v>
                </c:pt>
                <c:pt idx="4">
                  <c:v>75.019325092096622</c:v>
                </c:pt>
                <c:pt idx="5">
                  <c:v>74.163079394657004</c:v>
                </c:pt>
                <c:pt idx="6">
                  <c:v>71.214425004089804</c:v>
                </c:pt>
                <c:pt idx="7">
                  <c:v>70.889002733788814</c:v>
                </c:pt>
                <c:pt idx="8">
                  <c:v>76.392527220876048</c:v>
                </c:pt>
                <c:pt idx="9">
                  <c:v>79.062317462309736</c:v>
                </c:pt>
                <c:pt idx="10">
                  <c:v>80.570110454882411</c:v>
                </c:pt>
                <c:pt idx="11">
                  <c:v>81.120244143608971</c:v>
                </c:pt>
                <c:pt idx="12">
                  <c:v>82.987571122273479</c:v>
                </c:pt>
                <c:pt idx="13">
                  <c:v>82.649550001597405</c:v>
                </c:pt>
                <c:pt idx="14">
                  <c:v>74.339437349150359</c:v>
                </c:pt>
                <c:pt idx="15">
                  <c:v>72.7829318443342</c:v>
                </c:pt>
                <c:pt idx="16">
                  <c:v>75.917028104580993</c:v>
                </c:pt>
                <c:pt idx="17">
                  <c:v>79.207519898767302</c:v>
                </c:pt>
                <c:pt idx="18">
                  <c:v>87.588389009499451</c:v>
                </c:pt>
              </c:numCache>
            </c:numRef>
          </c:val>
          <c:smooth val="0"/>
          <c:extLst>
            <c:ext xmlns:c16="http://schemas.microsoft.com/office/drawing/2014/chart" uri="{C3380CC4-5D6E-409C-BE32-E72D297353CC}">
              <c16:uniqueId val="{00000016-7FF4-49CA-865B-C444FCF4F0F8}"/>
            </c:ext>
          </c:extLst>
        </c:ser>
        <c:dLbls>
          <c:showLegendKey val="0"/>
          <c:showVal val="0"/>
          <c:showCatName val="0"/>
          <c:showSerName val="0"/>
          <c:showPercent val="0"/>
          <c:showBubbleSize val="0"/>
        </c:dLbls>
        <c:marker val="1"/>
        <c:smooth val="0"/>
        <c:axId val="142944896"/>
        <c:axId val="142963072"/>
      </c:lineChart>
      <c:lineChart>
        <c:grouping val="standard"/>
        <c:varyColors val="0"/>
        <c:ser>
          <c:idx val="3"/>
          <c:order val="3"/>
          <c:tx>
            <c:strRef>
              <c:f>'Graf-9-Mzdy a produktivita'!$E$2</c:f>
              <c:strCache>
                <c:ptCount val="1"/>
                <c:pt idx="0">
                  <c:v>Podíl zaměstnanci odprac. hodin na celk. odprac. době v ekonomice (pravá osa)</c:v>
                </c:pt>
              </c:strCache>
            </c:strRef>
          </c:tx>
          <c:spPr>
            <a:ln>
              <a:noFill/>
            </a:ln>
          </c:spPr>
          <c:marker>
            <c:symbol val="diamond"/>
            <c:size val="5"/>
            <c:spPr>
              <a:solidFill>
                <a:schemeClr val="bg1">
                  <a:lumMod val="50000"/>
                </a:schemeClr>
              </a:solidFill>
              <a:ln>
                <a:noFill/>
              </a:ln>
            </c:spPr>
          </c:marker>
          <c:cat>
            <c:numRef>
              <c:f>'Graf-9-Mzdy a produktivita'!$A$10:$A$28</c:f>
              <c:numCache>
                <c:formatCode>General</c:formatCode>
                <c:ptCount val="19"/>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numCache>
            </c:numRef>
          </c:cat>
          <c:val>
            <c:numRef>
              <c:f>'Graf-9-Mzdy a produktivita'!$E$10:$E$28</c:f>
              <c:numCache>
                <c:formatCode>#\ ##0.0</c:formatCode>
                <c:ptCount val="19"/>
                <c:pt idx="0">
                  <c:v>81.465232308430373</c:v>
                </c:pt>
                <c:pt idx="1">
                  <c:v>80.896856620436026</c:v>
                </c:pt>
                <c:pt idx="2">
                  <c:v>79.787425097316344</c:v>
                </c:pt>
                <c:pt idx="3">
                  <c:v>78.524870059574624</c:v>
                </c:pt>
                <c:pt idx="4">
                  <c:v>79.437414894349317</c:v>
                </c:pt>
                <c:pt idx="5">
                  <c:v>80.667478424158901</c:v>
                </c:pt>
                <c:pt idx="6">
                  <c:v>80.746316262899526</c:v>
                </c:pt>
                <c:pt idx="7">
                  <c:v>81.379152197982009</c:v>
                </c:pt>
                <c:pt idx="8">
                  <c:v>81.640726337798526</c:v>
                </c:pt>
                <c:pt idx="9">
                  <c:v>81.487615016463181</c:v>
                </c:pt>
                <c:pt idx="10">
                  <c:v>80.881074085331079</c:v>
                </c:pt>
                <c:pt idx="11">
                  <c:v>80.824423906608786</c:v>
                </c:pt>
                <c:pt idx="12">
                  <c:v>81.766481627543868</c:v>
                </c:pt>
                <c:pt idx="13">
                  <c:v>82.679825098038521</c:v>
                </c:pt>
                <c:pt idx="14">
                  <c:v>82.914477092800396</c:v>
                </c:pt>
                <c:pt idx="15">
                  <c:v>83.24998780255703</c:v>
                </c:pt>
                <c:pt idx="16">
                  <c:v>83.56216353159968</c:v>
                </c:pt>
                <c:pt idx="17">
                  <c:v>83.626868289220013</c:v>
                </c:pt>
                <c:pt idx="18">
                  <c:v>83.624087252310645</c:v>
                </c:pt>
              </c:numCache>
            </c:numRef>
          </c:val>
          <c:smooth val="0"/>
          <c:extLst>
            <c:ext xmlns:c16="http://schemas.microsoft.com/office/drawing/2014/chart" uri="{C3380CC4-5D6E-409C-BE32-E72D297353CC}">
              <c16:uniqueId val="{00000017-7FF4-49CA-865B-C444FCF4F0F8}"/>
            </c:ext>
          </c:extLst>
        </c:ser>
        <c:dLbls>
          <c:showLegendKey val="0"/>
          <c:showVal val="0"/>
          <c:showCatName val="0"/>
          <c:showSerName val="0"/>
          <c:showPercent val="0"/>
          <c:showBubbleSize val="0"/>
        </c:dLbls>
        <c:marker val="1"/>
        <c:smooth val="0"/>
        <c:axId val="142966144"/>
        <c:axId val="142964608"/>
      </c:lineChart>
      <c:catAx>
        <c:axId val="142944896"/>
        <c:scaling>
          <c:orientation val="minMax"/>
        </c:scaling>
        <c:delete val="0"/>
        <c:axPos val="b"/>
        <c:numFmt formatCode="General" sourceLinked="1"/>
        <c:majorTickMark val="none"/>
        <c:minorTickMark val="none"/>
        <c:tickLblPos val="low"/>
        <c:spPr>
          <a:noFill/>
          <a:ln w="6350" cap="flat" cmpd="sng" algn="ctr">
            <a:solidFill>
              <a:schemeClr val="tx1">
                <a:lumMod val="95000"/>
                <a:lumOff val="5000"/>
              </a:schemeClr>
            </a:solidFill>
            <a:round/>
          </a:ln>
          <a:effectLst/>
        </c:spPr>
        <c:txPr>
          <a:bodyPr rot="-1800000" spcFirstLastPara="1" vertOverflow="ellipsis" vert="horz" wrap="square" anchor="ctr" anchorCtr="1"/>
          <a:lstStyle/>
          <a:p>
            <a:pPr>
              <a:defRPr sz="7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cs-CZ"/>
          </a:p>
        </c:txPr>
        <c:crossAx val="142963072"/>
        <c:crossesAt val="60"/>
        <c:auto val="1"/>
        <c:lblAlgn val="ctr"/>
        <c:lblOffset val="10"/>
        <c:noMultiLvlLbl val="0"/>
      </c:catAx>
      <c:valAx>
        <c:axId val="142963072"/>
        <c:scaling>
          <c:orientation val="minMax"/>
          <c:max val="150"/>
          <c:min val="6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cs-CZ"/>
          </a:p>
        </c:txPr>
        <c:crossAx val="142944896"/>
        <c:crosses val="autoZero"/>
        <c:crossBetween val="between"/>
        <c:majorUnit val="10"/>
      </c:valAx>
      <c:valAx>
        <c:axId val="142964608"/>
        <c:scaling>
          <c:orientation val="minMax"/>
        </c:scaling>
        <c:delete val="0"/>
        <c:axPos val="r"/>
        <c:numFmt formatCode="0" sourceLinked="0"/>
        <c:majorTickMark val="out"/>
        <c:minorTickMark val="none"/>
        <c:tickLblPos val="nextTo"/>
        <c:txPr>
          <a:bodyPr/>
          <a:lstStyle/>
          <a:p>
            <a:pPr>
              <a:defRPr sz="800">
                <a:latin typeface="Arial" panose="020B0604020202020204" pitchFamily="34" charset="0"/>
                <a:cs typeface="Arial" panose="020B0604020202020204" pitchFamily="34" charset="0"/>
              </a:defRPr>
            </a:pPr>
            <a:endParaRPr lang="cs-CZ"/>
          </a:p>
        </c:txPr>
        <c:crossAx val="142966144"/>
        <c:crosses val="max"/>
        <c:crossBetween val="between"/>
      </c:valAx>
      <c:catAx>
        <c:axId val="142966144"/>
        <c:scaling>
          <c:orientation val="minMax"/>
        </c:scaling>
        <c:delete val="1"/>
        <c:axPos val="b"/>
        <c:numFmt formatCode="General" sourceLinked="1"/>
        <c:majorTickMark val="out"/>
        <c:minorTickMark val="none"/>
        <c:tickLblPos val="none"/>
        <c:crossAx val="142964608"/>
        <c:crosses val="autoZero"/>
        <c:auto val="1"/>
        <c:lblAlgn val="ctr"/>
        <c:lblOffset val="100"/>
        <c:noMultiLvlLbl val="0"/>
      </c:catAx>
      <c:spPr>
        <a:noFill/>
        <a:ln w="6350">
          <a:solidFill>
            <a:schemeClr val="tx1">
              <a:lumMod val="95000"/>
              <a:lumOff val="5000"/>
            </a:schemeClr>
          </a:solidFill>
        </a:ln>
        <a:effectLst/>
      </c:spPr>
    </c:plotArea>
    <c:legend>
      <c:legendPos val="b"/>
      <c:layout>
        <c:manualLayout>
          <c:xMode val="edge"/>
          <c:yMode val="edge"/>
          <c:x val="6.1502446727156962E-2"/>
          <c:y val="0.80937337479269578"/>
          <c:w val="0.88586022306097278"/>
          <c:h val="0.17993331914591773"/>
        </c:manualLayout>
      </c:layout>
      <c:overlay val="0"/>
      <c:spPr>
        <a:noFill/>
        <a:ln w="6350">
          <a:solidFill>
            <a:schemeClr val="tx1">
              <a:lumMod val="95000"/>
              <a:lumOff val="5000"/>
            </a:schemeClr>
          </a:solid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cs-CZ"/>
        </a:p>
      </c:txPr>
    </c:legend>
    <c:plotVisOnly val="1"/>
    <c:dispBlanksAs val="gap"/>
    <c:showDLblsOverMax val="0"/>
  </c:chart>
  <c:spPr>
    <a:solidFill>
      <a:schemeClr val="bg1"/>
    </a:solidFill>
    <a:ln w="9525" cap="flat" cmpd="sng" algn="ctr">
      <a:noFill/>
      <a:round/>
    </a:ln>
    <a:effectLst/>
  </c:spPr>
  <c:txPr>
    <a:bodyPr/>
    <a:lstStyle/>
    <a:p>
      <a:pPr>
        <a:defRPr/>
      </a:pPr>
      <a:endParaRPr lang="cs-CZ"/>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0.05963</cdr:x>
      <cdr:y>0.93058</cdr:y>
    </cdr:from>
    <cdr:to>
      <cdr:x>0.96744</cdr:x>
      <cdr:y>0.93429</cdr:y>
    </cdr:to>
    <cdr:cxnSp macro="">
      <cdr:nvCxnSpPr>
        <cdr:cNvPr id="3" name="Přímá spojnice 2"/>
        <cdr:cNvCxnSpPr/>
      </cdr:nvCxnSpPr>
      <cdr:spPr>
        <a:xfrm xmlns:a="http://schemas.openxmlformats.org/drawingml/2006/main" flipV="1">
          <a:off x="270859" y="3230549"/>
          <a:ext cx="4123581" cy="12893"/>
        </a:xfrm>
        <a:prstGeom xmlns:a="http://schemas.openxmlformats.org/drawingml/2006/main" prst="line">
          <a:avLst/>
        </a:prstGeom>
        <a:ln xmlns:a="http://schemas.openxmlformats.org/drawingml/2006/main" w="3175">
          <a:solidFill>
            <a:schemeClr val="tx1">
              <a:lumMod val="95000"/>
              <a:lumOff val="5000"/>
            </a:schemeClr>
          </a:solidFill>
          <a:prstDash val="solid"/>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2.xml><?xml version="1.0" encoding="utf-8"?>
<c:userShapes xmlns:c="http://schemas.openxmlformats.org/drawingml/2006/chart">
  <cdr:relSizeAnchor xmlns:cdr="http://schemas.openxmlformats.org/drawingml/2006/chartDrawing">
    <cdr:from>
      <cdr:x>0.03542</cdr:x>
      <cdr:y>0</cdr:y>
    </cdr:from>
    <cdr:to>
      <cdr:x>0.30484</cdr:x>
      <cdr:y>0.08031</cdr:y>
    </cdr:to>
    <cdr:sp macro="" textlink="">
      <cdr:nvSpPr>
        <cdr:cNvPr id="2" name="TextovéPole 1"/>
        <cdr:cNvSpPr txBox="1"/>
      </cdr:nvSpPr>
      <cdr:spPr>
        <a:xfrm xmlns:a="http://schemas.openxmlformats.org/drawingml/2006/main">
          <a:off x="88208" y="0"/>
          <a:ext cx="670891" cy="29651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cs-CZ" sz="1000">
              <a:latin typeface="Arial" panose="020B0604020202020204" pitchFamily="34" charset="0"/>
              <a:cs typeface="Arial" panose="020B0604020202020204" pitchFamily="34" charset="0"/>
            </a:rPr>
            <a:t>Muži</a:t>
          </a:r>
        </a:p>
      </cdr:txBody>
    </cdr:sp>
  </cdr:relSizeAnchor>
  <cdr:relSizeAnchor xmlns:cdr="http://schemas.openxmlformats.org/drawingml/2006/chartDrawing">
    <cdr:from>
      <cdr:x>0.65265</cdr:x>
      <cdr:y>0.37302</cdr:y>
    </cdr:from>
    <cdr:to>
      <cdr:x>0.8418</cdr:x>
      <cdr:y>0.41246</cdr:y>
    </cdr:to>
    <cdr:sp macro="" textlink="">
      <cdr:nvSpPr>
        <cdr:cNvPr id="4" name="Přímá spojovací šipka 3"/>
        <cdr:cNvSpPr/>
      </cdr:nvSpPr>
      <cdr:spPr>
        <a:xfrm xmlns:a="http://schemas.openxmlformats.org/drawingml/2006/main" flipV="1">
          <a:off x="1478909" y="1195439"/>
          <a:ext cx="428626" cy="126387"/>
        </a:xfrm>
        <a:prstGeom xmlns:a="http://schemas.openxmlformats.org/drawingml/2006/main" prst="straightConnector1">
          <a:avLst/>
        </a:prstGeom>
        <a:ln xmlns:a="http://schemas.openxmlformats.org/drawingml/2006/main">
          <a:solidFill>
            <a:schemeClr val="tx1">
              <a:lumMod val="95000"/>
              <a:lumOff val="5000"/>
            </a:schemeClr>
          </a:solidFill>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cs-CZ"/>
        </a:p>
      </cdr:txBody>
    </cdr:sp>
  </cdr:relSizeAnchor>
  <cdr:relSizeAnchor xmlns:cdr="http://schemas.openxmlformats.org/drawingml/2006/chartDrawing">
    <cdr:from>
      <cdr:x>0.25568</cdr:x>
      <cdr:y>0.25601</cdr:y>
    </cdr:from>
    <cdr:to>
      <cdr:x>0.73817</cdr:x>
      <cdr:y>0.53463</cdr:y>
    </cdr:to>
    <cdr:sp macro="" textlink="">
      <cdr:nvSpPr>
        <cdr:cNvPr id="5" name="TextovéPole 4"/>
        <cdr:cNvSpPr txBox="1"/>
      </cdr:nvSpPr>
      <cdr:spPr>
        <a:xfrm xmlns:a="http://schemas.openxmlformats.org/drawingml/2006/main">
          <a:off x="579367" y="820443"/>
          <a:ext cx="1093344" cy="89292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cs-CZ" sz="750">
              <a:latin typeface="Arial" pitchFamily="34" charset="0"/>
              <a:cs typeface="Arial" pitchFamily="34" charset="0"/>
            </a:rPr>
            <a:t>všichni zaměstnanci na trhu práce v ČR</a:t>
          </a:r>
        </a:p>
        <a:p xmlns:a="http://schemas.openxmlformats.org/drawingml/2006/main">
          <a:pPr algn="ctr"/>
          <a:endParaRPr lang="cs-CZ" sz="500">
            <a:latin typeface="Arial" pitchFamily="34" charset="0"/>
            <a:cs typeface="Arial" pitchFamily="34" charset="0"/>
          </a:endParaRPr>
        </a:p>
        <a:p xmlns:a="http://schemas.openxmlformats.org/drawingml/2006/main">
          <a:pPr algn="ctr"/>
          <a:r>
            <a:rPr lang="cs-CZ" sz="750">
              <a:latin typeface="Arial" pitchFamily="34" charset="0"/>
              <a:cs typeface="Arial" pitchFamily="34" charset="0"/>
            </a:rPr>
            <a:t>z toho cizinci:</a:t>
          </a:r>
        </a:p>
        <a:p xmlns:a="http://schemas.openxmlformats.org/drawingml/2006/main">
          <a:pPr algn="ctr"/>
          <a:r>
            <a:rPr lang="cs-CZ" sz="750">
              <a:latin typeface="Arial" pitchFamily="34" charset="0"/>
              <a:cs typeface="Arial" pitchFamily="34" charset="0"/>
            </a:rPr>
            <a:t>ze států EU15</a:t>
          </a:r>
        </a:p>
        <a:p xmlns:a="http://schemas.openxmlformats.org/drawingml/2006/main">
          <a:pPr algn="ctr"/>
          <a:r>
            <a:rPr lang="cs-CZ" sz="750">
              <a:latin typeface="Arial" pitchFamily="34" charset="0"/>
              <a:cs typeface="Arial" pitchFamily="34" charset="0"/>
            </a:rPr>
            <a:t>z ostatních států EU</a:t>
          </a:r>
        </a:p>
        <a:p xmlns:a="http://schemas.openxmlformats.org/drawingml/2006/main">
          <a:pPr algn="ctr"/>
          <a:r>
            <a:rPr lang="cs-CZ" sz="750">
              <a:latin typeface="Arial" pitchFamily="34" charset="0"/>
              <a:cs typeface="Arial" pitchFamily="34" charset="0"/>
            </a:rPr>
            <a:t>ze států mimo EU</a:t>
          </a:r>
        </a:p>
        <a:p xmlns:a="http://schemas.openxmlformats.org/drawingml/2006/main">
          <a:pPr algn="ctr"/>
          <a:endParaRPr lang="cs-CZ" sz="750">
            <a:latin typeface="Arial" pitchFamily="34" charset="0"/>
            <a:cs typeface="Arial" pitchFamily="34" charset="0"/>
          </a:endParaRPr>
        </a:p>
        <a:p xmlns:a="http://schemas.openxmlformats.org/drawingml/2006/main">
          <a:pPr algn="ctr"/>
          <a:endParaRPr lang="cs-CZ" sz="750">
            <a:latin typeface="Arial" pitchFamily="34" charset="0"/>
            <a:cs typeface="Arial" pitchFamily="34" charset="0"/>
          </a:endParaRPr>
        </a:p>
      </cdr:txBody>
    </cdr:sp>
  </cdr:relSizeAnchor>
  <cdr:relSizeAnchor xmlns:cdr="http://schemas.openxmlformats.org/drawingml/2006/chartDrawing">
    <cdr:from>
      <cdr:x>0.58843</cdr:x>
      <cdr:y>0.2366</cdr:y>
    </cdr:from>
    <cdr:to>
      <cdr:x>0.7009</cdr:x>
      <cdr:y>0.2717</cdr:y>
    </cdr:to>
    <cdr:sp macro="" textlink="">
      <cdr:nvSpPr>
        <cdr:cNvPr id="6" name="Přímá spojovací šipka 5"/>
        <cdr:cNvSpPr/>
      </cdr:nvSpPr>
      <cdr:spPr>
        <a:xfrm xmlns:a="http://schemas.openxmlformats.org/drawingml/2006/main" flipV="1">
          <a:off x="1333398" y="758235"/>
          <a:ext cx="254841" cy="112505"/>
        </a:xfrm>
        <a:prstGeom xmlns:a="http://schemas.openxmlformats.org/drawingml/2006/main" prst="straightConnector1">
          <a:avLst/>
        </a:prstGeom>
        <a:noFill xmlns:a="http://schemas.openxmlformats.org/drawingml/2006/main"/>
        <a:ln xmlns:a="http://schemas.openxmlformats.org/drawingml/2006/main" w="6350" cap="flat" cmpd="sng" algn="ctr">
          <a:solidFill>
            <a:sysClr val="windowText" lastClr="000000">
              <a:lumMod val="95000"/>
              <a:lumOff val="5000"/>
            </a:sysClr>
          </a:solidFill>
          <a:prstDash val="solid"/>
          <a:miter lim="800000"/>
          <a:tailEnd type="arrow"/>
        </a:ln>
        <a:effectLst xmlns:a="http://schemas.openxmlformats.org/drawingml/2006/mai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endParaRPr lang="cs-CZ"/>
        </a:p>
      </cdr:txBody>
    </cdr:sp>
  </cdr:relSizeAnchor>
  <cdr:relSizeAnchor xmlns:cdr="http://schemas.openxmlformats.org/drawingml/2006/chartDrawing">
    <cdr:from>
      <cdr:x>0.69468</cdr:x>
      <cdr:y>0.38602</cdr:y>
    </cdr:from>
    <cdr:to>
      <cdr:x>0.90485</cdr:x>
      <cdr:y>0.43432</cdr:y>
    </cdr:to>
    <cdr:sp macro="" textlink="">
      <cdr:nvSpPr>
        <cdr:cNvPr id="8" name="Přímá spojovací šipka 7"/>
        <cdr:cNvSpPr/>
      </cdr:nvSpPr>
      <cdr:spPr>
        <a:xfrm xmlns:a="http://schemas.openxmlformats.org/drawingml/2006/main" flipV="1">
          <a:off x="1574159" y="1237112"/>
          <a:ext cx="476250" cy="154781"/>
        </a:xfrm>
        <a:prstGeom xmlns:a="http://schemas.openxmlformats.org/drawingml/2006/main" prst="straightConnector1">
          <a:avLst/>
        </a:prstGeom>
        <a:noFill xmlns:a="http://schemas.openxmlformats.org/drawingml/2006/main"/>
        <a:ln xmlns:a="http://schemas.openxmlformats.org/drawingml/2006/main" w="6350" cap="flat" cmpd="sng" algn="ctr">
          <a:solidFill>
            <a:sysClr val="windowText" lastClr="000000">
              <a:lumMod val="95000"/>
              <a:lumOff val="5000"/>
            </a:sysClr>
          </a:solidFill>
          <a:prstDash val="solid"/>
          <a:miter lim="800000"/>
          <a:tailEnd type="arrow"/>
        </a:ln>
        <a:effectLst xmlns:a="http://schemas.openxmlformats.org/drawingml/2006/mai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endParaRPr lang="cs-CZ"/>
        </a:p>
      </cdr:txBody>
    </cdr:sp>
  </cdr:relSizeAnchor>
  <cdr:relSizeAnchor xmlns:cdr="http://schemas.openxmlformats.org/drawingml/2006/chartDrawing">
    <cdr:from>
      <cdr:x>0.66578</cdr:x>
      <cdr:y>0.4046</cdr:y>
    </cdr:from>
    <cdr:to>
      <cdr:x>0.9679</cdr:x>
      <cdr:y>0.4789</cdr:y>
    </cdr:to>
    <cdr:sp macro="" textlink="">
      <cdr:nvSpPr>
        <cdr:cNvPr id="9" name="Přímá spojovací šipka 8"/>
        <cdr:cNvSpPr/>
      </cdr:nvSpPr>
      <cdr:spPr>
        <a:xfrm xmlns:a="http://schemas.openxmlformats.org/drawingml/2006/main" flipV="1">
          <a:off x="1508675" y="1296644"/>
          <a:ext cx="684609" cy="238124"/>
        </a:xfrm>
        <a:prstGeom xmlns:a="http://schemas.openxmlformats.org/drawingml/2006/main" prst="straightConnector1">
          <a:avLst/>
        </a:prstGeom>
        <a:noFill xmlns:a="http://schemas.openxmlformats.org/drawingml/2006/main"/>
        <a:ln xmlns:a="http://schemas.openxmlformats.org/drawingml/2006/main" w="6350" cap="flat" cmpd="sng" algn="ctr">
          <a:solidFill>
            <a:sysClr val="windowText" lastClr="000000">
              <a:lumMod val="95000"/>
              <a:lumOff val="5000"/>
            </a:sysClr>
          </a:solidFill>
          <a:prstDash val="solid"/>
          <a:miter lim="800000"/>
          <a:tailEnd type="arrow"/>
        </a:ln>
        <a:effectLst xmlns:a="http://schemas.openxmlformats.org/drawingml/2006/mai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endParaRPr lang="cs-CZ"/>
        </a:p>
      </cdr:txBody>
    </cdr:sp>
  </cdr:relSizeAnchor>
</c:userShapes>
</file>

<file path=word/drawings/drawing3.xml><?xml version="1.0" encoding="utf-8"?>
<c:userShapes xmlns:c="http://schemas.openxmlformats.org/drawingml/2006/chart">
  <cdr:relSizeAnchor xmlns:cdr="http://schemas.openxmlformats.org/drawingml/2006/chartDrawing">
    <cdr:from>
      <cdr:x>0.0462</cdr:x>
      <cdr:y>2.70858E-7</cdr:y>
    </cdr:from>
    <cdr:to>
      <cdr:x>0.26073</cdr:x>
      <cdr:y>0.08076</cdr:y>
    </cdr:to>
    <cdr:sp macro="" textlink="">
      <cdr:nvSpPr>
        <cdr:cNvPr id="2" name="TextovéPole 1"/>
        <cdr:cNvSpPr txBox="1"/>
      </cdr:nvSpPr>
      <cdr:spPr>
        <a:xfrm xmlns:a="http://schemas.openxmlformats.org/drawingml/2006/main">
          <a:off x="115955" y="1"/>
          <a:ext cx="538369" cy="29817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cs-CZ" sz="1000">
              <a:latin typeface="Arial" panose="020B0604020202020204" pitchFamily="34" charset="0"/>
              <a:cs typeface="Arial" panose="020B0604020202020204" pitchFamily="34" charset="0"/>
            </a:rPr>
            <a:t>Ženy</a:t>
          </a:r>
        </a:p>
      </cdr:txBody>
    </cdr:sp>
  </cdr:relSizeAnchor>
</c:userShapes>
</file>

<file path=word/drawings/drawing4.xml><?xml version="1.0" encoding="utf-8"?>
<c:userShapes xmlns:c="http://schemas.openxmlformats.org/drawingml/2006/chart">
  <cdr:relSizeAnchor xmlns:cdr="http://schemas.openxmlformats.org/drawingml/2006/chartDrawing">
    <cdr:from>
      <cdr:x>0.06691</cdr:x>
      <cdr:y>0.04051</cdr:y>
    </cdr:from>
    <cdr:to>
      <cdr:x>0.06707</cdr:x>
      <cdr:y>0.47374</cdr:y>
    </cdr:to>
    <cdr:cxnSp macro="">
      <cdr:nvCxnSpPr>
        <cdr:cNvPr id="3" name="Přímá spojnice 2"/>
        <cdr:cNvCxnSpPr/>
      </cdr:nvCxnSpPr>
      <cdr:spPr>
        <a:xfrm xmlns:a="http://schemas.openxmlformats.org/drawingml/2006/main">
          <a:off x="306823" y="141506"/>
          <a:ext cx="735" cy="1513338"/>
        </a:xfrm>
        <a:prstGeom xmlns:a="http://schemas.openxmlformats.org/drawingml/2006/main" prst="line">
          <a:avLst/>
        </a:prstGeom>
        <a:ln xmlns:a="http://schemas.openxmlformats.org/drawingml/2006/main" w="3175">
          <a:solidFill>
            <a:schemeClr val="bg1">
              <a:lumMod val="75000"/>
            </a:schemeClr>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0.77787</cdr:x>
      <cdr:y>0.27388</cdr:y>
    </cdr:from>
    <cdr:to>
      <cdr:x>0.77807</cdr:x>
      <cdr:y>0.64568</cdr:y>
    </cdr:to>
    <cdr:cxnSp macro="">
      <cdr:nvCxnSpPr>
        <cdr:cNvPr id="4" name="Přímá spojnice 3"/>
        <cdr:cNvCxnSpPr/>
      </cdr:nvCxnSpPr>
      <cdr:spPr>
        <a:xfrm xmlns:a="http://schemas.openxmlformats.org/drawingml/2006/main" flipH="1">
          <a:off x="3567235" y="958399"/>
          <a:ext cx="954" cy="1301057"/>
        </a:xfrm>
        <a:prstGeom xmlns:a="http://schemas.openxmlformats.org/drawingml/2006/main" prst="line">
          <a:avLst/>
        </a:prstGeom>
        <a:ln xmlns:a="http://schemas.openxmlformats.org/drawingml/2006/main" w="3175">
          <a:solidFill>
            <a:schemeClr val="bg1">
              <a:lumMod val="75000"/>
            </a:schemeClr>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0.93211</cdr:x>
      <cdr:y>0.22057</cdr:y>
    </cdr:from>
    <cdr:to>
      <cdr:x>0.93252</cdr:x>
      <cdr:y>0.65325</cdr:y>
    </cdr:to>
    <cdr:cxnSp macro="">
      <cdr:nvCxnSpPr>
        <cdr:cNvPr id="6" name="Přímá spojnice 5"/>
        <cdr:cNvCxnSpPr/>
      </cdr:nvCxnSpPr>
      <cdr:spPr>
        <a:xfrm xmlns:a="http://schemas.openxmlformats.org/drawingml/2006/main" flipH="1">
          <a:off x="4288119" y="770196"/>
          <a:ext cx="1903" cy="1510877"/>
        </a:xfrm>
        <a:prstGeom xmlns:a="http://schemas.openxmlformats.org/drawingml/2006/main" prst="line">
          <a:avLst/>
        </a:prstGeom>
        <a:ln xmlns:a="http://schemas.openxmlformats.org/drawingml/2006/main" w="3175">
          <a:solidFill>
            <a:schemeClr val="bg1">
              <a:lumMod val="75000"/>
            </a:schemeClr>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0.90123</cdr:x>
      <cdr:y>0.11491</cdr:y>
    </cdr:from>
    <cdr:to>
      <cdr:x>0.90161</cdr:x>
      <cdr:y>0.62829</cdr:y>
    </cdr:to>
    <cdr:cxnSp macro="">
      <cdr:nvCxnSpPr>
        <cdr:cNvPr id="7" name="Přímá spojnice 6"/>
        <cdr:cNvCxnSpPr/>
      </cdr:nvCxnSpPr>
      <cdr:spPr>
        <a:xfrm xmlns:a="http://schemas.openxmlformats.org/drawingml/2006/main" flipH="1">
          <a:off x="4146052" y="401255"/>
          <a:ext cx="1752" cy="1792640"/>
        </a:xfrm>
        <a:prstGeom xmlns:a="http://schemas.openxmlformats.org/drawingml/2006/main" prst="line">
          <a:avLst/>
        </a:prstGeom>
        <a:ln xmlns:a="http://schemas.openxmlformats.org/drawingml/2006/main" w="3175">
          <a:solidFill>
            <a:schemeClr val="bg1">
              <a:lumMod val="75000"/>
            </a:schemeClr>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0.96299</cdr:x>
      <cdr:y>0.26348</cdr:y>
    </cdr:from>
    <cdr:to>
      <cdr:x>0.96426</cdr:x>
      <cdr:y>0.6625</cdr:y>
    </cdr:to>
    <cdr:cxnSp macro="">
      <cdr:nvCxnSpPr>
        <cdr:cNvPr id="8" name="Přímá spojnice 7"/>
        <cdr:cNvCxnSpPr/>
      </cdr:nvCxnSpPr>
      <cdr:spPr>
        <a:xfrm xmlns:a="http://schemas.openxmlformats.org/drawingml/2006/main" flipH="1">
          <a:off x="4430187" y="920031"/>
          <a:ext cx="5847" cy="1393330"/>
        </a:xfrm>
        <a:prstGeom xmlns:a="http://schemas.openxmlformats.org/drawingml/2006/main" prst="line">
          <a:avLst/>
        </a:prstGeom>
        <a:ln xmlns:a="http://schemas.openxmlformats.org/drawingml/2006/main" w="3175">
          <a:solidFill>
            <a:schemeClr val="bg1">
              <a:lumMod val="75000"/>
            </a:schemeClr>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0.09718</cdr:x>
      <cdr:y>0.0913</cdr:y>
    </cdr:from>
    <cdr:to>
      <cdr:x>0.09837</cdr:x>
      <cdr:y>0.50646</cdr:y>
    </cdr:to>
    <cdr:cxnSp macro="">
      <cdr:nvCxnSpPr>
        <cdr:cNvPr id="9" name="Přímá spojnice 8"/>
        <cdr:cNvCxnSpPr/>
      </cdr:nvCxnSpPr>
      <cdr:spPr>
        <a:xfrm xmlns:a="http://schemas.openxmlformats.org/drawingml/2006/main" flipH="1">
          <a:off x="445670" y="318925"/>
          <a:ext cx="5436" cy="1450219"/>
        </a:xfrm>
        <a:prstGeom xmlns:a="http://schemas.openxmlformats.org/drawingml/2006/main" prst="line">
          <a:avLst/>
        </a:prstGeom>
        <a:ln xmlns:a="http://schemas.openxmlformats.org/drawingml/2006/main" w="3175">
          <a:solidFill>
            <a:schemeClr val="bg1">
              <a:lumMod val="75000"/>
            </a:schemeClr>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0.71662</cdr:x>
      <cdr:y>0.16683</cdr:y>
    </cdr:from>
    <cdr:to>
      <cdr:x>0.71699</cdr:x>
      <cdr:y>0.62373</cdr:y>
    </cdr:to>
    <cdr:cxnSp macro="">
      <cdr:nvCxnSpPr>
        <cdr:cNvPr id="10" name="Přímá spojnice 9"/>
        <cdr:cNvCxnSpPr/>
      </cdr:nvCxnSpPr>
      <cdr:spPr>
        <a:xfrm xmlns:a="http://schemas.openxmlformats.org/drawingml/2006/main">
          <a:off x="3286361" y="583807"/>
          <a:ext cx="1681" cy="1598834"/>
        </a:xfrm>
        <a:prstGeom xmlns:a="http://schemas.openxmlformats.org/drawingml/2006/main" prst="line">
          <a:avLst/>
        </a:prstGeom>
        <a:ln xmlns:a="http://schemas.openxmlformats.org/drawingml/2006/main" w="3175">
          <a:solidFill>
            <a:schemeClr val="bg1">
              <a:lumMod val="75000"/>
            </a:schemeClr>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0.74631</cdr:x>
      <cdr:y>0.26507</cdr:y>
    </cdr:from>
    <cdr:to>
      <cdr:x>0.74692</cdr:x>
      <cdr:y>0.63734</cdr:y>
    </cdr:to>
    <cdr:cxnSp macro="">
      <cdr:nvCxnSpPr>
        <cdr:cNvPr id="11" name="Přímá spojnice 10"/>
        <cdr:cNvCxnSpPr/>
      </cdr:nvCxnSpPr>
      <cdr:spPr>
        <a:xfrm xmlns:a="http://schemas.openxmlformats.org/drawingml/2006/main" flipH="1">
          <a:off x="3422513" y="927582"/>
          <a:ext cx="2801" cy="1302684"/>
        </a:xfrm>
        <a:prstGeom xmlns:a="http://schemas.openxmlformats.org/drawingml/2006/main" prst="line">
          <a:avLst/>
        </a:prstGeom>
        <a:ln xmlns:a="http://schemas.openxmlformats.org/drawingml/2006/main" w="3175">
          <a:solidFill>
            <a:schemeClr val="bg1">
              <a:lumMod val="75000"/>
            </a:schemeClr>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0.40614</cdr:x>
      <cdr:y>0.54395</cdr:y>
    </cdr:from>
    <cdr:to>
      <cdr:x>0.4077</cdr:x>
      <cdr:y>0.69801</cdr:y>
    </cdr:to>
    <cdr:cxnSp macro="">
      <cdr:nvCxnSpPr>
        <cdr:cNvPr id="12" name="Přímá spojnice 11"/>
        <cdr:cNvCxnSpPr/>
      </cdr:nvCxnSpPr>
      <cdr:spPr>
        <a:xfrm xmlns:a="http://schemas.openxmlformats.org/drawingml/2006/main">
          <a:off x="1862514" y="1900113"/>
          <a:ext cx="7144" cy="538162"/>
        </a:xfrm>
        <a:prstGeom xmlns:a="http://schemas.openxmlformats.org/drawingml/2006/main" prst="line">
          <a:avLst/>
        </a:prstGeom>
        <a:ln xmlns:a="http://schemas.openxmlformats.org/drawingml/2006/main" w="3175">
          <a:solidFill>
            <a:schemeClr val="bg1">
              <a:lumMod val="75000"/>
            </a:schemeClr>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0.34447</cdr:x>
      <cdr:y>0.23121</cdr:y>
    </cdr:from>
    <cdr:to>
      <cdr:x>0.34487</cdr:x>
      <cdr:y>0.68506</cdr:y>
    </cdr:to>
    <cdr:cxnSp macro="">
      <cdr:nvCxnSpPr>
        <cdr:cNvPr id="13" name="Přímá spojnice 12"/>
        <cdr:cNvCxnSpPr/>
      </cdr:nvCxnSpPr>
      <cdr:spPr>
        <a:xfrm xmlns:a="http://schemas.openxmlformats.org/drawingml/2006/main">
          <a:off x="1579691" y="807647"/>
          <a:ext cx="1835" cy="1585385"/>
        </a:xfrm>
        <a:prstGeom xmlns:a="http://schemas.openxmlformats.org/drawingml/2006/main" prst="line">
          <a:avLst/>
        </a:prstGeom>
        <a:ln xmlns:a="http://schemas.openxmlformats.org/drawingml/2006/main" w="3175">
          <a:solidFill>
            <a:schemeClr val="bg1">
              <a:lumMod val="75000"/>
            </a:schemeClr>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0.3755</cdr:x>
      <cdr:y>0.50578</cdr:y>
    </cdr:from>
    <cdr:to>
      <cdr:x>0.37602</cdr:x>
      <cdr:y>0.6912</cdr:y>
    </cdr:to>
    <cdr:cxnSp macro="">
      <cdr:nvCxnSpPr>
        <cdr:cNvPr id="14" name="Přímá spojnice 13"/>
        <cdr:cNvCxnSpPr/>
      </cdr:nvCxnSpPr>
      <cdr:spPr>
        <a:xfrm xmlns:a="http://schemas.openxmlformats.org/drawingml/2006/main">
          <a:off x="1722020" y="1766763"/>
          <a:ext cx="2381" cy="647700"/>
        </a:xfrm>
        <a:prstGeom xmlns:a="http://schemas.openxmlformats.org/drawingml/2006/main" prst="line">
          <a:avLst/>
        </a:prstGeom>
        <a:ln xmlns:a="http://schemas.openxmlformats.org/drawingml/2006/main" w="3175">
          <a:solidFill>
            <a:schemeClr val="bg1">
              <a:lumMod val="75000"/>
            </a:schemeClr>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0.43652</cdr:x>
      <cdr:y>0.21948</cdr:y>
    </cdr:from>
    <cdr:to>
      <cdr:x>0.43781</cdr:x>
      <cdr:y>0.63257</cdr:y>
    </cdr:to>
    <cdr:cxnSp macro="">
      <cdr:nvCxnSpPr>
        <cdr:cNvPr id="15" name="Přímá spojnice 14"/>
        <cdr:cNvCxnSpPr/>
      </cdr:nvCxnSpPr>
      <cdr:spPr>
        <a:xfrm xmlns:a="http://schemas.openxmlformats.org/drawingml/2006/main">
          <a:off x="2001838" y="766684"/>
          <a:ext cx="5932" cy="1442991"/>
        </a:xfrm>
        <a:prstGeom xmlns:a="http://schemas.openxmlformats.org/drawingml/2006/main" prst="line">
          <a:avLst/>
        </a:prstGeom>
        <a:ln xmlns:a="http://schemas.openxmlformats.org/drawingml/2006/main" w="3175">
          <a:solidFill>
            <a:schemeClr val="bg1">
              <a:lumMod val="75000"/>
            </a:schemeClr>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0.46845</cdr:x>
      <cdr:y>0.26342</cdr:y>
    </cdr:from>
    <cdr:to>
      <cdr:x>0.46881</cdr:x>
      <cdr:y>0.65643</cdr:y>
    </cdr:to>
    <cdr:cxnSp macro="">
      <cdr:nvCxnSpPr>
        <cdr:cNvPr id="16" name="Přímá spojnice 15"/>
        <cdr:cNvCxnSpPr/>
      </cdr:nvCxnSpPr>
      <cdr:spPr>
        <a:xfrm xmlns:a="http://schemas.openxmlformats.org/drawingml/2006/main" flipH="1">
          <a:off x="2148264" y="920170"/>
          <a:ext cx="1684" cy="1372849"/>
        </a:xfrm>
        <a:prstGeom xmlns:a="http://schemas.openxmlformats.org/drawingml/2006/main" prst="line">
          <a:avLst/>
        </a:prstGeom>
        <a:ln xmlns:a="http://schemas.openxmlformats.org/drawingml/2006/main" w="3175">
          <a:solidFill>
            <a:schemeClr val="bg1">
              <a:lumMod val="75000"/>
            </a:schemeClr>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0.4996</cdr:x>
      <cdr:y>0.35664</cdr:y>
    </cdr:from>
    <cdr:to>
      <cdr:x>0.50027</cdr:x>
      <cdr:y>0.67279</cdr:y>
    </cdr:to>
    <cdr:cxnSp macro="">
      <cdr:nvCxnSpPr>
        <cdr:cNvPr id="17" name="Přímá spojnice 16"/>
        <cdr:cNvCxnSpPr/>
      </cdr:nvCxnSpPr>
      <cdr:spPr>
        <a:xfrm xmlns:a="http://schemas.openxmlformats.org/drawingml/2006/main" flipH="1">
          <a:off x="2291139" y="1245792"/>
          <a:ext cx="3064" cy="1104377"/>
        </a:xfrm>
        <a:prstGeom xmlns:a="http://schemas.openxmlformats.org/drawingml/2006/main" prst="line">
          <a:avLst/>
        </a:prstGeom>
        <a:ln xmlns:a="http://schemas.openxmlformats.org/drawingml/2006/main" w="3175">
          <a:solidFill>
            <a:schemeClr val="bg1">
              <a:lumMod val="75000"/>
            </a:schemeClr>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0.59237</cdr:x>
      <cdr:y>0.28589</cdr:y>
    </cdr:from>
    <cdr:to>
      <cdr:x>0.59298</cdr:x>
      <cdr:y>0.65175</cdr:y>
    </cdr:to>
    <cdr:cxnSp macro="">
      <cdr:nvCxnSpPr>
        <cdr:cNvPr id="18" name="Přímá spojnice 17"/>
        <cdr:cNvCxnSpPr/>
      </cdr:nvCxnSpPr>
      <cdr:spPr>
        <a:xfrm xmlns:a="http://schemas.openxmlformats.org/drawingml/2006/main">
          <a:off x="2716542" y="1000421"/>
          <a:ext cx="2802" cy="1280272"/>
        </a:xfrm>
        <a:prstGeom xmlns:a="http://schemas.openxmlformats.org/drawingml/2006/main" prst="line">
          <a:avLst/>
        </a:prstGeom>
        <a:ln xmlns:a="http://schemas.openxmlformats.org/drawingml/2006/main" w="3175">
          <a:solidFill>
            <a:schemeClr val="bg1">
              <a:lumMod val="75000"/>
            </a:schemeClr>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0.62291</cdr:x>
      <cdr:y>0.04643</cdr:y>
    </cdr:from>
    <cdr:to>
      <cdr:x>0.62297</cdr:x>
      <cdr:y>0.64294</cdr:y>
    </cdr:to>
    <cdr:cxnSp macro="">
      <cdr:nvCxnSpPr>
        <cdr:cNvPr id="19" name="Přímá spojnice 18"/>
        <cdr:cNvCxnSpPr/>
      </cdr:nvCxnSpPr>
      <cdr:spPr>
        <a:xfrm xmlns:a="http://schemas.openxmlformats.org/drawingml/2006/main" flipH="1">
          <a:off x="2856616" y="162480"/>
          <a:ext cx="253" cy="2087397"/>
        </a:xfrm>
        <a:prstGeom xmlns:a="http://schemas.openxmlformats.org/drawingml/2006/main" prst="line">
          <a:avLst/>
        </a:prstGeom>
        <a:ln xmlns:a="http://schemas.openxmlformats.org/drawingml/2006/main" w="3175">
          <a:solidFill>
            <a:schemeClr val="bg1">
              <a:lumMod val="75000"/>
            </a:schemeClr>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0.65407</cdr:x>
      <cdr:y>0.18824</cdr:y>
    </cdr:from>
    <cdr:to>
      <cdr:x>0.65415</cdr:x>
      <cdr:y>0.66136</cdr:y>
    </cdr:to>
    <cdr:cxnSp macro="">
      <cdr:nvCxnSpPr>
        <cdr:cNvPr id="20" name="Přímá spojnice 19"/>
        <cdr:cNvCxnSpPr/>
      </cdr:nvCxnSpPr>
      <cdr:spPr>
        <a:xfrm xmlns:a="http://schemas.openxmlformats.org/drawingml/2006/main" flipH="1">
          <a:off x="2999491" y="658708"/>
          <a:ext cx="397" cy="1655602"/>
        </a:xfrm>
        <a:prstGeom xmlns:a="http://schemas.openxmlformats.org/drawingml/2006/main" prst="line">
          <a:avLst/>
        </a:prstGeom>
        <a:ln xmlns:a="http://schemas.openxmlformats.org/drawingml/2006/main" w="3175">
          <a:solidFill>
            <a:schemeClr val="bg1">
              <a:lumMod val="75000"/>
            </a:schemeClr>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0.68473</cdr:x>
      <cdr:y>0.23478</cdr:y>
    </cdr:from>
    <cdr:to>
      <cdr:x>0.68522</cdr:x>
      <cdr:y>0.67337</cdr:y>
    </cdr:to>
    <cdr:cxnSp macro="">
      <cdr:nvCxnSpPr>
        <cdr:cNvPr id="21" name="Přímá spojnice 20"/>
        <cdr:cNvCxnSpPr/>
      </cdr:nvCxnSpPr>
      <cdr:spPr>
        <a:xfrm xmlns:a="http://schemas.openxmlformats.org/drawingml/2006/main">
          <a:off x="3140103" y="821562"/>
          <a:ext cx="2263" cy="1534770"/>
        </a:xfrm>
        <a:prstGeom xmlns:a="http://schemas.openxmlformats.org/drawingml/2006/main" prst="line">
          <a:avLst/>
        </a:prstGeom>
        <a:ln xmlns:a="http://schemas.openxmlformats.org/drawingml/2006/main" w="3175">
          <a:solidFill>
            <a:schemeClr val="bg1">
              <a:lumMod val="75000"/>
            </a:schemeClr>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0.77787</cdr:x>
      <cdr:y>0.21842</cdr:y>
    </cdr:from>
    <cdr:to>
      <cdr:x>0.77787</cdr:x>
      <cdr:y>0.27052</cdr:y>
    </cdr:to>
    <cdr:cxnSp macro="">
      <cdr:nvCxnSpPr>
        <cdr:cNvPr id="29" name="Přímá spojnice 28"/>
        <cdr:cNvCxnSpPr/>
      </cdr:nvCxnSpPr>
      <cdr:spPr>
        <a:xfrm xmlns:a="http://schemas.openxmlformats.org/drawingml/2006/main" flipV="1">
          <a:off x="3581422" y="764560"/>
          <a:ext cx="0" cy="182395"/>
        </a:xfrm>
        <a:prstGeom xmlns:a="http://schemas.openxmlformats.org/drawingml/2006/main" prst="line">
          <a:avLst/>
        </a:prstGeom>
        <a:ln xmlns:a="http://schemas.openxmlformats.org/drawingml/2006/main" w="3175">
          <a:solidFill>
            <a:schemeClr val="bg1">
              <a:lumMod val="75000"/>
            </a:schemeClr>
          </a:solidFill>
          <a:prstDash val="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0.71686</cdr:x>
      <cdr:y>0.11925</cdr:y>
    </cdr:from>
    <cdr:to>
      <cdr:x>0.71686</cdr:x>
      <cdr:y>0.17136</cdr:y>
    </cdr:to>
    <cdr:cxnSp macro="">
      <cdr:nvCxnSpPr>
        <cdr:cNvPr id="37" name="Přímá spojnice 36"/>
        <cdr:cNvCxnSpPr/>
      </cdr:nvCxnSpPr>
      <cdr:spPr>
        <a:xfrm xmlns:a="http://schemas.openxmlformats.org/drawingml/2006/main" flipV="1">
          <a:off x="3287461" y="417304"/>
          <a:ext cx="0" cy="182335"/>
        </a:xfrm>
        <a:prstGeom xmlns:a="http://schemas.openxmlformats.org/drawingml/2006/main" prst="line">
          <a:avLst/>
        </a:prstGeom>
        <a:ln xmlns:a="http://schemas.openxmlformats.org/drawingml/2006/main" w="3175">
          <a:solidFill>
            <a:schemeClr val="bg1">
              <a:lumMod val="75000"/>
            </a:schemeClr>
          </a:solidFill>
          <a:prstDash val="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0.74687</cdr:x>
      <cdr:y>0.21463</cdr:y>
    </cdr:from>
    <cdr:to>
      <cdr:x>0.74687</cdr:x>
      <cdr:y>0.26673</cdr:y>
    </cdr:to>
    <cdr:cxnSp macro="">
      <cdr:nvCxnSpPr>
        <cdr:cNvPr id="38" name="Přímá spojnice 37"/>
        <cdr:cNvCxnSpPr/>
      </cdr:nvCxnSpPr>
      <cdr:spPr>
        <a:xfrm xmlns:a="http://schemas.openxmlformats.org/drawingml/2006/main" flipV="1">
          <a:off x="3425106" y="751052"/>
          <a:ext cx="0" cy="182335"/>
        </a:xfrm>
        <a:prstGeom xmlns:a="http://schemas.openxmlformats.org/drawingml/2006/main" prst="line">
          <a:avLst/>
        </a:prstGeom>
        <a:ln xmlns:a="http://schemas.openxmlformats.org/drawingml/2006/main" w="3175">
          <a:solidFill>
            <a:schemeClr val="bg1">
              <a:lumMod val="75000"/>
            </a:schemeClr>
          </a:solidFill>
          <a:prstDash val="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0.56121</cdr:x>
      <cdr:y>0.25227</cdr:y>
    </cdr:from>
    <cdr:to>
      <cdr:x>0.56121</cdr:x>
      <cdr:y>0.65095</cdr:y>
    </cdr:to>
    <cdr:cxnSp macro="">
      <cdr:nvCxnSpPr>
        <cdr:cNvPr id="44" name="Přímá spojnice 43"/>
        <cdr:cNvCxnSpPr/>
      </cdr:nvCxnSpPr>
      <cdr:spPr>
        <a:xfrm xmlns:a="http://schemas.openxmlformats.org/drawingml/2006/main">
          <a:off x="2573667" y="882759"/>
          <a:ext cx="0" cy="1395132"/>
        </a:xfrm>
        <a:prstGeom xmlns:a="http://schemas.openxmlformats.org/drawingml/2006/main" prst="line">
          <a:avLst/>
        </a:prstGeom>
        <a:ln xmlns:a="http://schemas.openxmlformats.org/drawingml/2006/main" w="3175">
          <a:solidFill>
            <a:schemeClr val="bg1">
              <a:lumMod val="75000"/>
            </a:schemeClr>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0.53006</cdr:x>
      <cdr:y>0.12417</cdr:y>
    </cdr:from>
    <cdr:to>
      <cdr:x>0.53128</cdr:x>
      <cdr:y>0.65736</cdr:y>
    </cdr:to>
    <cdr:cxnSp macro="">
      <cdr:nvCxnSpPr>
        <cdr:cNvPr id="45" name="Přímá spojnice 44"/>
        <cdr:cNvCxnSpPr/>
      </cdr:nvCxnSpPr>
      <cdr:spPr>
        <a:xfrm xmlns:a="http://schemas.openxmlformats.org/drawingml/2006/main" flipH="1">
          <a:off x="2430792" y="434524"/>
          <a:ext cx="5604" cy="1865779"/>
        </a:xfrm>
        <a:prstGeom xmlns:a="http://schemas.openxmlformats.org/drawingml/2006/main" prst="line">
          <a:avLst/>
        </a:prstGeom>
        <a:ln xmlns:a="http://schemas.openxmlformats.org/drawingml/2006/main" w="3175">
          <a:solidFill>
            <a:schemeClr val="bg1">
              <a:lumMod val="75000"/>
            </a:schemeClr>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0.53166</cdr:x>
      <cdr:y>0.06979</cdr:y>
    </cdr:from>
    <cdr:to>
      <cdr:x>0.53166</cdr:x>
      <cdr:y>0.12189</cdr:y>
    </cdr:to>
    <cdr:cxnSp macro="">
      <cdr:nvCxnSpPr>
        <cdr:cNvPr id="50" name="Přímá spojnice 49"/>
        <cdr:cNvCxnSpPr/>
      </cdr:nvCxnSpPr>
      <cdr:spPr>
        <a:xfrm xmlns:a="http://schemas.openxmlformats.org/drawingml/2006/main" flipV="1">
          <a:off x="2438148" y="243778"/>
          <a:ext cx="0" cy="182014"/>
        </a:xfrm>
        <a:prstGeom xmlns:a="http://schemas.openxmlformats.org/drawingml/2006/main" prst="line">
          <a:avLst/>
        </a:prstGeom>
        <a:ln xmlns:a="http://schemas.openxmlformats.org/drawingml/2006/main" w="3175">
          <a:solidFill>
            <a:schemeClr val="bg1">
              <a:lumMod val="75000"/>
            </a:schemeClr>
          </a:solidFill>
          <a:prstDash val="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0.59266</cdr:x>
      <cdr:y>0.23671</cdr:y>
    </cdr:from>
    <cdr:to>
      <cdr:x>0.59266</cdr:x>
      <cdr:y>0.28882</cdr:y>
    </cdr:to>
    <cdr:cxnSp macro="">
      <cdr:nvCxnSpPr>
        <cdr:cNvPr id="51" name="Přímá spojnice 50"/>
        <cdr:cNvCxnSpPr/>
      </cdr:nvCxnSpPr>
      <cdr:spPr>
        <a:xfrm xmlns:a="http://schemas.openxmlformats.org/drawingml/2006/main" flipV="1">
          <a:off x="2717876" y="826870"/>
          <a:ext cx="0" cy="182014"/>
        </a:xfrm>
        <a:prstGeom xmlns:a="http://schemas.openxmlformats.org/drawingml/2006/main" prst="line">
          <a:avLst/>
        </a:prstGeom>
        <a:ln xmlns:a="http://schemas.openxmlformats.org/drawingml/2006/main" w="3175">
          <a:solidFill>
            <a:schemeClr val="bg1">
              <a:lumMod val="75000"/>
            </a:schemeClr>
          </a:solidFill>
          <a:prstDash val="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0.56082</cdr:x>
      <cdr:y>0.1971</cdr:y>
    </cdr:from>
    <cdr:to>
      <cdr:x>0.56082</cdr:x>
      <cdr:y>0.2492</cdr:y>
    </cdr:to>
    <cdr:cxnSp macro="">
      <cdr:nvCxnSpPr>
        <cdr:cNvPr id="52" name="Přímá spojnice 51"/>
        <cdr:cNvCxnSpPr/>
      </cdr:nvCxnSpPr>
      <cdr:spPr>
        <a:xfrm xmlns:a="http://schemas.openxmlformats.org/drawingml/2006/main" flipV="1">
          <a:off x="2571873" y="688495"/>
          <a:ext cx="0" cy="182014"/>
        </a:xfrm>
        <a:prstGeom xmlns:a="http://schemas.openxmlformats.org/drawingml/2006/main" prst="line">
          <a:avLst/>
        </a:prstGeom>
        <a:ln xmlns:a="http://schemas.openxmlformats.org/drawingml/2006/main" w="3175">
          <a:solidFill>
            <a:schemeClr val="bg1">
              <a:lumMod val="75000"/>
            </a:schemeClr>
          </a:solidFill>
          <a:prstDash val="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0.12834</cdr:x>
      <cdr:y>0.18538</cdr:y>
    </cdr:from>
    <cdr:to>
      <cdr:x>0.12938</cdr:x>
      <cdr:y>0.51328</cdr:y>
    </cdr:to>
    <cdr:cxnSp macro="">
      <cdr:nvCxnSpPr>
        <cdr:cNvPr id="53" name="Přímá spojnice 52"/>
        <cdr:cNvCxnSpPr/>
      </cdr:nvCxnSpPr>
      <cdr:spPr>
        <a:xfrm xmlns:a="http://schemas.openxmlformats.org/drawingml/2006/main">
          <a:off x="588572" y="647580"/>
          <a:ext cx="4736" cy="1145377"/>
        </a:xfrm>
        <a:prstGeom xmlns:a="http://schemas.openxmlformats.org/drawingml/2006/main" prst="line">
          <a:avLst/>
        </a:prstGeom>
        <a:ln xmlns:a="http://schemas.openxmlformats.org/drawingml/2006/main" w="3175">
          <a:solidFill>
            <a:schemeClr val="bg1">
              <a:lumMod val="75000"/>
            </a:schemeClr>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0.15947</cdr:x>
      <cdr:y>0.26391</cdr:y>
    </cdr:from>
    <cdr:to>
      <cdr:x>0.16001</cdr:x>
      <cdr:y>0.5978</cdr:y>
    </cdr:to>
    <cdr:cxnSp macro="">
      <cdr:nvCxnSpPr>
        <cdr:cNvPr id="54" name="Přímá spojnice 53"/>
        <cdr:cNvCxnSpPr/>
      </cdr:nvCxnSpPr>
      <cdr:spPr>
        <a:xfrm xmlns:a="http://schemas.openxmlformats.org/drawingml/2006/main">
          <a:off x="731320" y="921895"/>
          <a:ext cx="2481" cy="1166337"/>
        </a:xfrm>
        <a:prstGeom xmlns:a="http://schemas.openxmlformats.org/drawingml/2006/main" prst="line">
          <a:avLst/>
        </a:prstGeom>
        <a:ln xmlns:a="http://schemas.openxmlformats.org/drawingml/2006/main" w="3175">
          <a:solidFill>
            <a:schemeClr val="bg1">
              <a:lumMod val="75000"/>
            </a:schemeClr>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0.19029</cdr:x>
      <cdr:y>0.42246</cdr:y>
    </cdr:from>
    <cdr:to>
      <cdr:x>0.19065</cdr:x>
      <cdr:y>0.64075</cdr:y>
    </cdr:to>
    <cdr:cxnSp macro="">
      <cdr:nvCxnSpPr>
        <cdr:cNvPr id="55" name="Přímá spojnice 54"/>
        <cdr:cNvCxnSpPr/>
      </cdr:nvCxnSpPr>
      <cdr:spPr>
        <a:xfrm xmlns:a="http://schemas.openxmlformats.org/drawingml/2006/main">
          <a:off x="872660" y="1475729"/>
          <a:ext cx="1635" cy="762521"/>
        </a:xfrm>
        <a:prstGeom xmlns:a="http://schemas.openxmlformats.org/drawingml/2006/main" prst="line">
          <a:avLst/>
        </a:prstGeom>
        <a:ln xmlns:a="http://schemas.openxmlformats.org/drawingml/2006/main" w="3175">
          <a:solidFill>
            <a:schemeClr val="bg1">
              <a:lumMod val="75000"/>
            </a:schemeClr>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0.22128</cdr:x>
      <cdr:y>0.40421</cdr:y>
    </cdr:from>
    <cdr:to>
      <cdr:x>0.22128</cdr:x>
      <cdr:y>0.65029</cdr:y>
    </cdr:to>
    <cdr:cxnSp macro="">
      <cdr:nvCxnSpPr>
        <cdr:cNvPr id="56" name="Přímá spojnice 55"/>
        <cdr:cNvCxnSpPr/>
      </cdr:nvCxnSpPr>
      <cdr:spPr>
        <a:xfrm xmlns:a="http://schemas.openxmlformats.org/drawingml/2006/main">
          <a:off x="1014789" y="1411957"/>
          <a:ext cx="0" cy="859631"/>
        </a:xfrm>
        <a:prstGeom xmlns:a="http://schemas.openxmlformats.org/drawingml/2006/main" prst="line">
          <a:avLst/>
        </a:prstGeom>
        <a:ln xmlns:a="http://schemas.openxmlformats.org/drawingml/2006/main" w="3175">
          <a:solidFill>
            <a:schemeClr val="bg1">
              <a:lumMod val="75000"/>
            </a:schemeClr>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0.25244</cdr:x>
      <cdr:y>0.20937</cdr:y>
    </cdr:from>
    <cdr:to>
      <cdr:x>0.25251</cdr:x>
      <cdr:y>0.63189</cdr:y>
    </cdr:to>
    <cdr:cxnSp macro="">
      <cdr:nvCxnSpPr>
        <cdr:cNvPr id="57" name="Přímá spojnice 56"/>
        <cdr:cNvCxnSpPr/>
      </cdr:nvCxnSpPr>
      <cdr:spPr>
        <a:xfrm xmlns:a="http://schemas.openxmlformats.org/drawingml/2006/main" flipH="1">
          <a:off x="1157664" y="731379"/>
          <a:ext cx="310" cy="1475915"/>
        </a:xfrm>
        <a:prstGeom xmlns:a="http://schemas.openxmlformats.org/drawingml/2006/main" prst="line">
          <a:avLst/>
        </a:prstGeom>
        <a:ln xmlns:a="http://schemas.openxmlformats.org/drawingml/2006/main" w="3175">
          <a:solidFill>
            <a:schemeClr val="bg1">
              <a:lumMod val="75000"/>
            </a:schemeClr>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0.28256</cdr:x>
      <cdr:y>0.23689</cdr:y>
    </cdr:from>
    <cdr:to>
      <cdr:x>0.28375</cdr:x>
      <cdr:y>0.65166</cdr:y>
    </cdr:to>
    <cdr:cxnSp macro="">
      <cdr:nvCxnSpPr>
        <cdr:cNvPr id="58" name="Přímá spojnice 57"/>
        <cdr:cNvCxnSpPr/>
      </cdr:nvCxnSpPr>
      <cdr:spPr>
        <a:xfrm xmlns:a="http://schemas.openxmlformats.org/drawingml/2006/main" flipH="1">
          <a:off x="1295776" y="827500"/>
          <a:ext cx="5483" cy="1448850"/>
        </a:xfrm>
        <a:prstGeom xmlns:a="http://schemas.openxmlformats.org/drawingml/2006/main" prst="line">
          <a:avLst/>
        </a:prstGeom>
        <a:ln xmlns:a="http://schemas.openxmlformats.org/drawingml/2006/main" w="3175">
          <a:solidFill>
            <a:schemeClr val="bg1">
              <a:lumMod val="75000"/>
            </a:schemeClr>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0.31384</cdr:x>
      <cdr:y>0.23763</cdr:y>
    </cdr:from>
    <cdr:to>
      <cdr:x>0.31423</cdr:x>
      <cdr:y>0.66938</cdr:y>
    </cdr:to>
    <cdr:cxnSp macro="">
      <cdr:nvCxnSpPr>
        <cdr:cNvPr id="59" name="Přímá spojnice 58"/>
        <cdr:cNvCxnSpPr/>
      </cdr:nvCxnSpPr>
      <cdr:spPr>
        <a:xfrm xmlns:a="http://schemas.openxmlformats.org/drawingml/2006/main">
          <a:off x="1439244" y="830075"/>
          <a:ext cx="1789" cy="1508188"/>
        </a:xfrm>
        <a:prstGeom xmlns:a="http://schemas.openxmlformats.org/drawingml/2006/main" prst="line">
          <a:avLst/>
        </a:prstGeom>
        <a:ln xmlns:a="http://schemas.openxmlformats.org/drawingml/2006/main" w="3175">
          <a:solidFill>
            <a:schemeClr val="bg1">
              <a:lumMod val="75000"/>
            </a:schemeClr>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0.34421</cdr:x>
      <cdr:y>0.18083</cdr:y>
    </cdr:from>
    <cdr:to>
      <cdr:x>0.34421</cdr:x>
      <cdr:y>0.23294</cdr:y>
    </cdr:to>
    <cdr:cxnSp macro="">
      <cdr:nvCxnSpPr>
        <cdr:cNvPr id="75" name="Přímá spojnice 74"/>
        <cdr:cNvCxnSpPr/>
      </cdr:nvCxnSpPr>
      <cdr:spPr>
        <a:xfrm xmlns:a="http://schemas.openxmlformats.org/drawingml/2006/main" flipV="1">
          <a:off x="1578518" y="631675"/>
          <a:ext cx="0" cy="182014"/>
        </a:xfrm>
        <a:prstGeom xmlns:a="http://schemas.openxmlformats.org/drawingml/2006/main" prst="line">
          <a:avLst/>
        </a:prstGeom>
        <a:ln xmlns:a="http://schemas.openxmlformats.org/drawingml/2006/main" w="3175">
          <a:solidFill>
            <a:schemeClr val="bg1">
              <a:lumMod val="75000"/>
            </a:schemeClr>
          </a:solidFill>
          <a:prstDash val="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0.37554</cdr:x>
      <cdr:y>0.45305</cdr:y>
    </cdr:from>
    <cdr:to>
      <cdr:x>0.37554</cdr:x>
      <cdr:y>0.50516</cdr:y>
    </cdr:to>
    <cdr:cxnSp macro="">
      <cdr:nvCxnSpPr>
        <cdr:cNvPr id="76" name="Přímá spojnice 75"/>
        <cdr:cNvCxnSpPr/>
      </cdr:nvCxnSpPr>
      <cdr:spPr>
        <a:xfrm xmlns:a="http://schemas.openxmlformats.org/drawingml/2006/main" flipV="1">
          <a:off x="1722186" y="1582588"/>
          <a:ext cx="0" cy="182014"/>
        </a:xfrm>
        <a:prstGeom xmlns:a="http://schemas.openxmlformats.org/drawingml/2006/main" prst="line">
          <a:avLst/>
        </a:prstGeom>
        <a:ln xmlns:a="http://schemas.openxmlformats.org/drawingml/2006/main" w="3175">
          <a:solidFill>
            <a:schemeClr val="bg1">
              <a:lumMod val="75000"/>
            </a:schemeClr>
          </a:solidFill>
          <a:prstDash val="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0.40687</cdr:x>
      <cdr:y>0.4935</cdr:y>
    </cdr:from>
    <cdr:to>
      <cdr:x>0.40687</cdr:x>
      <cdr:y>0.54561</cdr:y>
    </cdr:to>
    <cdr:cxnSp macro="">
      <cdr:nvCxnSpPr>
        <cdr:cNvPr id="77" name="Přímá spojnice 76"/>
        <cdr:cNvCxnSpPr/>
      </cdr:nvCxnSpPr>
      <cdr:spPr>
        <a:xfrm xmlns:a="http://schemas.openxmlformats.org/drawingml/2006/main" flipV="1">
          <a:off x="1865854" y="1723876"/>
          <a:ext cx="0" cy="182014"/>
        </a:xfrm>
        <a:prstGeom xmlns:a="http://schemas.openxmlformats.org/drawingml/2006/main" prst="line">
          <a:avLst/>
        </a:prstGeom>
        <a:ln xmlns:a="http://schemas.openxmlformats.org/drawingml/2006/main" w="3175">
          <a:solidFill>
            <a:schemeClr val="bg1">
              <a:lumMod val="75000"/>
            </a:schemeClr>
          </a:solidFill>
          <a:prstDash val="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5.xml><?xml version="1.0" encoding="utf-8"?>
<c:userShapes xmlns:c="http://schemas.openxmlformats.org/drawingml/2006/chart">
  <cdr:relSizeAnchor xmlns:cdr="http://schemas.openxmlformats.org/drawingml/2006/chartDrawing">
    <cdr:from>
      <cdr:x>0.11383</cdr:x>
      <cdr:y>0.02645</cdr:y>
    </cdr:from>
    <cdr:to>
      <cdr:x>0.5499</cdr:x>
      <cdr:y>0.14693</cdr:y>
    </cdr:to>
    <cdr:sp macro="" textlink="">
      <cdr:nvSpPr>
        <cdr:cNvPr id="2" name="TextovéPole 1"/>
        <cdr:cNvSpPr txBox="1"/>
      </cdr:nvSpPr>
      <cdr:spPr>
        <a:xfrm xmlns:a="http://schemas.openxmlformats.org/drawingml/2006/main">
          <a:off x="571142" y="96762"/>
          <a:ext cx="2187992" cy="44076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cs-CZ" sz="750">
              <a:latin typeface="Arial" panose="020B0604020202020204" pitchFamily="34" charset="0"/>
              <a:cs typeface="Arial" panose="020B0604020202020204" pitchFamily="34" charset="0"/>
            </a:rPr>
            <a:t>roky </a:t>
          </a:r>
        </a:p>
        <a:p xmlns:a="http://schemas.openxmlformats.org/drawingml/2006/main">
          <a:r>
            <a:rPr lang="cs-CZ" sz="750">
              <a:latin typeface="Arial" panose="020B0604020202020204" pitchFamily="34" charset="0"/>
              <a:cs typeface="Arial" panose="020B0604020202020204" pitchFamily="34" charset="0"/>
            </a:rPr>
            <a:t>2012  2013   2014   2015   2016   2017   2018</a:t>
          </a:r>
        </a:p>
      </cdr:txBody>
    </cdr:sp>
  </cdr:relSizeAnchor>
  <cdr:relSizeAnchor xmlns:cdr="http://schemas.openxmlformats.org/drawingml/2006/chartDrawing">
    <cdr:from>
      <cdr:x>0.1315</cdr:x>
      <cdr:y>0.1093</cdr:y>
    </cdr:from>
    <cdr:to>
      <cdr:x>0.17324</cdr:x>
      <cdr:y>0.13338</cdr:y>
    </cdr:to>
    <cdr:sp macro="" textlink="">
      <cdr:nvSpPr>
        <cdr:cNvPr id="3" name="TextovéPole 2"/>
        <cdr:cNvSpPr txBox="1"/>
      </cdr:nvSpPr>
      <cdr:spPr>
        <a:xfrm xmlns:a="http://schemas.openxmlformats.org/drawingml/2006/main">
          <a:off x="662863" y="406296"/>
          <a:ext cx="210395" cy="89475"/>
        </a:xfrm>
        <a:prstGeom xmlns:a="http://schemas.openxmlformats.org/drawingml/2006/main" prst="rect">
          <a:avLst/>
        </a:prstGeom>
        <a:solidFill xmlns:a="http://schemas.openxmlformats.org/drawingml/2006/main">
          <a:srgbClr val="7030A0"/>
        </a:solidFill>
        <a:ln xmlns:a="http://schemas.openxmlformats.org/drawingml/2006/main" w="3175">
          <a:solidFill>
            <a:schemeClr val="tx1">
              <a:lumMod val="95000"/>
              <a:lumOff val="5000"/>
            </a:schemeClr>
          </a:solidFill>
        </a:ln>
      </cdr:spPr>
      <cdr:txBody>
        <a:bodyPr xmlns:a="http://schemas.openxmlformats.org/drawingml/2006/main" vertOverflow="clip" wrap="square" rtlCol="0"/>
        <a:lstStyle xmlns:a="http://schemas.openxmlformats.org/drawingml/2006/main"/>
        <a:p xmlns:a="http://schemas.openxmlformats.org/drawingml/2006/main">
          <a:endParaRPr lang="cs-CZ" sz="1100"/>
        </a:p>
      </cdr:txBody>
    </cdr:sp>
  </cdr:relSizeAnchor>
  <cdr:relSizeAnchor xmlns:cdr="http://schemas.openxmlformats.org/drawingml/2006/chartDrawing">
    <cdr:from>
      <cdr:x>0.18502</cdr:x>
      <cdr:y>0.1094</cdr:y>
    </cdr:from>
    <cdr:to>
      <cdr:x>0.22676</cdr:x>
      <cdr:y>0.13305</cdr:y>
    </cdr:to>
    <cdr:sp macro="" textlink="">
      <cdr:nvSpPr>
        <cdr:cNvPr id="4" name="TextovéPole 1"/>
        <cdr:cNvSpPr txBox="1"/>
      </cdr:nvSpPr>
      <cdr:spPr>
        <a:xfrm xmlns:a="http://schemas.openxmlformats.org/drawingml/2006/main">
          <a:off x="930522" y="404300"/>
          <a:ext cx="209915" cy="87430"/>
        </a:xfrm>
        <a:prstGeom xmlns:a="http://schemas.openxmlformats.org/drawingml/2006/main" prst="rect">
          <a:avLst/>
        </a:prstGeom>
        <a:solidFill xmlns:a="http://schemas.openxmlformats.org/drawingml/2006/main">
          <a:srgbClr val="9954CC"/>
        </a:solidFill>
        <a:ln xmlns:a="http://schemas.openxmlformats.org/drawingml/2006/main" w="3175">
          <a:solidFill>
            <a:schemeClr val="tx1">
              <a:lumMod val="95000"/>
              <a:lumOff val="5000"/>
            </a:schemeClr>
          </a:solidFill>
        </a:ln>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cs-CZ" sz="1100"/>
        </a:p>
      </cdr:txBody>
    </cdr:sp>
  </cdr:relSizeAnchor>
  <cdr:relSizeAnchor xmlns:cdr="http://schemas.openxmlformats.org/drawingml/2006/chartDrawing">
    <cdr:from>
      <cdr:x>0.24385</cdr:x>
      <cdr:y>0.10962</cdr:y>
    </cdr:from>
    <cdr:to>
      <cdr:x>0.28559</cdr:x>
      <cdr:y>0.13305</cdr:y>
    </cdr:to>
    <cdr:sp macro="" textlink="">
      <cdr:nvSpPr>
        <cdr:cNvPr id="8" name="TextovéPole 1"/>
        <cdr:cNvSpPr txBox="1"/>
      </cdr:nvSpPr>
      <cdr:spPr>
        <a:xfrm xmlns:a="http://schemas.openxmlformats.org/drawingml/2006/main">
          <a:off x="1226394" y="405114"/>
          <a:ext cx="209915" cy="86616"/>
        </a:xfrm>
        <a:prstGeom xmlns:a="http://schemas.openxmlformats.org/drawingml/2006/main" prst="rect">
          <a:avLst/>
        </a:prstGeom>
        <a:solidFill xmlns:a="http://schemas.openxmlformats.org/drawingml/2006/main">
          <a:srgbClr val="B685DB"/>
        </a:solidFill>
        <a:ln xmlns:a="http://schemas.openxmlformats.org/drawingml/2006/main" w="3175">
          <a:solidFill>
            <a:schemeClr val="tx1">
              <a:lumMod val="95000"/>
              <a:lumOff val="5000"/>
            </a:schemeClr>
          </a:solidFill>
        </a:ln>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cs-CZ" sz="1100"/>
        </a:p>
      </cdr:txBody>
    </cdr:sp>
  </cdr:relSizeAnchor>
  <cdr:relSizeAnchor xmlns:cdr="http://schemas.openxmlformats.org/drawingml/2006/chartDrawing">
    <cdr:from>
      <cdr:x>0.30195</cdr:x>
      <cdr:y>0.10956</cdr:y>
    </cdr:from>
    <cdr:to>
      <cdr:x>0.34369</cdr:x>
      <cdr:y>0.13314</cdr:y>
    </cdr:to>
    <cdr:sp macro="" textlink="">
      <cdr:nvSpPr>
        <cdr:cNvPr id="9" name="TextovéPole 1"/>
        <cdr:cNvSpPr txBox="1"/>
      </cdr:nvSpPr>
      <cdr:spPr>
        <a:xfrm xmlns:a="http://schemas.openxmlformats.org/drawingml/2006/main">
          <a:off x="1518575" y="404915"/>
          <a:ext cx="209915" cy="87142"/>
        </a:xfrm>
        <a:prstGeom xmlns:a="http://schemas.openxmlformats.org/drawingml/2006/main" prst="rect">
          <a:avLst/>
        </a:prstGeom>
        <a:solidFill xmlns:a="http://schemas.openxmlformats.org/drawingml/2006/main">
          <a:srgbClr val="D5B8EA"/>
        </a:solidFill>
        <a:ln xmlns:a="http://schemas.openxmlformats.org/drawingml/2006/main" w="3175">
          <a:solidFill>
            <a:schemeClr val="tx1">
              <a:lumMod val="95000"/>
              <a:lumOff val="5000"/>
            </a:schemeClr>
          </a:solidFill>
        </a:ln>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cs-CZ" sz="1100"/>
        </a:p>
      </cdr:txBody>
    </cdr:sp>
  </cdr:relSizeAnchor>
  <cdr:relSizeAnchor xmlns:cdr="http://schemas.openxmlformats.org/drawingml/2006/chartDrawing">
    <cdr:from>
      <cdr:x>0.36077</cdr:x>
      <cdr:y>0.10965</cdr:y>
    </cdr:from>
    <cdr:to>
      <cdr:x>0.40251</cdr:x>
      <cdr:y>0.13372</cdr:y>
    </cdr:to>
    <cdr:sp macro="" textlink="">
      <cdr:nvSpPr>
        <cdr:cNvPr id="10" name="TextovéPole 1"/>
        <cdr:cNvSpPr txBox="1"/>
      </cdr:nvSpPr>
      <cdr:spPr>
        <a:xfrm xmlns:a="http://schemas.openxmlformats.org/drawingml/2006/main">
          <a:off x="1812855" y="407473"/>
          <a:ext cx="209736" cy="89455"/>
        </a:xfrm>
        <a:prstGeom xmlns:a="http://schemas.openxmlformats.org/drawingml/2006/main" prst="rect">
          <a:avLst/>
        </a:prstGeom>
        <a:solidFill xmlns:a="http://schemas.openxmlformats.org/drawingml/2006/main">
          <a:srgbClr val="71C6FF"/>
        </a:solidFill>
        <a:ln xmlns:a="http://schemas.openxmlformats.org/drawingml/2006/main" w="3175">
          <a:solidFill>
            <a:schemeClr val="tx1">
              <a:lumMod val="95000"/>
              <a:lumOff val="5000"/>
            </a:schemeClr>
          </a:solidFill>
        </a:ln>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cs-CZ" sz="1100"/>
        </a:p>
      </cdr:txBody>
    </cdr:sp>
  </cdr:relSizeAnchor>
  <cdr:relSizeAnchor xmlns:cdr="http://schemas.openxmlformats.org/drawingml/2006/chartDrawing">
    <cdr:from>
      <cdr:x>0.41697</cdr:x>
      <cdr:y>0.10977</cdr:y>
    </cdr:from>
    <cdr:to>
      <cdr:x>0.45871</cdr:x>
      <cdr:y>0.13384</cdr:y>
    </cdr:to>
    <cdr:sp macro="" textlink="">
      <cdr:nvSpPr>
        <cdr:cNvPr id="11" name="TextovéPole 1"/>
        <cdr:cNvSpPr txBox="1"/>
      </cdr:nvSpPr>
      <cdr:spPr>
        <a:xfrm xmlns:a="http://schemas.openxmlformats.org/drawingml/2006/main">
          <a:off x="2095216" y="407937"/>
          <a:ext cx="209736" cy="89454"/>
        </a:xfrm>
        <a:prstGeom xmlns:a="http://schemas.openxmlformats.org/drawingml/2006/main" prst="rect">
          <a:avLst/>
        </a:prstGeom>
        <a:solidFill xmlns:a="http://schemas.openxmlformats.org/drawingml/2006/main">
          <a:srgbClr val="25A7FF"/>
        </a:solidFill>
        <a:ln xmlns:a="http://schemas.openxmlformats.org/drawingml/2006/main" w="3175">
          <a:solidFill>
            <a:schemeClr val="tx1">
              <a:lumMod val="95000"/>
              <a:lumOff val="5000"/>
            </a:schemeClr>
          </a:solidFill>
        </a:ln>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cs-CZ" sz="1100"/>
        </a:p>
      </cdr:txBody>
    </cdr:sp>
  </cdr:relSizeAnchor>
  <cdr:relSizeAnchor xmlns:cdr="http://schemas.openxmlformats.org/drawingml/2006/chartDrawing">
    <cdr:from>
      <cdr:x>0.47463</cdr:x>
      <cdr:y>0.10937</cdr:y>
    </cdr:from>
    <cdr:to>
      <cdr:x>0.51637</cdr:x>
      <cdr:y>0.13344</cdr:y>
    </cdr:to>
    <cdr:sp macro="" textlink="">
      <cdr:nvSpPr>
        <cdr:cNvPr id="12" name="TextovéPole 1"/>
        <cdr:cNvSpPr txBox="1"/>
      </cdr:nvSpPr>
      <cdr:spPr>
        <a:xfrm xmlns:a="http://schemas.openxmlformats.org/drawingml/2006/main">
          <a:off x="2384978" y="406455"/>
          <a:ext cx="209736" cy="89455"/>
        </a:xfrm>
        <a:prstGeom xmlns:a="http://schemas.openxmlformats.org/drawingml/2006/main" prst="rect">
          <a:avLst/>
        </a:prstGeom>
        <a:solidFill xmlns:a="http://schemas.openxmlformats.org/drawingml/2006/main">
          <a:srgbClr val="0071BC"/>
        </a:solidFill>
        <a:ln xmlns:a="http://schemas.openxmlformats.org/drawingml/2006/main" w="3175">
          <a:solidFill>
            <a:schemeClr val="tx1">
              <a:lumMod val="95000"/>
              <a:lumOff val="5000"/>
            </a:schemeClr>
          </a:solidFill>
        </a:ln>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cs-CZ" sz="1100"/>
        </a:p>
      </cdr:txBody>
    </cdr:sp>
  </cdr:relSizeAnchor>
</c:userShapes>
</file>

<file path=word/drawings/drawing6.xml><?xml version="1.0" encoding="utf-8"?>
<c:userShapes xmlns:c="http://schemas.openxmlformats.org/drawingml/2006/chart">
  <cdr:relSizeAnchor xmlns:cdr="http://schemas.openxmlformats.org/drawingml/2006/chartDrawing">
    <cdr:from>
      <cdr:x>0.07158</cdr:x>
      <cdr:y>0.00738</cdr:y>
    </cdr:from>
    <cdr:to>
      <cdr:x>0.49569</cdr:x>
      <cdr:y>0.25432</cdr:y>
    </cdr:to>
    <cdr:sp macro="" textlink="">
      <cdr:nvSpPr>
        <cdr:cNvPr id="2" name="TextovéPole 1"/>
        <cdr:cNvSpPr txBox="1"/>
      </cdr:nvSpPr>
      <cdr:spPr>
        <a:xfrm xmlns:a="http://schemas.openxmlformats.org/drawingml/2006/main">
          <a:off x="329599" y="25043"/>
          <a:ext cx="1952742" cy="83815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cs-CZ" sz="800">
              <a:latin typeface="Arial" panose="020B0604020202020204" pitchFamily="34" charset="0"/>
              <a:cs typeface="Arial" panose="020B0604020202020204" pitchFamily="34" charset="0"/>
            </a:rPr>
            <a:t>nejvyšší</a:t>
          </a:r>
          <a:r>
            <a:rPr lang="cs-CZ" sz="800" baseline="0">
              <a:latin typeface="Arial" panose="020B0604020202020204" pitchFamily="34" charset="0"/>
              <a:cs typeface="Arial" panose="020B0604020202020204" pitchFamily="34" charset="0"/>
            </a:rPr>
            <a:t> dokončené vzdělání</a:t>
          </a:r>
        </a:p>
        <a:p xmlns:a="http://schemas.openxmlformats.org/drawingml/2006/main">
          <a:r>
            <a:rPr lang="cs-CZ" sz="800" baseline="0">
              <a:latin typeface="Arial" panose="020B0604020202020204" pitchFamily="34" charset="0"/>
              <a:cs typeface="Arial" panose="020B0604020202020204" pitchFamily="34" charset="0"/>
            </a:rPr>
            <a:t>        základní a nedokončené</a:t>
          </a:r>
        </a:p>
        <a:p xmlns:a="http://schemas.openxmlformats.org/drawingml/2006/main">
          <a:endParaRPr lang="cs-CZ" sz="100" baseline="0">
            <a:latin typeface="Arial" panose="020B0604020202020204" pitchFamily="34" charset="0"/>
            <a:cs typeface="Arial" panose="020B0604020202020204" pitchFamily="34" charset="0"/>
          </a:endParaRPr>
        </a:p>
        <a:p xmlns:a="http://schemas.openxmlformats.org/drawingml/2006/main">
          <a:r>
            <a:rPr lang="cs-CZ" sz="800" baseline="0">
              <a:latin typeface="Arial" panose="020B0604020202020204" pitchFamily="34" charset="0"/>
              <a:cs typeface="Arial" panose="020B0604020202020204" pitchFamily="34" charset="0"/>
            </a:rPr>
            <a:t>        střední bez maturity</a:t>
          </a:r>
        </a:p>
        <a:p xmlns:a="http://schemas.openxmlformats.org/drawingml/2006/main">
          <a:endParaRPr lang="cs-CZ" sz="100" baseline="0">
            <a:latin typeface="Arial" panose="020B0604020202020204" pitchFamily="34" charset="0"/>
            <a:cs typeface="Arial" panose="020B0604020202020204" pitchFamily="34" charset="0"/>
          </a:endParaRPr>
        </a:p>
        <a:p xmlns:a="http://schemas.openxmlformats.org/drawingml/2006/main">
          <a:r>
            <a:rPr lang="cs-CZ" sz="800" baseline="0">
              <a:latin typeface="Arial" panose="020B0604020202020204" pitchFamily="34" charset="0"/>
              <a:cs typeface="Arial" panose="020B0604020202020204" pitchFamily="34" charset="0"/>
            </a:rPr>
            <a:t>        střední s maturitou</a:t>
          </a:r>
        </a:p>
        <a:p xmlns:a="http://schemas.openxmlformats.org/drawingml/2006/main">
          <a:endParaRPr lang="cs-CZ" sz="100" baseline="0">
            <a:latin typeface="Arial" panose="020B0604020202020204" pitchFamily="34" charset="0"/>
            <a:cs typeface="Arial" panose="020B0604020202020204" pitchFamily="34" charset="0"/>
          </a:endParaRPr>
        </a:p>
        <a:p xmlns:a="http://schemas.openxmlformats.org/drawingml/2006/main">
          <a:r>
            <a:rPr lang="cs-CZ" sz="800" baseline="0">
              <a:latin typeface="Arial" panose="020B0604020202020204" pitchFamily="34" charset="0"/>
              <a:cs typeface="Arial" panose="020B0604020202020204" pitchFamily="34" charset="0"/>
            </a:rPr>
            <a:t>        vyšší odborné (vč. bakalářs.)</a:t>
          </a:r>
          <a:endParaRPr lang="cs-CZ" sz="100" baseline="0">
            <a:latin typeface="Arial" panose="020B0604020202020204" pitchFamily="34" charset="0"/>
            <a:cs typeface="Arial" panose="020B0604020202020204" pitchFamily="34" charset="0"/>
          </a:endParaRPr>
        </a:p>
        <a:p xmlns:a="http://schemas.openxmlformats.org/drawingml/2006/main">
          <a:r>
            <a:rPr lang="cs-CZ" sz="800" baseline="0">
              <a:latin typeface="Arial" panose="020B0604020202020204" pitchFamily="34" charset="0"/>
              <a:cs typeface="Arial" panose="020B0604020202020204" pitchFamily="34" charset="0"/>
            </a:rPr>
            <a:t>        vysokoškolské  </a:t>
          </a:r>
          <a:endParaRPr lang="cs-CZ" sz="80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0.08644</cdr:x>
      <cdr:y>0.0688</cdr:y>
    </cdr:from>
    <cdr:to>
      <cdr:x>0.1334</cdr:x>
      <cdr:y>0.09556</cdr:y>
    </cdr:to>
    <cdr:sp macro="" textlink="">
      <cdr:nvSpPr>
        <cdr:cNvPr id="3" name="TextovéPole 2"/>
        <cdr:cNvSpPr txBox="1"/>
      </cdr:nvSpPr>
      <cdr:spPr>
        <a:xfrm xmlns:a="http://schemas.openxmlformats.org/drawingml/2006/main">
          <a:off x="431049" y="255007"/>
          <a:ext cx="234159" cy="99181"/>
        </a:xfrm>
        <a:prstGeom xmlns:a="http://schemas.openxmlformats.org/drawingml/2006/main" prst="rect">
          <a:avLst/>
        </a:prstGeom>
        <a:solidFill xmlns:a="http://schemas.openxmlformats.org/drawingml/2006/main">
          <a:schemeClr val="bg1">
            <a:lumMod val="95000"/>
          </a:schemeClr>
        </a:solidFill>
        <a:ln xmlns:a="http://schemas.openxmlformats.org/drawingml/2006/main" w="6350">
          <a:solidFill>
            <a:schemeClr val="bg1">
              <a:lumMod val="50000"/>
            </a:schemeClr>
          </a:solidFill>
        </a:ln>
      </cdr:spPr>
      <cdr:txBody>
        <a:bodyPr xmlns:a="http://schemas.openxmlformats.org/drawingml/2006/main" vertOverflow="clip" wrap="square" rtlCol="0"/>
        <a:lstStyle xmlns:a="http://schemas.openxmlformats.org/drawingml/2006/main"/>
        <a:p xmlns:a="http://schemas.openxmlformats.org/drawingml/2006/main">
          <a:endParaRPr lang="cs-CZ" sz="1100"/>
        </a:p>
      </cdr:txBody>
    </cdr:sp>
  </cdr:relSizeAnchor>
  <cdr:relSizeAnchor xmlns:cdr="http://schemas.openxmlformats.org/drawingml/2006/chartDrawing">
    <cdr:from>
      <cdr:x>0.08579</cdr:x>
      <cdr:y>0.10339</cdr:y>
    </cdr:from>
    <cdr:to>
      <cdr:x>0.13275</cdr:x>
      <cdr:y>0.13015</cdr:y>
    </cdr:to>
    <cdr:sp macro="" textlink="">
      <cdr:nvSpPr>
        <cdr:cNvPr id="4" name="TextovéPole 1"/>
        <cdr:cNvSpPr txBox="1"/>
      </cdr:nvSpPr>
      <cdr:spPr>
        <a:xfrm xmlns:a="http://schemas.openxmlformats.org/drawingml/2006/main">
          <a:off x="427798" y="383243"/>
          <a:ext cx="234160" cy="99181"/>
        </a:xfrm>
        <a:prstGeom xmlns:a="http://schemas.openxmlformats.org/drawingml/2006/main" prst="rect">
          <a:avLst/>
        </a:prstGeom>
        <a:solidFill xmlns:a="http://schemas.openxmlformats.org/drawingml/2006/main">
          <a:schemeClr val="accent1">
            <a:lumMod val="20000"/>
            <a:lumOff val="80000"/>
          </a:schemeClr>
        </a:solidFill>
        <a:ln xmlns:a="http://schemas.openxmlformats.org/drawingml/2006/main" w="6350">
          <a:solidFill>
            <a:schemeClr val="bg1">
              <a:lumMod val="50000"/>
            </a:schemeClr>
          </a:solidFill>
        </a:ln>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cs-CZ" sz="1100"/>
        </a:p>
      </cdr:txBody>
    </cdr:sp>
  </cdr:relSizeAnchor>
  <cdr:relSizeAnchor xmlns:cdr="http://schemas.openxmlformats.org/drawingml/2006/chartDrawing">
    <cdr:from>
      <cdr:x>0.08552</cdr:x>
      <cdr:y>0.13747</cdr:y>
    </cdr:from>
    <cdr:to>
      <cdr:x>0.13247</cdr:x>
      <cdr:y>0.16423</cdr:y>
    </cdr:to>
    <cdr:sp macro="" textlink="">
      <cdr:nvSpPr>
        <cdr:cNvPr id="5" name="TextovéPole 1"/>
        <cdr:cNvSpPr txBox="1"/>
      </cdr:nvSpPr>
      <cdr:spPr>
        <a:xfrm xmlns:a="http://schemas.openxmlformats.org/drawingml/2006/main">
          <a:off x="427392" y="510262"/>
          <a:ext cx="234680" cy="99321"/>
        </a:xfrm>
        <a:prstGeom xmlns:a="http://schemas.openxmlformats.org/drawingml/2006/main" prst="rect">
          <a:avLst/>
        </a:prstGeom>
        <a:solidFill xmlns:a="http://schemas.openxmlformats.org/drawingml/2006/main">
          <a:schemeClr val="accent1">
            <a:lumMod val="40000"/>
            <a:lumOff val="60000"/>
          </a:schemeClr>
        </a:solidFill>
        <a:ln xmlns:a="http://schemas.openxmlformats.org/drawingml/2006/main" w="6350">
          <a:solidFill>
            <a:schemeClr val="bg1">
              <a:lumMod val="50000"/>
            </a:schemeClr>
          </a:solidFill>
        </a:ln>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cs-CZ" sz="1100"/>
        </a:p>
      </cdr:txBody>
    </cdr:sp>
  </cdr:relSizeAnchor>
  <cdr:relSizeAnchor xmlns:cdr="http://schemas.openxmlformats.org/drawingml/2006/chartDrawing">
    <cdr:from>
      <cdr:x>0.08658</cdr:x>
      <cdr:y>0.17257</cdr:y>
    </cdr:from>
    <cdr:to>
      <cdr:x>0.13354</cdr:x>
      <cdr:y>0.19933</cdr:y>
    </cdr:to>
    <cdr:sp macro="" textlink="">
      <cdr:nvSpPr>
        <cdr:cNvPr id="6" name="TextovéPole 1"/>
        <cdr:cNvSpPr txBox="1"/>
      </cdr:nvSpPr>
      <cdr:spPr>
        <a:xfrm xmlns:a="http://schemas.openxmlformats.org/drawingml/2006/main">
          <a:off x="432704" y="640544"/>
          <a:ext cx="234678" cy="99321"/>
        </a:xfrm>
        <a:prstGeom xmlns:a="http://schemas.openxmlformats.org/drawingml/2006/main" prst="rect">
          <a:avLst/>
        </a:prstGeom>
        <a:solidFill xmlns:a="http://schemas.openxmlformats.org/drawingml/2006/main">
          <a:schemeClr val="accent1">
            <a:lumMod val="60000"/>
            <a:lumOff val="40000"/>
          </a:schemeClr>
        </a:solidFill>
        <a:ln xmlns:a="http://schemas.openxmlformats.org/drawingml/2006/main" w="6350">
          <a:solidFill>
            <a:schemeClr val="bg1">
              <a:lumMod val="50000"/>
            </a:schemeClr>
          </a:solidFill>
        </a:ln>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cs-CZ" sz="1100"/>
        </a:p>
      </cdr:txBody>
    </cdr:sp>
  </cdr:relSizeAnchor>
  <cdr:relSizeAnchor xmlns:cdr="http://schemas.openxmlformats.org/drawingml/2006/chartDrawing">
    <cdr:from>
      <cdr:x>0.0865</cdr:x>
      <cdr:y>0.20698</cdr:y>
    </cdr:from>
    <cdr:to>
      <cdr:x>0.13346</cdr:x>
      <cdr:y>0.23374</cdr:y>
    </cdr:to>
    <cdr:sp macro="" textlink="">
      <cdr:nvSpPr>
        <cdr:cNvPr id="7" name="TextovéPole 1"/>
        <cdr:cNvSpPr txBox="1"/>
      </cdr:nvSpPr>
      <cdr:spPr>
        <a:xfrm xmlns:a="http://schemas.openxmlformats.org/drawingml/2006/main">
          <a:off x="431368" y="767203"/>
          <a:ext cx="234160" cy="99181"/>
        </a:xfrm>
        <a:prstGeom xmlns:a="http://schemas.openxmlformats.org/drawingml/2006/main" prst="rect">
          <a:avLst/>
        </a:prstGeom>
        <a:solidFill xmlns:a="http://schemas.openxmlformats.org/drawingml/2006/main">
          <a:schemeClr val="tx2">
            <a:lumMod val="60000"/>
            <a:lumOff val="40000"/>
          </a:schemeClr>
        </a:solidFill>
        <a:ln xmlns:a="http://schemas.openxmlformats.org/drawingml/2006/main" w="6350">
          <a:solidFill>
            <a:schemeClr val="bg1">
              <a:lumMod val="50000"/>
            </a:schemeClr>
          </a:solidFill>
        </a:ln>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cs-CZ" sz="1100"/>
        </a:p>
      </cdr:txBody>
    </cdr:sp>
  </cdr:relSizeAnchor>
</c:userShapes>
</file>

<file path=word/drawings/drawing7.xml><?xml version="1.0" encoding="utf-8"?>
<c:userShapes xmlns:c="http://schemas.openxmlformats.org/drawingml/2006/chart">
  <cdr:relSizeAnchor xmlns:cdr="http://schemas.openxmlformats.org/drawingml/2006/chartDrawing">
    <cdr:from>
      <cdr:x>0.31371</cdr:x>
      <cdr:y>0.06214</cdr:y>
    </cdr:from>
    <cdr:to>
      <cdr:x>0.35604</cdr:x>
      <cdr:y>0.08622</cdr:y>
    </cdr:to>
    <cdr:sp macro="" textlink="">
      <cdr:nvSpPr>
        <cdr:cNvPr id="8" name="TextovéPole 1"/>
        <cdr:cNvSpPr txBox="1"/>
      </cdr:nvSpPr>
      <cdr:spPr>
        <a:xfrm xmlns:a="http://schemas.openxmlformats.org/drawingml/2006/main">
          <a:off x="1502701" y="228337"/>
          <a:ext cx="202793" cy="88483"/>
        </a:xfrm>
        <a:prstGeom xmlns:a="http://schemas.openxmlformats.org/drawingml/2006/main" prst="rect">
          <a:avLst/>
        </a:prstGeom>
        <a:solidFill xmlns:a="http://schemas.openxmlformats.org/drawingml/2006/main">
          <a:schemeClr val="bg1">
            <a:lumMod val="75000"/>
          </a:schemeClr>
        </a:solidFill>
        <a:ln xmlns:a="http://schemas.openxmlformats.org/drawingml/2006/main" w="3175">
          <a:solidFill>
            <a:schemeClr val="tx1">
              <a:lumMod val="95000"/>
              <a:lumOff val="5000"/>
            </a:schemeClr>
          </a:solidFill>
        </a:ln>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cs-CZ" sz="1100"/>
        </a:p>
      </cdr:txBody>
    </cdr:sp>
  </cdr:relSizeAnchor>
  <cdr:relSizeAnchor xmlns:cdr="http://schemas.openxmlformats.org/drawingml/2006/chartDrawing">
    <cdr:from>
      <cdr:x>0.37688</cdr:x>
      <cdr:y>0.06143</cdr:y>
    </cdr:from>
    <cdr:to>
      <cdr:x>0.41921</cdr:x>
      <cdr:y>0.08508</cdr:y>
    </cdr:to>
    <cdr:sp macro="" textlink="">
      <cdr:nvSpPr>
        <cdr:cNvPr id="9" name="TextovéPole 1"/>
        <cdr:cNvSpPr txBox="1"/>
      </cdr:nvSpPr>
      <cdr:spPr>
        <a:xfrm xmlns:a="http://schemas.openxmlformats.org/drawingml/2006/main">
          <a:off x="1805286" y="225718"/>
          <a:ext cx="202795" cy="86904"/>
        </a:xfrm>
        <a:prstGeom xmlns:a="http://schemas.openxmlformats.org/drawingml/2006/main" prst="rect">
          <a:avLst/>
        </a:prstGeom>
        <a:solidFill xmlns:a="http://schemas.openxmlformats.org/drawingml/2006/main">
          <a:schemeClr val="bg1">
            <a:lumMod val="85000"/>
          </a:schemeClr>
        </a:solidFill>
        <a:ln xmlns:a="http://schemas.openxmlformats.org/drawingml/2006/main" w="3175">
          <a:solidFill>
            <a:schemeClr val="tx1">
              <a:lumMod val="95000"/>
              <a:lumOff val="5000"/>
            </a:schemeClr>
          </a:solidFill>
        </a:ln>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cs-CZ" sz="1100"/>
        </a:p>
      </cdr:txBody>
    </cdr:sp>
  </cdr:relSizeAnchor>
  <cdr:relSizeAnchor xmlns:cdr="http://schemas.openxmlformats.org/drawingml/2006/chartDrawing">
    <cdr:from>
      <cdr:x>0.4373</cdr:x>
      <cdr:y>0.061</cdr:y>
    </cdr:from>
    <cdr:to>
      <cdr:x>0.47963</cdr:x>
      <cdr:y>0.08443</cdr:y>
    </cdr:to>
    <cdr:sp macro="" textlink="">
      <cdr:nvSpPr>
        <cdr:cNvPr id="10" name="TextovéPole 1"/>
        <cdr:cNvSpPr txBox="1"/>
      </cdr:nvSpPr>
      <cdr:spPr>
        <a:xfrm xmlns:a="http://schemas.openxmlformats.org/drawingml/2006/main">
          <a:off x="2092892" y="224145"/>
          <a:ext cx="202618" cy="86096"/>
        </a:xfrm>
        <a:prstGeom xmlns:a="http://schemas.openxmlformats.org/drawingml/2006/main" prst="rect">
          <a:avLst/>
        </a:prstGeom>
        <a:solidFill xmlns:a="http://schemas.openxmlformats.org/drawingml/2006/main">
          <a:schemeClr val="bg1">
            <a:lumMod val="95000"/>
          </a:schemeClr>
        </a:solidFill>
        <a:ln xmlns:a="http://schemas.openxmlformats.org/drawingml/2006/main" w="3175">
          <a:solidFill>
            <a:schemeClr val="tx1">
              <a:lumMod val="95000"/>
              <a:lumOff val="5000"/>
            </a:schemeClr>
          </a:solidFill>
        </a:ln>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cs-CZ" sz="1100"/>
        </a:p>
      </cdr:txBody>
    </cdr:sp>
  </cdr:relSizeAnchor>
  <cdr:relSizeAnchor xmlns:cdr="http://schemas.openxmlformats.org/drawingml/2006/chartDrawing">
    <cdr:from>
      <cdr:x>0.49847</cdr:x>
      <cdr:y>0.06094</cdr:y>
    </cdr:from>
    <cdr:to>
      <cdr:x>0.54081</cdr:x>
      <cdr:y>0.08452</cdr:y>
    </cdr:to>
    <cdr:sp macro="" textlink="">
      <cdr:nvSpPr>
        <cdr:cNvPr id="11" name="TextovéPole 1"/>
        <cdr:cNvSpPr txBox="1"/>
      </cdr:nvSpPr>
      <cdr:spPr>
        <a:xfrm xmlns:a="http://schemas.openxmlformats.org/drawingml/2006/main">
          <a:off x="2385658" y="223925"/>
          <a:ext cx="202618" cy="86647"/>
        </a:xfrm>
        <a:prstGeom xmlns:a="http://schemas.openxmlformats.org/drawingml/2006/main" prst="rect">
          <a:avLst/>
        </a:prstGeom>
        <a:solidFill xmlns:a="http://schemas.openxmlformats.org/drawingml/2006/main">
          <a:srgbClr val="C5E8FF"/>
        </a:solidFill>
        <a:ln xmlns:a="http://schemas.openxmlformats.org/drawingml/2006/main" w="3175">
          <a:solidFill>
            <a:schemeClr val="tx1">
              <a:lumMod val="95000"/>
              <a:lumOff val="5000"/>
            </a:schemeClr>
          </a:solidFill>
        </a:ln>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cs-CZ" sz="1100"/>
        </a:p>
      </cdr:txBody>
    </cdr:sp>
  </cdr:relSizeAnchor>
  <cdr:relSizeAnchor xmlns:cdr="http://schemas.openxmlformats.org/drawingml/2006/chartDrawing">
    <cdr:from>
      <cdr:x>0.55925</cdr:x>
      <cdr:y>0.06103</cdr:y>
    </cdr:from>
    <cdr:to>
      <cdr:x>0.60159</cdr:x>
      <cdr:y>0.0851</cdr:y>
    </cdr:to>
    <cdr:sp macro="" textlink="">
      <cdr:nvSpPr>
        <cdr:cNvPr id="12" name="TextovéPole 1"/>
        <cdr:cNvSpPr txBox="1"/>
      </cdr:nvSpPr>
      <cdr:spPr>
        <a:xfrm xmlns:a="http://schemas.openxmlformats.org/drawingml/2006/main">
          <a:off x="2676554" y="224256"/>
          <a:ext cx="202617" cy="88447"/>
        </a:xfrm>
        <a:prstGeom xmlns:a="http://schemas.openxmlformats.org/drawingml/2006/main" prst="rect">
          <a:avLst/>
        </a:prstGeom>
        <a:solidFill xmlns:a="http://schemas.openxmlformats.org/drawingml/2006/main">
          <a:srgbClr val="8FD2FF"/>
        </a:solidFill>
        <a:ln xmlns:a="http://schemas.openxmlformats.org/drawingml/2006/main" w="3175">
          <a:solidFill>
            <a:schemeClr val="tx1">
              <a:lumMod val="95000"/>
              <a:lumOff val="5000"/>
            </a:schemeClr>
          </a:solidFill>
        </a:ln>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cs-CZ" sz="1100"/>
        </a:p>
      </cdr:txBody>
    </cdr:sp>
  </cdr:relSizeAnchor>
  <cdr:relSizeAnchor xmlns:cdr="http://schemas.openxmlformats.org/drawingml/2006/chartDrawing">
    <cdr:from>
      <cdr:x>0.62018</cdr:x>
      <cdr:y>0.06115</cdr:y>
    </cdr:from>
    <cdr:to>
      <cdr:x>0.66251</cdr:x>
      <cdr:y>0.08522</cdr:y>
    </cdr:to>
    <cdr:sp macro="" textlink="">
      <cdr:nvSpPr>
        <cdr:cNvPr id="13" name="TextovéPole 1"/>
        <cdr:cNvSpPr txBox="1"/>
      </cdr:nvSpPr>
      <cdr:spPr>
        <a:xfrm xmlns:a="http://schemas.openxmlformats.org/drawingml/2006/main">
          <a:off x="2968146" y="224697"/>
          <a:ext cx="202618" cy="88447"/>
        </a:xfrm>
        <a:prstGeom xmlns:a="http://schemas.openxmlformats.org/drawingml/2006/main" prst="rect">
          <a:avLst/>
        </a:prstGeom>
        <a:solidFill xmlns:a="http://schemas.openxmlformats.org/drawingml/2006/main">
          <a:srgbClr val="25A7FF"/>
        </a:solidFill>
        <a:ln xmlns:a="http://schemas.openxmlformats.org/drawingml/2006/main" w="3175">
          <a:solidFill>
            <a:schemeClr val="tx1">
              <a:lumMod val="95000"/>
              <a:lumOff val="5000"/>
            </a:schemeClr>
          </a:solidFill>
        </a:ln>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cs-CZ" sz="1100"/>
        </a:p>
      </cdr:txBody>
    </cdr:sp>
  </cdr:relSizeAnchor>
  <cdr:relSizeAnchor xmlns:cdr="http://schemas.openxmlformats.org/drawingml/2006/chartDrawing">
    <cdr:from>
      <cdr:x>0.68203</cdr:x>
      <cdr:y>0.06075</cdr:y>
    </cdr:from>
    <cdr:to>
      <cdr:x>0.72436</cdr:x>
      <cdr:y>0.08482</cdr:y>
    </cdr:to>
    <cdr:sp macro="" textlink="">
      <cdr:nvSpPr>
        <cdr:cNvPr id="14" name="TextovéPole 1"/>
        <cdr:cNvSpPr txBox="1"/>
      </cdr:nvSpPr>
      <cdr:spPr>
        <a:xfrm xmlns:a="http://schemas.openxmlformats.org/drawingml/2006/main">
          <a:off x="3264143" y="223227"/>
          <a:ext cx="202617" cy="88447"/>
        </a:xfrm>
        <a:prstGeom xmlns:a="http://schemas.openxmlformats.org/drawingml/2006/main" prst="rect">
          <a:avLst/>
        </a:prstGeom>
        <a:solidFill xmlns:a="http://schemas.openxmlformats.org/drawingml/2006/main">
          <a:srgbClr val="0071BC"/>
        </a:solidFill>
        <a:ln xmlns:a="http://schemas.openxmlformats.org/drawingml/2006/main" w="3175">
          <a:solidFill>
            <a:schemeClr val="tx1">
              <a:lumMod val="95000"/>
              <a:lumOff val="5000"/>
            </a:schemeClr>
          </a:solidFill>
        </a:ln>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cs-CZ" sz="1100"/>
        </a:p>
      </cdr:txBody>
    </cdr:sp>
  </cdr:relSizeAnchor>
  <cdr:relSizeAnchor xmlns:cdr="http://schemas.openxmlformats.org/drawingml/2006/chartDrawing">
    <cdr:from>
      <cdr:x>0.24644</cdr:x>
      <cdr:y>0.01041</cdr:y>
    </cdr:from>
    <cdr:to>
      <cdr:x>0.75961</cdr:x>
      <cdr:y>0.10761</cdr:y>
    </cdr:to>
    <cdr:sp macro="" textlink="">
      <cdr:nvSpPr>
        <cdr:cNvPr id="15" name="TextovéPole 1"/>
        <cdr:cNvSpPr txBox="1"/>
      </cdr:nvSpPr>
      <cdr:spPr>
        <a:xfrm xmlns:a="http://schemas.openxmlformats.org/drawingml/2006/main">
          <a:off x="1179469" y="38253"/>
          <a:ext cx="2456002" cy="357147"/>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cs-CZ" sz="750">
              <a:latin typeface="Arial" panose="020B0604020202020204" pitchFamily="34" charset="0"/>
              <a:cs typeface="Arial" panose="020B0604020202020204" pitchFamily="34" charset="0"/>
            </a:rPr>
            <a:t>roky </a:t>
          </a:r>
          <a:r>
            <a:rPr lang="cs-CZ" sz="750" baseline="0">
              <a:latin typeface="Arial" panose="020B0604020202020204" pitchFamily="34" charset="0"/>
              <a:cs typeface="Arial" panose="020B0604020202020204" pitchFamily="34" charset="0"/>
            </a:rPr>
            <a:t> </a:t>
          </a:r>
          <a:r>
            <a:rPr lang="cs-CZ" sz="750">
              <a:latin typeface="Arial" panose="020B0604020202020204" pitchFamily="34" charset="0"/>
              <a:cs typeface="Arial" panose="020B0604020202020204" pitchFamily="34" charset="0"/>
            </a:rPr>
            <a:t>2012   2013   2014   2015   2016   2017   2018</a:t>
          </a:r>
        </a:p>
      </cdr:txBody>
    </cdr:sp>
  </cdr:relSizeAnchor>
</c:userShapes>
</file>

<file path=word/drawings/drawing8.xml><?xml version="1.0" encoding="utf-8"?>
<c:userShapes xmlns:c="http://schemas.openxmlformats.org/drawingml/2006/chart">
  <cdr:relSizeAnchor xmlns:cdr="http://schemas.openxmlformats.org/drawingml/2006/chartDrawing">
    <cdr:from>
      <cdr:x>0.56282</cdr:x>
      <cdr:y>0.03226</cdr:y>
    </cdr:from>
    <cdr:to>
      <cdr:x>0.56299</cdr:x>
      <cdr:y>0.42435</cdr:y>
    </cdr:to>
    <cdr:cxnSp macro="">
      <cdr:nvCxnSpPr>
        <cdr:cNvPr id="3" name="Přímá spojnice 2"/>
        <cdr:cNvCxnSpPr/>
      </cdr:nvCxnSpPr>
      <cdr:spPr>
        <a:xfrm xmlns:a="http://schemas.openxmlformats.org/drawingml/2006/main" flipH="1" flipV="1">
          <a:off x="2815833" y="118397"/>
          <a:ext cx="897" cy="1438973"/>
        </a:xfrm>
        <a:prstGeom xmlns:a="http://schemas.openxmlformats.org/drawingml/2006/main" prst="line">
          <a:avLst/>
        </a:prstGeom>
        <a:ln xmlns:a="http://schemas.openxmlformats.org/drawingml/2006/main" w="3175">
          <a:solidFill>
            <a:schemeClr val="bg1">
              <a:lumMod val="65000"/>
            </a:schemeClr>
          </a:solidFill>
          <a:prstDash val="sys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0.15095</cdr:x>
      <cdr:y>0.07626</cdr:y>
    </cdr:from>
    <cdr:to>
      <cdr:x>0.15095</cdr:x>
      <cdr:y>0.4178</cdr:y>
    </cdr:to>
    <cdr:cxnSp macro="">
      <cdr:nvCxnSpPr>
        <cdr:cNvPr id="6" name="Přímá spojnice 5"/>
        <cdr:cNvCxnSpPr/>
      </cdr:nvCxnSpPr>
      <cdr:spPr>
        <a:xfrm xmlns:a="http://schemas.openxmlformats.org/drawingml/2006/main" flipV="1">
          <a:off x="754106" y="279916"/>
          <a:ext cx="0" cy="1253697"/>
        </a:xfrm>
        <a:prstGeom xmlns:a="http://schemas.openxmlformats.org/drawingml/2006/main" prst="line">
          <a:avLst/>
        </a:prstGeom>
        <a:ln xmlns:a="http://schemas.openxmlformats.org/drawingml/2006/main" w="3175">
          <a:solidFill>
            <a:schemeClr val="bg1">
              <a:lumMod val="65000"/>
            </a:schemeClr>
          </a:solidFill>
          <a:prstDash val="sys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0.24272</cdr:x>
      <cdr:y>0.02917</cdr:y>
    </cdr:from>
    <cdr:to>
      <cdr:x>0.24333</cdr:x>
      <cdr:y>0.48564</cdr:y>
    </cdr:to>
    <cdr:cxnSp macro="">
      <cdr:nvCxnSpPr>
        <cdr:cNvPr id="7" name="Přímá spojnice 6"/>
        <cdr:cNvCxnSpPr/>
      </cdr:nvCxnSpPr>
      <cdr:spPr>
        <a:xfrm xmlns:a="http://schemas.openxmlformats.org/drawingml/2006/main" flipH="1" flipV="1">
          <a:off x="1211543" y="106965"/>
          <a:ext cx="3053" cy="1673954"/>
        </a:xfrm>
        <a:prstGeom xmlns:a="http://schemas.openxmlformats.org/drawingml/2006/main" prst="line">
          <a:avLst/>
        </a:prstGeom>
        <a:ln xmlns:a="http://schemas.openxmlformats.org/drawingml/2006/main" w="3175">
          <a:solidFill>
            <a:schemeClr val="bg1">
              <a:lumMod val="65000"/>
            </a:schemeClr>
          </a:solidFill>
          <a:prstDash val="sys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0.19692</cdr:x>
      <cdr:y>0.15794</cdr:y>
    </cdr:from>
    <cdr:to>
      <cdr:x>0.19757</cdr:x>
      <cdr:y>0.47073</cdr:y>
    </cdr:to>
    <cdr:cxnSp macro="">
      <cdr:nvCxnSpPr>
        <cdr:cNvPr id="8" name="Přímá spojnice 7"/>
        <cdr:cNvCxnSpPr/>
      </cdr:nvCxnSpPr>
      <cdr:spPr>
        <a:xfrm xmlns:a="http://schemas.openxmlformats.org/drawingml/2006/main" flipV="1">
          <a:off x="982943" y="579170"/>
          <a:ext cx="3240" cy="1147045"/>
        </a:xfrm>
        <a:prstGeom xmlns:a="http://schemas.openxmlformats.org/drawingml/2006/main" prst="line">
          <a:avLst/>
        </a:prstGeom>
        <a:ln xmlns:a="http://schemas.openxmlformats.org/drawingml/2006/main" w="3175">
          <a:solidFill>
            <a:schemeClr val="bg1">
              <a:lumMod val="65000"/>
            </a:schemeClr>
          </a:solidFill>
          <a:prstDash val="sys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0.60815</cdr:x>
      <cdr:y>0.31737</cdr:y>
    </cdr:from>
    <cdr:to>
      <cdr:x>0.60826</cdr:x>
      <cdr:y>0.52643</cdr:y>
    </cdr:to>
    <cdr:cxnSp macro="">
      <cdr:nvCxnSpPr>
        <cdr:cNvPr id="9" name="Přímá spojnice 8"/>
        <cdr:cNvCxnSpPr/>
      </cdr:nvCxnSpPr>
      <cdr:spPr>
        <a:xfrm xmlns:a="http://schemas.openxmlformats.org/drawingml/2006/main" flipH="1" flipV="1">
          <a:off x="3029666" y="1165008"/>
          <a:ext cx="537" cy="767435"/>
        </a:xfrm>
        <a:prstGeom xmlns:a="http://schemas.openxmlformats.org/drawingml/2006/main" prst="line">
          <a:avLst/>
        </a:prstGeom>
        <a:ln xmlns:a="http://schemas.openxmlformats.org/drawingml/2006/main" w="3175">
          <a:solidFill>
            <a:schemeClr val="bg1">
              <a:lumMod val="65000"/>
            </a:schemeClr>
          </a:solidFill>
          <a:prstDash val="sys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0.47246</cdr:x>
      <cdr:y>0.34583</cdr:y>
    </cdr:from>
    <cdr:to>
      <cdr:x>0.47263</cdr:x>
      <cdr:y>0.51974</cdr:y>
    </cdr:to>
    <cdr:cxnSp macro="">
      <cdr:nvCxnSpPr>
        <cdr:cNvPr id="10" name="Přímá spojnice 9"/>
        <cdr:cNvCxnSpPr/>
      </cdr:nvCxnSpPr>
      <cdr:spPr>
        <a:xfrm xmlns:a="http://schemas.openxmlformats.org/drawingml/2006/main" flipH="1" flipV="1">
          <a:off x="2353698" y="1269475"/>
          <a:ext cx="822" cy="638401"/>
        </a:xfrm>
        <a:prstGeom xmlns:a="http://schemas.openxmlformats.org/drawingml/2006/main" prst="line">
          <a:avLst/>
        </a:prstGeom>
        <a:ln xmlns:a="http://schemas.openxmlformats.org/drawingml/2006/main" w="3175">
          <a:solidFill>
            <a:schemeClr val="bg1">
              <a:lumMod val="65000"/>
            </a:schemeClr>
          </a:solidFill>
          <a:prstDash val="sys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0.1058</cdr:x>
      <cdr:y>0.32203</cdr:y>
    </cdr:from>
    <cdr:to>
      <cdr:x>0.10651</cdr:x>
      <cdr:y>0.51009</cdr:y>
    </cdr:to>
    <cdr:cxnSp macro="">
      <cdr:nvCxnSpPr>
        <cdr:cNvPr id="11" name="Přímá spojnice 10"/>
        <cdr:cNvCxnSpPr/>
      </cdr:nvCxnSpPr>
      <cdr:spPr>
        <a:xfrm xmlns:a="http://schemas.openxmlformats.org/drawingml/2006/main" flipH="1" flipV="1">
          <a:off x="528125" y="1180908"/>
          <a:ext cx="3511" cy="689661"/>
        </a:xfrm>
        <a:prstGeom xmlns:a="http://schemas.openxmlformats.org/drawingml/2006/main" prst="line">
          <a:avLst/>
        </a:prstGeom>
        <a:ln xmlns:a="http://schemas.openxmlformats.org/drawingml/2006/main" w="3175">
          <a:solidFill>
            <a:schemeClr val="bg1">
              <a:lumMod val="65000"/>
            </a:schemeClr>
          </a:solidFill>
          <a:prstDash val="sys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0.28851</cdr:x>
      <cdr:y>0.2519</cdr:y>
    </cdr:from>
    <cdr:to>
      <cdr:x>0.28899</cdr:x>
      <cdr:y>0.47462</cdr:y>
    </cdr:to>
    <cdr:cxnSp macro="">
      <cdr:nvCxnSpPr>
        <cdr:cNvPr id="12" name="Přímá spojnice 11"/>
        <cdr:cNvCxnSpPr/>
      </cdr:nvCxnSpPr>
      <cdr:spPr>
        <a:xfrm xmlns:a="http://schemas.openxmlformats.org/drawingml/2006/main" flipH="1" flipV="1">
          <a:off x="1440143" y="923733"/>
          <a:ext cx="2382" cy="816769"/>
        </a:xfrm>
        <a:prstGeom xmlns:a="http://schemas.openxmlformats.org/drawingml/2006/main" prst="line">
          <a:avLst/>
        </a:prstGeom>
        <a:ln xmlns:a="http://schemas.openxmlformats.org/drawingml/2006/main" w="3175">
          <a:solidFill>
            <a:schemeClr val="bg1">
              <a:lumMod val="65000"/>
            </a:schemeClr>
          </a:solidFill>
          <a:prstDash val="sys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0.33476</cdr:x>
      <cdr:y>0.22332</cdr:y>
    </cdr:from>
    <cdr:to>
      <cdr:x>0.33479</cdr:x>
      <cdr:y>0.52192</cdr:y>
    </cdr:to>
    <cdr:cxnSp macro="">
      <cdr:nvCxnSpPr>
        <cdr:cNvPr id="13" name="Přímá spojnice 12"/>
        <cdr:cNvCxnSpPr/>
      </cdr:nvCxnSpPr>
      <cdr:spPr>
        <a:xfrm xmlns:a="http://schemas.openxmlformats.org/drawingml/2006/main" flipV="1">
          <a:off x="1670970" y="818958"/>
          <a:ext cx="155" cy="1094986"/>
        </a:xfrm>
        <a:prstGeom xmlns:a="http://schemas.openxmlformats.org/drawingml/2006/main" prst="line">
          <a:avLst/>
        </a:prstGeom>
        <a:ln xmlns:a="http://schemas.openxmlformats.org/drawingml/2006/main" w="3175">
          <a:solidFill>
            <a:schemeClr val="bg1">
              <a:lumMod val="65000"/>
            </a:schemeClr>
          </a:solidFill>
          <a:prstDash val="sys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0.38011</cdr:x>
      <cdr:y>0.11618</cdr:y>
    </cdr:from>
    <cdr:to>
      <cdr:x>0.38011</cdr:x>
      <cdr:y>0.47203</cdr:y>
    </cdr:to>
    <cdr:cxnSp macro="">
      <cdr:nvCxnSpPr>
        <cdr:cNvPr id="14" name="Přímá spojnice 13"/>
        <cdr:cNvCxnSpPr/>
      </cdr:nvCxnSpPr>
      <cdr:spPr>
        <a:xfrm xmlns:a="http://schemas.openxmlformats.org/drawingml/2006/main" flipV="1">
          <a:off x="1897343" y="426052"/>
          <a:ext cx="0" cy="1304925"/>
        </a:xfrm>
        <a:prstGeom xmlns:a="http://schemas.openxmlformats.org/drawingml/2006/main" prst="line">
          <a:avLst/>
        </a:prstGeom>
        <a:ln xmlns:a="http://schemas.openxmlformats.org/drawingml/2006/main" w="3175">
          <a:solidFill>
            <a:schemeClr val="bg1">
              <a:lumMod val="65000"/>
            </a:schemeClr>
          </a:solidFill>
          <a:prstDash val="sys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0.4259</cdr:x>
      <cdr:y>0.23242</cdr:y>
    </cdr:from>
    <cdr:to>
      <cdr:x>0.42638</cdr:x>
      <cdr:y>0.48631</cdr:y>
    </cdr:to>
    <cdr:cxnSp macro="">
      <cdr:nvCxnSpPr>
        <cdr:cNvPr id="15" name="Přímá spojnice 14"/>
        <cdr:cNvCxnSpPr/>
      </cdr:nvCxnSpPr>
      <cdr:spPr>
        <a:xfrm xmlns:a="http://schemas.openxmlformats.org/drawingml/2006/main" flipV="1">
          <a:off x="2125943" y="852296"/>
          <a:ext cx="2382" cy="931069"/>
        </a:xfrm>
        <a:prstGeom xmlns:a="http://schemas.openxmlformats.org/drawingml/2006/main" prst="line">
          <a:avLst/>
        </a:prstGeom>
        <a:ln xmlns:a="http://schemas.openxmlformats.org/drawingml/2006/main" w="3175">
          <a:solidFill>
            <a:schemeClr val="bg1">
              <a:lumMod val="65000"/>
            </a:schemeClr>
          </a:solidFill>
          <a:prstDash val="sys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0.65441</cdr:x>
      <cdr:y>0.1954</cdr:y>
    </cdr:from>
    <cdr:to>
      <cdr:x>0.65489</cdr:x>
      <cdr:y>0.51099</cdr:y>
    </cdr:to>
    <cdr:cxnSp macro="">
      <cdr:nvCxnSpPr>
        <cdr:cNvPr id="16" name="Přímá spojnice 15"/>
        <cdr:cNvCxnSpPr/>
      </cdr:nvCxnSpPr>
      <cdr:spPr>
        <a:xfrm xmlns:a="http://schemas.openxmlformats.org/drawingml/2006/main" flipV="1">
          <a:off x="3266562" y="716565"/>
          <a:ext cx="2382" cy="1157287"/>
        </a:xfrm>
        <a:prstGeom xmlns:a="http://schemas.openxmlformats.org/drawingml/2006/main" prst="line">
          <a:avLst/>
        </a:prstGeom>
        <a:ln xmlns:a="http://schemas.openxmlformats.org/drawingml/2006/main" w="3175">
          <a:solidFill>
            <a:schemeClr val="bg1">
              <a:lumMod val="65000"/>
            </a:schemeClr>
          </a:solidFill>
          <a:prstDash val="sys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0.69973</cdr:x>
      <cdr:y>0.27008</cdr:y>
    </cdr:from>
    <cdr:to>
      <cdr:x>0.69973</cdr:x>
      <cdr:y>0.52397</cdr:y>
    </cdr:to>
    <cdr:cxnSp macro="">
      <cdr:nvCxnSpPr>
        <cdr:cNvPr id="17" name="Přímá spojnice 16"/>
        <cdr:cNvCxnSpPr/>
      </cdr:nvCxnSpPr>
      <cdr:spPr>
        <a:xfrm xmlns:a="http://schemas.openxmlformats.org/drawingml/2006/main" flipV="1">
          <a:off x="3492781" y="990408"/>
          <a:ext cx="0" cy="931069"/>
        </a:xfrm>
        <a:prstGeom xmlns:a="http://schemas.openxmlformats.org/drawingml/2006/main" prst="line">
          <a:avLst/>
        </a:prstGeom>
        <a:ln xmlns:a="http://schemas.openxmlformats.org/drawingml/2006/main" w="3175">
          <a:solidFill>
            <a:schemeClr val="bg1">
              <a:lumMod val="65000"/>
            </a:schemeClr>
          </a:solidFill>
          <a:prstDash val="sys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0.74553</cdr:x>
      <cdr:y>0.25644</cdr:y>
    </cdr:from>
    <cdr:to>
      <cdr:x>0.74553</cdr:x>
      <cdr:y>0.51358</cdr:y>
    </cdr:to>
    <cdr:cxnSp macro="">
      <cdr:nvCxnSpPr>
        <cdr:cNvPr id="18" name="Přímá spojnice 17"/>
        <cdr:cNvCxnSpPr/>
      </cdr:nvCxnSpPr>
      <cdr:spPr>
        <a:xfrm xmlns:a="http://schemas.openxmlformats.org/drawingml/2006/main" flipH="1" flipV="1">
          <a:off x="3721381" y="940402"/>
          <a:ext cx="1" cy="942975"/>
        </a:xfrm>
        <a:prstGeom xmlns:a="http://schemas.openxmlformats.org/drawingml/2006/main" prst="line">
          <a:avLst/>
        </a:prstGeom>
        <a:ln xmlns:a="http://schemas.openxmlformats.org/drawingml/2006/main" w="3175">
          <a:solidFill>
            <a:schemeClr val="bg1">
              <a:lumMod val="65000"/>
            </a:schemeClr>
          </a:solidFill>
          <a:prstDash val="sys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0.79132</cdr:x>
      <cdr:y>0.31553</cdr:y>
    </cdr:from>
    <cdr:to>
      <cdr:x>0.7918</cdr:x>
      <cdr:y>0.52852</cdr:y>
    </cdr:to>
    <cdr:cxnSp macro="">
      <cdr:nvCxnSpPr>
        <cdr:cNvPr id="19" name="Přímá spojnice 18"/>
        <cdr:cNvCxnSpPr/>
      </cdr:nvCxnSpPr>
      <cdr:spPr>
        <a:xfrm xmlns:a="http://schemas.openxmlformats.org/drawingml/2006/main" flipH="1" flipV="1">
          <a:off x="3949982" y="1157097"/>
          <a:ext cx="2380" cy="781049"/>
        </a:xfrm>
        <a:prstGeom xmlns:a="http://schemas.openxmlformats.org/drawingml/2006/main" prst="line">
          <a:avLst/>
        </a:prstGeom>
        <a:ln xmlns:a="http://schemas.openxmlformats.org/drawingml/2006/main" w="3175">
          <a:solidFill>
            <a:schemeClr val="bg1">
              <a:lumMod val="65000"/>
            </a:schemeClr>
          </a:solidFill>
          <a:prstDash val="sys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0.83727</cdr:x>
      <cdr:y>0.17038</cdr:y>
    </cdr:from>
    <cdr:to>
      <cdr:x>0.83727</cdr:x>
      <cdr:y>0.51192</cdr:y>
    </cdr:to>
    <cdr:cxnSp macro="">
      <cdr:nvCxnSpPr>
        <cdr:cNvPr id="20" name="Přímá spojnice 19"/>
        <cdr:cNvCxnSpPr/>
      </cdr:nvCxnSpPr>
      <cdr:spPr>
        <a:xfrm xmlns:a="http://schemas.openxmlformats.org/drawingml/2006/main" flipV="1">
          <a:off x="4179334" y="624798"/>
          <a:ext cx="0" cy="1252466"/>
        </a:xfrm>
        <a:prstGeom xmlns:a="http://schemas.openxmlformats.org/drawingml/2006/main" prst="line">
          <a:avLst/>
        </a:prstGeom>
        <a:ln xmlns:a="http://schemas.openxmlformats.org/drawingml/2006/main" w="3175">
          <a:solidFill>
            <a:schemeClr val="bg1">
              <a:lumMod val="65000"/>
            </a:schemeClr>
          </a:solidFill>
          <a:prstDash val="sys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0.88274</cdr:x>
      <cdr:y>0.33501</cdr:y>
    </cdr:from>
    <cdr:to>
      <cdr:x>0.88339</cdr:x>
      <cdr:y>0.50693</cdr:y>
    </cdr:to>
    <cdr:cxnSp macro="">
      <cdr:nvCxnSpPr>
        <cdr:cNvPr id="21" name="Přímá spojnice 20"/>
        <cdr:cNvCxnSpPr/>
      </cdr:nvCxnSpPr>
      <cdr:spPr>
        <a:xfrm xmlns:a="http://schemas.openxmlformats.org/drawingml/2006/main" flipV="1">
          <a:off x="4406305" y="1228533"/>
          <a:ext cx="3257" cy="630427"/>
        </a:xfrm>
        <a:prstGeom xmlns:a="http://schemas.openxmlformats.org/drawingml/2006/main" prst="line">
          <a:avLst/>
        </a:prstGeom>
        <a:ln xmlns:a="http://schemas.openxmlformats.org/drawingml/2006/main" w="3175">
          <a:solidFill>
            <a:schemeClr val="bg1">
              <a:lumMod val="65000"/>
            </a:schemeClr>
          </a:solidFill>
          <a:prstDash val="sys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0.92869</cdr:x>
      <cdr:y>0.36748</cdr:y>
    </cdr:from>
    <cdr:to>
      <cdr:x>0.92871</cdr:x>
      <cdr:y>0.51752</cdr:y>
    </cdr:to>
    <cdr:cxnSp macro="">
      <cdr:nvCxnSpPr>
        <cdr:cNvPr id="22" name="Přímá spojnice 21"/>
        <cdr:cNvCxnSpPr/>
      </cdr:nvCxnSpPr>
      <cdr:spPr>
        <a:xfrm xmlns:a="http://schemas.openxmlformats.org/drawingml/2006/main" flipV="1">
          <a:off x="4635657" y="1347596"/>
          <a:ext cx="124" cy="550206"/>
        </a:xfrm>
        <a:prstGeom xmlns:a="http://schemas.openxmlformats.org/drawingml/2006/main" prst="line">
          <a:avLst/>
        </a:prstGeom>
        <a:ln xmlns:a="http://schemas.openxmlformats.org/drawingml/2006/main" w="3175">
          <a:solidFill>
            <a:schemeClr val="bg1">
              <a:lumMod val="65000"/>
            </a:schemeClr>
          </a:solidFill>
          <a:prstDash val="sys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0.5163</cdr:x>
      <cdr:y>0.0265</cdr:y>
    </cdr:from>
    <cdr:to>
      <cdr:x>0.51755</cdr:x>
      <cdr:y>0.43317</cdr:y>
    </cdr:to>
    <cdr:cxnSp macro="">
      <cdr:nvCxnSpPr>
        <cdr:cNvPr id="25" name="Přímá spojnice 24"/>
        <cdr:cNvCxnSpPr/>
      </cdr:nvCxnSpPr>
      <cdr:spPr>
        <a:xfrm xmlns:a="http://schemas.openxmlformats.org/drawingml/2006/main" flipV="1">
          <a:off x="2583098" y="97265"/>
          <a:ext cx="6269" cy="1492454"/>
        </a:xfrm>
        <a:prstGeom xmlns:a="http://schemas.openxmlformats.org/drawingml/2006/main" prst="line">
          <a:avLst/>
        </a:prstGeom>
        <a:ln xmlns:a="http://schemas.openxmlformats.org/drawingml/2006/main" w="3175">
          <a:solidFill>
            <a:schemeClr val="bg1">
              <a:lumMod val="65000"/>
            </a:schemeClr>
          </a:solidFill>
          <a:prstDash val="sys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E5734C-2CC4-4ECE-860C-E05714DBC9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Anaýza ekonomického vývoje v roce 2017.dotx</Template>
  <TotalTime>1</TotalTime>
  <Pages>52</Pages>
  <Words>17346</Words>
  <Characters>102344</Characters>
  <Application>Microsoft Office Word</Application>
  <DocSecurity>0</DocSecurity>
  <Lines>852</Lines>
  <Paragraphs>238</Paragraphs>
  <ScaleCrop>false</ScaleCrop>
  <HeadingPairs>
    <vt:vector size="6" baseType="variant">
      <vt:variant>
        <vt:lpstr>Název</vt:lpstr>
      </vt:variant>
      <vt:variant>
        <vt:i4>1</vt:i4>
      </vt:variant>
      <vt:variant>
        <vt:lpstr>Title</vt:lpstr>
      </vt:variant>
      <vt:variant>
        <vt:i4>1</vt:i4>
      </vt:variant>
      <vt:variant>
        <vt:lpstr>Headings</vt:lpstr>
      </vt:variant>
      <vt:variant>
        <vt:i4>8</vt:i4>
      </vt:variant>
    </vt:vector>
  </HeadingPairs>
  <TitlesOfParts>
    <vt:vector size="10" baseType="lpstr">
      <vt:lpstr/>
      <vt:lpstr/>
      <vt:lpstr>Styl: Nadpis 1</vt:lpstr>
      <vt:lpstr>    Styl: Nadpis 2</vt:lpstr>
      <vt:lpstr>        Styl: Nadpis 3</vt:lpstr>
      <vt:lpstr>        Styl: Nadpis 3</vt:lpstr>
      <vt:lpstr>    Styl: Nadpis 2</vt:lpstr>
      <vt:lpstr>        Styl: Nadpis 3</vt:lpstr>
      <vt:lpstr>    Styl: Nadpis 2</vt:lpstr>
      <vt:lpstr>        Styl: Nadpis 3</vt:lpstr>
    </vt:vector>
  </TitlesOfParts>
  <Company>CSU</Company>
  <LinksUpToDate>false</LinksUpToDate>
  <CharactersWithSpaces>119452</CharactersWithSpaces>
  <SharedDoc>false</SharedDoc>
  <HLinks>
    <vt:vector size="18" baseType="variant">
      <vt:variant>
        <vt:i4>7602181</vt:i4>
      </vt:variant>
      <vt:variant>
        <vt:i4>11092</vt:i4>
      </vt:variant>
      <vt:variant>
        <vt:i4>1025</vt:i4>
      </vt:variant>
      <vt:variant>
        <vt:i4>1</vt:i4>
      </vt:variant>
      <vt:variant>
        <vt:lpwstr>msoFAAF</vt:lpwstr>
      </vt:variant>
      <vt:variant>
        <vt:lpwstr/>
      </vt:variant>
      <vt:variant>
        <vt:i4>7995509</vt:i4>
      </vt:variant>
      <vt:variant>
        <vt:i4>-1</vt:i4>
      </vt:variant>
      <vt:variant>
        <vt:i4>2058</vt:i4>
      </vt:variant>
      <vt:variant>
        <vt:i4>1</vt:i4>
      </vt:variant>
      <vt:variant>
        <vt:lpwstr>CSU RGB CZ logo-02</vt:lpwstr>
      </vt:variant>
      <vt:variant>
        <vt:lpwstr/>
      </vt:variant>
      <vt:variant>
        <vt:i4>7929973</vt:i4>
      </vt:variant>
      <vt:variant>
        <vt:i4>-1</vt:i4>
      </vt:variant>
      <vt:variant>
        <vt:i4>2059</vt:i4>
      </vt:variant>
      <vt:variant>
        <vt:i4>1</vt:i4>
      </vt:variant>
      <vt:variant>
        <vt:lpwstr>CSU RGB CZ logo-01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Mgr. Karolína Súkupová</dc:creator>
  <cp:lastModifiedBy>kamenicky3604</cp:lastModifiedBy>
  <cp:revision>3</cp:revision>
  <cp:lastPrinted>2014-07-17T14:07:00Z</cp:lastPrinted>
  <dcterms:created xsi:type="dcterms:W3CDTF">2019-09-11T12:17:00Z</dcterms:created>
  <dcterms:modified xsi:type="dcterms:W3CDTF">2019-09-11T12:18:00Z</dcterms:modified>
</cp:coreProperties>
</file>