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Pr="00EE34FC" w:rsidRDefault="005F6DAF" w:rsidP="007732FD">
      <w:pPr>
        <w:pStyle w:val="Nadpis1"/>
        <w:numPr>
          <w:ilvl w:val="0"/>
          <w:numId w:val="17"/>
        </w:numPr>
      </w:pPr>
      <w:bookmarkStart w:id="0" w:name="_Toc489436974"/>
      <w:r w:rsidRPr="00EE34FC">
        <w:t>Ekonomické aspekty oblasti sportu</w:t>
      </w:r>
      <w:bookmarkEnd w:id="0"/>
    </w:p>
    <w:p w:rsidR="005F6DAF" w:rsidRDefault="005F6DAF" w:rsidP="005F6DAF">
      <w:pPr>
        <w:jc w:val="both"/>
      </w:pPr>
      <w:r>
        <w:t>V této kapitole jsou a</w:t>
      </w:r>
      <w:r w:rsidR="009D3CF4">
        <w:t xml:space="preserve">nalyzovány ekonomické aspekty </w:t>
      </w:r>
      <w:r>
        <w:t>oblasti sportu. Ty jsou zachyceny na základě nejužšího možného vymezení – tzv. statistické definice zahrnující pouze sportovní aktivity, nikoliv však sportovní vstupy (vybavení či oděvy) a aktivity, které mají sport jako vstup (ubytování při sportovních utkání</w:t>
      </w:r>
      <w:r w:rsidR="00371F45">
        <w:t>ch</w:t>
      </w:r>
      <w:r>
        <w:t>, sportovní přenosy apod.). Kromě odhadu příjmů a produkce je zkoumána také celková zaměstnanost v oblasti sportu a zahraniční obchod se zbožím sportovního charakteru.</w:t>
      </w:r>
    </w:p>
    <w:p w:rsidR="005F6DAF" w:rsidRDefault="005F6DAF" w:rsidP="007732FD">
      <w:pPr>
        <w:pStyle w:val="Nadpis2"/>
        <w:numPr>
          <w:ilvl w:val="1"/>
          <w:numId w:val="17"/>
        </w:numPr>
      </w:pPr>
      <w:bookmarkStart w:id="1" w:name="_Toc489436975"/>
      <w:r w:rsidRPr="00DB04CC">
        <w:t>Příjmy</w:t>
      </w:r>
      <w:r>
        <w:t xml:space="preserve"> a produkce</w:t>
      </w:r>
      <w:bookmarkEnd w:id="1"/>
    </w:p>
    <w:p w:rsidR="005F6DAF" w:rsidRDefault="005F6DAF" w:rsidP="00980B3D">
      <w:pPr>
        <w:jc w:val="both"/>
      </w:pPr>
      <w:r>
        <w:t>Údaje o celkových příjmech subjektů v oblasti sportu vycházejí z Podnikové strukturální statistiky a</w:t>
      </w:r>
      <w:r w:rsidR="00E62C1E">
        <w:t> </w:t>
      </w:r>
      <w:r>
        <w:t>zahrnují pouze ekonomic</w:t>
      </w:r>
      <w:r w:rsidR="00195287">
        <w:t>ké aktivity definované podle CZ-</w:t>
      </w:r>
      <w:r>
        <w:t>NACE 93.1 Sportovní aktivity. Jak již bylo zmíněno v předchozích kapitolách, Podniková strukturální statistika zachycuje údaje zejména o</w:t>
      </w:r>
      <w:r w:rsidR="00E62C1E">
        <w:t> </w:t>
      </w:r>
      <w:r>
        <w:t xml:space="preserve">soukromých podnikatelských subjektech a mimo oblast záběru tak zůstávají příspěvkové organizace (zejména tedy různé sportovní instituce zřizované státem) a </w:t>
      </w:r>
      <w:r w:rsidR="005B7F96">
        <w:t>neziskové organizace</w:t>
      </w:r>
      <w:r>
        <w:t>. Celkové příjmy subjektů v oblasti sportu, tak jak jsou definované v této p</w:t>
      </w:r>
      <w:r w:rsidR="00992968">
        <w:t>ublikaci, dosahovaly v roce 2017</w:t>
      </w:r>
      <w:r>
        <w:t xml:space="preserve"> výše </w:t>
      </w:r>
      <w:r w:rsidR="00992968">
        <w:t>22,7</w:t>
      </w:r>
      <w:r>
        <w:t xml:space="preserve"> mld. Kč. Jak je patrné z Grafu 1, nejvíce se na celkových příjmech v oblasti sportu podílely subjekty provozující různá sportovní zařízení v rámci ekonomické činnosti CZ-NACE 93.11 a</w:t>
      </w:r>
      <w:r w:rsidR="00E62C1E">
        <w:t> </w:t>
      </w:r>
      <w:r w:rsidR="00992968">
        <w:t>to celkovými příjmy ve výši 11</w:t>
      </w:r>
      <w:r w:rsidR="00371F45">
        <w:t>,</w:t>
      </w:r>
      <w:r w:rsidR="00992968">
        <w:t>2 mld. Kč. Příjmy ve výši 6,2</w:t>
      </w:r>
      <w:r>
        <w:t xml:space="preserve"> mld. Kč pak generovaly subjekty spadající</w:t>
      </w:r>
      <w:r w:rsidR="00992968">
        <w:t xml:space="preserve"> svou převažující ekonomickou aktivitou do oblasti činností fitcenter </w:t>
      </w:r>
      <w:r w:rsidR="002A025A">
        <w:t>(CZ-NACE 93.13)</w:t>
      </w:r>
      <w:r w:rsidR="00992968">
        <w:t xml:space="preserve"> a ostatních spo</w:t>
      </w:r>
      <w:r w:rsidR="002A025A">
        <w:t>rtovních činností (CZ-NACE 93.19</w:t>
      </w:r>
      <w:r w:rsidR="00992968">
        <w:t>)</w:t>
      </w:r>
      <w:r>
        <w:t>. Zbylé příjmy subjektů v oblasti</w:t>
      </w:r>
      <w:r w:rsidR="00992968">
        <w:t xml:space="preserve"> sportu pak vznikaly v roce 2017</w:t>
      </w:r>
      <w:r>
        <w:t xml:space="preserve"> v rámci </w:t>
      </w:r>
      <w:r w:rsidR="00992968">
        <w:t xml:space="preserve">činnosti sportovních klubů (CZ-NACE 93.12). </w:t>
      </w:r>
      <w:r w:rsidR="007641A8">
        <w:t>Nutno podotknout, že se jedná pouze o odhad příjmů, které nelze vzhledem k limitům šetření v takto podrobném členění přesně určit.</w:t>
      </w:r>
    </w:p>
    <w:p w:rsidR="005F6DAF" w:rsidRPr="00980B3D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980B3D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1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980B3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980B3D">
        <w:rPr>
          <w:rFonts w:asciiTheme="majorHAnsi" w:hAnsiTheme="majorHAnsi"/>
          <w:b w:val="0"/>
          <w:color w:val="000000" w:themeColor="text1"/>
          <w:sz w:val="22"/>
          <w:szCs w:val="22"/>
        </w:rPr>
        <w:t>Celkové příjmy subjektů v oblasti sportu (v mld. Kč)</w:t>
      </w:r>
    </w:p>
    <w:p w:rsidR="005F6DAF" w:rsidRPr="00FE1947" w:rsidRDefault="00F04B78" w:rsidP="00A9372B">
      <w:pPr>
        <w:pStyle w:val="Nadpis1"/>
        <w:rPr>
          <w:rFonts w:asciiTheme="majorHAnsi" w:hAnsiTheme="majorHAnsi"/>
          <w:color w:val="auto"/>
          <w:sz w:val="22"/>
          <w:szCs w:val="22"/>
        </w:rPr>
      </w:pPr>
      <w:r w:rsidRPr="00F04B78">
        <w:rPr>
          <w:noProof/>
        </w:rPr>
        <w:drawing>
          <wp:inline distT="0" distB="0" distL="0" distR="0">
            <wp:extent cx="5838825" cy="2686050"/>
            <wp:effectExtent l="0" t="0" r="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F6DAF" w:rsidRPr="00A9372B">
        <w:rPr>
          <w:rFonts w:asciiTheme="majorHAnsi" w:eastAsiaTheme="minorHAnsi" w:hAnsiTheme="majorHAnsi" w:cstheme="minorBidi"/>
          <w:b w:val="0"/>
          <w:bCs w:val="0"/>
          <w:color w:val="auto"/>
          <w:sz w:val="22"/>
          <w:szCs w:val="22"/>
          <w:lang w:eastAsia="en-US"/>
        </w:rPr>
        <w:t>Zdroj: Podniková strukturální statistika</w:t>
      </w:r>
    </w:p>
    <w:p w:rsidR="00051ED0" w:rsidRDefault="005F6DAF" w:rsidP="00980B3D">
      <w:pPr>
        <w:jc w:val="both"/>
        <w:sectPr w:rsidR="00051ED0" w:rsidSect="00051ED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  <w:r>
        <w:t>Příjmy příspěvkových a nestátních neziskových organizací, které nejsou zachyceny v Podnikové strukturální statistice, se odvíjí zejména od výše podpory</w:t>
      </w:r>
      <w:r w:rsidR="00992968">
        <w:t xml:space="preserve"> z veřejných zdrojů. V roce 2017</w:t>
      </w:r>
      <w:r>
        <w:t xml:space="preserve"> vyhradilo MŠMT na </w:t>
      </w:r>
      <w:r w:rsidR="003056C2">
        <w:t>podporu činnosti v oblasti sportu v rámci běžných výdajů</w:t>
      </w:r>
      <w:r w:rsidR="00667F03">
        <w:t xml:space="preserve"> 4,8</w:t>
      </w:r>
      <w:r>
        <w:t xml:space="preserve"> mld. Kč a na investiční výdaje</w:t>
      </w:r>
      <w:r w:rsidR="003056C2">
        <w:t xml:space="preserve"> pak</w:t>
      </w:r>
      <w:r w:rsidR="00667F03">
        <w:t xml:space="preserve"> 0,9</w:t>
      </w:r>
      <w:r>
        <w:t xml:space="preserve"> mld. Kč. Činnosti některých sportovn</w:t>
      </w:r>
      <w:r w:rsidR="00B40BEF">
        <w:t>ích organizací mohly být hrazeny</w:t>
      </w:r>
      <w:r>
        <w:t xml:space="preserve"> také z prostředků jiných </w:t>
      </w:r>
      <w:r>
        <w:lastRenderedPageBreak/>
        <w:t>ministerstev (viz KPMG, 2012). Z místních rozpočtů bylo pak na sportovní činnosti podle údajů z</w:t>
      </w:r>
      <w:r w:rsidR="00E62C1E">
        <w:t> </w:t>
      </w:r>
      <w:r>
        <w:t>Integrovaného</w:t>
      </w:r>
      <w:r w:rsidRPr="00B46972">
        <w:t xml:space="preserve"> informační</w:t>
      </w:r>
      <w:r>
        <w:t>ho</w:t>
      </w:r>
      <w:r w:rsidRPr="00B46972">
        <w:t xml:space="preserve"> systém</w:t>
      </w:r>
      <w:r>
        <w:t>u</w:t>
      </w:r>
      <w:r w:rsidRPr="00B46972">
        <w:t xml:space="preserve"> Státní pokladny</w:t>
      </w:r>
      <w:r w:rsidR="007B45F0">
        <w:t xml:space="preserve"> v roce 2017</w:t>
      </w:r>
      <w:r>
        <w:t xml:space="preserve"> </w:t>
      </w:r>
      <w:r w:rsidR="00711520" w:rsidRPr="00711520">
        <w:t>vyčleněno 11,2</w:t>
      </w:r>
      <w:r w:rsidRPr="00711520">
        <w:t xml:space="preserve"> mld. Kč</w:t>
      </w:r>
      <w:r w:rsidR="00711520">
        <w:t xml:space="preserve"> a z toho přibližně 5 mld. na provozní dotace</w:t>
      </w:r>
      <w:r>
        <w:t xml:space="preserve">. Zajímavé je také srovnání podpory z místních rozpočtů podle krajů ve studii o </w:t>
      </w:r>
      <w:hyperlink r:id="rId13" w:history="1">
        <w:r w:rsidRPr="00547DD6">
          <w:rPr>
            <w:rStyle w:val="Hypertextovodkaz"/>
          </w:rPr>
          <w:t>Financování sportu statutárními městy a kraji</w:t>
        </w:r>
      </w:hyperlink>
      <w:r>
        <w:t xml:space="preserve">, kterou koncem roku 2016 zveřejnila organizace </w:t>
      </w:r>
      <w:proofErr w:type="spellStart"/>
      <w:r w:rsidRPr="00547DD6">
        <w:rPr>
          <w:i/>
        </w:rPr>
        <w:t>Transparency</w:t>
      </w:r>
      <w:proofErr w:type="spellEnd"/>
      <w:r w:rsidRPr="00547DD6">
        <w:rPr>
          <w:i/>
        </w:rPr>
        <w:t xml:space="preserve"> </w:t>
      </w:r>
      <w:proofErr w:type="spellStart"/>
      <w:r w:rsidRPr="00547DD6">
        <w:rPr>
          <w:i/>
        </w:rPr>
        <w:t>International</w:t>
      </w:r>
      <w:proofErr w:type="spellEnd"/>
      <w:r>
        <w:t>. Ta sbírala data od měst a krajů prostřednictvím vlastních dotazníků a získanou výši podpory pak přepočítávala na obyvatele. Podle těchto dat se v roce 2015 nejvyšší průměrné finanční podpoře</w:t>
      </w:r>
      <w:r w:rsidR="002A025A">
        <w:t xml:space="preserve"> sportu</w:t>
      </w:r>
      <w:r>
        <w:t xml:space="preserve"> těšili v Libereckém (127 Kč na obyvatele) a</w:t>
      </w:r>
      <w:r w:rsidR="00524884">
        <w:t> </w:t>
      </w:r>
      <w:r>
        <w:t>Jihomoravském (104 Kč na obyvatele) kraji</w:t>
      </w:r>
    </w:p>
    <w:p w:rsidR="005F6DAF" w:rsidRDefault="005F6DAF" w:rsidP="00980B3D">
      <w:pPr>
        <w:jc w:val="both"/>
      </w:pPr>
      <w:r>
        <w:rPr>
          <w:rStyle w:val="Znakapoznpodarou"/>
        </w:rPr>
        <w:lastRenderedPageBreak/>
        <w:footnoteReference w:id="1"/>
      </w:r>
      <w:r>
        <w:t>.</w:t>
      </w:r>
    </w:p>
    <w:p w:rsidR="005F6DAF" w:rsidRDefault="00AE6B7B" w:rsidP="00980B3D">
      <w:pPr>
        <w:jc w:val="both"/>
      </w:pPr>
      <w:r>
        <w:tab/>
      </w:r>
      <w:r w:rsidR="005F6DAF">
        <w:t>Pro získání celkového přehledu o finančních tocích v oblasti</w:t>
      </w:r>
      <w:r w:rsidR="002A025A">
        <w:t xml:space="preserve"> sportu je možné využít údaje ze statistiky národních účtů</w:t>
      </w:r>
      <w:r w:rsidR="005F6DAF">
        <w:t xml:space="preserve">. Na základě těchto makroekonomických údajů lze odhadovat jednak celkovou hodnotu vyprodukovaného zboží a služeb v oblasti sportu a dále pak podíl sportu na </w:t>
      </w:r>
      <w:proofErr w:type="spellStart"/>
      <w:r w:rsidR="005F6DAF">
        <w:t>mezispotřebě</w:t>
      </w:r>
      <w:proofErr w:type="spellEnd"/>
      <w:r w:rsidR="005F6DAF">
        <w:t xml:space="preserve"> v jiných odvětvích. Nutno podotknout, že k těmto operacím by bylo potřeba znát údaje minimálně v trojmístném členění CZ-NACE, aby bylo možné oddělit sportovní a rekreační ekonomické činnosti. Vzhledem k tomu, že tabulky dodávek a užití poskytují dvojmístné členění CZ-NACE</w:t>
      </w:r>
      <w:r w:rsidR="002A025A">
        <w:t>,</w:t>
      </w:r>
      <w:r w:rsidR="005F6DAF">
        <w:t xml:space="preserve"> je </w:t>
      </w:r>
      <w:r w:rsidR="00D06E34">
        <w:t>nutné</w:t>
      </w:r>
      <w:r w:rsidR="005F6DAF">
        <w:t xml:space="preserve"> údaje za sportovní odvětví odhadovat pomocí koeficientu získaného z jiných zdrojů (Podniková strukturální statistika, </w:t>
      </w:r>
      <w:r w:rsidR="005F6DAF" w:rsidRPr="00B46972">
        <w:t>Integrovaný informační systém Státní pokladny</w:t>
      </w:r>
      <w:r w:rsidR="005F6DAF">
        <w:t xml:space="preserve">). Proto je </w:t>
      </w:r>
      <w:r w:rsidR="00D06E34">
        <w:t>třeba</w:t>
      </w:r>
      <w:r w:rsidR="005F6DAF">
        <w:t xml:space="preserve"> k níže prezentovaným informacím přistupovat pouze jako k orientačnímu odhadu makroekonomických ukazatelů pro oblast sportu.</w:t>
      </w:r>
    </w:p>
    <w:p w:rsidR="0003091B" w:rsidRDefault="00AE6B7B" w:rsidP="003957FF">
      <w:pPr>
        <w:jc w:val="both"/>
      </w:pPr>
      <w:r>
        <w:tab/>
      </w:r>
      <w:r w:rsidR="005F6DAF">
        <w:t xml:space="preserve">V oblasti sportu, tak jak je definovaný </w:t>
      </w:r>
      <w:r w:rsidR="00B40BEF">
        <w:t>výše</w:t>
      </w:r>
      <w:r w:rsidR="005F6DAF">
        <w:t>, bylo na základě</w:t>
      </w:r>
      <w:r w:rsidR="00D06E34">
        <w:t xml:space="preserve"> odhadu této analýzy v roce 2017</w:t>
      </w:r>
      <w:r w:rsidR="005F6DAF">
        <w:t xml:space="preserve"> dosaženo produkce</w:t>
      </w:r>
      <w:r w:rsidR="0003091B">
        <w:t xml:space="preserve"> zboží a služeb</w:t>
      </w:r>
      <w:r w:rsidR="0003091B">
        <w:rPr>
          <w:rStyle w:val="Znakapoznpodarou"/>
        </w:rPr>
        <w:footnoteReference w:id="2"/>
      </w:r>
      <w:r w:rsidR="00D06E34">
        <w:t xml:space="preserve"> v hodnotě 32,7 mld. Kč (přibližně </w:t>
      </w:r>
      <w:r w:rsidR="00B40BEF">
        <w:t>0,2</w:t>
      </w:r>
      <w:r w:rsidR="00D06E34">
        <w:t>8</w:t>
      </w:r>
      <w:r w:rsidR="005F6DAF">
        <w:t xml:space="preserve"> </w:t>
      </w:r>
      <w:r w:rsidR="002A025A" w:rsidRPr="002A025A">
        <w:t>%</w:t>
      </w:r>
      <w:r w:rsidR="005F6DAF">
        <w:t xml:space="preserve"> celkové produkce v ekonomice). Jak je dále patrné z Tabulky 3, </w:t>
      </w:r>
      <w:proofErr w:type="spellStart"/>
      <w:r w:rsidR="005F6DAF">
        <w:t>mezispotřeba</w:t>
      </w:r>
      <w:proofErr w:type="spellEnd"/>
      <w:r w:rsidR="0003091B">
        <w:rPr>
          <w:rStyle w:val="Znakapoznpodarou"/>
        </w:rPr>
        <w:footnoteReference w:id="3"/>
      </w:r>
      <w:r w:rsidR="00D06E34">
        <w:t xml:space="preserve"> činila v roce 2017 přibližně 21,3 mld. Kč (0,3</w:t>
      </w:r>
      <w:r w:rsidR="005F6DAF">
        <w:t xml:space="preserve"> </w:t>
      </w:r>
      <w:r w:rsidR="002A025A" w:rsidRPr="002A025A">
        <w:t>%</w:t>
      </w:r>
      <w:r w:rsidR="005F6DAF">
        <w:t xml:space="preserve"> z celkové </w:t>
      </w:r>
      <w:proofErr w:type="spellStart"/>
      <w:r w:rsidR="005F6DAF">
        <w:t>mezispotřeby</w:t>
      </w:r>
      <w:proofErr w:type="spellEnd"/>
      <w:r w:rsidR="005F6DAF">
        <w:t xml:space="preserve">) a přidaná hodnota </w:t>
      </w:r>
      <w:r w:rsidR="00D06E34">
        <w:t>11,4 mld. Kč (0,25</w:t>
      </w:r>
      <w:r w:rsidR="005F6DAF">
        <w:t xml:space="preserve"> </w:t>
      </w:r>
      <w:r w:rsidR="002A025A" w:rsidRPr="002A025A">
        <w:t>%</w:t>
      </w:r>
      <w:r w:rsidR="003957FF">
        <w:t xml:space="preserve"> z celkové přidané hodnoty).</w:t>
      </w:r>
    </w:p>
    <w:p w:rsidR="005F6DAF" w:rsidRPr="00980B3D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980B3D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82413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980B3D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82413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3</w:t>
      </w:r>
      <w:r w:rsidR="0082413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980B3D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Základní makroekonomické ukazat</w:t>
      </w:r>
      <w:r w:rsidR="002D57F5">
        <w:rPr>
          <w:rFonts w:asciiTheme="majorHAnsi" w:hAnsiTheme="majorHAnsi"/>
          <w:b w:val="0"/>
          <w:color w:val="000000" w:themeColor="text1"/>
          <w:sz w:val="22"/>
          <w:szCs w:val="22"/>
        </w:rPr>
        <w:t>ele v oblasti sportu v roce 2017</w:t>
      </w:r>
    </w:p>
    <w:tbl>
      <w:tblPr>
        <w:tblW w:w="9273" w:type="dxa"/>
        <w:jc w:val="center"/>
        <w:tblLook w:val="04A0"/>
      </w:tblPr>
      <w:tblGrid>
        <w:gridCol w:w="3260"/>
        <w:gridCol w:w="2419"/>
        <w:gridCol w:w="3594"/>
      </w:tblGrid>
      <w:tr w:rsidR="005F6DAF" w:rsidRPr="001D72B7" w:rsidTr="00A0588A">
        <w:trPr>
          <w:trHeight w:val="600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856D1F" w:rsidRDefault="005F6DAF" w:rsidP="00A0588A">
            <w:pPr>
              <w:spacing w:before="120" w:after="120" w:line="276" w:lineRule="auto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Ukazatel</w:t>
            </w: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856D1F" w:rsidRDefault="005F6DAF" w:rsidP="00A9372B">
            <w:pPr>
              <w:spacing w:before="120" w:after="120" w:line="276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Oblast sportu v mil. Kč</w:t>
            </w:r>
          </w:p>
        </w:tc>
        <w:tc>
          <w:tcPr>
            <w:tcW w:w="3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F6DAF" w:rsidRPr="00856D1F" w:rsidRDefault="005F6DAF" w:rsidP="00A9372B">
            <w:pPr>
              <w:spacing w:before="120" w:after="120" w:line="276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Podíl na celkové hodnotě ČR v %</w:t>
            </w:r>
          </w:p>
        </w:tc>
      </w:tr>
      <w:tr w:rsidR="005F6DAF" w:rsidRPr="001D72B7" w:rsidTr="00A0588A">
        <w:trPr>
          <w:trHeight w:val="300"/>
          <w:jc w:val="center"/>
        </w:trPr>
        <w:tc>
          <w:tcPr>
            <w:tcW w:w="32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1D72B7" w:rsidRDefault="005F6DAF" w:rsidP="003957FF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r w:rsidRPr="001D72B7">
              <w:rPr>
                <w:rFonts w:ascii="Calibri" w:hAnsi="Calibri"/>
                <w:color w:val="000000"/>
              </w:rPr>
              <w:t>Produkce v základních cenách</w:t>
            </w:r>
          </w:p>
        </w:tc>
        <w:tc>
          <w:tcPr>
            <w:tcW w:w="241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32 657</w:t>
            </w:r>
          </w:p>
        </w:tc>
        <w:tc>
          <w:tcPr>
            <w:tcW w:w="359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1D72B7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0,282</w:t>
            </w:r>
          </w:p>
        </w:tc>
      </w:tr>
      <w:tr w:rsidR="005F6DAF" w:rsidRPr="001D72B7" w:rsidTr="00A0588A">
        <w:trPr>
          <w:trHeight w:val="300"/>
          <w:jc w:val="center"/>
        </w:trPr>
        <w:tc>
          <w:tcPr>
            <w:tcW w:w="3260" w:type="dxa"/>
            <w:noWrap/>
            <w:vAlign w:val="center"/>
            <w:hideMark/>
          </w:tcPr>
          <w:p w:rsidR="005F6DAF" w:rsidRPr="001D72B7" w:rsidRDefault="005F6DAF" w:rsidP="003957FF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1D72B7">
              <w:rPr>
                <w:rFonts w:ascii="Calibri" w:hAnsi="Calibri"/>
                <w:color w:val="000000"/>
              </w:rPr>
              <w:t>Mezispotřeba</w:t>
            </w:r>
            <w:proofErr w:type="spellEnd"/>
            <w:r w:rsidRPr="001D72B7">
              <w:rPr>
                <w:rFonts w:ascii="Calibri" w:hAnsi="Calibri"/>
                <w:color w:val="000000"/>
              </w:rPr>
              <w:t xml:space="preserve"> v kupních cenách</w:t>
            </w:r>
          </w:p>
        </w:tc>
        <w:tc>
          <w:tcPr>
            <w:tcW w:w="2419" w:type="dxa"/>
            <w:noWrap/>
            <w:vAlign w:val="center"/>
            <w:hideMark/>
          </w:tcPr>
          <w:p w:rsidR="005F6DAF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5F6DA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3594" w:type="dxa"/>
            <w:noWrap/>
            <w:vAlign w:val="center"/>
            <w:hideMark/>
          </w:tcPr>
          <w:p w:rsidR="005F6DAF" w:rsidRPr="001D72B7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0,302</w:t>
            </w:r>
          </w:p>
        </w:tc>
      </w:tr>
      <w:tr w:rsidR="005F6DAF" w:rsidRPr="001D72B7" w:rsidTr="00A0588A">
        <w:trPr>
          <w:trHeight w:val="300"/>
          <w:jc w:val="center"/>
        </w:trPr>
        <w:tc>
          <w:tcPr>
            <w:tcW w:w="32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Pr="001D72B7" w:rsidRDefault="005F6DAF" w:rsidP="003957FF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r w:rsidRPr="001D72B7">
              <w:rPr>
                <w:rFonts w:ascii="Calibri" w:hAnsi="Calibri"/>
                <w:color w:val="000000"/>
              </w:rPr>
              <w:t>Hrubá přidaná hodnota</w:t>
            </w:r>
          </w:p>
        </w:tc>
        <w:tc>
          <w:tcPr>
            <w:tcW w:w="241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5F6DA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359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Pr="001D72B7" w:rsidRDefault="0044295E" w:rsidP="00A9372B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0,251</w:t>
            </w:r>
          </w:p>
        </w:tc>
      </w:tr>
    </w:tbl>
    <w:p w:rsidR="005F6DAF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980B3D">
        <w:rPr>
          <w:rFonts w:asciiTheme="majorHAnsi" w:hAnsiTheme="majorHAnsi"/>
        </w:rPr>
        <w:t xml:space="preserve">Zdroj: Národní účty, ČSÚ, vlastní </w:t>
      </w:r>
      <w:r w:rsidR="002A025A">
        <w:rPr>
          <w:rFonts w:asciiTheme="majorHAnsi" w:hAnsiTheme="majorHAnsi"/>
        </w:rPr>
        <w:t>výpočet</w:t>
      </w:r>
    </w:p>
    <w:p w:rsidR="002A025A" w:rsidRDefault="002A025A">
      <w:pPr>
        <w:spacing w:after="0" w:line="240" w:lineRule="auto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hAnsiTheme="majorHAnsi"/>
        </w:rPr>
        <w:br w:type="page"/>
      </w:r>
    </w:p>
    <w:p w:rsidR="005F6DAF" w:rsidRDefault="005F6DAF" w:rsidP="00A0588A">
      <w:pPr>
        <w:jc w:val="both"/>
      </w:pPr>
      <w:r>
        <w:lastRenderedPageBreak/>
        <w:t>Jak je vidět z Tabulky 4</w:t>
      </w:r>
      <w:r w:rsidR="00371F45">
        <w:t>,</w:t>
      </w:r>
      <w:r>
        <w:t xml:space="preserve"> kromě samotné oblasti sportu se sportovní </w:t>
      </w:r>
      <w:r w:rsidR="00B40BEF">
        <w:t xml:space="preserve">produkty (CZ-CPA 93.1) podílely </w:t>
      </w:r>
      <w:r>
        <w:t xml:space="preserve">také na </w:t>
      </w:r>
      <w:proofErr w:type="spellStart"/>
      <w:r>
        <w:t>mezispotřebě</w:t>
      </w:r>
      <w:proofErr w:type="spellEnd"/>
      <w:r>
        <w:t xml:space="preserve"> v ostatních odvětvích. Nejvýznamněji pak </w:t>
      </w:r>
      <w:r w:rsidR="00856D1F">
        <w:t xml:space="preserve">na činnostech </w:t>
      </w:r>
      <w:r w:rsidR="00D06E34">
        <w:t>v oblasti nemovitostí (1,23</w:t>
      </w:r>
      <w:r>
        <w:t xml:space="preserve"> mld. Kč), dále pak na </w:t>
      </w:r>
      <w:r w:rsidR="00D06E34">
        <w:t>činnostech zastupujících organizací (0,85</w:t>
      </w:r>
      <w:r>
        <w:t xml:space="preserve"> mld. Kč</w:t>
      </w:r>
      <w:r w:rsidR="00B2753F">
        <w:t>)</w:t>
      </w:r>
      <w:r w:rsidR="00F26799">
        <w:t xml:space="preserve">, </w:t>
      </w:r>
      <w:r w:rsidR="00D06E34">
        <w:t>činnostech v rámci nespecifi</w:t>
      </w:r>
      <w:r w:rsidR="00F26799">
        <w:t>kovaných služeb (0,7 mld. Kč) a</w:t>
      </w:r>
      <w:r>
        <w:t xml:space="preserve"> </w:t>
      </w:r>
      <w:r w:rsidR="00D06E34">
        <w:t>v rámci ubytovacích služeb (0,3</w:t>
      </w:r>
      <w:r>
        <w:t xml:space="preserve"> mld. Kč). </w:t>
      </w:r>
      <w:r w:rsidRPr="00BC5765">
        <w:t>Sportovní produkty jsou tak nedílnou součástí produkce v něk</w:t>
      </w:r>
      <w:r w:rsidR="00856D1F">
        <w:t>olika</w:t>
      </w:r>
      <w:r w:rsidRPr="00BC5765">
        <w:t xml:space="preserve"> dalších odvětvích.</w:t>
      </w:r>
    </w:p>
    <w:p w:rsidR="005F6DAF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0588A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0588A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4</w: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792D83"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>Odvětví s největším podílem sportovních vstupů v</w:t>
      </w:r>
      <w:r w:rsidR="00792D83">
        <w:rPr>
          <w:rFonts w:asciiTheme="majorHAnsi" w:hAnsiTheme="majorHAnsi"/>
          <w:b w:val="0"/>
          <w:color w:val="000000" w:themeColor="text1"/>
          <w:sz w:val="22"/>
          <w:szCs w:val="22"/>
        </w:rPr>
        <w:t> </w:t>
      </w:r>
      <w:proofErr w:type="spellStart"/>
      <w:r w:rsidR="00792D83"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>mezispotřebě</w:t>
      </w:r>
      <w:proofErr w:type="spellEnd"/>
      <w:r w:rsidR="00792D8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roce 2017</w:t>
      </w:r>
      <w:r w:rsidR="00792D83"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(v kupních cenách)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12"/>
        <w:gridCol w:w="2158"/>
        <w:gridCol w:w="1276"/>
      </w:tblGrid>
      <w:tr w:rsidR="00856D1F" w:rsidRPr="00856D1F" w:rsidTr="00856D1F">
        <w:trPr>
          <w:trHeight w:val="300"/>
        </w:trPr>
        <w:tc>
          <w:tcPr>
            <w:tcW w:w="55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856D1F" w:rsidRPr="00856D1F" w:rsidRDefault="00856D1F" w:rsidP="00856D1F">
            <w:pPr>
              <w:spacing w:before="60" w:after="60" w:line="240" w:lineRule="auto"/>
              <w:rPr>
                <w:rFonts w:ascii="Calibri" w:hAnsi="Calibri"/>
                <w:b/>
                <w:color w:val="000000"/>
                <w:szCs w:val="20"/>
              </w:rPr>
            </w:pPr>
            <w:r w:rsidRPr="00856D1F">
              <w:rPr>
                <w:rFonts w:ascii="Calibri" w:hAnsi="Calibri"/>
                <w:b/>
                <w:color w:val="000000"/>
                <w:szCs w:val="20"/>
              </w:rPr>
              <w:t>Odvětví podle CZ -NACE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856D1F" w:rsidRPr="00856D1F" w:rsidRDefault="00E73595" w:rsidP="00A9372B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0"/>
              </w:rPr>
              <w:t>Mezispotřeba</w:t>
            </w:r>
            <w:proofErr w:type="spellEnd"/>
            <w:r w:rsidR="00856D1F" w:rsidRPr="00856D1F">
              <w:rPr>
                <w:rFonts w:ascii="Calibri" w:hAnsi="Calibri"/>
                <w:b/>
                <w:color w:val="000000"/>
                <w:szCs w:val="20"/>
              </w:rPr>
              <w:t xml:space="preserve"> v mil. Kč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856D1F" w:rsidRPr="00856D1F" w:rsidRDefault="00856D1F" w:rsidP="00A9372B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 w:rsidRPr="00856D1F">
              <w:rPr>
                <w:rFonts w:ascii="Calibri" w:hAnsi="Calibri"/>
                <w:b/>
                <w:color w:val="000000"/>
                <w:szCs w:val="20"/>
              </w:rPr>
              <w:t>Podíl v %</w:t>
            </w:r>
          </w:p>
        </w:tc>
      </w:tr>
      <w:tr w:rsidR="0044295E" w:rsidRPr="00856D1F" w:rsidTr="0044295E">
        <w:trPr>
          <w:trHeight w:val="300"/>
        </w:trPr>
        <w:tc>
          <w:tcPr>
            <w:tcW w:w="55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856D1F" w:rsidRDefault="0044295E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856D1F">
              <w:rPr>
                <w:rFonts w:ascii="Calibri" w:hAnsi="Calibri"/>
                <w:color w:val="000000"/>
                <w:szCs w:val="20"/>
              </w:rPr>
              <w:t>93 Sportovní, zábavní a rekreační činnosti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7</w:t>
            </w:r>
            <w:r w:rsidR="00436D1A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Pr="0044295E">
              <w:rPr>
                <w:rFonts w:ascii="Calibri" w:hAnsi="Calibri"/>
                <w:color w:val="000000"/>
                <w:szCs w:val="20"/>
              </w:rPr>
              <w:t>981,</w:t>
            </w:r>
            <w:r>
              <w:rPr>
                <w:rFonts w:ascii="Calibri" w:hAnsi="Calibri"/>
                <w:color w:val="00000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68</w:t>
            </w:r>
            <w:r w:rsidR="002A025A">
              <w:rPr>
                <w:rFonts w:ascii="Calibri" w:hAnsi="Calibri"/>
                <w:color w:val="000000"/>
                <w:szCs w:val="20"/>
              </w:rPr>
              <w:t>,</w:t>
            </w:r>
            <w:r w:rsidRPr="0044295E">
              <w:rPr>
                <w:rFonts w:ascii="Calibri" w:hAnsi="Calibri"/>
                <w:color w:val="000000"/>
                <w:szCs w:val="20"/>
              </w:rPr>
              <w:t>3</w:t>
            </w:r>
          </w:p>
        </w:tc>
      </w:tr>
      <w:tr w:rsidR="0044295E" w:rsidRPr="00856D1F" w:rsidTr="0044295E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856D1F" w:rsidRDefault="0044295E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68</w:t>
            </w:r>
            <w:r w:rsidRPr="00856D1F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Pr="0044295E">
              <w:rPr>
                <w:rFonts w:ascii="Calibri" w:hAnsi="Calibri"/>
                <w:color w:val="000000"/>
                <w:szCs w:val="20"/>
              </w:rPr>
              <w:t>Činnosti v oblasti nemovitostí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1</w:t>
            </w:r>
            <w:r w:rsidR="00436D1A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Pr="0044295E">
              <w:rPr>
                <w:rFonts w:ascii="Calibri" w:hAnsi="Calibri"/>
                <w:color w:val="000000"/>
                <w:szCs w:val="20"/>
              </w:rPr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10</w:t>
            </w:r>
            <w:r w:rsidR="002A025A">
              <w:rPr>
                <w:rFonts w:ascii="Calibri" w:hAnsi="Calibri"/>
                <w:color w:val="000000"/>
                <w:szCs w:val="20"/>
              </w:rPr>
              <w:t>,</w:t>
            </w:r>
            <w:r w:rsidRPr="0044295E">
              <w:rPr>
                <w:rFonts w:ascii="Calibri" w:hAnsi="Calibri"/>
                <w:color w:val="000000"/>
                <w:szCs w:val="20"/>
              </w:rPr>
              <w:t>5</w:t>
            </w:r>
          </w:p>
        </w:tc>
      </w:tr>
      <w:tr w:rsidR="0044295E" w:rsidRPr="00856D1F" w:rsidTr="0044295E">
        <w:trPr>
          <w:trHeight w:val="300"/>
        </w:trPr>
        <w:tc>
          <w:tcPr>
            <w:tcW w:w="5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856D1F" w:rsidRDefault="0044295E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94</w:t>
            </w:r>
            <w:r w:rsidRPr="00856D1F">
              <w:rPr>
                <w:rFonts w:ascii="Calibri" w:hAnsi="Calibri"/>
                <w:color w:val="000000"/>
                <w:szCs w:val="20"/>
              </w:rPr>
              <w:t xml:space="preserve"> </w:t>
            </w:r>
            <w:proofErr w:type="spellStart"/>
            <w:r w:rsidRPr="00856D1F">
              <w:rPr>
                <w:rFonts w:ascii="Calibri" w:hAnsi="Calibri"/>
                <w:color w:val="000000"/>
                <w:szCs w:val="20"/>
              </w:rPr>
              <w:t>Činn</w:t>
            </w:r>
            <w:proofErr w:type="spellEnd"/>
            <w:r w:rsidRPr="00856D1F">
              <w:rPr>
                <w:rFonts w:ascii="Calibri" w:hAnsi="Calibri"/>
                <w:color w:val="000000"/>
                <w:szCs w:val="20"/>
              </w:rPr>
              <w:t xml:space="preserve">. </w:t>
            </w:r>
            <w:proofErr w:type="spellStart"/>
            <w:r w:rsidRPr="00856D1F">
              <w:rPr>
                <w:rFonts w:ascii="Calibri" w:hAnsi="Calibri"/>
                <w:color w:val="000000"/>
                <w:szCs w:val="20"/>
              </w:rPr>
              <w:t>org</w:t>
            </w:r>
            <w:proofErr w:type="spellEnd"/>
            <w:r w:rsidRPr="00856D1F">
              <w:rPr>
                <w:rFonts w:ascii="Calibri" w:hAnsi="Calibri"/>
                <w:color w:val="000000"/>
                <w:szCs w:val="20"/>
              </w:rPr>
              <w:t xml:space="preserve">. sdruž. </w:t>
            </w:r>
            <w:proofErr w:type="gramStart"/>
            <w:r w:rsidRPr="00856D1F">
              <w:rPr>
                <w:rFonts w:ascii="Calibri" w:hAnsi="Calibri"/>
                <w:color w:val="000000"/>
                <w:szCs w:val="20"/>
              </w:rPr>
              <w:t>osoby</w:t>
            </w:r>
            <w:proofErr w:type="gramEnd"/>
            <w:r w:rsidRPr="00856D1F">
              <w:rPr>
                <w:rFonts w:ascii="Calibri" w:hAnsi="Calibri"/>
                <w:color w:val="000000"/>
                <w:szCs w:val="20"/>
              </w:rPr>
              <w:t xml:space="preserve"> za účelem. prosazování spol. zájmů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845,9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7</w:t>
            </w:r>
            <w:r w:rsidR="002A025A">
              <w:rPr>
                <w:rFonts w:ascii="Calibri" w:hAnsi="Calibri"/>
                <w:color w:val="000000"/>
                <w:szCs w:val="20"/>
              </w:rPr>
              <w:t>,</w:t>
            </w:r>
            <w:r w:rsidRPr="0044295E">
              <w:rPr>
                <w:rFonts w:ascii="Calibri" w:hAnsi="Calibri"/>
                <w:color w:val="000000"/>
                <w:szCs w:val="20"/>
              </w:rPr>
              <w:t>2</w:t>
            </w:r>
          </w:p>
        </w:tc>
      </w:tr>
      <w:tr w:rsidR="0044295E" w:rsidRPr="00856D1F" w:rsidTr="0044295E">
        <w:trPr>
          <w:trHeight w:val="8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856D1F" w:rsidRDefault="0044295E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96</w:t>
            </w:r>
            <w:r w:rsidRPr="00856D1F">
              <w:rPr>
                <w:rFonts w:ascii="Calibri" w:hAnsi="Calibri"/>
                <w:color w:val="000000"/>
                <w:szCs w:val="20"/>
              </w:rPr>
              <w:t xml:space="preserve"> Poskytování ostatních osobních služeb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6</w:t>
            </w:r>
            <w:r w:rsidR="002A025A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0</w:t>
            </w:r>
          </w:p>
        </w:tc>
      </w:tr>
      <w:tr w:rsidR="0044295E" w:rsidRPr="00856D1F" w:rsidTr="00E73595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Default="0044295E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55</w:t>
            </w:r>
            <w:r w:rsidRPr="00856D1F">
              <w:rPr>
                <w:rFonts w:ascii="Calibri" w:hAnsi="Calibri"/>
                <w:color w:val="000000"/>
                <w:szCs w:val="20"/>
              </w:rPr>
              <w:t xml:space="preserve"> Ubytování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308,</w:t>
            </w:r>
            <w:r>
              <w:rPr>
                <w:rFonts w:ascii="Calibri" w:hAnsi="Calibri"/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5E" w:rsidRPr="0044295E" w:rsidRDefault="0044295E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 w:rsidRPr="0044295E">
              <w:rPr>
                <w:rFonts w:ascii="Calibri" w:hAnsi="Calibri"/>
                <w:color w:val="000000"/>
                <w:szCs w:val="20"/>
              </w:rPr>
              <w:t>2</w:t>
            </w:r>
            <w:r w:rsidR="002A025A">
              <w:rPr>
                <w:rFonts w:ascii="Calibri" w:hAnsi="Calibri"/>
                <w:color w:val="000000"/>
                <w:szCs w:val="20"/>
              </w:rPr>
              <w:t>,</w:t>
            </w:r>
            <w:r w:rsidR="00E73595">
              <w:rPr>
                <w:rFonts w:ascii="Calibri" w:hAnsi="Calibri"/>
                <w:color w:val="000000"/>
                <w:szCs w:val="20"/>
              </w:rPr>
              <w:t>7</w:t>
            </w:r>
          </w:p>
        </w:tc>
      </w:tr>
      <w:tr w:rsidR="00E73595" w:rsidRPr="00856D1F" w:rsidTr="0044295E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595" w:rsidRDefault="00E73595" w:rsidP="0044295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ostatní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595" w:rsidRPr="0044295E" w:rsidRDefault="00E73595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595" w:rsidRPr="0044295E" w:rsidRDefault="00E73595" w:rsidP="00A9372B">
            <w:pPr>
              <w:spacing w:after="0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5,3</w:t>
            </w:r>
          </w:p>
        </w:tc>
      </w:tr>
    </w:tbl>
    <w:p w:rsidR="005F6DAF" w:rsidRPr="00A0588A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A0588A">
        <w:rPr>
          <w:rFonts w:asciiTheme="majorHAnsi" w:hAnsiTheme="majorHAnsi"/>
        </w:rPr>
        <w:t>Zdroj: Národní účty, ČSÚ, vlastní odhad</w:t>
      </w:r>
    </w:p>
    <w:p w:rsidR="005F6DAF" w:rsidRDefault="005F6DAF" w:rsidP="007732FD">
      <w:pPr>
        <w:pStyle w:val="Nadpis2"/>
        <w:numPr>
          <w:ilvl w:val="1"/>
          <w:numId w:val="17"/>
        </w:numPr>
      </w:pPr>
      <w:bookmarkStart w:id="2" w:name="_Toc489436976"/>
      <w:r w:rsidRPr="0007436F">
        <w:t>Zaměstnanost</w:t>
      </w:r>
      <w:bookmarkEnd w:id="2"/>
    </w:p>
    <w:p w:rsidR="005F6DAF" w:rsidRDefault="005F6DAF" w:rsidP="005F6DAF">
      <w:pPr>
        <w:jc w:val="both"/>
      </w:pPr>
      <w:r>
        <w:t xml:space="preserve">Při sledování celkové zaměstnanosti v oblasti sportu je možné díky charakteru Výběrového šetření pracovních sil doplnit údaje o zaměstnanosti v rámci ekonomické činnosti CZ-NACE 93.1 Sportovní aktivity o údaje sledující jednotlivá zaměstnání v rámci kategorie CZ-ISCO 34.2 </w:t>
      </w:r>
      <w:r w:rsidRPr="008C00BC">
        <w:t>Odborní pracovníci v</w:t>
      </w:r>
      <w:r w:rsidR="00524884">
        <w:t> </w:t>
      </w:r>
      <w:r w:rsidRPr="008C00BC">
        <w:t>oblasti sportu a fitness</w:t>
      </w:r>
      <w:r>
        <w:t xml:space="preserve"> nehledě na jejich zařazení v rámci konkrétních </w:t>
      </w:r>
      <w:r w:rsidR="00F26799">
        <w:t xml:space="preserve">ekonomických </w:t>
      </w:r>
      <w:r>
        <w:t xml:space="preserve">činností. Lze tak odhadnout jaký je podíl sportovních a „ne-sportovních“ pracovníků v rámci </w:t>
      </w:r>
      <w:r w:rsidR="001E2838">
        <w:t xml:space="preserve">provozování </w:t>
      </w:r>
      <w:r>
        <w:t>sportovních ekonomických činnosti, ale také kolik sportovních pracovníků vykonává svou práci mimo sportovní organizace.</w:t>
      </w:r>
    </w:p>
    <w:p w:rsidR="005F6DAF" w:rsidRPr="00FE1947" w:rsidRDefault="00AE6B7B" w:rsidP="005F6DAF">
      <w:pPr>
        <w:jc w:val="both"/>
      </w:pPr>
      <w:r>
        <w:tab/>
      </w:r>
      <w:r w:rsidR="00211B86">
        <w:t>Jak je patrné z Tabulky 5</w:t>
      </w:r>
      <w:r w:rsidR="001E2838">
        <w:t>,</w:t>
      </w:r>
      <w:r w:rsidR="005F6DAF">
        <w:t xml:space="preserve"> celková zaměstnanost zahr</w:t>
      </w:r>
      <w:r w:rsidR="001E2838">
        <w:t xml:space="preserve">nující podnikatele, zaměstnance </w:t>
      </w:r>
      <w:r w:rsidR="005F6DAF">
        <w:t>(v</w:t>
      </w:r>
      <w:r w:rsidR="001E2838">
        <w:t> </w:t>
      </w:r>
      <w:r w:rsidR="005F6DAF">
        <w:t>pracovním poměru i na dohodu) a pomáhající rodinné příslušníky dosah</w:t>
      </w:r>
      <w:r w:rsidR="007355EE">
        <w:t>uje v oblasti sportu více než 32</w:t>
      </w:r>
      <w:r w:rsidR="005F6DAF">
        <w:t xml:space="preserve"> tis. </w:t>
      </w:r>
      <w:r w:rsidR="00EF031D">
        <w:t>zaměstnaných osob</w:t>
      </w:r>
      <w:r w:rsidR="005F6DAF">
        <w:t xml:space="preserve"> (přibližně 0,6 % celkové zaměstnanosti v e</w:t>
      </w:r>
      <w:r w:rsidR="001C7DC6">
        <w:t xml:space="preserve">konomice). Z toho </w:t>
      </w:r>
      <w:r w:rsidR="007355EE">
        <w:t xml:space="preserve">více než </w:t>
      </w:r>
      <w:r w:rsidR="001C7DC6">
        <w:t>třetinu tvoří podnikatelé</w:t>
      </w:r>
      <w:r w:rsidR="007355EE">
        <w:t xml:space="preserve"> (</w:t>
      </w:r>
      <w:r w:rsidR="001E2838">
        <w:t>12</w:t>
      </w:r>
      <w:r w:rsidR="001C7DC6">
        <w:t xml:space="preserve"> tis.) a </w:t>
      </w:r>
      <w:r w:rsidR="007355EE">
        <w:t xml:space="preserve">necelé </w:t>
      </w:r>
      <w:r w:rsidR="001C7DC6">
        <w:t>dvě třetiny zaměstnanci</w:t>
      </w:r>
      <w:r w:rsidR="007355EE">
        <w:t xml:space="preserve"> (20</w:t>
      </w:r>
      <w:r w:rsidR="005F6DAF">
        <w:t xml:space="preserve"> tis.). Velmi důležitou roli pak v rámci celkové pracovní síly hraje zapojení dobrovolníků. </w:t>
      </w:r>
      <w:r w:rsidR="005F6DAF" w:rsidRPr="0014609F">
        <w:t>Pokud zahrneme také činnost dobrovolníků do celkového počtu zaměstnaných osob, bude celkov</w:t>
      </w:r>
      <w:r w:rsidR="0014609F" w:rsidRPr="0014609F">
        <w:t>á zaměstnanost dosahovat výše 43,6</w:t>
      </w:r>
      <w:r w:rsidR="005F6DAF" w:rsidRPr="0014609F">
        <w:t xml:space="preserve"> tis. osob.</w:t>
      </w:r>
      <w:r w:rsidR="00551D93" w:rsidRPr="0014609F">
        <w:t xml:space="preserve"> Nutno dodat, že </w:t>
      </w:r>
      <w:r w:rsidR="001E2838">
        <w:t xml:space="preserve">počet </w:t>
      </w:r>
      <w:r w:rsidR="0014609F" w:rsidRPr="0014609F">
        <w:t xml:space="preserve">11,4 tis dobrovolníků zahrnutých do těchto výpočtů pochází ze statistiky </w:t>
      </w:r>
      <w:r w:rsidR="00514FCC" w:rsidRPr="0014609F">
        <w:t>nes</w:t>
      </w:r>
      <w:r w:rsidR="0014609F" w:rsidRPr="0014609F">
        <w:t>tátních neziskových organizací. Tento tříletý průměr údajů za období 2015 - 2017</w:t>
      </w:r>
      <w:r w:rsidR="00514FCC" w:rsidRPr="0014609F">
        <w:t xml:space="preserve"> </w:t>
      </w:r>
      <w:r w:rsidR="0014609F" w:rsidRPr="0014609F">
        <w:t xml:space="preserve">navíc zahrnuje pouze dobrovolníky </w:t>
      </w:r>
      <w:r w:rsidR="00514FCC" w:rsidRPr="0014609F">
        <w:t>spadající svou činností do kategorie CZ-NACE 93.1. Značná část dobrovolníků (např. různí trenéři malých klubů, amatérští rozhodčí apod.) nebude v rámci této analýzy zachycen</w:t>
      </w:r>
      <w:r w:rsidR="00340358" w:rsidRPr="0014609F">
        <w:t>a</w:t>
      </w:r>
      <w:r w:rsidR="00514FCC" w:rsidRPr="0014609F">
        <w:t>.</w:t>
      </w:r>
    </w:p>
    <w:p w:rsidR="005F6DAF" w:rsidRPr="0007436F" w:rsidRDefault="00AE6B7B" w:rsidP="005F6DAF">
      <w:pPr>
        <w:jc w:val="both"/>
      </w:pPr>
      <w:r>
        <w:tab/>
      </w:r>
      <w:r w:rsidR="005F6DAF">
        <w:t>V organizacích spadající</w:t>
      </w:r>
      <w:r w:rsidR="001C7DC6">
        <w:t>ch</w:t>
      </w:r>
      <w:r w:rsidR="005F6DAF">
        <w:t xml:space="preserve"> svým zaměřením do sportovních ekonomických činností pak převažují povolání spíše „ne-sportovního“ charakteru (účetní, pracovníci v administrativě, PR či marketi</w:t>
      </w:r>
      <w:r w:rsidR="007355EE">
        <w:t>ngu apod.). Z celkového počtu 28,1</w:t>
      </w:r>
      <w:r w:rsidR="005F6DAF">
        <w:t xml:space="preserve"> tis. zaměstnaných osob v organizacích s převažující sportovn</w:t>
      </w:r>
      <w:r w:rsidR="007355EE">
        <w:t>í činností pracovalo v roce 2017 16,6 tis. „ne-sportovních“ a pouze 11,5</w:t>
      </w:r>
      <w:r w:rsidR="005F6DAF">
        <w:t xml:space="preserve"> tis. sportovních </w:t>
      </w:r>
      <w:r w:rsidR="005F6DAF">
        <w:lastRenderedPageBreak/>
        <w:t xml:space="preserve">pracovníků. </w:t>
      </w:r>
      <w:r w:rsidR="007355EE">
        <w:t>Přibližně 4</w:t>
      </w:r>
      <w:r w:rsidR="005F6DAF">
        <w:t xml:space="preserve"> tis. sportovních pracovníků pak vykonávalo své profese mimo organizace s převažující </w:t>
      </w:r>
      <w:r w:rsidR="007355EE">
        <w:t>sportovní ekonomickou činností.</w:t>
      </w:r>
    </w:p>
    <w:p w:rsidR="005F6DAF" w:rsidRPr="00A0588A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0588A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0588A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5</w:t>
      </w:r>
      <w:r w:rsidR="0082413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Zaměstnan</w:t>
      </w:r>
      <w:r w:rsidR="009B0B12">
        <w:rPr>
          <w:rFonts w:asciiTheme="majorHAnsi" w:hAnsiTheme="majorHAnsi"/>
          <w:b w:val="0"/>
          <w:color w:val="000000" w:themeColor="text1"/>
          <w:sz w:val="22"/>
          <w:szCs w:val="22"/>
        </w:rPr>
        <w:t>ost v oblasti sportu v roce 2017</w:t>
      </w:r>
      <w:r w:rsidR="001C7DC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(v tis. osob)</w:t>
      </w:r>
    </w:p>
    <w:tbl>
      <w:tblPr>
        <w:tblW w:w="9210" w:type="dxa"/>
        <w:tblLayout w:type="fixed"/>
        <w:tblLook w:val="04A0"/>
      </w:tblPr>
      <w:tblGrid>
        <w:gridCol w:w="2802"/>
        <w:gridCol w:w="1134"/>
        <w:gridCol w:w="1701"/>
        <w:gridCol w:w="1275"/>
        <w:gridCol w:w="1418"/>
        <w:gridCol w:w="880"/>
      </w:tblGrid>
      <w:tr w:rsidR="005F6DAF" w:rsidRPr="009F3C9E" w:rsidTr="00654D64">
        <w:trPr>
          <w:trHeight w:val="765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AE6B7B" w:rsidRDefault="005F6DAF" w:rsidP="00A0588A">
            <w:pPr>
              <w:spacing w:before="120" w:after="120" w:line="276" w:lineRule="auto"/>
              <w:rPr>
                <w:rFonts w:asciiTheme="majorHAnsi" w:hAnsiTheme="majorHAnsi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F6DAF" w:rsidRPr="00AE6B7B" w:rsidRDefault="005F6DAF" w:rsidP="00A9372B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Sportovní povolání</w:t>
            </w:r>
            <w:r w:rsidR="00654D64">
              <w:rPr>
                <w:rFonts w:asciiTheme="majorHAnsi" w:hAnsiTheme="majorHAnsi" w:cs="Arial"/>
                <w:b/>
                <w:szCs w:val="20"/>
              </w:rPr>
              <w:t xml:space="preserve"> (CZ-ISCO 34.2)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F6DAF" w:rsidRPr="00AE6B7B" w:rsidRDefault="005F6DAF" w:rsidP="00A9372B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Povolání "ne-sportovního" charakteru</w:t>
            </w:r>
            <w:r w:rsidR="00654D64">
              <w:rPr>
                <w:rFonts w:asciiTheme="majorHAnsi" w:hAnsiTheme="majorHAnsi" w:cs="Arial"/>
                <w:b/>
                <w:szCs w:val="20"/>
              </w:rPr>
              <w:t xml:space="preserve"> (ostatní CZ-ISCO)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F6DAF" w:rsidRPr="00AE6B7B" w:rsidRDefault="005F6DAF" w:rsidP="00A9372B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Povolání v oblasti sportu celkem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AE6B7B" w:rsidRDefault="005F6DAF" w:rsidP="00A9372B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Dobrovolníci</w:t>
            </w:r>
            <w:r w:rsidRPr="00AE6B7B">
              <w:rPr>
                <w:rStyle w:val="Znakapoznpodarou"/>
                <w:rFonts w:asciiTheme="majorHAnsi" w:hAnsiTheme="majorHAnsi" w:cs="Arial"/>
                <w:b/>
                <w:szCs w:val="20"/>
              </w:rPr>
              <w:footnoteReference w:id="4"/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AE6B7B" w:rsidRDefault="005F6DAF" w:rsidP="00A9372B">
            <w:pPr>
              <w:spacing w:before="120" w:after="120" w:line="276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Celkem</w:t>
            </w:r>
          </w:p>
        </w:tc>
      </w:tr>
      <w:tr w:rsidR="001C7DC6" w:rsidRPr="009F3C9E" w:rsidTr="00654D64">
        <w:trPr>
          <w:trHeight w:val="255"/>
        </w:trPr>
        <w:tc>
          <w:tcPr>
            <w:tcW w:w="2802" w:type="dxa"/>
            <w:tcBorders>
              <w:top w:val="single" w:sz="12" w:space="0" w:color="auto"/>
            </w:tcBorders>
            <w:noWrap/>
            <w:hideMark/>
          </w:tcPr>
          <w:p w:rsidR="001C7DC6" w:rsidRPr="00AE6B7B" w:rsidRDefault="001C7DC6" w:rsidP="00514FCC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>Sportovní ekonomické činnosti</w:t>
            </w:r>
            <w:r w:rsidR="00654D64">
              <w:rPr>
                <w:rFonts w:asciiTheme="majorHAnsi" w:hAnsiTheme="majorHAnsi" w:cs="Arial"/>
                <w:szCs w:val="20"/>
              </w:rPr>
              <w:t xml:space="preserve"> (CZ-</w:t>
            </w:r>
            <w:r w:rsidR="00180281">
              <w:rPr>
                <w:rFonts w:asciiTheme="majorHAnsi" w:hAnsiTheme="majorHAnsi" w:cs="Arial"/>
                <w:szCs w:val="20"/>
              </w:rPr>
              <w:t>NACE 93</w:t>
            </w:r>
            <w:r w:rsidR="00654D64">
              <w:rPr>
                <w:rFonts w:asciiTheme="majorHAnsi" w:hAnsiTheme="majorHAnsi" w:cs="Arial"/>
                <w:szCs w:val="20"/>
              </w:rPr>
              <w:t>.1</w:t>
            </w:r>
            <w:r w:rsidR="00180281">
              <w:rPr>
                <w:rFonts w:asciiTheme="majorHAnsi" w:hAnsiTheme="majorHAnsi" w:cs="Arial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11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16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28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C7DC6" w:rsidRPr="00992968" w:rsidRDefault="00041B53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11,4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C7DC6" w:rsidRPr="00992968" w:rsidRDefault="00041B53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39,5</w:t>
            </w:r>
          </w:p>
        </w:tc>
      </w:tr>
      <w:tr w:rsidR="001C7DC6" w:rsidRPr="009F3C9E" w:rsidTr="00654D64">
        <w:trPr>
          <w:trHeight w:val="255"/>
        </w:trPr>
        <w:tc>
          <w:tcPr>
            <w:tcW w:w="2802" w:type="dxa"/>
            <w:hideMark/>
          </w:tcPr>
          <w:p w:rsidR="001C7DC6" w:rsidRPr="00AE6B7B" w:rsidRDefault="001C7DC6" w:rsidP="00514FCC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>Činnosti "ne-sportovního" charakteru</w:t>
            </w:r>
            <w:r w:rsidR="00654D64">
              <w:rPr>
                <w:rFonts w:asciiTheme="majorHAnsi" w:hAnsiTheme="majorHAnsi" w:cs="Arial"/>
                <w:szCs w:val="20"/>
              </w:rPr>
              <w:t xml:space="preserve"> (ostatní CZ-NACE)</w:t>
            </w:r>
          </w:p>
        </w:tc>
        <w:tc>
          <w:tcPr>
            <w:tcW w:w="1134" w:type="dxa"/>
            <w:noWrap/>
            <w:vAlign w:val="center"/>
            <w:hideMark/>
          </w:tcPr>
          <w:p w:rsidR="001C7DC6" w:rsidRPr="001C7DC6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4,</w:t>
            </w:r>
            <w:r w:rsidR="002E1C19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5" w:type="dxa"/>
            <w:noWrap/>
            <w:vAlign w:val="center"/>
            <w:hideMark/>
          </w:tcPr>
          <w:p w:rsidR="001C7DC6" w:rsidRPr="001C7DC6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4,</w:t>
            </w:r>
            <w:r w:rsidR="002E1C19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C7DC6" w:rsidRPr="00992968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.</w:t>
            </w:r>
          </w:p>
        </w:tc>
        <w:tc>
          <w:tcPr>
            <w:tcW w:w="880" w:type="dxa"/>
            <w:noWrap/>
            <w:vAlign w:val="center"/>
            <w:hideMark/>
          </w:tcPr>
          <w:p w:rsidR="001C7DC6" w:rsidRPr="00992968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4,</w:t>
            </w:r>
            <w:r w:rsidR="002E1C19" w:rsidRPr="00992968">
              <w:rPr>
                <w:rFonts w:ascii="Calibri" w:hAnsi="Calibri"/>
                <w:szCs w:val="20"/>
              </w:rPr>
              <w:t>1</w:t>
            </w:r>
          </w:p>
        </w:tc>
      </w:tr>
      <w:tr w:rsidR="001C7DC6" w:rsidRPr="009F3C9E" w:rsidTr="00654D64">
        <w:trPr>
          <w:trHeight w:val="255"/>
        </w:trPr>
        <w:tc>
          <w:tcPr>
            <w:tcW w:w="2802" w:type="dxa"/>
            <w:noWrap/>
            <w:hideMark/>
          </w:tcPr>
          <w:p w:rsidR="001C7DC6" w:rsidRPr="00AE6B7B" w:rsidRDefault="001C7DC6" w:rsidP="00514FCC">
            <w:pPr>
              <w:spacing w:after="60" w:line="240" w:lineRule="auto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Celkem</w:t>
            </w:r>
          </w:p>
        </w:tc>
        <w:tc>
          <w:tcPr>
            <w:tcW w:w="1134" w:type="dxa"/>
            <w:noWrap/>
            <w:vAlign w:val="center"/>
            <w:hideMark/>
          </w:tcPr>
          <w:p w:rsidR="001C7DC6" w:rsidRPr="003D0763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15</w:t>
            </w:r>
            <w:r w:rsidR="001C7DC6"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C7DC6" w:rsidRPr="003D0763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16</w:t>
            </w:r>
            <w:r w:rsidR="001C7DC6"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C7DC6" w:rsidRPr="003D0763" w:rsidRDefault="007355EE" w:rsidP="00A9372B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32</w:t>
            </w:r>
            <w:r w:rsidR="001C7DC6"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C7DC6" w:rsidRPr="00992968" w:rsidRDefault="00041B53" w:rsidP="00A9372B">
            <w:pPr>
              <w:spacing w:after="60" w:line="240" w:lineRule="auto"/>
              <w:jc w:val="right"/>
              <w:rPr>
                <w:rFonts w:ascii="Calibri" w:hAnsi="Calibri"/>
                <w:b/>
                <w:szCs w:val="20"/>
              </w:rPr>
            </w:pPr>
            <w:r w:rsidRPr="00992968">
              <w:rPr>
                <w:rFonts w:ascii="Calibri" w:hAnsi="Calibri"/>
                <w:b/>
                <w:szCs w:val="20"/>
              </w:rPr>
              <w:t>11,4</w:t>
            </w:r>
          </w:p>
        </w:tc>
        <w:tc>
          <w:tcPr>
            <w:tcW w:w="880" w:type="dxa"/>
            <w:noWrap/>
            <w:vAlign w:val="center"/>
            <w:hideMark/>
          </w:tcPr>
          <w:p w:rsidR="001C7DC6" w:rsidRPr="00992968" w:rsidRDefault="00041B53" w:rsidP="00A9372B">
            <w:pPr>
              <w:spacing w:after="60" w:line="240" w:lineRule="auto"/>
              <w:jc w:val="right"/>
              <w:rPr>
                <w:rFonts w:ascii="Calibri" w:hAnsi="Calibri"/>
                <w:b/>
                <w:szCs w:val="20"/>
              </w:rPr>
            </w:pPr>
            <w:r w:rsidRPr="00992968">
              <w:rPr>
                <w:rFonts w:ascii="Calibri" w:hAnsi="Calibri"/>
                <w:b/>
                <w:szCs w:val="20"/>
              </w:rPr>
              <w:t>43,6</w:t>
            </w:r>
          </w:p>
        </w:tc>
      </w:tr>
      <w:tr w:rsidR="001C7DC6" w:rsidRPr="009F3C9E" w:rsidTr="00654D64">
        <w:trPr>
          <w:trHeight w:val="255"/>
        </w:trPr>
        <w:tc>
          <w:tcPr>
            <w:tcW w:w="2802" w:type="dxa"/>
            <w:noWrap/>
            <w:hideMark/>
          </w:tcPr>
          <w:p w:rsidR="001C7DC6" w:rsidRPr="00AE6B7B" w:rsidRDefault="001C7DC6" w:rsidP="00514FCC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 xml:space="preserve">   z toho zaměstnanci</w:t>
            </w:r>
          </w:p>
        </w:tc>
        <w:tc>
          <w:tcPr>
            <w:tcW w:w="1134" w:type="dxa"/>
            <w:noWrap/>
            <w:vAlign w:val="center"/>
            <w:hideMark/>
          </w:tcPr>
          <w:p w:rsidR="001C7DC6" w:rsidRPr="001C7DC6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7,</w:t>
            </w:r>
            <w:r w:rsidR="002E1C19">
              <w:rPr>
                <w:rFonts w:ascii="Calibri" w:hAnsi="Calibri"/>
                <w:color w:val="00000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12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C7DC6" w:rsidRPr="001C7DC6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20,</w:t>
            </w:r>
            <w:r w:rsidR="002E1C19"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C7DC6" w:rsidRPr="00992968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x</w:t>
            </w:r>
          </w:p>
        </w:tc>
        <w:tc>
          <w:tcPr>
            <w:tcW w:w="880" w:type="dxa"/>
            <w:noWrap/>
            <w:vAlign w:val="center"/>
            <w:hideMark/>
          </w:tcPr>
          <w:p w:rsidR="001C7DC6" w:rsidRPr="00992968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20,</w:t>
            </w:r>
            <w:r w:rsidR="00041B53" w:rsidRPr="00992968">
              <w:rPr>
                <w:rFonts w:ascii="Calibri" w:hAnsi="Calibri"/>
                <w:szCs w:val="20"/>
              </w:rPr>
              <w:t>0</w:t>
            </w:r>
          </w:p>
        </w:tc>
      </w:tr>
      <w:tr w:rsidR="001C7DC6" w:rsidRPr="009F3C9E" w:rsidTr="00654D64">
        <w:trPr>
          <w:trHeight w:val="255"/>
        </w:trPr>
        <w:tc>
          <w:tcPr>
            <w:tcW w:w="2802" w:type="dxa"/>
            <w:noWrap/>
            <w:hideMark/>
          </w:tcPr>
          <w:p w:rsidR="001C7DC6" w:rsidRPr="00AE6B7B" w:rsidRDefault="001C7DC6" w:rsidP="00514FCC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 xml:space="preserve">   z toho podnikatelé</w:t>
            </w:r>
          </w:p>
        </w:tc>
        <w:tc>
          <w:tcPr>
            <w:tcW w:w="1134" w:type="dxa"/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8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C7DC6" w:rsidRPr="001C7DC6" w:rsidRDefault="002E1C19" w:rsidP="00A9372B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11</w:t>
            </w:r>
            <w:r w:rsidR="001C7DC6"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C7DC6" w:rsidRPr="00992968" w:rsidRDefault="001C7DC6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x</w:t>
            </w:r>
          </w:p>
        </w:tc>
        <w:tc>
          <w:tcPr>
            <w:tcW w:w="880" w:type="dxa"/>
            <w:noWrap/>
            <w:vAlign w:val="center"/>
            <w:hideMark/>
          </w:tcPr>
          <w:p w:rsidR="001C7DC6" w:rsidRPr="00992968" w:rsidRDefault="00041B53" w:rsidP="00A9372B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11,9</w:t>
            </w:r>
          </w:p>
        </w:tc>
      </w:tr>
      <w:tr w:rsidR="001C7DC6" w:rsidRPr="009F3C9E" w:rsidTr="00654D64">
        <w:trPr>
          <w:trHeight w:val="255"/>
        </w:trPr>
        <w:tc>
          <w:tcPr>
            <w:tcW w:w="9210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1C7DC6" w:rsidRPr="003D0763" w:rsidRDefault="001C7DC6" w:rsidP="00514FCC">
            <w:pPr>
              <w:spacing w:after="0" w:line="240" w:lineRule="auto"/>
              <w:rPr>
                <w:rFonts w:asciiTheme="majorHAnsi" w:hAnsiTheme="majorHAnsi"/>
                <w:color w:val="000000"/>
                <w:szCs w:val="20"/>
              </w:rPr>
            </w:pPr>
            <w:r w:rsidRPr="003D0763">
              <w:rPr>
                <w:rFonts w:asciiTheme="majorHAnsi" w:hAnsiTheme="majorHAnsi" w:cs="Arial"/>
                <w:szCs w:val="20"/>
              </w:rPr>
              <w:t>(</w:t>
            </w:r>
            <w:r w:rsidR="003D0763">
              <w:rPr>
                <w:rFonts w:asciiTheme="majorHAnsi" w:hAnsiTheme="majorHAnsi" w:cs="Arial"/>
                <w:szCs w:val="20"/>
              </w:rPr>
              <w:t>x</w:t>
            </w:r>
            <w:r w:rsidRPr="003D0763">
              <w:rPr>
                <w:rFonts w:asciiTheme="majorHAnsi" w:hAnsiTheme="majorHAnsi" w:cs="Arial"/>
                <w:szCs w:val="20"/>
              </w:rPr>
              <w:t xml:space="preserve">) = nelogický </w:t>
            </w:r>
            <w:proofErr w:type="gramStart"/>
            <w:r w:rsidRPr="003D0763">
              <w:rPr>
                <w:rFonts w:asciiTheme="majorHAnsi" w:hAnsiTheme="majorHAnsi" w:cs="Arial"/>
                <w:szCs w:val="20"/>
              </w:rPr>
              <w:t>údaj</w:t>
            </w:r>
            <w:r w:rsidRPr="003D0763">
              <w:rPr>
                <w:rFonts w:asciiTheme="majorHAnsi" w:hAnsiTheme="majorHAnsi" w:cs="Arial"/>
                <w:szCs w:val="20"/>
                <w:lang w:val="en-US"/>
              </w:rPr>
              <w:t>;</w:t>
            </w:r>
            <w:r w:rsidRPr="003D0763">
              <w:rPr>
                <w:rFonts w:asciiTheme="majorHAnsi" w:hAnsiTheme="majorHAnsi" w:cs="Arial"/>
                <w:szCs w:val="20"/>
              </w:rPr>
              <w:t xml:space="preserve"> (.) = údaj</w:t>
            </w:r>
            <w:proofErr w:type="gramEnd"/>
            <w:r w:rsidRPr="003D0763">
              <w:rPr>
                <w:rFonts w:asciiTheme="majorHAnsi" w:hAnsiTheme="majorHAnsi" w:cs="Arial"/>
                <w:szCs w:val="20"/>
              </w:rPr>
              <w:t xml:space="preserve"> není známý</w:t>
            </w:r>
          </w:p>
        </w:tc>
      </w:tr>
    </w:tbl>
    <w:p w:rsidR="005F6DAF" w:rsidRPr="00AE6B7B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 xml:space="preserve">Zdroj: Výběrové šetření pracovních sil, </w:t>
      </w:r>
      <w:r w:rsidRPr="00AE6B7B">
        <w:rPr>
          <w:rFonts w:asciiTheme="majorHAnsi" w:eastAsia="Times New Roman" w:hAnsiTheme="majorHAnsi" w:cs="Times New Roman"/>
          <w:color w:val="000000"/>
          <w:lang w:eastAsia="cs-CZ"/>
        </w:rPr>
        <w:t>Statistika neziskových organizací,</w:t>
      </w:r>
      <w:r w:rsidRPr="00AE6B7B">
        <w:rPr>
          <w:rFonts w:asciiTheme="majorHAnsi" w:hAnsiTheme="majorHAnsi"/>
        </w:rPr>
        <w:t xml:space="preserve"> ČSÚ</w:t>
      </w:r>
    </w:p>
    <w:p w:rsidR="005F6DAF" w:rsidRPr="002E2350" w:rsidRDefault="005F6DAF" w:rsidP="00AE6B7B">
      <w:pPr>
        <w:jc w:val="both"/>
      </w:pPr>
      <w:r>
        <w:t xml:space="preserve">Podrobnější pohled na rozdělení povolání v rámci kategorie CZ-ISCO 34.2 </w:t>
      </w:r>
      <w:r w:rsidRPr="008C00BC">
        <w:t>Odborní pracovníci v</w:t>
      </w:r>
      <w:r w:rsidR="00E62C1E">
        <w:t> </w:t>
      </w:r>
      <w:r w:rsidRPr="008C00BC">
        <w:t>oblasti sportu a fitness</w:t>
      </w:r>
      <w:r>
        <w:t xml:space="preserve"> nabízí Graf 2. Z grafu je</w:t>
      </w:r>
      <w:r w:rsidR="007355EE">
        <w:t xml:space="preserve"> patrné, že z celkového počtu 15,6</w:t>
      </w:r>
      <w:r>
        <w:t xml:space="preserve"> tis. pracovníků zařazených do této kategorie pracovalo nejvíce z nich jako sportovní trenéři, instruktoři č</w:t>
      </w:r>
      <w:r w:rsidR="007355EE">
        <w:t>i úředníci sportovních klubů (51,6</w:t>
      </w:r>
      <w:r>
        <w:t xml:space="preserve"> </w:t>
      </w:r>
      <w:r>
        <w:rPr>
          <w:lang w:val="en-US"/>
        </w:rPr>
        <w:t xml:space="preserve">%). </w:t>
      </w:r>
      <w:r>
        <w:t>Druhou nejpočetnější skupinou sportovních pracovníků pak byli instruktoři a</w:t>
      </w:r>
      <w:r w:rsidR="00E62C1E">
        <w:t> </w:t>
      </w:r>
      <w:r>
        <w:t>programoví vedoucí v rekreačn</w:t>
      </w:r>
      <w:r w:rsidR="007355EE">
        <w:t>ích zařízeních a fitcentrech (39,2</w:t>
      </w:r>
      <w:r>
        <w:t xml:space="preserve"> </w:t>
      </w:r>
      <w:r>
        <w:rPr>
          <w:lang w:val="en-US"/>
        </w:rPr>
        <w:t xml:space="preserve">%). </w:t>
      </w:r>
      <w:r w:rsidRPr="002E2350">
        <w:t xml:space="preserve">Profesionálních </w:t>
      </w:r>
      <w:r>
        <w:t>sportovců pak bylo v rámci sledované kategorie CZ-ISCO nejméně –</w:t>
      </w:r>
      <w:r w:rsidR="00E62C1E">
        <w:t> n</w:t>
      </w:r>
      <w:r w:rsidR="007355EE">
        <w:t>ecelých 9,2</w:t>
      </w:r>
      <w:r>
        <w:t xml:space="preserve"> </w:t>
      </w:r>
      <w:r>
        <w:rPr>
          <w:lang w:val="en-US"/>
        </w:rPr>
        <w:t>%.</w:t>
      </w:r>
    </w:p>
    <w:p w:rsidR="005F6DAF" w:rsidRPr="00AE6B7B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2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3D076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Zaměstnanost v oblasti sportu </w:t>
      </w:r>
      <w:r w:rsidR="005F14AD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podle kategorií zaměstnání CZ-ISCO </w:t>
      </w:r>
      <w:r w:rsidR="00EC33BE">
        <w:rPr>
          <w:rFonts w:asciiTheme="majorHAnsi" w:hAnsiTheme="majorHAnsi"/>
          <w:b w:val="0"/>
          <w:color w:val="000000" w:themeColor="text1"/>
          <w:sz w:val="22"/>
          <w:szCs w:val="22"/>
        </w:rPr>
        <w:t>v roce 2017</w:t>
      </w:r>
      <w:r w:rsidR="00654D64">
        <w:rPr>
          <w:rStyle w:val="Znakapoznpodarou"/>
          <w:rFonts w:asciiTheme="majorHAnsi" w:hAnsiTheme="majorHAnsi"/>
          <w:b w:val="0"/>
          <w:color w:val="000000" w:themeColor="text1"/>
          <w:sz w:val="22"/>
          <w:szCs w:val="22"/>
        </w:rPr>
        <w:footnoteReference w:id="5"/>
      </w:r>
    </w:p>
    <w:p w:rsidR="005F6DAF" w:rsidRDefault="0082413B" w:rsidP="00654D64">
      <w:pPr>
        <w:pStyle w:val="Odstavecseseznamem"/>
        <w:ind w:left="0"/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3" type="#_x0000_t202" style="position:absolute;left:0;text-align:left;margin-left:141.55pt;margin-top:76pt;width:53.1pt;height:18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zORQIAAI4EAAAOAAAAZHJzL2Uyb0RvYy54bWysVFtv2yAUfp+0/4B4XxynSZNYcaouXaZJ&#10;3UVq9wMwxjYacBiQ2N2v3wGnaba+TfMD4lz4zndu3twMWpGjcF6CKWk+mVIiDIdamrak3x/371aU&#10;+MBMzRQYUdIn4enN9u2bTW8LMYMOVC0cQRDji96WtAvBFlnmeSc08xOwwqCxAadZQNG1We1Yj+ha&#10;ZbPp9DrrwdXWARfeo/ZuNNJtwm8awcPXpvEiEFVS5BbS6dJZxTPbbljROmY7yU802D+w0EwaDHqG&#10;umOBkYOTr6C05A48NGHCQWfQNJKLlANmk0//yuahY1akXLA43p7L5P8fLP9y/OaIrLF3lBimsUWP&#10;YgjkPQwkX8fy9NYX6PVg0S8MqI+uMVVv74H/8MTArmOmFbfOQd8JViO9PL7MLp6OOD6CVP1nqDEO&#10;OwRIQEPjdATEahBExzY9nVsTuXBUXi/nV0u0cDTNrlb5bJEisOL5sXU+fBSgSbyU1GHnEzg73vsQ&#10;ybDi2SWRByXrvVQqCa6tdsqRI8Mp2afvhO4v3ZQhfUnXC4z9GiIOrDiDVO1YI3XQmOwInE/jF4FZ&#10;gXqcy1GfVEgvzXyESGT/iKxlwC1RUpd0dYESi/3B1AkxMKnGO0Ipc6p+LPhY+jBUQ+rzMjKInamg&#10;fsJ2OBiXApcYLx24X5T0uBAl9T8PzAlK1CeDLV3n83ncoCTMF8sZCu7SUl1amOEIVdJAyXjdhXHr&#10;DtbJtsNIY4EM3OIYNDK16IXViT4OfSrGaUHjVl3KyevlN7L9DQAA//8DAFBLAwQUAAYACAAAACEA&#10;A3AKu+AAAAALAQAADwAAAGRycy9kb3ducmV2LnhtbEyPQU+DQBCF7yb+h82YeLNLwTaALI3R2Jsx&#10;oqkeF3YEIjtL2G2L/fVOT3qc9768ea/YzHYQB5x870jBchGBQGqc6alV8P72dJOC8EGT0YMjVPCD&#10;Hjbl5UWhc+OO9IqHKrSCQ8jnWkEXwphL6ZsOrfYLNyKx9+UmqwOfUyvNpI8cbgcZR9FaWt0Tf+j0&#10;iA8dNt/V3irwTbTevdxWu49abvGUGfP4uX1W6vpqvr8DEXAOfzCc63N1KLlT7fZkvBgUxGmyZJSN&#10;VcyjmEjSLAFRs5JmK5BlIf9vKH8BAAD//wMAUEsBAi0AFAAGAAgAAAAhALaDOJL+AAAA4QEAABMA&#10;AAAAAAAAAAAAAAAAAAAAAFtDb250ZW50X1R5cGVzXS54bWxQSwECLQAUAAYACAAAACEAOP0h/9YA&#10;AACUAQAACwAAAAAAAAAAAAAAAAAvAQAAX3JlbHMvLnJlbHNQSwECLQAUAAYACAAAACEAY2M8zkUC&#10;AACOBAAADgAAAAAAAAAAAAAAAAAuAgAAZHJzL2Uyb0RvYy54bWxQSwECLQAUAAYACAAAACEAA3AK&#10;u+AAAAALAQAADwAAAAAAAAAAAAAAAACfBAAAZHJzL2Rvd25yZXYueG1sUEsFBgAAAAAEAAQA8wAA&#10;AKwFAAAAAA==&#10;" strokecolor="white [3212]">
            <v:textbox style="mso-next-textbox:#Text Box 19">
              <w:txbxContent>
                <w:p w:rsidR="0002075B" w:rsidRDefault="0002075B">
                  <w:r>
                    <w:t>15,6 tis.</w:t>
                  </w:r>
                </w:p>
              </w:txbxContent>
            </v:textbox>
          </v:shape>
        </w:pict>
      </w:r>
      <w:r w:rsidR="005F14AD" w:rsidRPr="005F14AD">
        <w:rPr>
          <w:noProof/>
          <w:lang w:eastAsia="cs-CZ"/>
        </w:rPr>
        <w:drawing>
          <wp:inline distT="0" distB="0" distL="0" distR="0">
            <wp:extent cx="4838700" cy="2266950"/>
            <wp:effectExtent l="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6DAF" w:rsidRPr="00AE6B7B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>Zdroj: Výběrové šetření pracovních sil, ČSÚ</w:t>
      </w:r>
    </w:p>
    <w:p w:rsidR="005F6DAF" w:rsidRPr="00026CE4" w:rsidRDefault="005F6DAF" w:rsidP="00AE6B7B">
      <w:pPr>
        <w:jc w:val="both"/>
      </w:pPr>
      <w:r w:rsidRPr="00026CE4">
        <w:lastRenderedPageBreak/>
        <w:t xml:space="preserve">Pracovníky je možné podrobněji rozdělit také v rámci </w:t>
      </w:r>
      <w:r w:rsidR="005F14AD">
        <w:t xml:space="preserve">převažující </w:t>
      </w:r>
      <w:r w:rsidRPr="00026CE4">
        <w:t>ekonomické činnosti</w:t>
      </w:r>
      <w:r w:rsidR="005F14AD">
        <w:t xml:space="preserve"> podniku</w:t>
      </w:r>
      <w:r w:rsidRPr="00026CE4">
        <w:t xml:space="preserve"> 93.1 Sportovní aktivity a</w:t>
      </w:r>
      <w:r w:rsidR="00E62C1E">
        <w:t> </w:t>
      </w:r>
      <w:r w:rsidRPr="00026CE4">
        <w:t xml:space="preserve">jejích podkategorií. Jak ukazuje Graf 3, </w:t>
      </w:r>
      <w:r w:rsidR="0082261D">
        <w:t xml:space="preserve">43,5 </w:t>
      </w:r>
      <w:r w:rsidR="0082261D" w:rsidRPr="00026CE4">
        <w:t>%</w:t>
      </w:r>
      <w:r w:rsidR="0082261D">
        <w:t xml:space="preserve"> pracovníků</w:t>
      </w:r>
      <w:r w:rsidRPr="00026CE4">
        <w:t xml:space="preserve"> (ať už sportovních či „ne-sportovních) v rámci ekonomické činnosti </w:t>
      </w:r>
      <w:r w:rsidR="00B2753F">
        <w:t xml:space="preserve">CZ-NACE </w:t>
      </w:r>
      <w:r w:rsidR="0082261D">
        <w:t xml:space="preserve">93.1 </w:t>
      </w:r>
      <w:r w:rsidR="005F14AD">
        <w:t>pracovalo v organizaci provozující sportovní</w:t>
      </w:r>
      <w:r w:rsidRPr="00026CE4">
        <w:t xml:space="preserve"> zařízení.  </w:t>
      </w:r>
      <w:r w:rsidR="0082261D">
        <w:t>Přibližně stejný podíl pracovníků</w:t>
      </w:r>
      <w:r w:rsidRPr="00026CE4">
        <w:t xml:space="preserve"> </w:t>
      </w:r>
      <w:r w:rsidR="0082261D">
        <w:t>působil v</w:t>
      </w:r>
      <w:r w:rsidR="006E59AE">
        <w:t> podnicích zajišťujících činnosti</w:t>
      </w:r>
      <w:r w:rsidRPr="00026CE4">
        <w:t xml:space="preserve"> sportovních klubů</w:t>
      </w:r>
      <w:r w:rsidR="0082261D">
        <w:t xml:space="preserve"> (21,4 </w:t>
      </w:r>
      <w:r w:rsidR="0082261D" w:rsidRPr="00026CE4">
        <w:t>%</w:t>
      </w:r>
      <w:r w:rsidR="0082261D">
        <w:t>)</w:t>
      </w:r>
      <w:r w:rsidRPr="00026CE4">
        <w:t xml:space="preserve"> a činnosti </w:t>
      </w:r>
      <w:r w:rsidR="0082261D">
        <w:t xml:space="preserve">fitcentr (22,6 </w:t>
      </w:r>
      <w:r w:rsidR="0082261D" w:rsidRPr="00026CE4">
        <w:t>%</w:t>
      </w:r>
      <w:r w:rsidR="0082261D">
        <w:t>). Zbylých 12,5</w:t>
      </w:r>
      <w:r w:rsidRPr="00026CE4">
        <w:t xml:space="preserve"> % </w:t>
      </w:r>
      <w:r w:rsidR="006E59AE">
        <w:t>osob pracovalo v podnicích zaměřených na ostatní sportovní činnosti</w:t>
      </w:r>
      <w:r w:rsidR="003D0763">
        <w:t xml:space="preserve"> (např. produkce sportovních </w:t>
      </w:r>
      <w:r w:rsidR="00503E1E">
        <w:t>akcí</w:t>
      </w:r>
      <w:r w:rsidR="003D0763">
        <w:t>)</w:t>
      </w:r>
      <w:r w:rsidRPr="00026CE4">
        <w:t>.</w:t>
      </w:r>
    </w:p>
    <w:p w:rsidR="005F6DAF" w:rsidRPr="00AE6B7B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3</w:t>
      </w:r>
      <w:r w:rsidR="0082413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3D076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Zaměstnanost </w:t>
      </w:r>
      <w:r w:rsidR="006E59AE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podle kategorií ekonomických činností CZ-NACE </w:t>
      </w:r>
      <w:r w:rsidR="003D0763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v oblasti sportu </w:t>
      </w:r>
      <w:r w:rsidR="009B0B12">
        <w:rPr>
          <w:rFonts w:asciiTheme="majorHAnsi" w:hAnsiTheme="majorHAnsi"/>
          <w:b w:val="0"/>
          <w:color w:val="000000" w:themeColor="text1"/>
          <w:sz w:val="22"/>
          <w:szCs w:val="22"/>
        </w:rPr>
        <w:t>v roce 2017</w:t>
      </w:r>
    </w:p>
    <w:p w:rsidR="005F6DAF" w:rsidRDefault="00EC33BE" w:rsidP="005F6DAF">
      <w:pPr>
        <w:jc w:val="center"/>
      </w:pPr>
      <w:r w:rsidRPr="00EC33BE">
        <w:rPr>
          <w:noProof/>
        </w:rPr>
        <w:drawing>
          <wp:inline distT="0" distB="0" distL="0" distR="0">
            <wp:extent cx="5495925" cy="2857500"/>
            <wp:effectExtent l="0" t="0" r="0" b="0"/>
            <wp:docPr id="1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6DAF" w:rsidRPr="00AE6B7B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>Zdroj: Výběrové šetření pracovních sil, ČSÚ</w:t>
      </w:r>
    </w:p>
    <w:p w:rsidR="005F6DAF" w:rsidRDefault="005F6DAF" w:rsidP="00AE6B7B">
      <w:pPr>
        <w:jc w:val="both"/>
      </w:pPr>
      <w:r>
        <w:t xml:space="preserve">Mezinárodní srovnání počtu zaměstnaných osob </w:t>
      </w:r>
      <w:r w:rsidR="006E59AE">
        <w:t xml:space="preserve">v oblasti sportu </w:t>
      </w:r>
      <w:r>
        <w:t>v rámci zemí evropské osmadvacítky</w:t>
      </w:r>
      <w:r w:rsidR="009D3CF4">
        <w:t xml:space="preserve"> </w:t>
      </w:r>
      <w:r>
        <w:t>na</w:t>
      </w:r>
      <w:r w:rsidR="00211B86">
        <w:t>bízí Tabulka 6</w:t>
      </w:r>
      <w:r>
        <w:t>. Výpočtů bylo dosaženo stejnou metodikou, která je použita pro tuto publikaci v rámci výpočtu zaměstnanosti v</w:t>
      </w:r>
      <w:r w:rsidR="006E59AE">
        <w:t> </w:t>
      </w:r>
      <w:r>
        <w:t>ČR</w:t>
      </w:r>
      <w:r w:rsidR="006E59AE">
        <w:t>,</w:t>
      </w:r>
      <w:r>
        <w:t xml:space="preserve"> a údaje pochází rovněž z Výběrového šetření pracovních </w:t>
      </w:r>
      <w:r w:rsidR="0082261D">
        <w:t>sil. V roce 2016</w:t>
      </w:r>
      <w:r>
        <w:t xml:space="preserve"> pak podle těchto údajů pracovalo v členských státech EU </w:t>
      </w:r>
      <w:r w:rsidR="0082261D">
        <w:t>v oblasti sportu přibližně 1 698</w:t>
      </w:r>
      <w:r>
        <w:t xml:space="preserve"> tis. osob. Zdaleka nejvíce sportovn</w:t>
      </w:r>
      <w:r w:rsidR="00FA4FE4">
        <w:t>ích pracovníků evidovalo Spojené</w:t>
      </w:r>
      <w:r w:rsidR="0082261D">
        <w:t xml:space="preserve"> království (431</w:t>
      </w:r>
      <w:r>
        <w:t xml:space="preserve"> t</w:t>
      </w:r>
      <w:r w:rsidR="006D55DD">
        <w:t>is. osob) a dále pak Německo (243,3 tis. osob) a Španělsko (192,2</w:t>
      </w:r>
      <w:r>
        <w:t xml:space="preserve"> tis. osob). V zemích se srovnatelným počtem obyvatel jako v ČR pracovalo více osob ve sportu např. v </w:t>
      </w:r>
      <w:r w:rsidR="006D55DD">
        <w:t>Portugalsku (39,2</w:t>
      </w:r>
      <w:r>
        <w:t xml:space="preserve"> tis.</w:t>
      </w:r>
      <w:r w:rsidR="006D55DD">
        <w:t xml:space="preserve"> osob) a méně např. v Belgii (24,2 tis. osob) či v Řecku (17,3 tis. osob).</w:t>
      </w:r>
    </w:p>
    <w:p w:rsidR="008818D4" w:rsidRDefault="008C2DB8" w:rsidP="00AE6B7B">
      <w:pPr>
        <w:jc w:val="both"/>
      </w:pPr>
      <w:r>
        <w:rPr>
          <w:szCs w:val="20"/>
        </w:rPr>
        <w:tab/>
      </w:r>
      <w:r w:rsidR="008818D4">
        <w:rPr>
          <w:szCs w:val="20"/>
        </w:rPr>
        <w:t>Údaje o počtu zaměstnaných osob je možné doplnit také o data o průměrné mzdě z Informačního systému o průměrném výdělku, jejímž gestorem je Ministerstvo práce a sociálních věcí. Ten však sleduje pouze zaměstnance ve mzdové a platové sféře, nikoliv podnikatele a pracovníky na dohody</w:t>
      </w:r>
      <w:r w:rsidR="006E59AE">
        <w:rPr>
          <w:szCs w:val="20"/>
        </w:rPr>
        <w:t>,</w:t>
      </w:r>
      <w:r w:rsidR="008818D4">
        <w:rPr>
          <w:szCs w:val="20"/>
        </w:rPr>
        <w:t xml:space="preserve"> a proto je problematické tyto údaje spojovat s daty z VŠPS, které podnikatele a pracovníky na dohody zahrnuje. Jak je patrné z Tabulky 7, průměrná mzda </w:t>
      </w:r>
      <w:r w:rsidR="006E59AE" w:rsidRPr="006E59AE">
        <w:rPr>
          <w:szCs w:val="20"/>
        </w:rPr>
        <w:t>profesionální</w:t>
      </w:r>
      <w:r w:rsidR="00A70133">
        <w:rPr>
          <w:szCs w:val="20"/>
        </w:rPr>
        <w:t>ch</w:t>
      </w:r>
      <w:r w:rsidR="006E59AE" w:rsidRPr="006E59AE">
        <w:rPr>
          <w:szCs w:val="20"/>
        </w:rPr>
        <w:t xml:space="preserve"> sportovc</w:t>
      </w:r>
      <w:r w:rsidR="00A70133">
        <w:rPr>
          <w:szCs w:val="20"/>
        </w:rPr>
        <w:t>ů</w:t>
      </w:r>
      <w:r w:rsidR="006E59AE" w:rsidRPr="006E59AE">
        <w:rPr>
          <w:szCs w:val="20"/>
        </w:rPr>
        <w:t xml:space="preserve"> </w:t>
      </w:r>
      <w:r w:rsidR="008818D4">
        <w:rPr>
          <w:szCs w:val="20"/>
        </w:rPr>
        <w:t>dosahovala</w:t>
      </w:r>
      <w:r w:rsidR="006E59AE">
        <w:rPr>
          <w:szCs w:val="20"/>
        </w:rPr>
        <w:t xml:space="preserve"> v roce 2017</w:t>
      </w:r>
      <w:r w:rsidR="008818D4">
        <w:rPr>
          <w:szCs w:val="20"/>
        </w:rPr>
        <w:t xml:space="preserve"> </w:t>
      </w:r>
      <w:r w:rsidR="006E59AE">
        <w:rPr>
          <w:szCs w:val="20"/>
        </w:rPr>
        <w:t>více než 31</w:t>
      </w:r>
      <w:r w:rsidR="008818D4">
        <w:rPr>
          <w:szCs w:val="20"/>
        </w:rPr>
        <w:t xml:space="preserve"> tis. Kč. Zaměstnanci zařazení do kategorií </w:t>
      </w:r>
      <w:r w:rsidR="00A70133">
        <w:rPr>
          <w:szCs w:val="20"/>
        </w:rPr>
        <w:t>s</w:t>
      </w:r>
      <w:r w:rsidR="006E59AE" w:rsidRPr="006E59AE">
        <w:rPr>
          <w:szCs w:val="20"/>
        </w:rPr>
        <w:t xml:space="preserve">portovní trenéři a instruktoři </w:t>
      </w:r>
      <w:r w:rsidR="008818D4">
        <w:rPr>
          <w:szCs w:val="20"/>
        </w:rPr>
        <w:t>pak dosahovali v roce 2017 na mzdu o několik tisíc Kč vyšší</w:t>
      </w:r>
      <w:r w:rsidR="00A70133">
        <w:rPr>
          <w:szCs w:val="20"/>
        </w:rPr>
        <w:t xml:space="preserve"> – necelých 33 tis. Kč</w:t>
      </w:r>
      <w:r w:rsidR="008818D4">
        <w:rPr>
          <w:szCs w:val="20"/>
        </w:rPr>
        <w:t>.</w:t>
      </w:r>
    </w:p>
    <w:p w:rsidR="005F6DAF" w:rsidRPr="00AE6B7B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Tabulka </w:t>
      </w:r>
      <w:r w:rsidR="0082413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E6B7B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82413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6</w:t>
      </w:r>
      <w:r w:rsidR="0082413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A70133">
        <w:rPr>
          <w:rFonts w:asciiTheme="majorHAnsi" w:hAnsiTheme="majorHAnsi"/>
          <w:b w:val="0"/>
          <w:color w:val="000000" w:themeColor="text1"/>
          <w:sz w:val="22"/>
          <w:szCs w:val="22"/>
        </w:rPr>
        <w:t>Počet zaměstnaných osob</w:t>
      </w:r>
      <w:r w:rsid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>v oblasti sportu</w:t>
      </w:r>
      <w:r w:rsidR="002F0222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zemích EU</w:t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E705A4">
        <w:rPr>
          <w:rFonts w:asciiTheme="majorHAnsi" w:hAnsiTheme="majorHAnsi"/>
          <w:b w:val="0"/>
          <w:color w:val="000000" w:themeColor="text1"/>
          <w:sz w:val="22"/>
          <w:szCs w:val="22"/>
        </w:rPr>
        <w:t>(</w:t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>v tis. osob</w:t>
      </w:r>
      <w:r w:rsidR="00E705A4">
        <w:rPr>
          <w:rFonts w:asciiTheme="majorHAnsi" w:hAnsiTheme="majorHAnsi"/>
          <w:b w:val="0"/>
          <w:color w:val="000000" w:themeColor="text1"/>
          <w:sz w:val="22"/>
          <w:szCs w:val="22"/>
        </w:rPr>
        <w:t>)</w:t>
      </w:r>
    </w:p>
    <w:tbl>
      <w:tblPr>
        <w:tblW w:w="7990" w:type="dxa"/>
        <w:jc w:val="center"/>
        <w:tblCellMar>
          <w:left w:w="70" w:type="dxa"/>
          <w:right w:w="70" w:type="dxa"/>
        </w:tblCellMar>
        <w:tblLook w:val="04A0"/>
      </w:tblPr>
      <w:tblGrid>
        <w:gridCol w:w="1510"/>
        <w:gridCol w:w="1080"/>
        <w:gridCol w:w="1080"/>
        <w:gridCol w:w="1080"/>
        <w:gridCol w:w="1080"/>
        <w:gridCol w:w="1080"/>
        <w:gridCol w:w="1080"/>
      </w:tblGrid>
      <w:tr w:rsidR="00B11D5D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B11D5D" w:rsidRPr="00B11D5D" w:rsidRDefault="00B11D5D" w:rsidP="00B11D5D">
            <w:pPr>
              <w:spacing w:before="120" w:after="120" w:line="240" w:lineRule="auto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Země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B11D5D" w:rsidRPr="00B11D5D" w:rsidRDefault="00B11D5D" w:rsidP="002A447B">
            <w:pPr>
              <w:spacing w:before="120" w:after="12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B11D5D">
              <w:rPr>
                <w:rFonts w:ascii="Calibri" w:hAnsi="Calibri" w:cs="Arial"/>
                <w:b/>
                <w:szCs w:val="20"/>
              </w:rPr>
              <w:t>2016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A70133">
            <w:pPr>
              <w:spacing w:after="0" w:line="240" w:lineRule="auto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EU 28 Celkem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1 495,7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1 557,7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1 507,7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1 570,2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1 630,3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A70133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A70133">
              <w:rPr>
                <w:rFonts w:ascii="Calibri" w:hAnsi="Calibri" w:cs="Arial"/>
                <w:b/>
                <w:szCs w:val="20"/>
              </w:rPr>
              <w:t>1 698,3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Belgie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24,2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Bulharsko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11,6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b/>
                <w:bCs/>
                <w:szCs w:val="20"/>
              </w:rPr>
            </w:pPr>
            <w:r w:rsidRPr="00B11D5D">
              <w:rPr>
                <w:rFonts w:ascii="Calibri" w:hAnsi="Calibri" w:cs="Arial"/>
                <w:b/>
                <w:bCs/>
                <w:szCs w:val="20"/>
              </w:rPr>
              <w:t>Česká republika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25,9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22,2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25,1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27,3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042685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b/>
                <w:szCs w:val="20"/>
              </w:rPr>
            </w:pPr>
            <w:r w:rsidRPr="00042685">
              <w:rPr>
                <w:rFonts w:ascii="Calibri" w:hAnsi="Calibri" w:cs="Arial"/>
                <w:b/>
                <w:szCs w:val="20"/>
              </w:rPr>
              <w:t>31,4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Dánsko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26,9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26,2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24,7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28,1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32,5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Estonsko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5,6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Finsko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30,6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Francie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279,1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277,4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212,8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176,1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180,3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Chorvatsko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5,9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Irsko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18,1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23,1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Itálie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99,9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119,4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Kypr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2,8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Litva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7,8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Lotyšsko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Lucembursko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2,4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Maďarsko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18,7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17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Malta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0,9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Německo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173,3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204,3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218,2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218,8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224,2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243,3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Nizozemsko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76,4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Polsko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49,5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52,8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63,8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Portugalsko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38,9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39,2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Rakousko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27,8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27,9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Rumunsko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12,7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Řecko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17,3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Slovensko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11,8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Slovinsko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5,3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Spojené království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374,4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364,2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417,3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431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Španělsko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148,3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159,6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164,1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187,9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183,3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192,2</w:t>
            </w:r>
          </w:p>
        </w:tc>
      </w:tr>
      <w:tr w:rsidR="00A70133" w:rsidRPr="00B11D5D" w:rsidTr="00A70133">
        <w:trPr>
          <w:trHeight w:val="285"/>
          <w:jc w:val="center"/>
        </w:trPr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A70133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Švédsko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33" w:rsidRPr="00B11D5D" w:rsidRDefault="00A70133" w:rsidP="002A447B">
            <w:pPr>
              <w:spacing w:after="0" w:line="240" w:lineRule="auto"/>
              <w:jc w:val="right"/>
              <w:rPr>
                <w:rFonts w:ascii="Calibri" w:hAnsi="Calibri" w:cs="Arial"/>
                <w:szCs w:val="20"/>
              </w:rPr>
            </w:pPr>
            <w:r w:rsidRPr="00B11D5D">
              <w:rPr>
                <w:rFonts w:ascii="Calibri" w:hAnsi="Calibri" w:cs="Arial"/>
                <w:szCs w:val="20"/>
              </w:rPr>
              <w:t>74,6</w:t>
            </w:r>
          </w:p>
        </w:tc>
      </w:tr>
    </w:tbl>
    <w:p w:rsidR="005F6DAF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3E64D5">
        <w:rPr>
          <w:rFonts w:asciiTheme="majorHAnsi" w:hAnsiTheme="majorHAnsi"/>
        </w:rPr>
        <w:t xml:space="preserve">Zdroj: </w:t>
      </w:r>
      <w:proofErr w:type="spellStart"/>
      <w:r w:rsidRPr="003E64D5">
        <w:rPr>
          <w:rFonts w:asciiTheme="majorHAnsi" w:hAnsiTheme="majorHAnsi"/>
        </w:rPr>
        <w:t>Eurostat</w:t>
      </w:r>
      <w:proofErr w:type="spellEnd"/>
    </w:p>
    <w:p w:rsidR="006E59AE" w:rsidRPr="003E64D5" w:rsidRDefault="006E59AE" w:rsidP="005F6DAF">
      <w:pPr>
        <w:pStyle w:val="Odstavecseseznamem"/>
        <w:ind w:left="0"/>
        <w:rPr>
          <w:rFonts w:asciiTheme="majorHAnsi" w:hAnsiTheme="majorHAnsi"/>
        </w:rPr>
      </w:pPr>
    </w:p>
    <w:p w:rsidR="002A2C91" w:rsidRPr="002A2C91" w:rsidRDefault="002A2C91" w:rsidP="002A2C91">
      <w:pPr>
        <w:pStyle w:val="Titulek"/>
        <w:keepNext/>
        <w:rPr>
          <w:rFonts w:asciiTheme="majorHAnsi" w:hAnsiTheme="majorHAnsi"/>
          <w:color w:val="auto"/>
          <w:sz w:val="22"/>
          <w:szCs w:val="22"/>
        </w:rPr>
      </w:pPr>
      <w:r w:rsidRPr="002A2C91">
        <w:rPr>
          <w:rFonts w:asciiTheme="majorHAnsi" w:hAnsiTheme="majorHAnsi"/>
          <w:color w:val="auto"/>
          <w:sz w:val="22"/>
          <w:szCs w:val="22"/>
        </w:rPr>
        <w:t xml:space="preserve">Tabulka </w:t>
      </w:r>
      <w:r w:rsidR="0082413B" w:rsidRPr="002A2C91">
        <w:rPr>
          <w:rFonts w:asciiTheme="majorHAnsi" w:hAnsiTheme="majorHAnsi"/>
          <w:color w:val="auto"/>
          <w:sz w:val="22"/>
          <w:szCs w:val="22"/>
        </w:rPr>
        <w:fldChar w:fldCharType="begin"/>
      </w:r>
      <w:r w:rsidRPr="002A2C91">
        <w:rPr>
          <w:rFonts w:asciiTheme="majorHAnsi" w:hAnsiTheme="majorHAnsi"/>
          <w:color w:val="auto"/>
          <w:sz w:val="22"/>
          <w:szCs w:val="22"/>
        </w:rPr>
        <w:instrText xml:space="preserve"> SEQ Tabulka \* ARABIC </w:instrText>
      </w:r>
      <w:r w:rsidR="0082413B" w:rsidRPr="002A2C91">
        <w:rPr>
          <w:rFonts w:asciiTheme="majorHAnsi" w:hAnsiTheme="majorHAnsi"/>
          <w:color w:val="auto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auto"/>
          <w:sz w:val="22"/>
          <w:szCs w:val="22"/>
        </w:rPr>
        <w:t>7</w:t>
      </w:r>
      <w:r w:rsidR="0082413B" w:rsidRPr="002A2C91">
        <w:rPr>
          <w:rFonts w:asciiTheme="majorHAnsi" w:hAnsiTheme="majorHAnsi"/>
          <w:color w:val="auto"/>
          <w:sz w:val="22"/>
          <w:szCs w:val="22"/>
        </w:rPr>
        <w:fldChar w:fldCharType="end"/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2A2C91">
        <w:rPr>
          <w:rFonts w:asciiTheme="majorHAnsi" w:hAnsiTheme="majorHAnsi"/>
          <w:b w:val="0"/>
          <w:color w:val="auto"/>
          <w:sz w:val="22"/>
          <w:szCs w:val="22"/>
        </w:rPr>
        <w:t xml:space="preserve">Průměrná mzda </w:t>
      </w:r>
      <w:r w:rsidR="00A70133">
        <w:rPr>
          <w:rFonts w:asciiTheme="majorHAnsi" w:hAnsiTheme="majorHAnsi"/>
          <w:b w:val="0"/>
          <w:color w:val="auto"/>
          <w:sz w:val="22"/>
          <w:szCs w:val="22"/>
        </w:rPr>
        <w:t>Odborných pracovníků v oblasti sportu a fitness</w:t>
      </w:r>
      <w:r w:rsidR="00211B86">
        <w:rPr>
          <w:rFonts w:asciiTheme="majorHAnsi" w:hAnsiTheme="majorHAnsi"/>
          <w:b w:val="0"/>
          <w:color w:val="auto"/>
          <w:sz w:val="22"/>
          <w:szCs w:val="22"/>
        </w:rPr>
        <w:t xml:space="preserve"> v roce 201</w:t>
      </w:r>
      <w:r w:rsidR="00B11D5D">
        <w:rPr>
          <w:rFonts w:asciiTheme="majorHAnsi" w:hAnsiTheme="majorHAnsi"/>
          <w:b w:val="0"/>
          <w:color w:val="auto"/>
          <w:sz w:val="22"/>
          <w:szCs w:val="22"/>
        </w:rPr>
        <w:t>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2"/>
        <w:gridCol w:w="2745"/>
      </w:tblGrid>
      <w:tr w:rsidR="002A2C91" w:rsidRPr="002A2C91" w:rsidTr="002A2C91">
        <w:trPr>
          <w:trHeight w:val="300"/>
        </w:trPr>
        <w:tc>
          <w:tcPr>
            <w:tcW w:w="6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A2C91" w:rsidRPr="002A2C91" w:rsidRDefault="002A2C91" w:rsidP="002A2C91">
            <w:pPr>
              <w:spacing w:before="120" w:after="120" w:line="240" w:lineRule="auto"/>
              <w:rPr>
                <w:rFonts w:ascii="Calibri" w:hAnsi="Calibri"/>
                <w:b/>
                <w:color w:val="000000"/>
                <w:szCs w:val="20"/>
              </w:rPr>
            </w:pPr>
            <w:r w:rsidRPr="002A2C91">
              <w:rPr>
                <w:rFonts w:ascii="Calibri" w:hAnsi="Calibri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27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A2C91" w:rsidRPr="002A2C91" w:rsidRDefault="002A2C91" w:rsidP="00FA42FF">
            <w:pPr>
              <w:spacing w:before="120" w:after="12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 w:rsidRPr="002A2C91">
              <w:rPr>
                <w:rFonts w:ascii="Calibri" w:hAnsi="Calibri"/>
                <w:b/>
                <w:color w:val="000000"/>
                <w:szCs w:val="20"/>
              </w:rPr>
              <w:t>Průměrná mzda v Kč</w:t>
            </w:r>
          </w:p>
        </w:tc>
      </w:tr>
      <w:tr w:rsidR="002A2C91" w:rsidRPr="002A2C91" w:rsidTr="002A2C91">
        <w:trPr>
          <w:trHeight w:val="300"/>
        </w:trPr>
        <w:tc>
          <w:tcPr>
            <w:tcW w:w="6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91" w:rsidRPr="002A2C91" w:rsidRDefault="006E59AE" w:rsidP="00A70133">
            <w:pPr>
              <w:spacing w:before="60" w:after="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CZ-ISCO</w:t>
            </w:r>
            <w:r w:rsidR="00A70133">
              <w:rPr>
                <w:rFonts w:ascii="Calibri" w:hAnsi="Calibri"/>
                <w:color w:val="000000"/>
                <w:szCs w:val="20"/>
              </w:rPr>
              <w:t xml:space="preserve"> 34.21 Atleti a ostatní </w:t>
            </w:r>
            <w:r w:rsidR="002A2C91" w:rsidRPr="002A2C91">
              <w:rPr>
                <w:rFonts w:ascii="Calibri" w:hAnsi="Calibri"/>
                <w:color w:val="000000"/>
                <w:szCs w:val="20"/>
              </w:rPr>
              <w:t>sportovci</w:t>
            </w:r>
            <w:r w:rsidR="00A70133">
              <w:rPr>
                <w:rFonts w:ascii="Calibri" w:hAnsi="Calibri"/>
                <w:color w:val="000000"/>
                <w:szCs w:val="20"/>
              </w:rPr>
              <w:t xml:space="preserve"> (profesionální sportovci)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91" w:rsidRPr="002A2C91" w:rsidRDefault="00B11D5D" w:rsidP="00FA42FF">
            <w:pPr>
              <w:spacing w:before="60" w:after="60" w:line="276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31 334</w:t>
            </w:r>
          </w:p>
        </w:tc>
      </w:tr>
      <w:tr w:rsidR="002A2C91" w:rsidRPr="002A2C91" w:rsidTr="006E59AE">
        <w:trPr>
          <w:trHeight w:val="292"/>
        </w:trPr>
        <w:tc>
          <w:tcPr>
            <w:tcW w:w="6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B12" w:rsidRPr="002A2C91" w:rsidRDefault="006E59AE" w:rsidP="009B0B12">
            <w:pPr>
              <w:spacing w:before="60" w:after="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CZ-ISCO</w:t>
            </w:r>
            <w:r w:rsidR="002A2C91" w:rsidRPr="002A2C91">
              <w:rPr>
                <w:rFonts w:ascii="Calibri" w:hAnsi="Calibri"/>
                <w:color w:val="000000"/>
                <w:szCs w:val="20"/>
              </w:rPr>
              <w:t xml:space="preserve"> 34.22</w:t>
            </w:r>
            <w:r w:rsidR="00B11D5D">
              <w:rPr>
                <w:rFonts w:ascii="Calibri" w:hAnsi="Calibri"/>
                <w:color w:val="000000"/>
                <w:szCs w:val="20"/>
              </w:rPr>
              <w:t xml:space="preserve">1 </w:t>
            </w:r>
            <w:r w:rsidR="004B0204">
              <w:rPr>
                <w:rFonts w:ascii="Calibri" w:hAnsi="Calibri"/>
                <w:color w:val="000000"/>
                <w:szCs w:val="20"/>
              </w:rPr>
              <w:t xml:space="preserve">+ </w:t>
            </w:r>
            <w:r w:rsidR="00B11D5D">
              <w:rPr>
                <w:rFonts w:ascii="Calibri" w:hAnsi="Calibri"/>
                <w:color w:val="000000"/>
                <w:szCs w:val="20"/>
              </w:rPr>
              <w:t>34.222</w:t>
            </w:r>
            <w:r w:rsidR="002A2C91" w:rsidRPr="002A2C91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="009B0B12">
              <w:rPr>
                <w:rFonts w:ascii="Calibri" w:hAnsi="Calibri"/>
                <w:color w:val="000000"/>
                <w:szCs w:val="20"/>
              </w:rPr>
              <w:t>Sportovní trenéři a instruktoři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91" w:rsidRPr="002A2C91" w:rsidRDefault="00B11D5D" w:rsidP="00FA42FF">
            <w:pPr>
              <w:spacing w:before="60" w:after="60" w:line="276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32 992</w:t>
            </w:r>
          </w:p>
        </w:tc>
      </w:tr>
    </w:tbl>
    <w:p w:rsidR="000975F8" w:rsidRDefault="002A2C91" w:rsidP="005F6DAF">
      <w:pPr>
        <w:pStyle w:val="Odstavecseseznamem"/>
        <w:ind w:left="0"/>
        <w:rPr>
          <w:rFonts w:asciiTheme="majorHAnsi" w:hAnsiTheme="majorHAnsi"/>
        </w:rPr>
      </w:pPr>
      <w:r w:rsidRPr="002A2C91">
        <w:rPr>
          <w:rFonts w:asciiTheme="majorHAnsi" w:hAnsiTheme="majorHAnsi"/>
        </w:rPr>
        <w:t>Zdroj: Informační systém o průměrném výdělku, MPSV</w:t>
      </w:r>
    </w:p>
    <w:p w:rsidR="006E59AE" w:rsidRDefault="006E59AE">
      <w:pPr>
        <w:spacing w:after="0" w:line="240" w:lineRule="auto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hAnsiTheme="majorHAnsi"/>
        </w:rPr>
        <w:br w:type="page"/>
      </w:r>
    </w:p>
    <w:p w:rsidR="005F6DAF" w:rsidRPr="00403D3A" w:rsidRDefault="005F6DAF" w:rsidP="007732FD">
      <w:pPr>
        <w:pStyle w:val="Nadpis2"/>
        <w:numPr>
          <w:ilvl w:val="1"/>
          <w:numId w:val="17"/>
        </w:numPr>
      </w:pPr>
      <w:bookmarkStart w:id="3" w:name="_Toc489436977"/>
      <w:r w:rsidRPr="00403D3A">
        <w:lastRenderedPageBreak/>
        <w:t>Zahraniční obchod</w:t>
      </w:r>
      <w:bookmarkEnd w:id="3"/>
      <w:r w:rsidRPr="00403D3A">
        <w:t xml:space="preserve"> </w:t>
      </w:r>
    </w:p>
    <w:p w:rsidR="005F6DAF" w:rsidRDefault="005F6DAF" w:rsidP="005F6DAF">
      <w:pPr>
        <w:jc w:val="both"/>
      </w:pPr>
      <w:r>
        <w:t xml:space="preserve">Posledním sledovaným ukazatelem v rámci analýzy ekonomických aspektů v oblasti sportu je zahraniční obchod. Ten je </w:t>
      </w:r>
      <w:r w:rsidR="00FF0CB8">
        <w:t>zde</w:t>
      </w:r>
      <w:r>
        <w:t xml:space="preserve"> zachycen tzv. </w:t>
      </w:r>
      <w:r w:rsidRPr="000A2B8F">
        <w:t>přeshraničním pojetí</w:t>
      </w:r>
      <w:r>
        <w:t>m</w:t>
      </w:r>
      <w:r w:rsidRPr="000A2B8F">
        <w:t xml:space="preserve"> </w:t>
      </w:r>
      <w:r>
        <w:t xml:space="preserve">a sleduje </w:t>
      </w:r>
      <w:r w:rsidRPr="000A2B8F">
        <w:t>přechod</w:t>
      </w:r>
      <w:r>
        <w:t xml:space="preserve"> zboží přes hranice, nikoliv </w:t>
      </w:r>
      <w:r w:rsidRPr="000A2B8F">
        <w:t>faktickou změnu vlastnictví</w:t>
      </w:r>
      <w:r w:rsidR="00EA1B9D">
        <w:rPr>
          <w:rStyle w:val="Znakapoznpodarou"/>
        </w:rPr>
        <w:footnoteReference w:id="6"/>
      </w:r>
      <w:r w:rsidRPr="000A2B8F">
        <w:t>.</w:t>
      </w:r>
      <w:r>
        <w:t xml:space="preserve"> Statistiky zachycují pouze údaje o zbo</w:t>
      </w:r>
      <w:r w:rsidR="00622174">
        <w:t>ží, údaje o</w:t>
      </w:r>
      <w:r w:rsidR="00524884">
        <w:t> </w:t>
      </w:r>
      <w:r w:rsidR="00622174">
        <w:t>službách za rok 2017</w:t>
      </w:r>
      <w:r>
        <w:t xml:space="preserve"> nemohou být </w:t>
      </w:r>
      <w:r w:rsidR="00EA1B9D">
        <w:t xml:space="preserve">s ohledem na ochranu individuálních údajů </w:t>
      </w:r>
      <w:r>
        <w:t>publikovány. Zboží sportovního charakteru bylo na základě shodných fyzických vlastností rozděleno do 13 různých skupin. Konkrétní kódy zboží v rámci Harmonizovaného systému přiřazené do jednotlivých sk</w:t>
      </w:r>
      <w:r w:rsidR="00A43B1B">
        <w:t>upin jsou k nalezení v Příloze 3</w:t>
      </w:r>
      <w:r w:rsidR="00CF42DF">
        <w:t xml:space="preserve"> a vychází z </w:t>
      </w:r>
      <w:hyperlink r:id="rId16" w:history="1">
        <w:r w:rsidR="00CF42DF" w:rsidRPr="00CF42DF">
          <w:rPr>
            <w:rStyle w:val="Hypertextovodkaz"/>
          </w:rPr>
          <w:t>metodiky</w:t>
        </w:r>
      </w:hyperlink>
      <w:r w:rsidR="00CF42DF">
        <w:t xml:space="preserve"> schválené pracovní skupinou </w:t>
      </w:r>
      <w:hyperlink r:id="rId17" w:history="1">
        <w:proofErr w:type="spellStart"/>
        <w:r w:rsidR="00CF42DF" w:rsidRPr="00DF1CA9">
          <w:rPr>
            <w:rStyle w:val="Hypertextovodkaz"/>
          </w:rPr>
          <w:t>Eurostat</w:t>
        </w:r>
        <w:proofErr w:type="spellEnd"/>
        <w:r w:rsidR="00CF42DF" w:rsidRPr="00DF1CA9">
          <w:rPr>
            <w:rStyle w:val="Hypertextovodkaz"/>
          </w:rPr>
          <w:t xml:space="preserve"> </w:t>
        </w:r>
        <w:proofErr w:type="spellStart"/>
        <w:r w:rsidR="00CF42DF" w:rsidRPr="00DF1CA9">
          <w:rPr>
            <w:rStyle w:val="Hypertextovodkaz"/>
          </w:rPr>
          <w:t>Sports</w:t>
        </w:r>
        <w:proofErr w:type="spellEnd"/>
        <w:r w:rsidR="00CF42DF" w:rsidRPr="00DF1CA9">
          <w:rPr>
            <w:rStyle w:val="Hypertextovodkaz"/>
          </w:rPr>
          <w:t xml:space="preserve"> </w:t>
        </w:r>
        <w:proofErr w:type="spellStart"/>
        <w:r w:rsidR="00CF42DF" w:rsidRPr="00DF1CA9">
          <w:rPr>
            <w:rStyle w:val="Hypertextovodkaz"/>
          </w:rPr>
          <w:t>Statistics</w:t>
        </w:r>
        <w:proofErr w:type="spellEnd"/>
      </w:hyperlink>
      <w:r w:rsidR="00CF42DF">
        <w:t xml:space="preserve"> v roce 2015</w:t>
      </w:r>
      <w:r w:rsidR="00DF1CA9">
        <w:t>.</w:t>
      </w:r>
    </w:p>
    <w:p w:rsidR="005F6DAF" w:rsidRDefault="004118E6" w:rsidP="005F6DAF">
      <w:pPr>
        <w:jc w:val="both"/>
      </w:pPr>
      <w:r>
        <w:tab/>
      </w:r>
      <w:r w:rsidR="005F6DAF">
        <w:t xml:space="preserve">Údaje o zahraničním </w:t>
      </w:r>
      <w:r w:rsidR="00211B86">
        <w:t>obchodě v ČR zachycuje Tabulka 8</w:t>
      </w:r>
      <w:r w:rsidR="005F6DAF">
        <w:t>. Nejvíc</w:t>
      </w:r>
      <w:r w:rsidR="00A43B1B">
        <w:t>e vyváženou položkou</w:t>
      </w:r>
      <w:r w:rsidR="005F6DAF">
        <w:t xml:space="preserve"> bylo zboží týkající se</w:t>
      </w:r>
      <w:r w:rsidR="00622174">
        <w:t xml:space="preserve"> atletiky a venkovních sportů (5,5</w:t>
      </w:r>
      <w:r w:rsidR="005F6DAF">
        <w:t xml:space="preserve"> mld. Kč</w:t>
      </w:r>
      <w:r w:rsidR="00622174">
        <w:t>) a dále pak lyže (3,9 mld. Kč) a sportovní obuv (3,4</w:t>
      </w:r>
      <w:r w:rsidR="005F6DAF">
        <w:t xml:space="preserve"> mld. Kč). Poslední jmenovaná skupina zboží je zároveň také </w:t>
      </w:r>
      <w:r w:rsidR="00EA1B9D">
        <w:t>žádaná</w:t>
      </w:r>
      <w:r w:rsidR="005F6DAF">
        <w:t xml:space="preserve"> v rámci dovozu (4</w:t>
      </w:r>
      <w:r w:rsidR="00622174">
        <w:t>,3</w:t>
      </w:r>
      <w:r w:rsidR="005F6DAF">
        <w:t xml:space="preserve"> mld. Kč) a tvoří tak nejvyšší záporné saldo (0,9 mld. Kč). Celkový vývoz zboží sportovního charakteru dosáhl v </w:t>
      </w:r>
      <w:r w:rsidR="00622174">
        <w:t>roce 2017 hodnoty 18 mld. Kč a celkový dovoz pak 13</w:t>
      </w:r>
      <w:r w:rsidR="005F6DAF">
        <w:t xml:space="preserve">,9 mld. </w:t>
      </w:r>
      <w:r w:rsidR="00622174">
        <w:t>Kč. Celkově tak bylo v roce 2017</w:t>
      </w:r>
      <w:r w:rsidR="005F6DAF">
        <w:t xml:space="preserve"> d</w:t>
      </w:r>
      <w:r w:rsidR="00622174">
        <w:t>osaženo kladného salda ve výši 4,1</w:t>
      </w:r>
      <w:r w:rsidR="005F6DAF">
        <w:t xml:space="preserve"> mld. Kč.</w:t>
      </w:r>
    </w:p>
    <w:p w:rsidR="005F6DAF" w:rsidRPr="004118E6" w:rsidRDefault="005F6DAF" w:rsidP="005F6DAF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82413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82413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8</w:t>
      </w:r>
      <w:r w:rsidR="0082413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Zahraniční obchod se zbožím sportovního charakteru</w:t>
      </w:r>
      <w:r w:rsidR="003957FF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</w:t>
      </w:r>
      <w:r w:rsidR="00EA1B9D">
        <w:rPr>
          <w:rFonts w:asciiTheme="majorHAnsi" w:hAnsiTheme="majorHAnsi"/>
          <w:b w:val="0"/>
          <w:color w:val="000000" w:themeColor="text1"/>
          <w:sz w:val="22"/>
          <w:szCs w:val="22"/>
        </w:rPr>
        <w:t>přes</w:t>
      </w:r>
      <w:r w:rsidR="003957FF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hraničním pojetí </w:t>
      </w:r>
      <w:r w:rsidR="003957FF"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v roce</w:t>
      </w:r>
      <w:r w:rsidR="00091299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2017</w:t>
      </w:r>
      <w:r w:rsidR="00EA1B9D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(v 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tis. Kč)</w:t>
      </w:r>
    </w:p>
    <w:tbl>
      <w:tblPr>
        <w:tblW w:w="8907" w:type="dxa"/>
        <w:jc w:val="center"/>
        <w:tblLook w:val="04A0"/>
      </w:tblPr>
      <w:tblGrid>
        <w:gridCol w:w="3459"/>
        <w:gridCol w:w="1777"/>
        <w:gridCol w:w="1765"/>
        <w:gridCol w:w="1906"/>
      </w:tblGrid>
      <w:tr w:rsidR="005F6DAF" w:rsidRPr="00677F42" w:rsidTr="004118E6">
        <w:trPr>
          <w:trHeight w:val="300"/>
          <w:jc w:val="center"/>
        </w:trPr>
        <w:tc>
          <w:tcPr>
            <w:tcW w:w="3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4118E6" w:rsidRDefault="005F6DAF" w:rsidP="004118E6">
            <w:pPr>
              <w:spacing w:before="120" w:after="120" w:line="276" w:lineRule="auto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Oblast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4118E6" w:rsidRDefault="005F6DAF" w:rsidP="002A447B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vývoz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4118E6" w:rsidRDefault="005F6DAF" w:rsidP="002A447B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dovoz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F6DAF" w:rsidRPr="004118E6" w:rsidRDefault="005F6DAF" w:rsidP="002A447B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saldo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tcBorders>
              <w:top w:val="single" w:sz="12" w:space="0" w:color="auto"/>
            </w:tcBorders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Atletika a venkovní sporty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5 547 158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3 512 499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2 034 659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Brusle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177 397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430 080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-252 683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Cyklistika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2 193 484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1 686 691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506 793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Golf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8 562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89 694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-81 132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Lyže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3 919 494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1 700 488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2 219 006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Míče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109 046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259 580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-150 534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Padáky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218 007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41 231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176 776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Sportovní p</w:t>
            </w:r>
            <w:r w:rsidRPr="004118E6">
              <w:rPr>
                <w:rFonts w:asciiTheme="majorHAnsi" w:hAnsiTheme="majorHAnsi"/>
                <w:color w:val="000000"/>
              </w:rPr>
              <w:t>ušky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731 211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124 024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607 187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Rakety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26 713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160 083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-133 370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Rybaření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63 077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260 321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-197 244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Sportovní obuv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3 359 031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4 258 527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091299">
              <w:rPr>
                <w:rFonts w:asciiTheme="majorHAnsi" w:hAnsiTheme="majorHAnsi"/>
                <w:color w:val="FF0000"/>
                <w:szCs w:val="20"/>
              </w:rPr>
              <w:t>-899 496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Sportovní oděvy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1 108 977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888 621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220 356</w:t>
            </w:r>
          </w:p>
        </w:tc>
      </w:tr>
      <w:tr w:rsidR="00091299" w:rsidRPr="00677F42" w:rsidTr="004118E6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color w:val="000000"/>
              </w:rPr>
            </w:pPr>
            <w:r w:rsidRPr="004118E6">
              <w:rPr>
                <w:rFonts w:asciiTheme="majorHAnsi" w:hAnsiTheme="majorHAnsi"/>
                <w:color w:val="000000"/>
              </w:rPr>
              <w:t>Vodní sporty</w:t>
            </w:r>
          </w:p>
        </w:tc>
        <w:tc>
          <w:tcPr>
            <w:tcW w:w="1777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543 345</w:t>
            </w:r>
          </w:p>
        </w:tc>
        <w:tc>
          <w:tcPr>
            <w:tcW w:w="1765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455 178</w:t>
            </w:r>
          </w:p>
        </w:tc>
        <w:tc>
          <w:tcPr>
            <w:tcW w:w="1906" w:type="dxa"/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color w:val="000000"/>
                <w:szCs w:val="20"/>
              </w:rPr>
              <w:t>88 167</w:t>
            </w:r>
          </w:p>
        </w:tc>
      </w:tr>
      <w:tr w:rsidR="00091299" w:rsidRPr="00677F42" w:rsidTr="00F80332">
        <w:trPr>
          <w:trHeight w:val="300"/>
          <w:jc w:val="center"/>
        </w:trPr>
        <w:tc>
          <w:tcPr>
            <w:tcW w:w="3459" w:type="dxa"/>
            <w:tcBorders>
              <w:bottom w:val="single" w:sz="12" w:space="0" w:color="auto"/>
            </w:tcBorders>
            <w:noWrap/>
            <w:hideMark/>
          </w:tcPr>
          <w:p w:rsidR="00091299" w:rsidRPr="004118E6" w:rsidRDefault="00091299" w:rsidP="00DB3954">
            <w:pPr>
              <w:spacing w:before="60" w:after="60" w:line="276" w:lineRule="auto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CELKEM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b/>
                <w:color w:val="000000"/>
                <w:szCs w:val="20"/>
              </w:rPr>
              <w:t>18 005 502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b/>
                <w:color w:val="000000"/>
                <w:szCs w:val="20"/>
              </w:rPr>
              <w:t>13 867 017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091299" w:rsidRPr="00091299" w:rsidRDefault="00091299" w:rsidP="002A447B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091299">
              <w:rPr>
                <w:rFonts w:asciiTheme="majorHAnsi" w:hAnsiTheme="majorHAnsi"/>
                <w:b/>
                <w:color w:val="000000"/>
                <w:szCs w:val="20"/>
              </w:rPr>
              <w:t>4 138 485</w:t>
            </w:r>
          </w:p>
        </w:tc>
      </w:tr>
    </w:tbl>
    <w:p w:rsidR="005F6DAF" w:rsidRPr="000B2863" w:rsidRDefault="005F6DAF" w:rsidP="005F6DAF">
      <w:pPr>
        <w:pStyle w:val="Odstavecseseznamem"/>
        <w:ind w:left="0"/>
        <w:rPr>
          <w:rFonts w:asciiTheme="majorHAnsi" w:hAnsiTheme="majorHAnsi"/>
        </w:rPr>
      </w:pPr>
      <w:r w:rsidRPr="000B2863">
        <w:rPr>
          <w:rFonts w:asciiTheme="majorHAnsi" w:hAnsiTheme="majorHAnsi"/>
        </w:rPr>
        <w:t xml:space="preserve">Zdroj: </w:t>
      </w:r>
      <w:r w:rsidRPr="000B2863">
        <w:rPr>
          <w:rFonts w:asciiTheme="majorHAnsi" w:eastAsia="Times New Roman" w:hAnsiTheme="majorHAnsi" w:cs="Times New Roman"/>
          <w:color w:val="000000"/>
          <w:lang w:eastAsia="cs-CZ"/>
        </w:rPr>
        <w:t>Databáze zahraničního obchodu, ČSÚ</w:t>
      </w:r>
    </w:p>
    <w:p w:rsidR="005F6DAF" w:rsidRDefault="005F6DAF" w:rsidP="004118E6">
      <w:pPr>
        <w:jc w:val="both"/>
      </w:pPr>
      <w:r>
        <w:lastRenderedPageBreak/>
        <w:t xml:space="preserve">Z mezinárodního srovnání je patrné, že obchod se zbožím sportovního charakteru je u </w:t>
      </w:r>
      <w:r w:rsidR="00EA1B9D">
        <w:t xml:space="preserve">více než poloviny </w:t>
      </w:r>
      <w:r>
        <w:t xml:space="preserve">členských zemí </w:t>
      </w:r>
      <w:r w:rsidR="00A001FE">
        <w:t>Evropské unie založen spíše na ex</w:t>
      </w:r>
      <w:r w:rsidR="008818D4">
        <w:t>portu. V roce 2016</w:t>
      </w:r>
      <w:r>
        <w:t xml:space="preserve"> dosáhla nejvě</w:t>
      </w:r>
      <w:r w:rsidR="00F02C6F">
        <w:t>tšího kladného salda Itálie (1,9</w:t>
      </w:r>
      <w:r>
        <w:t xml:space="preserve"> mld. EUR) a dále pak </w:t>
      </w:r>
      <w:r w:rsidR="00F02C6F">
        <w:t>Belgie (1,4</w:t>
      </w:r>
      <w:r>
        <w:t xml:space="preserve"> mld. EUR) a </w:t>
      </w:r>
      <w:r w:rsidR="00F02C6F">
        <w:t>Nizozemsko</w:t>
      </w:r>
      <w:r>
        <w:t xml:space="preserve"> (necelá 1 mld. EUR). </w:t>
      </w:r>
      <w:r w:rsidR="00A43B1B">
        <w:t>Dovoz</w:t>
      </w:r>
      <w:r>
        <w:t xml:space="preserve"> zboží sportovního charakteru převýšil vývoz nejv</w:t>
      </w:r>
      <w:r w:rsidR="00F02C6F">
        <w:t>íce ve Spojeném království (-1,1</w:t>
      </w:r>
      <w:r>
        <w:t xml:space="preserve"> mld. EUR) a</w:t>
      </w:r>
      <w:r w:rsidR="00E62C1E">
        <w:t> </w:t>
      </w:r>
      <w:r>
        <w:t>Š</w:t>
      </w:r>
      <w:r w:rsidR="00F02C6F">
        <w:t>panělsku (-0,9</w:t>
      </w:r>
      <w:r>
        <w:t xml:space="preserve"> mld. EUR). Bilance mezinárodního obchodu v České republice se v m</w:t>
      </w:r>
      <w:r w:rsidR="00F02C6F">
        <w:t xml:space="preserve">ezinárodním srovnání v roce 2016 </w:t>
      </w:r>
      <w:r>
        <w:t>s koneč</w:t>
      </w:r>
      <w:r w:rsidR="00F02C6F">
        <w:t>ným kladným saldem 0,1</w:t>
      </w:r>
      <w:r w:rsidR="000B2863">
        <w:t xml:space="preserve"> mld. EUR</w:t>
      </w:r>
      <w:r w:rsidR="00F02C6F">
        <w:t xml:space="preserve"> nachází v první desítce zemí s nejvyšším kladným saldem</w:t>
      </w:r>
      <w:r>
        <w:t>.</w:t>
      </w:r>
    </w:p>
    <w:p w:rsidR="00BD3AEB" w:rsidRDefault="00BD3AEB" w:rsidP="00BD3AEB">
      <w:pPr>
        <w:pStyle w:val="Titulek"/>
        <w:keepNext/>
        <w:jc w:val="both"/>
      </w:pPr>
      <w:r w:rsidRPr="00BD3AEB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82413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82413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02075B">
        <w:rPr>
          <w:rFonts w:asciiTheme="majorHAnsi" w:hAnsiTheme="majorHAnsi"/>
          <w:noProof/>
          <w:color w:val="000000" w:themeColor="text1"/>
          <w:sz w:val="22"/>
          <w:szCs w:val="22"/>
        </w:rPr>
        <w:t>4</w:t>
      </w:r>
      <w:r w:rsidR="0082413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>
        <w:t xml:space="preserve"> 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Mezinárodní srovnání zahraničního obchodu se zbožím sportovního charakteru</w:t>
      </w:r>
      <w:r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v zemích EU v roce 2016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(v </w:t>
      </w:r>
      <w:r w:rsidR="00FA42FF">
        <w:rPr>
          <w:rFonts w:asciiTheme="majorHAnsi" w:hAnsiTheme="majorHAnsi"/>
          <w:b w:val="0"/>
          <w:color w:val="000000" w:themeColor="text1"/>
          <w:sz w:val="22"/>
          <w:szCs w:val="22"/>
        </w:rPr>
        <w:t>mil</w:t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>. EUR)</w:t>
      </w:r>
    </w:p>
    <w:p w:rsidR="00EA1B9D" w:rsidRDefault="00211B67" w:rsidP="004118E6">
      <w:pPr>
        <w:jc w:val="both"/>
      </w:pPr>
      <w:r w:rsidRPr="00211B67">
        <w:rPr>
          <w:noProof/>
        </w:rPr>
        <w:drawing>
          <wp:inline distT="0" distB="0" distL="0" distR="0">
            <wp:extent cx="5924550" cy="62388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69A2" w:rsidRPr="004118E6" w:rsidRDefault="008A69A2" w:rsidP="008A69A2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</w:t>
      </w:r>
      <w:proofErr w:type="spellStart"/>
      <w:r w:rsidRPr="004118E6">
        <w:rPr>
          <w:rFonts w:asciiTheme="majorHAnsi" w:hAnsiTheme="majorHAnsi"/>
        </w:rPr>
        <w:t>Eurostat</w:t>
      </w:r>
      <w:proofErr w:type="spellEnd"/>
    </w:p>
    <w:sectPr w:rsidR="008A69A2" w:rsidRPr="004118E6" w:rsidSect="00B918D3">
      <w:footnotePr>
        <w:numStart w:val="5"/>
      </w:footnotePr>
      <w:type w:val="continuous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050ACD" w15:done="0"/>
  <w15:commentEx w15:paraId="6A7C3D3A" w15:done="0"/>
  <w15:commentEx w15:paraId="6754349E" w15:done="0"/>
  <w15:commentEx w15:paraId="39B05307" w15:done="0"/>
  <w15:commentEx w15:paraId="6D25B790" w15:done="0"/>
  <w15:commentEx w15:paraId="79A9B92C" w15:done="0"/>
  <w15:commentEx w15:paraId="6CB41C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63" w:rsidRDefault="001F5163" w:rsidP="00E71A58">
      <w:r>
        <w:separator/>
      </w:r>
    </w:p>
  </w:endnote>
  <w:endnote w:type="continuationSeparator" w:id="0">
    <w:p w:rsidR="001F5163" w:rsidRDefault="001F516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936"/>
      <w:docPartObj>
        <w:docPartGallery w:val="Page Numbers (Bottom of Page)"/>
        <w:docPartUnique/>
      </w:docPartObj>
    </w:sdtPr>
    <w:sdtContent>
      <w:p w:rsidR="00B04860" w:rsidRDefault="0082413B" w:rsidP="00B04860">
        <w:pPr>
          <w:pStyle w:val="Zpat"/>
          <w:tabs>
            <w:tab w:val="left" w:pos="9570"/>
          </w:tabs>
          <w:rPr>
            <w:rFonts w:eastAsia="Times New Roman" w:cs="Times New Roman"/>
            <w:noProof w:val="0"/>
            <w:sz w:val="20"/>
            <w:szCs w:val="24"/>
            <w:lang w:eastAsia="cs-CZ"/>
          </w:rPr>
        </w:pPr>
        <w:fldSimple w:instr=" PAGE   \* MERGEFORMAT ">
          <w:r w:rsidR="00B918D3">
            <w:t>16</w:t>
          </w:r>
        </w:fldSimple>
        <w:r w:rsidR="00B04860">
          <w:tab/>
          <w:t>2017</w:t>
        </w:r>
        <w:r w:rsidR="00B04860" w:rsidRPr="00B04860">
          <w:rPr>
            <w:lang w:eastAsia="cs-CZ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5367655</wp:posOffset>
              </wp:positionH>
              <wp:positionV relativeFrom="paragraph">
                <wp:posOffset>-29210</wp:posOffset>
              </wp:positionV>
              <wp:extent cx="466725" cy="219075"/>
              <wp:effectExtent l="19050" t="0" r="9525" b="0"/>
              <wp:wrapNone/>
              <wp:docPr id="14" name="obrázek 4" descr="Description: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4" descr="Description: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" cy="219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60" w:rsidRDefault="00B04860">
    <w:pPr>
      <w:pStyle w:val="Zpat"/>
    </w:pPr>
    <w:r w:rsidRPr="00B04860">
      <w:rPr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-133985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2017</w:t>
    </w:r>
    <w:r>
      <w:tab/>
    </w:r>
    <w:fldSimple w:instr=" PAGE   \* MERGEFORMAT ">
      <w:r w:rsidR="00B918D3"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63" w:rsidRDefault="001F5163" w:rsidP="00E71A58">
      <w:r>
        <w:separator/>
      </w:r>
    </w:p>
  </w:footnote>
  <w:footnote w:type="continuationSeparator" w:id="0">
    <w:p w:rsidR="001F5163" w:rsidRDefault="001F5163" w:rsidP="00E71A58">
      <w:r>
        <w:continuationSeparator/>
      </w:r>
    </w:p>
  </w:footnote>
  <w:footnote w:id="1">
    <w:p w:rsidR="0002075B" w:rsidRPr="00A43B1B" w:rsidRDefault="0002075B" w:rsidP="005F6DAF">
      <w:pPr>
        <w:pStyle w:val="Textpoznpodarou"/>
        <w:rPr>
          <w:rFonts w:asciiTheme="majorHAnsi" w:hAnsiTheme="majorHAnsi"/>
        </w:rPr>
      </w:pPr>
      <w:r w:rsidRPr="00A43B1B">
        <w:rPr>
          <w:rStyle w:val="Znakapoznpodarou"/>
          <w:rFonts w:asciiTheme="majorHAnsi" w:hAnsiTheme="majorHAnsi"/>
        </w:rPr>
        <w:footnoteRef/>
      </w:r>
      <w:r w:rsidRPr="00A43B1B">
        <w:rPr>
          <w:rFonts w:asciiTheme="majorHAnsi" w:hAnsiTheme="majorHAnsi"/>
        </w:rPr>
        <w:t xml:space="preserve"> Kraj Hlavní město Praha nebyl do těchto výpočtů zahrnut.</w:t>
      </w:r>
    </w:p>
  </w:footnote>
  <w:footnote w:id="2">
    <w:p w:rsidR="0002075B" w:rsidRDefault="00020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091B">
        <w:rPr>
          <w:rFonts w:asciiTheme="majorHAnsi" w:hAnsiTheme="majorHAnsi"/>
        </w:rPr>
        <w:t>Produkce představuje hodnotu tržního i netržního zboží a služeb, které jsou výsledkem produkční činnosti rezidentských jednotek v daném období na území České republiky</w:t>
      </w:r>
      <w:r>
        <w:rPr>
          <w:rFonts w:asciiTheme="majorHAnsi" w:hAnsiTheme="majorHAnsi"/>
        </w:rPr>
        <w:t>.</w:t>
      </w:r>
    </w:p>
  </w:footnote>
  <w:footnote w:id="3">
    <w:p w:rsidR="0002075B" w:rsidRDefault="00020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Theme="majorHAnsi" w:hAnsiTheme="majorHAnsi"/>
        </w:rPr>
        <w:t>Mezispotřeba</w:t>
      </w:r>
      <w:proofErr w:type="spellEnd"/>
      <w:r>
        <w:rPr>
          <w:rFonts w:asciiTheme="majorHAnsi" w:hAnsiTheme="majorHAnsi"/>
        </w:rPr>
        <w:t xml:space="preserve"> </w:t>
      </w:r>
      <w:r w:rsidRPr="0003091B">
        <w:rPr>
          <w:rFonts w:asciiTheme="majorHAnsi" w:hAnsiTheme="majorHAnsi"/>
        </w:rPr>
        <w:t>představuje hodnotu zboží a služeb spotřebovaných v průběhu příslušného období rezidentskými producenty v procesu výroby jiného zboží a služeb.</w:t>
      </w:r>
    </w:p>
  </w:footnote>
  <w:footnote w:id="4">
    <w:p w:rsidR="0002075B" w:rsidRPr="00E62C1E" w:rsidRDefault="0002075B" w:rsidP="005F6DAF">
      <w:pPr>
        <w:pStyle w:val="Textpoznpodarou"/>
        <w:rPr>
          <w:rFonts w:asciiTheme="majorHAnsi" w:hAnsiTheme="majorHAnsi"/>
        </w:rPr>
      </w:pPr>
      <w:r w:rsidRPr="00E62C1E">
        <w:rPr>
          <w:rStyle w:val="Znakapoznpodarou"/>
          <w:rFonts w:asciiTheme="majorHAnsi" w:hAnsiTheme="majorHAnsi"/>
        </w:rPr>
        <w:footnoteRef/>
      </w:r>
      <w:r w:rsidRPr="00E62C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</w:t>
      </w:r>
      <w:r w:rsidRPr="0014609F">
        <w:rPr>
          <w:rFonts w:asciiTheme="majorHAnsi" w:hAnsiTheme="majorHAnsi"/>
        </w:rPr>
        <w:t>říletý průměr údajů za období 2015 - 2017</w:t>
      </w:r>
    </w:p>
  </w:footnote>
  <w:footnote w:id="5">
    <w:p w:rsidR="0002075B" w:rsidRDefault="00020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14AD">
        <w:rPr>
          <w:rFonts w:asciiTheme="majorHAnsi" w:hAnsiTheme="majorHAnsi"/>
        </w:rPr>
        <w:t>Termín</w:t>
      </w:r>
      <w:r>
        <w:rPr>
          <w:rFonts w:asciiTheme="majorHAnsi" w:hAnsiTheme="majorHAnsi"/>
        </w:rPr>
        <w:t xml:space="preserve"> atlet</w:t>
      </w:r>
      <w:r w:rsidRPr="005F14AD">
        <w:rPr>
          <w:rFonts w:asciiTheme="majorHAnsi" w:hAnsiTheme="majorHAnsi"/>
        </w:rPr>
        <w:t xml:space="preserve"> v kategorii „Atleti a ostatní sportovci“ je p</w:t>
      </w:r>
      <w:r>
        <w:rPr>
          <w:rFonts w:asciiTheme="majorHAnsi" w:hAnsiTheme="majorHAnsi"/>
        </w:rPr>
        <w:t>řeložen</w:t>
      </w:r>
      <w:r w:rsidRPr="00E62C1E">
        <w:rPr>
          <w:rFonts w:asciiTheme="majorHAnsi" w:hAnsiTheme="majorHAnsi"/>
        </w:rPr>
        <w:t xml:space="preserve"> z anglického </w:t>
      </w:r>
      <w:proofErr w:type="spellStart"/>
      <w:r w:rsidRPr="00E62C1E">
        <w:rPr>
          <w:rFonts w:asciiTheme="majorHAnsi" w:hAnsiTheme="majorHAnsi"/>
          <w:i/>
        </w:rPr>
        <w:t>athlet</w:t>
      </w:r>
      <w:proofErr w:type="spellEnd"/>
      <w:r w:rsidRPr="00E62C1E">
        <w:rPr>
          <w:rFonts w:asciiTheme="majorHAnsi" w:hAnsiTheme="majorHAnsi"/>
        </w:rPr>
        <w:t>. Tento výraz je v angličtině a</w:t>
      </w:r>
      <w:r>
        <w:rPr>
          <w:rFonts w:asciiTheme="majorHAnsi" w:hAnsiTheme="majorHAnsi"/>
        </w:rPr>
        <w:t> </w:t>
      </w:r>
      <w:r w:rsidRPr="00E62C1E">
        <w:rPr>
          <w:rFonts w:asciiTheme="majorHAnsi" w:hAnsiTheme="majorHAnsi"/>
        </w:rPr>
        <w:t>zejména pak ve Spojených státech amerických spojován s aktivním sportováním zaměřeným na výkonnostní sport. V současné češtině je slovo atlet spojováno převážně s lehkou atletikou.</w:t>
      </w:r>
    </w:p>
  </w:footnote>
  <w:footnote w:id="6">
    <w:p w:rsidR="0002075B" w:rsidRDefault="0002075B">
      <w:pPr>
        <w:pStyle w:val="Textpoznpodarou"/>
      </w:pPr>
      <w:r>
        <w:rPr>
          <w:rStyle w:val="Znakapoznpodarou"/>
        </w:rPr>
        <w:footnoteRef/>
      </w:r>
      <w:r>
        <w:t xml:space="preserve"> Zboží může být např. převáženo v rámci distribučních center jedné společnosti umístěných v různých zemích.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F3" w:rsidRDefault="00136EF3">
    <w:pPr>
      <w:pStyle w:val="Zhlav"/>
    </w:pPr>
    <w:r>
      <w:t>Statistika sportu: základní ukazatele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5B" w:rsidRDefault="0002075B">
    <w:pPr>
      <w:pStyle w:val="Zhlav"/>
    </w:pPr>
    <w:r>
      <w:t>Statistika sportu: základní ukazatele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B07ADEAA"/>
    <w:lvl w:ilvl="0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360A"/>
    <w:rsid w:val="0000209D"/>
    <w:rsid w:val="00003B39"/>
    <w:rsid w:val="00004D5A"/>
    <w:rsid w:val="000056D5"/>
    <w:rsid w:val="00006DB9"/>
    <w:rsid w:val="0000767A"/>
    <w:rsid w:val="00010702"/>
    <w:rsid w:val="00014951"/>
    <w:rsid w:val="00016992"/>
    <w:rsid w:val="0002075B"/>
    <w:rsid w:val="00021927"/>
    <w:rsid w:val="000234D6"/>
    <w:rsid w:val="00023D29"/>
    <w:rsid w:val="00026389"/>
    <w:rsid w:val="0003091B"/>
    <w:rsid w:val="00031AE0"/>
    <w:rsid w:val="000322EF"/>
    <w:rsid w:val="00033FCD"/>
    <w:rsid w:val="00036B3C"/>
    <w:rsid w:val="00041B53"/>
    <w:rsid w:val="00041CEC"/>
    <w:rsid w:val="00042685"/>
    <w:rsid w:val="00043AB4"/>
    <w:rsid w:val="00044CDE"/>
    <w:rsid w:val="0004694F"/>
    <w:rsid w:val="00051ED0"/>
    <w:rsid w:val="000522E4"/>
    <w:rsid w:val="000610E1"/>
    <w:rsid w:val="00062EC5"/>
    <w:rsid w:val="00062F22"/>
    <w:rsid w:val="000712B3"/>
    <w:rsid w:val="0008263E"/>
    <w:rsid w:val="00082C19"/>
    <w:rsid w:val="00085395"/>
    <w:rsid w:val="0008587B"/>
    <w:rsid w:val="00087634"/>
    <w:rsid w:val="00087F2B"/>
    <w:rsid w:val="00091299"/>
    <w:rsid w:val="00095B31"/>
    <w:rsid w:val="000974D1"/>
    <w:rsid w:val="000975F8"/>
    <w:rsid w:val="0009799E"/>
    <w:rsid w:val="000A06F5"/>
    <w:rsid w:val="000A1183"/>
    <w:rsid w:val="000A256D"/>
    <w:rsid w:val="000A3A2C"/>
    <w:rsid w:val="000B2863"/>
    <w:rsid w:val="000C0BF2"/>
    <w:rsid w:val="000C3408"/>
    <w:rsid w:val="000C6AFD"/>
    <w:rsid w:val="000D5637"/>
    <w:rsid w:val="000D6E73"/>
    <w:rsid w:val="000E6FBD"/>
    <w:rsid w:val="00100F5C"/>
    <w:rsid w:val="0010437D"/>
    <w:rsid w:val="00104C4C"/>
    <w:rsid w:val="00111D66"/>
    <w:rsid w:val="00111FFD"/>
    <w:rsid w:val="0012192F"/>
    <w:rsid w:val="00122C29"/>
    <w:rsid w:val="001243CF"/>
    <w:rsid w:val="00125D69"/>
    <w:rsid w:val="00136EF3"/>
    <w:rsid w:val="001405FA"/>
    <w:rsid w:val="001425C3"/>
    <w:rsid w:val="0014609F"/>
    <w:rsid w:val="00147C8A"/>
    <w:rsid w:val="0016256B"/>
    <w:rsid w:val="00163793"/>
    <w:rsid w:val="001670B1"/>
    <w:rsid w:val="001706D6"/>
    <w:rsid w:val="001714F2"/>
    <w:rsid w:val="00177B06"/>
    <w:rsid w:val="00180281"/>
    <w:rsid w:val="0018114D"/>
    <w:rsid w:val="00184B08"/>
    <w:rsid w:val="00185010"/>
    <w:rsid w:val="00195287"/>
    <w:rsid w:val="001A1F00"/>
    <w:rsid w:val="001A26C1"/>
    <w:rsid w:val="001A552F"/>
    <w:rsid w:val="001A6AE5"/>
    <w:rsid w:val="001B2CA9"/>
    <w:rsid w:val="001B3110"/>
    <w:rsid w:val="001B3985"/>
    <w:rsid w:val="001B4729"/>
    <w:rsid w:val="001B568E"/>
    <w:rsid w:val="001B6C09"/>
    <w:rsid w:val="001C05CD"/>
    <w:rsid w:val="001C517E"/>
    <w:rsid w:val="001C7DC6"/>
    <w:rsid w:val="001D68B2"/>
    <w:rsid w:val="001E2838"/>
    <w:rsid w:val="001F0F5C"/>
    <w:rsid w:val="001F4597"/>
    <w:rsid w:val="001F5163"/>
    <w:rsid w:val="00200396"/>
    <w:rsid w:val="00204948"/>
    <w:rsid w:val="00204D14"/>
    <w:rsid w:val="002118B9"/>
    <w:rsid w:val="00211B67"/>
    <w:rsid w:val="00211B86"/>
    <w:rsid w:val="00217C5B"/>
    <w:rsid w:val="0022139E"/>
    <w:rsid w:val="002252E0"/>
    <w:rsid w:val="002255F6"/>
    <w:rsid w:val="00226518"/>
    <w:rsid w:val="00227850"/>
    <w:rsid w:val="00227A53"/>
    <w:rsid w:val="00230C6E"/>
    <w:rsid w:val="00233F47"/>
    <w:rsid w:val="00234A07"/>
    <w:rsid w:val="00236443"/>
    <w:rsid w:val="002436BA"/>
    <w:rsid w:val="00244A15"/>
    <w:rsid w:val="00245B64"/>
    <w:rsid w:val="00247319"/>
    <w:rsid w:val="0024799E"/>
    <w:rsid w:val="002513C8"/>
    <w:rsid w:val="002526C8"/>
    <w:rsid w:val="00253C0F"/>
    <w:rsid w:val="002571C1"/>
    <w:rsid w:val="002575FA"/>
    <w:rsid w:val="00257E2C"/>
    <w:rsid w:val="00263EFB"/>
    <w:rsid w:val="00271465"/>
    <w:rsid w:val="002732A0"/>
    <w:rsid w:val="00284A5F"/>
    <w:rsid w:val="00285412"/>
    <w:rsid w:val="0029008B"/>
    <w:rsid w:val="0029322D"/>
    <w:rsid w:val="00295D95"/>
    <w:rsid w:val="002A00BE"/>
    <w:rsid w:val="002A025A"/>
    <w:rsid w:val="002A16D4"/>
    <w:rsid w:val="002A230C"/>
    <w:rsid w:val="002A2C91"/>
    <w:rsid w:val="002A3A2E"/>
    <w:rsid w:val="002A447B"/>
    <w:rsid w:val="002C43BD"/>
    <w:rsid w:val="002D0E59"/>
    <w:rsid w:val="002D57F5"/>
    <w:rsid w:val="002D625E"/>
    <w:rsid w:val="002D7B39"/>
    <w:rsid w:val="002E02A1"/>
    <w:rsid w:val="002E1C19"/>
    <w:rsid w:val="002E2755"/>
    <w:rsid w:val="002E4E4C"/>
    <w:rsid w:val="002F0222"/>
    <w:rsid w:val="00300003"/>
    <w:rsid w:val="00300860"/>
    <w:rsid w:val="00301008"/>
    <w:rsid w:val="00304771"/>
    <w:rsid w:val="003052D4"/>
    <w:rsid w:val="003056C2"/>
    <w:rsid w:val="00306C5B"/>
    <w:rsid w:val="0031042D"/>
    <w:rsid w:val="003209D6"/>
    <w:rsid w:val="00321924"/>
    <w:rsid w:val="0032656E"/>
    <w:rsid w:val="00332190"/>
    <w:rsid w:val="00340358"/>
    <w:rsid w:val="00344668"/>
    <w:rsid w:val="003462D9"/>
    <w:rsid w:val="003518A2"/>
    <w:rsid w:val="00360C86"/>
    <w:rsid w:val="003616B8"/>
    <w:rsid w:val="00364226"/>
    <w:rsid w:val="003657F3"/>
    <w:rsid w:val="00371F45"/>
    <w:rsid w:val="00372AF0"/>
    <w:rsid w:val="003743CA"/>
    <w:rsid w:val="003818DC"/>
    <w:rsid w:val="00384327"/>
    <w:rsid w:val="00385D98"/>
    <w:rsid w:val="0038660E"/>
    <w:rsid w:val="0039357E"/>
    <w:rsid w:val="00393F2A"/>
    <w:rsid w:val="003957FF"/>
    <w:rsid w:val="003A0434"/>
    <w:rsid w:val="003A04CB"/>
    <w:rsid w:val="003A2B4D"/>
    <w:rsid w:val="003A478C"/>
    <w:rsid w:val="003A5525"/>
    <w:rsid w:val="003A6B38"/>
    <w:rsid w:val="003B4D71"/>
    <w:rsid w:val="003B5A32"/>
    <w:rsid w:val="003B69CC"/>
    <w:rsid w:val="003B7E86"/>
    <w:rsid w:val="003C2C8C"/>
    <w:rsid w:val="003C3490"/>
    <w:rsid w:val="003D0763"/>
    <w:rsid w:val="003D6920"/>
    <w:rsid w:val="003E4C91"/>
    <w:rsid w:val="003E64D5"/>
    <w:rsid w:val="003F313C"/>
    <w:rsid w:val="003F4B2C"/>
    <w:rsid w:val="003F551C"/>
    <w:rsid w:val="003F568C"/>
    <w:rsid w:val="003F7D23"/>
    <w:rsid w:val="00407C13"/>
    <w:rsid w:val="00410638"/>
    <w:rsid w:val="004118E6"/>
    <w:rsid w:val="00416CD1"/>
    <w:rsid w:val="00425A2F"/>
    <w:rsid w:val="00432A58"/>
    <w:rsid w:val="00434617"/>
    <w:rsid w:val="00436D1A"/>
    <w:rsid w:val="00437A9D"/>
    <w:rsid w:val="00440900"/>
    <w:rsid w:val="0044295E"/>
    <w:rsid w:val="004441A0"/>
    <w:rsid w:val="0045375C"/>
    <w:rsid w:val="00454C0A"/>
    <w:rsid w:val="00460FB3"/>
    <w:rsid w:val="0047397F"/>
    <w:rsid w:val="00476240"/>
    <w:rsid w:val="00476439"/>
    <w:rsid w:val="0047735C"/>
    <w:rsid w:val="004776BC"/>
    <w:rsid w:val="0048139F"/>
    <w:rsid w:val="00481E40"/>
    <w:rsid w:val="00484322"/>
    <w:rsid w:val="00484ECE"/>
    <w:rsid w:val="004900FF"/>
    <w:rsid w:val="004915CB"/>
    <w:rsid w:val="004924DC"/>
    <w:rsid w:val="004A14E4"/>
    <w:rsid w:val="004A3212"/>
    <w:rsid w:val="004A3FDC"/>
    <w:rsid w:val="004A61C5"/>
    <w:rsid w:val="004A77DF"/>
    <w:rsid w:val="004B0204"/>
    <w:rsid w:val="004B1417"/>
    <w:rsid w:val="004B197F"/>
    <w:rsid w:val="004B26C2"/>
    <w:rsid w:val="004B55B7"/>
    <w:rsid w:val="004B6468"/>
    <w:rsid w:val="004C1A6B"/>
    <w:rsid w:val="004C384C"/>
    <w:rsid w:val="004C3867"/>
    <w:rsid w:val="004C3D97"/>
    <w:rsid w:val="004C4806"/>
    <w:rsid w:val="004C4CD0"/>
    <w:rsid w:val="004C70DC"/>
    <w:rsid w:val="004C7CA4"/>
    <w:rsid w:val="004D0211"/>
    <w:rsid w:val="004D0794"/>
    <w:rsid w:val="004D376B"/>
    <w:rsid w:val="004E3A3A"/>
    <w:rsid w:val="004F06F5"/>
    <w:rsid w:val="004F27B3"/>
    <w:rsid w:val="004F33A0"/>
    <w:rsid w:val="004F4254"/>
    <w:rsid w:val="00500A8A"/>
    <w:rsid w:val="005011E4"/>
    <w:rsid w:val="00503265"/>
    <w:rsid w:val="00503E1E"/>
    <w:rsid w:val="00505739"/>
    <w:rsid w:val="005108C0"/>
    <w:rsid w:val="00511873"/>
    <w:rsid w:val="00512A2F"/>
    <w:rsid w:val="00513B7E"/>
    <w:rsid w:val="00514FCC"/>
    <w:rsid w:val="00515C74"/>
    <w:rsid w:val="005174AD"/>
    <w:rsid w:val="0052007E"/>
    <w:rsid w:val="00521EB6"/>
    <w:rsid w:val="0052337A"/>
    <w:rsid w:val="00523A60"/>
    <w:rsid w:val="00524884"/>
    <w:rsid w:val="00525137"/>
    <w:rsid w:val="005251DD"/>
    <w:rsid w:val="00527354"/>
    <w:rsid w:val="00532CE7"/>
    <w:rsid w:val="0053324C"/>
    <w:rsid w:val="00534A28"/>
    <w:rsid w:val="005409EE"/>
    <w:rsid w:val="00541508"/>
    <w:rsid w:val="00551D93"/>
    <w:rsid w:val="0055599F"/>
    <w:rsid w:val="00556D68"/>
    <w:rsid w:val="005647BF"/>
    <w:rsid w:val="0057364B"/>
    <w:rsid w:val="00574773"/>
    <w:rsid w:val="00583FFD"/>
    <w:rsid w:val="005847DE"/>
    <w:rsid w:val="00586F2A"/>
    <w:rsid w:val="00587175"/>
    <w:rsid w:val="005911BE"/>
    <w:rsid w:val="00593152"/>
    <w:rsid w:val="00594576"/>
    <w:rsid w:val="005A10F2"/>
    <w:rsid w:val="005A21E0"/>
    <w:rsid w:val="005A28FF"/>
    <w:rsid w:val="005A3DF8"/>
    <w:rsid w:val="005A5549"/>
    <w:rsid w:val="005B121D"/>
    <w:rsid w:val="005B5786"/>
    <w:rsid w:val="005B7F96"/>
    <w:rsid w:val="005C06ED"/>
    <w:rsid w:val="005C29AD"/>
    <w:rsid w:val="005D0254"/>
    <w:rsid w:val="005D47B4"/>
    <w:rsid w:val="005D5802"/>
    <w:rsid w:val="005D7890"/>
    <w:rsid w:val="005E7C78"/>
    <w:rsid w:val="005F1364"/>
    <w:rsid w:val="005F14AD"/>
    <w:rsid w:val="005F3EB1"/>
    <w:rsid w:val="005F5469"/>
    <w:rsid w:val="005F6DAF"/>
    <w:rsid w:val="006022F4"/>
    <w:rsid w:val="0060346E"/>
    <w:rsid w:val="00604307"/>
    <w:rsid w:val="0060487F"/>
    <w:rsid w:val="00604EAD"/>
    <w:rsid w:val="00605AC7"/>
    <w:rsid w:val="00606740"/>
    <w:rsid w:val="006104FB"/>
    <w:rsid w:val="00612A2F"/>
    <w:rsid w:val="00616E05"/>
    <w:rsid w:val="00622174"/>
    <w:rsid w:val="00624093"/>
    <w:rsid w:val="00632103"/>
    <w:rsid w:val="00636816"/>
    <w:rsid w:val="006404A7"/>
    <w:rsid w:val="006451E4"/>
    <w:rsid w:val="00645B33"/>
    <w:rsid w:val="00646021"/>
    <w:rsid w:val="006516CB"/>
    <w:rsid w:val="00654D64"/>
    <w:rsid w:val="00657CB8"/>
    <w:rsid w:val="00657E87"/>
    <w:rsid w:val="00661133"/>
    <w:rsid w:val="00662914"/>
    <w:rsid w:val="00664803"/>
    <w:rsid w:val="00665BA4"/>
    <w:rsid w:val="00667AF2"/>
    <w:rsid w:val="00667F03"/>
    <w:rsid w:val="006710C9"/>
    <w:rsid w:val="00674D89"/>
    <w:rsid w:val="00675E37"/>
    <w:rsid w:val="0067727C"/>
    <w:rsid w:val="0068174E"/>
    <w:rsid w:val="00681DCE"/>
    <w:rsid w:val="0068260E"/>
    <w:rsid w:val="00686449"/>
    <w:rsid w:val="00695BEF"/>
    <w:rsid w:val="00696280"/>
    <w:rsid w:val="006977F6"/>
    <w:rsid w:val="00697A13"/>
    <w:rsid w:val="006A109C"/>
    <w:rsid w:val="006B0A21"/>
    <w:rsid w:val="006B344A"/>
    <w:rsid w:val="006B78D8"/>
    <w:rsid w:val="006C113F"/>
    <w:rsid w:val="006C123E"/>
    <w:rsid w:val="006C41DE"/>
    <w:rsid w:val="006C56D4"/>
    <w:rsid w:val="006C6924"/>
    <w:rsid w:val="006C7CA6"/>
    <w:rsid w:val="006D3E8A"/>
    <w:rsid w:val="006D55DD"/>
    <w:rsid w:val="006D61F6"/>
    <w:rsid w:val="006E279A"/>
    <w:rsid w:val="006E313B"/>
    <w:rsid w:val="006E59AE"/>
    <w:rsid w:val="006F5416"/>
    <w:rsid w:val="006F7137"/>
    <w:rsid w:val="0070208C"/>
    <w:rsid w:val="00706AD4"/>
    <w:rsid w:val="00711520"/>
    <w:rsid w:val="007140BE"/>
    <w:rsid w:val="007211F5"/>
    <w:rsid w:val="00725BB5"/>
    <w:rsid w:val="00730AE8"/>
    <w:rsid w:val="007355EE"/>
    <w:rsid w:val="0073585F"/>
    <w:rsid w:val="00741493"/>
    <w:rsid w:val="00752180"/>
    <w:rsid w:val="00754313"/>
    <w:rsid w:val="00755202"/>
    <w:rsid w:val="00755D3A"/>
    <w:rsid w:val="007578D3"/>
    <w:rsid w:val="007609C6"/>
    <w:rsid w:val="0076175D"/>
    <w:rsid w:val="007641A8"/>
    <w:rsid w:val="0076521E"/>
    <w:rsid w:val="007661E9"/>
    <w:rsid w:val="007669C0"/>
    <w:rsid w:val="00770CC0"/>
    <w:rsid w:val="007732FD"/>
    <w:rsid w:val="00775CD9"/>
    <w:rsid w:val="00776169"/>
    <w:rsid w:val="007761AF"/>
    <w:rsid w:val="00776527"/>
    <w:rsid w:val="00780075"/>
    <w:rsid w:val="00780EF1"/>
    <w:rsid w:val="00790764"/>
    <w:rsid w:val="00792D83"/>
    <w:rsid w:val="0079453C"/>
    <w:rsid w:val="00794677"/>
    <w:rsid w:val="007969CB"/>
    <w:rsid w:val="007A041E"/>
    <w:rsid w:val="007B45F0"/>
    <w:rsid w:val="007B6689"/>
    <w:rsid w:val="007B787F"/>
    <w:rsid w:val="007D40DF"/>
    <w:rsid w:val="007D4942"/>
    <w:rsid w:val="007E4700"/>
    <w:rsid w:val="007E7E61"/>
    <w:rsid w:val="007F0845"/>
    <w:rsid w:val="00803AC8"/>
    <w:rsid w:val="00804DA3"/>
    <w:rsid w:val="00807C82"/>
    <w:rsid w:val="00816905"/>
    <w:rsid w:val="00821F10"/>
    <w:rsid w:val="00821FF6"/>
    <w:rsid w:val="0082261D"/>
    <w:rsid w:val="00823A94"/>
    <w:rsid w:val="0082413B"/>
    <w:rsid w:val="00825C4D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1E08"/>
    <w:rsid w:val="00852217"/>
    <w:rsid w:val="00853D05"/>
    <w:rsid w:val="00855408"/>
    <w:rsid w:val="00856D1F"/>
    <w:rsid w:val="00856D65"/>
    <w:rsid w:val="00861B41"/>
    <w:rsid w:val="00863434"/>
    <w:rsid w:val="00865E4C"/>
    <w:rsid w:val="008701E4"/>
    <w:rsid w:val="00875A32"/>
    <w:rsid w:val="00876086"/>
    <w:rsid w:val="008818D4"/>
    <w:rsid w:val="008873D4"/>
    <w:rsid w:val="00893E85"/>
    <w:rsid w:val="00894031"/>
    <w:rsid w:val="008A312D"/>
    <w:rsid w:val="008A69A2"/>
    <w:rsid w:val="008B7C02"/>
    <w:rsid w:val="008B7D2B"/>
    <w:rsid w:val="008C0049"/>
    <w:rsid w:val="008C0E88"/>
    <w:rsid w:val="008C2DB8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B4D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DFC"/>
    <w:rsid w:val="00924AC8"/>
    <w:rsid w:val="00924E31"/>
    <w:rsid w:val="0092597A"/>
    <w:rsid w:val="009266D7"/>
    <w:rsid w:val="00931E31"/>
    <w:rsid w:val="00932443"/>
    <w:rsid w:val="0093360A"/>
    <w:rsid w:val="00937AE2"/>
    <w:rsid w:val="009416A8"/>
    <w:rsid w:val="0094427A"/>
    <w:rsid w:val="009606D1"/>
    <w:rsid w:val="009636AC"/>
    <w:rsid w:val="00974923"/>
    <w:rsid w:val="00980B3D"/>
    <w:rsid w:val="00980D3D"/>
    <w:rsid w:val="00987A30"/>
    <w:rsid w:val="00992590"/>
    <w:rsid w:val="00992968"/>
    <w:rsid w:val="00992CF3"/>
    <w:rsid w:val="009968D6"/>
    <w:rsid w:val="009A1CAB"/>
    <w:rsid w:val="009A60D1"/>
    <w:rsid w:val="009B0B12"/>
    <w:rsid w:val="009B6FD3"/>
    <w:rsid w:val="009C1750"/>
    <w:rsid w:val="009C2E29"/>
    <w:rsid w:val="009C554B"/>
    <w:rsid w:val="009C719E"/>
    <w:rsid w:val="009D3ACD"/>
    <w:rsid w:val="009D3CF4"/>
    <w:rsid w:val="009D6C17"/>
    <w:rsid w:val="009E5273"/>
    <w:rsid w:val="009E5DDB"/>
    <w:rsid w:val="009F0ABB"/>
    <w:rsid w:val="009F4CA7"/>
    <w:rsid w:val="00A001FE"/>
    <w:rsid w:val="00A0588A"/>
    <w:rsid w:val="00A0736D"/>
    <w:rsid w:val="00A10D66"/>
    <w:rsid w:val="00A14114"/>
    <w:rsid w:val="00A16413"/>
    <w:rsid w:val="00A23E43"/>
    <w:rsid w:val="00A27637"/>
    <w:rsid w:val="00A30F65"/>
    <w:rsid w:val="00A418BC"/>
    <w:rsid w:val="00A43B1B"/>
    <w:rsid w:val="00A46DE0"/>
    <w:rsid w:val="00A50D73"/>
    <w:rsid w:val="00A51FE7"/>
    <w:rsid w:val="00A52CAD"/>
    <w:rsid w:val="00A53FC7"/>
    <w:rsid w:val="00A622B1"/>
    <w:rsid w:val="00A62CE1"/>
    <w:rsid w:val="00A6741E"/>
    <w:rsid w:val="00A70133"/>
    <w:rsid w:val="00A733D8"/>
    <w:rsid w:val="00A75E40"/>
    <w:rsid w:val="00A77D1D"/>
    <w:rsid w:val="00A857C0"/>
    <w:rsid w:val="00A9372B"/>
    <w:rsid w:val="00AA2996"/>
    <w:rsid w:val="00AA52BF"/>
    <w:rsid w:val="00AA559A"/>
    <w:rsid w:val="00AB2847"/>
    <w:rsid w:val="00AB2AF1"/>
    <w:rsid w:val="00AC114B"/>
    <w:rsid w:val="00AD306C"/>
    <w:rsid w:val="00AD7ADC"/>
    <w:rsid w:val="00AE09B3"/>
    <w:rsid w:val="00AE1A83"/>
    <w:rsid w:val="00AE275C"/>
    <w:rsid w:val="00AE6B7B"/>
    <w:rsid w:val="00AF2DE9"/>
    <w:rsid w:val="00AF4958"/>
    <w:rsid w:val="00AF4BA0"/>
    <w:rsid w:val="00B00913"/>
    <w:rsid w:val="00B01593"/>
    <w:rsid w:val="00B04860"/>
    <w:rsid w:val="00B07283"/>
    <w:rsid w:val="00B10290"/>
    <w:rsid w:val="00B10A4D"/>
    <w:rsid w:val="00B11D5D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0BEF"/>
    <w:rsid w:val="00B40C9B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82598"/>
    <w:rsid w:val="00B9126C"/>
    <w:rsid w:val="00B918D3"/>
    <w:rsid w:val="00B92D1D"/>
    <w:rsid w:val="00B92F97"/>
    <w:rsid w:val="00B938C5"/>
    <w:rsid w:val="00B9561B"/>
    <w:rsid w:val="00B95940"/>
    <w:rsid w:val="00BB3F29"/>
    <w:rsid w:val="00BB46F3"/>
    <w:rsid w:val="00BB4CB1"/>
    <w:rsid w:val="00BB4F98"/>
    <w:rsid w:val="00BB785C"/>
    <w:rsid w:val="00BC3D79"/>
    <w:rsid w:val="00BC4095"/>
    <w:rsid w:val="00BC4B46"/>
    <w:rsid w:val="00BC7154"/>
    <w:rsid w:val="00BD366B"/>
    <w:rsid w:val="00BD3AEB"/>
    <w:rsid w:val="00BD6D50"/>
    <w:rsid w:val="00BE07A6"/>
    <w:rsid w:val="00BE18B9"/>
    <w:rsid w:val="00BE2495"/>
    <w:rsid w:val="00BE3E4B"/>
    <w:rsid w:val="00BE439A"/>
    <w:rsid w:val="00BF1578"/>
    <w:rsid w:val="00C14BDF"/>
    <w:rsid w:val="00C150B6"/>
    <w:rsid w:val="00C17A6E"/>
    <w:rsid w:val="00C21F94"/>
    <w:rsid w:val="00C27913"/>
    <w:rsid w:val="00C27ECC"/>
    <w:rsid w:val="00C32046"/>
    <w:rsid w:val="00C33B68"/>
    <w:rsid w:val="00C360F3"/>
    <w:rsid w:val="00C36A79"/>
    <w:rsid w:val="00C405D4"/>
    <w:rsid w:val="00C4513B"/>
    <w:rsid w:val="00C45246"/>
    <w:rsid w:val="00C54697"/>
    <w:rsid w:val="00C61B32"/>
    <w:rsid w:val="00C73885"/>
    <w:rsid w:val="00C747B1"/>
    <w:rsid w:val="00C74E18"/>
    <w:rsid w:val="00C82191"/>
    <w:rsid w:val="00C90CF4"/>
    <w:rsid w:val="00C92EB6"/>
    <w:rsid w:val="00C93389"/>
    <w:rsid w:val="00CA201B"/>
    <w:rsid w:val="00CA444F"/>
    <w:rsid w:val="00CA4CC4"/>
    <w:rsid w:val="00CB0780"/>
    <w:rsid w:val="00CB1A18"/>
    <w:rsid w:val="00CB4930"/>
    <w:rsid w:val="00CC2E7D"/>
    <w:rsid w:val="00CC5DAB"/>
    <w:rsid w:val="00CD0248"/>
    <w:rsid w:val="00CD10A5"/>
    <w:rsid w:val="00CD11E8"/>
    <w:rsid w:val="00CD2076"/>
    <w:rsid w:val="00CD3ADD"/>
    <w:rsid w:val="00CD5000"/>
    <w:rsid w:val="00CD7EB0"/>
    <w:rsid w:val="00CE62A3"/>
    <w:rsid w:val="00CE670B"/>
    <w:rsid w:val="00CF42DF"/>
    <w:rsid w:val="00CF51EC"/>
    <w:rsid w:val="00CF73AE"/>
    <w:rsid w:val="00D03A32"/>
    <w:rsid w:val="00D040DD"/>
    <w:rsid w:val="00D06E34"/>
    <w:rsid w:val="00D13986"/>
    <w:rsid w:val="00D14865"/>
    <w:rsid w:val="00D20397"/>
    <w:rsid w:val="00D235B7"/>
    <w:rsid w:val="00D24573"/>
    <w:rsid w:val="00D25327"/>
    <w:rsid w:val="00D25F28"/>
    <w:rsid w:val="00D27973"/>
    <w:rsid w:val="00D45DE5"/>
    <w:rsid w:val="00D50F46"/>
    <w:rsid w:val="00D66223"/>
    <w:rsid w:val="00D752BD"/>
    <w:rsid w:val="00D76858"/>
    <w:rsid w:val="00D8084C"/>
    <w:rsid w:val="00D9052F"/>
    <w:rsid w:val="00D92AF2"/>
    <w:rsid w:val="00D97741"/>
    <w:rsid w:val="00DA7C0C"/>
    <w:rsid w:val="00DB2EC8"/>
    <w:rsid w:val="00DB3954"/>
    <w:rsid w:val="00DC1B01"/>
    <w:rsid w:val="00DC5B3B"/>
    <w:rsid w:val="00DD129F"/>
    <w:rsid w:val="00DD7105"/>
    <w:rsid w:val="00DD766C"/>
    <w:rsid w:val="00DF12CA"/>
    <w:rsid w:val="00DF1CA9"/>
    <w:rsid w:val="00DF207B"/>
    <w:rsid w:val="00DF3560"/>
    <w:rsid w:val="00DF42FF"/>
    <w:rsid w:val="00E01C0E"/>
    <w:rsid w:val="00E03F9A"/>
    <w:rsid w:val="00E04694"/>
    <w:rsid w:val="00E12B1E"/>
    <w:rsid w:val="00E17262"/>
    <w:rsid w:val="00E21305"/>
    <w:rsid w:val="00E253A2"/>
    <w:rsid w:val="00E3309D"/>
    <w:rsid w:val="00E464CD"/>
    <w:rsid w:val="00E50156"/>
    <w:rsid w:val="00E51CDC"/>
    <w:rsid w:val="00E53470"/>
    <w:rsid w:val="00E534A7"/>
    <w:rsid w:val="00E539F6"/>
    <w:rsid w:val="00E62C1E"/>
    <w:rsid w:val="00E6519D"/>
    <w:rsid w:val="00E67696"/>
    <w:rsid w:val="00E705A4"/>
    <w:rsid w:val="00E71A58"/>
    <w:rsid w:val="00E72A7A"/>
    <w:rsid w:val="00E73595"/>
    <w:rsid w:val="00E75C94"/>
    <w:rsid w:val="00E93820"/>
    <w:rsid w:val="00EA0C68"/>
    <w:rsid w:val="00EA0D92"/>
    <w:rsid w:val="00EA1B9D"/>
    <w:rsid w:val="00EA32BC"/>
    <w:rsid w:val="00EB4511"/>
    <w:rsid w:val="00EC03D7"/>
    <w:rsid w:val="00EC33BE"/>
    <w:rsid w:val="00EC524C"/>
    <w:rsid w:val="00EC70B1"/>
    <w:rsid w:val="00ED01CD"/>
    <w:rsid w:val="00ED62C6"/>
    <w:rsid w:val="00ED64C1"/>
    <w:rsid w:val="00EE3446"/>
    <w:rsid w:val="00EE34FC"/>
    <w:rsid w:val="00EE3E78"/>
    <w:rsid w:val="00EE4236"/>
    <w:rsid w:val="00EE4B1B"/>
    <w:rsid w:val="00EF031D"/>
    <w:rsid w:val="00EF150D"/>
    <w:rsid w:val="00EF1F5A"/>
    <w:rsid w:val="00EF318C"/>
    <w:rsid w:val="00EF47BF"/>
    <w:rsid w:val="00F02C6F"/>
    <w:rsid w:val="00F04811"/>
    <w:rsid w:val="00F0488C"/>
    <w:rsid w:val="00F04B78"/>
    <w:rsid w:val="00F05D04"/>
    <w:rsid w:val="00F05F5E"/>
    <w:rsid w:val="00F10F11"/>
    <w:rsid w:val="00F15AAA"/>
    <w:rsid w:val="00F15BEF"/>
    <w:rsid w:val="00F23152"/>
    <w:rsid w:val="00F23D46"/>
    <w:rsid w:val="00F24407"/>
    <w:rsid w:val="00F24FAA"/>
    <w:rsid w:val="00F25F16"/>
    <w:rsid w:val="00F26799"/>
    <w:rsid w:val="00F27C0E"/>
    <w:rsid w:val="00F3364D"/>
    <w:rsid w:val="00F40E05"/>
    <w:rsid w:val="00F437CC"/>
    <w:rsid w:val="00F47067"/>
    <w:rsid w:val="00F525EB"/>
    <w:rsid w:val="00F54453"/>
    <w:rsid w:val="00F60959"/>
    <w:rsid w:val="00F63DDE"/>
    <w:rsid w:val="00F63FB7"/>
    <w:rsid w:val="00F649D2"/>
    <w:rsid w:val="00F6602B"/>
    <w:rsid w:val="00F7260E"/>
    <w:rsid w:val="00F73A0C"/>
    <w:rsid w:val="00F756DB"/>
    <w:rsid w:val="00F759A4"/>
    <w:rsid w:val="00F80332"/>
    <w:rsid w:val="00F85066"/>
    <w:rsid w:val="00F864EC"/>
    <w:rsid w:val="00F875BD"/>
    <w:rsid w:val="00FA42FF"/>
    <w:rsid w:val="00FA4FE4"/>
    <w:rsid w:val="00FA5D4D"/>
    <w:rsid w:val="00FA63B7"/>
    <w:rsid w:val="00FA668B"/>
    <w:rsid w:val="00FB0EE2"/>
    <w:rsid w:val="00FB4570"/>
    <w:rsid w:val="00FB542E"/>
    <w:rsid w:val="00FC062A"/>
    <w:rsid w:val="00FC0E5F"/>
    <w:rsid w:val="00FC1A95"/>
    <w:rsid w:val="00FC3C2C"/>
    <w:rsid w:val="00FC56DE"/>
    <w:rsid w:val="00FC684B"/>
    <w:rsid w:val="00FD3265"/>
    <w:rsid w:val="00FE1947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3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4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47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transparency.cz/wp-content/uploads/Publikace-Financov%C3%A1n%C3%AD-sportu-statut%C3%A1rn%C3%ADmi-m%C4%9Bsty-a-kraji.pdf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ircabc.europa.eu/sd/a/cf4a3b4c-802b-420b-a783-6bb00e737755/Minutes%20Sport%20statistics%20TF%20_%20July%20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eurostat/cache/metadata/Annexes/sprt_trd_esms_an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49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Tabulky\Tabulka%20p&#345;&#237;jm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DATA%202017%20VSP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DATA%202017%20VSP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ZO_mezinarodni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8.9903819305729247E-3"/>
          <c:y val="0.28145661385351056"/>
          <c:w val="0.96583768272828463"/>
          <c:h val="0.58319848506854777"/>
        </c:manualLayout>
      </c:layout>
      <c:lineChart>
        <c:grouping val="standard"/>
        <c:ser>
          <c:idx val="0"/>
          <c:order val="0"/>
          <c:tx>
            <c:strRef>
              <c:f>List1!$B$8</c:f>
              <c:strCache>
                <c:ptCount val="1"/>
                <c:pt idx="0">
                  <c:v>93.11 Provozování sportovních zařízení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List1!$C$7:$K$7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#,##0">
                  <c:v>2016</c:v>
                </c:pt>
                <c:pt idx="8" formatCode="#,##0">
                  <c:v>2017</c:v>
                </c:pt>
              </c:numCache>
            </c:numRef>
          </c:cat>
          <c:val>
            <c:numRef>
              <c:f>List1!$C$8:$K$8</c:f>
              <c:numCache>
                <c:formatCode>General</c:formatCode>
                <c:ptCount val="9"/>
                <c:pt idx="0">
                  <c:v>7.5321005457039796</c:v>
                </c:pt>
                <c:pt idx="1">
                  <c:v>9.3333421464145019</c:v>
                </c:pt>
                <c:pt idx="2">
                  <c:v>8.7240541822973459</c:v>
                </c:pt>
                <c:pt idx="3">
                  <c:v>10.593430395735044</c:v>
                </c:pt>
                <c:pt idx="4">
                  <c:v>9.7592986733980656</c:v>
                </c:pt>
                <c:pt idx="5">
                  <c:v>9.5642472164698322</c:v>
                </c:pt>
                <c:pt idx="6">
                  <c:v>10.83768145902812</c:v>
                </c:pt>
                <c:pt idx="7">
                  <c:v>11.109793523766585</c:v>
                </c:pt>
                <c:pt idx="8">
                  <c:v>11.187078964528368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82-4E77-9C99-1E1B034B93DD}"/>
            </c:ext>
          </c:extLst>
        </c:ser>
        <c:ser>
          <c:idx val="1"/>
          <c:order val="1"/>
          <c:tx>
            <c:strRef>
              <c:f>List1!$B$9</c:f>
              <c:strCache>
                <c:ptCount val="1"/>
                <c:pt idx="0">
                  <c:v>93.12 Činnosti sportovních klubů</c:v>
                </c:pt>
              </c:strCache>
            </c:strRef>
          </c:tx>
          <c:dLbls>
            <c:dLbl>
              <c:idx val="3"/>
              <c:layout>
                <c:manualLayout>
                  <c:x val="-3.0054334562176616E-2"/>
                  <c:y val="6.195044768340129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82-4E77-9C99-1E1B034B93DD}"/>
                </c:ext>
              </c:extLst>
            </c:dLbl>
            <c:dLbl>
              <c:idx val="4"/>
              <c:dLblPos val="b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82-4E77-9C99-1E1B034B93DD}"/>
                </c:ext>
              </c:extLst>
            </c:dLbl>
            <c:dLbl>
              <c:idx val="5"/>
              <c:dLblPos val="b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82-4E77-9C99-1E1B034B93DD}"/>
                </c:ext>
              </c:extLst>
            </c:dLbl>
            <c:dLbl>
              <c:idx val="6"/>
              <c:dLblPos val="b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82-4E77-9C99-1E1B034B93DD}"/>
                </c:ext>
              </c:extLst>
            </c:dLbl>
            <c:dLbl>
              <c:idx val="7"/>
              <c:layout>
                <c:manualLayout>
                  <c:x val="-2.7879239401763622E-2"/>
                  <c:y val="5.152472962156326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82-4E77-9C99-1E1B034B93DD}"/>
                </c:ext>
              </c:extLst>
            </c:dLbl>
            <c:dLbl>
              <c:idx val="8"/>
              <c:layout>
                <c:manualLayout>
                  <c:x val="-2.7879239401763622E-2"/>
                  <c:y val="4.679659723385695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82-4E77-9C99-1E1B034B93D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List1!$C$7:$K$7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#,##0">
                  <c:v>2016</c:v>
                </c:pt>
                <c:pt idx="8" formatCode="#,##0">
                  <c:v>2017</c:v>
                </c:pt>
              </c:numCache>
            </c:numRef>
          </c:cat>
          <c:val>
            <c:numRef>
              <c:f>List1!$C$9:$K$9</c:f>
              <c:numCache>
                <c:formatCode>General</c:formatCode>
                <c:ptCount val="9"/>
                <c:pt idx="0">
                  <c:v>3.6976592443275051</c:v>
                </c:pt>
                <c:pt idx="1">
                  <c:v>4.1292269915104214</c:v>
                </c:pt>
                <c:pt idx="2">
                  <c:v>3.9226065528998828</c:v>
                </c:pt>
                <c:pt idx="3">
                  <c:v>3.9408566755052323</c:v>
                </c:pt>
                <c:pt idx="4">
                  <c:v>4.2054773251052016</c:v>
                </c:pt>
                <c:pt idx="5">
                  <c:v>3.9829481715834367</c:v>
                </c:pt>
                <c:pt idx="6">
                  <c:v>3.9353446912272427</c:v>
                </c:pt>
                <c:pt idx="7">
                  <c:v>4.3621180783941345</c:v>
                </c:pt>
                <c:pt idx="8">
                  <c:v>5.3725946847399975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882-4E77-9C99-1E1B034B93DD}"/>
            </c:ext>
          </c:extLst>
        </c:ser>
        <c:ser>
          <c:idx val="2"/>
          <c:order val="2"/>
          <c:tx>
            <c:strRef>
              <c:f>List1!$B$10</c:f>
              <c:strCache>
                <c:ptCount val="1"/>
                <c:pt idx="0">
                  <c:v>93.13 Činnosti fitcenter + 93.19 Ostatní sportovní činnosti</c:v>
                </c:pt>
              </c:strCache>
            </c:strRef>
          </c:tx>
          <c:dLbls>
            <c:dLbl>
              <c:idx val="1"/>
              <c:layout>
                <c:manualLayout>
                  <c:x val="-2.7879239401763702E-2"/>
                  <c:y val="5.249418290798757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882-4E77-9C99-1E1B034B93DD}"/>
                </c:ext>
              </c:extLst>
            </c:dLbl>
            <c:dLbl>
              <c:idx val="2"/>
              <c:layout>
                <c:manualLayout>
                  <c:x val="-3.0054334562176616E-2"/>
                  <c:y val="5.249418290798757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82-4E77-9C99-1E1B034B93DD}"/>
                </c:ext>
              </c:extLst>
            </c:dLbl>
            <c:dLbl>
              <c:idx val="3"/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882-4E77-9C99-1E1B034B93DD}"/>
                </c:ext>
              </c:extLst>
            </c:dLbl>
            <c:dLbl>
              <c:idx val="4"/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82-4E77-9C99-1E1B034B93DD}"/>
                </c:ext>
              </c:extLst>
            </c:dLbl>
            <c:dLbl>
              <c:idx val="5"/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882-4E77-9C99-1E1B034B93DD}"/>
                </c:ext>
              </c:extLst>
            </c:dLbl>
            <c:dLbl>
              <c:idx val="6"/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882-4E77-9C99-1E1B034B93DD}"/>
                </c:ext>
              </c:extLst>
            </c:dLbl>
            <c:dLbl>
              <c:idx val="7"/>
              <c:layout>
                <c:manualLayout>
                  <c:x val="-3.4801522566612411E-2"/>
                  <c:y val="-6.14657210401891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882-4E77-9C99-1E1B034B93DD}"/>
                </c:ext>
              </c:extLst>
            </c:dLbl>
            <c:dLbl>
              <c:idx val="8"/>
              <c:layout>
                <c:manualLayout>
                  <c:x val="-3.2626427406199046E-2"/>
                  <c:y val="-5.67375886524823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882-4E77-9C99-1E1B034B93D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List1!$C$7:$K$7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#,##0">
                  <c:v>2016</c:v>
                </c:pt>
                <c:pt idx="8" formatCode="#,##0">
                  <c:v>2017</c:v>
                </c:pt>
              </c:numCache>
            </c:numRef>
          </c:cat>
          <c:val>
            <c:numRef>
              <c:f>List1!$C$10:$K$10</c:f>
              <c:numCache>
                <c:formatCode>General</c:formatCode>
                <c:ptCount val="9"/>
                <c:pt idx="0">
                  <c:v>2.0166640189386627</c:v>
                </c:pt>
                <c:pt idx="1">
                  <c:v>3.4461510901558197</c:v>
                </c:pt>
                <c:pt idx="2">
                  <c:v>3.3657261886820202</c:v>
                </c:pt>
                <c:pt idx="3">
                  <c:v>4.4801038181530703</c:v>
                </c:pt>
                <c:pt idx="4">
                  <c:v>4.4729372490477255</c:v>
                </c:pt>
                <c:pt idx="5">
                  <c:v>4.5904250662676755</c:v>
                </c:pt>
                <c:pt idx="6">
                  <c:v>5.0276528812029229</c:v>
                </c:pt>
                <c:pt idx="7">
                  <c:v>5.7571057694210355</c:v>
                </c:pt>
                <c:pt idx="8">
                  <c:v>6.1779157303468839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882-4E77-9C99-1E1B034B93DD}"/>
            </c:ext>
          </c:extLst>
        </c:ser>
        <c:ser>
          <c:idx val="3"/>
          <c:order val="3"/>
          <c:tx>
            <c:strRef>
              <c:f>List1!$B$11</c:f>
              <c:strCache>
                <c:ptCount val="1"/>
                <c:pt idx="0">
                  <c:v>93.1 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List1!$C$7:$K$7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#,##0">
                  <c:v>2016</c:v>
                </c:pt>
                <c:pt idx="8" formatCode="#,##0">
                  <c:v>2017</c:v>
                </c:pt>
              </c:numCache>
            </c:numRef>
          </c:cat>
          <c:val>
            <c:numRef>
              <c:f>List1!$C$11:$K$11</c:f>
              <c:numCache>
                <c:formatCode>General</c:formatCode>
                <c:ptCount val="9"/>
                <c:pt idx="0">
                  <c:v>13.246423808970148</c:v>
                </c:pt>
                <c:pt idx="1">
                  <c:v>16.908720228080689</c:v>
                </c:pt>
                <c:pt idx="2">
                  <c:v>16.012386923879287</c:v>
                </c:pt>
                <c:pt idx="3">
                  <c:v>19.014390889393262</c:v>
                </c:pt>
                <c:pt idx="4">
                  <c:v>18.437713247550889</c:v>
                </c:pt>
                <c:pt idx="5">
                  <c:v>18.137620454320881</c:v>
                </c:pt>
                <c:pt idx="6">
                  <c:v>19.80067903145828</c:v>
                </c:pt>
                <c:pt idx="7">
                  <c:v>21.229017371581609</c:v>
                </c:pt>
                <c:pt idx="8">
                  <c:v>22.737589379615326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882-4E77-9C99-1E1B034B93DD}"/>
            </c:ext>
          </c:extLst>
        </c:ser>
        <c:marker val="1"/>
        <c:axId val="81334656"/>
        <c:axId val="81801600"/>
      </c:lineChart>
      <c:catAx>
        <c:axId val="81334656"/>
        <c:scaling>
          <c:orientation val="minMax"/>
        </c:scaling>
        <c:axPos val="b"/>
        <c:numFmt formatCode="0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81801600"/>
        <c:crosses val="autoZero"/>
        <c:auto val="1"/>
        <c:lblAlgn val="ctr"/>
        <c:lblOffset val="100"/>
      </c:catAx>
      <c:valAx>
        <c:axId val="81801600"/>
        <c:scaling>
          <c:orientation val="minMax"/>
        </c:scaling>
        <c:delete val="1"/>
        <c:axPos val="l"/>
        <c:numFmt formatCode="General" sourceLinked="1"/>
        <c:tickLblPos val="none"/>
        <c:crossAx val="813346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0012116540987931E-2"/>
          <c:y val="1.3888881294356465E-2"/>
          <c:w val="0.98903852296240746"/>
          <c:h val="0.24378399508572232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10829127658255415"/>
          <c:y val="8.7518471955712264E-4"/>
          <c:w val="0.44406183479033623"/>
          <c:h val="0.9478294624936634"/>
        </c:manualLayout>
      </c:layout>
      <c:doughnutChart>
        <c:varyColors val="1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Sheet1!$D$37:$F$37</c:f>
              <c:strCache>
                <c:ptCount val="3"/>
                <c:pt idx="0">
                  <c:v>34.21 Atleti a ostatní sportovci (profesionální sportovci)</c:v>
                </c:pt>
                <c:pt idx="1">
                  <c:v>34.22 Sportovní trenéři, instruktoři a úředníci sportovních klubů</c:v>
                </c:pt>
                <c:pt idx="2">
                  <c:v>34.23 Instruktoři a programoví vedoucí v rekreačních zařízeních a fitcentrech</c:v>
                </c:pt>
              </c:strCache>
            </c:strRef>
          </c:cat>
          <c:val>
            <c:numRef>
              <c:f>Sheet1!$D$38:$F$38</c:f>
              <c:numCache>
                <c:formatCode>###0</c:formatCode>
                <c:ptCount val="3"/>
                <c:pt idx="0">
                  <c:v>9.2202691391410713E-2</c:v>
                </c:pt>
                <c:pt idx="1">
                  <c:v>0.51561393342347972</c:v>
                </c:pt>
                <c:pt idx="2">
                  <c:v>0.39218337518511592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74-4674-A366-C1D86DCFAC32}"/>
            </c:ext>
          </c:extLst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Sheet1!$D$59:$G$59</c:f>
              <c:strCache>
                <c:ptCount val="4"/>
                <c:pt idx="0">
                  <c:v>93.11 Provozování sportovních zařízení</c:v>
                </c:pt>
                <c:pt idx="1">
                  <c:v>93.12 Činnosti sportovních klubů</c:v>
                </c:pt>
                <c:pt idx="2">
                  <c:v>93.13 Činnosti fitcenter</c:v>
                </c:pt>
                <c:pt idx="3">
                  <c:v>93.19 Ostatní sportovní činnosti</c:v>
                </c:pt>
              </c:strCache>
            </c:strRef>
          </c:cat>
          <c:val>
            <c:numRef>
              <c:f>Sheet1!$D$60:$G$60</c:f>
              <c:numCache>
                <c:formatCode>###0</c:formatCode>
                <c:ptCount val="4"/>
                <c:pt idx="0">
                  <c:v>0.43467131226223932</c:v>
                </c:pt>
                <c:pt idx="1">
                  <c:v>0.21442030788921845</c:v>
                </c:pt>
                <c:pt idx="2">
                  <c:v>0.22608170085682799</c:v>
                </c:pt>
                <c:pt idx="3">
                  <c:v>0.12482667899171727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FF-4DE0-9948-32955F757016}"/>
            </c:ext>
          </c:extLst>
        </c:ser>
        <c:axId val="82602240"/>
        <c:axId val="82629760"/>
      </c:barChart>
      <c:catAx>
        <c:axId val="826022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82629760"/>
        <c:crosses val="autoZero"/>
        <c:auto val="1"/>
        <c:lblAlgn val="ctr"/>
        <c:lblOffset val="100"/>
      </c:catAx>
      <c:valAx>
        <c:axId val="82629760"/>
        <c:scaling>
          <c:orientation val="minMax"/>
        </c:scaling>
        <c:delete val="1"/>
        <c:axPos val="l"/>
        <c:numFmt formatCode="###0" sourceLinked="1"/>
        <c:tickLblPos val="none"/>
        <c:crossAx val="826022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19235975728114368"/>
          <c:y val="4.4952495441886911E-2"/>
          <c:w val="0.75804221417660644"/>
          <c:h val="0.90405177215443699"/>
        </c:manualLayout>
      </c:layout>
      <c:barChart>
        <c:barDir val="bar"/>
        <c:grouping val="clustered"/>
        <c:ser>
          <c:idx val="0"/>
          <c:order val="0"/>
          <c:tx>
            <c:strRef>
              <c:f>List1!$F$1</c:f>
              <c:strCache>
                <c:ptCount val="1"/>
                <c:pt idx="0">
                  <c:v>vývoz</c:v>
                </c:pt>
              </c:strCache>
            </c:strRef>
          </c:tx>
          <c:dPt>
            <c:idx val="18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cat>
            <c:strRef>
              <c:f>List1!$E$2:$E$29</c:f>
              <c:strCache>
                <c:ptCount val="28"/>
                <c:pt idx="0">
                  <c:v>Malta</c:v>
                </c:pt>
                <c:pt idx="1">
                  <c:v>Irsko</c:v>
                </c:pt>
                <c:pt idx="2">
                  <c:v>Lucembursko</c:v>
                </c:pt>
                <c:pt idx="3">
                  <c:v>Kypr</c:v>
                </c:pt>
                <c:pt idx="4">
                  <c:v>Estonsko</c:v>
                </c:pt>
                <c:pt idx="5">
                  <c:v>Lotyšsko</c:v>
                </c:pt>
                <c:pt idx="6">
                  <c:v>Litva</c:v>
                </c:pt>
                <c:pt idx="7">
                  <c:v>Řecko</c:v>
                </c:pt>
                <c:pt idx="8">
                  <c:v>Chorvatsko</c:v>
                </c:pt>
                <c:pt idx="9">
                  <c:v>Slovinsko</c:v>
                </c:pt>
                <c:pt idx="10">
                  <c:v>Slovensko</c:v>
                </c:pt>
                <c:pt idx="11">
                  <c:v>Bulharsko</c:v>
                </c:pt>
                <c:pt idx="12">
                  <c:v>Dánsko</c:v>
                </c:pt>
                <c:pt idx="13">
                  <c:v>Švédsko</c:v>
                </c:pt>
                <c:pt idx="14">
                  <c:v>Rumunsko</c:v>
                </c:pt>
                <c:pt idx="15">
                  <c:v>Maďarsko</c:v>
                </c:pt>
                <c:pt idx="16">
                  <c:v>Finsko</c:v>
                </c:pt>
                <c:pt idx="17">
                  <c:v>Portugalsko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Rakousko</c:v>
                </c:pt>
                <c:pt idx="21">
                  <c:v>Polsko</c:v>
                </c:pt>
                <c:pt idx="22">
                  <c:v>Spojené království</c:v>
                </c:pt>
                <c:pt idx="23">
                  <c:v>Francie</c:v>
                </c:pt>
                <c:pt idx="24">
                  <c:v>Belgie</c:v>
                </c:pt>
                <c:pt idx="25">
                  <c:v>Nizozemsko</c:v>
                </c:pt>
                <c:pt idx="26">
                  <c:v>Itálie</c:v>
                </c:pt>
                <c:pt idx="27">
                  <c:v>Německo</c:v>
                </c:pt>
              </c:strCache>
            </c:strRef>
          </c:cat>
          <c:val>
            <c:numRef>
              <c:f>List1!$F$2:$F$29</c:f>
              <c:numCache>
                <c:formatCode>General</c:formatCode>
                <c:ptCount val="28"/>
                <c:pt idx="0">
                  <c:v>3.8819999999999997</c:v>
                </c:pt>
                <c:pt idx="1">
                  <c:v>24.38</c:v>
                </c:pt>
                <c:pt idx="2">
                  <c:v>30.161000000000001</c:v>
                </c:pt>
                <c:pt idx="3">
                  <c:v>46.11</c:v>
                </c:pt>
                <c:pt idx="4">
                  <c:v>60.440999999999995</c:v>
                </c:pt>
                <c:pt idx="5">
                  <c:v>78.977000000000004</c:v>
                </c:pt>
                <c:pt idx="6">
                  <c:v>84.338000000000008</c:v>
                </c:pt>
                <c:pt idx="7">
                  <c:v>90.568000000000012</c:v>
                </c:pt>
                <c:pt idx="8">
                  <c:v>101.8</c:v>
                </c:pt>
                <c:pt idx="9">
                  <c:v>127.16800000000001</c:v>
                </c:pt>
                <c:pt idx="10">
                  <c:v>190.589</c:v>
                </c:pt>
                <c:pt idx="11">
                  <c:v>233.54</c:v>
                </c:pt>
                <c:pt idx="12">
                  <c:v>289.05599999999993</c:v>
                </c:pt>
                <c:pt idx="13">
                  <c:v>340.06900000000002</c:v>
                </c:pt>
                <c:pt idx="14">
                  <c:v>346.98599999999863</c:v>
                </c:pt>
                <c:pt idx="15">
                  <c:v>357.11099999999999</c:v>
                </c:pt>
                <c:pt idx="16">
                  <c:v>368.41499999999894</c:v>
                </c:pt>
                <c:pt idx="17">
                  <c:v>391.20400000000001</c:v>
                </c:pt>
                <c:pt idx="18">
                  <c:v>639.14800000000002</c:v>
                </c:pt>
                <c:pt idx="19">
                  <c:v>810.12700000000007</c:v>
                </c:pt>
                <c:pt idx="20">
                  <c:v>840.86199999999747</c:v>
                </c:pt>
                <c:pt idx="21">
                  <c:v>847.42199999999946</c:v>
                </c:pt>
                <c:pt idx="22">
                  <c:v>2078.3850000000002</c:v>
                </c:pt>
                <c:pt idx="23">
                  <c:v>2468.73</c:v>
                </c:pt>
                <c:pt idx="24">
                  <c:v>3448.145</c:v>
                </c:pt>
                <c:pt idx="25">
                  <c:v>3501.9300000000012</c:v>
                </c:pt>
                <c:pt idx="26">
                  <c:v>3835.672</c:v>
                </c:pt>
                <c:pt idx="27">
                  <c:v>4152.6520000000173</c:v>
                </c:pt>
              </c:numCache>
            </c:numRef>
          </c:val>
        </c:ser>
        <c:ser>
          <c:idx val="1"/>
          <c:order val="1"/>
          <c:tx>
            <c:strRef>
              <c:f>List1!$G$1</c:f>
              <c:strCache>
                <c:ptCount val="1"/>
                <c:pt idx="0">
                  <c:v>dovoz</c:v>
                </c:pt>
              </c:strCache>
            </c:strRef>
          </c:tx>
          <c:dPt>
            <c:idx val="18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cat>
            <c:strRef>
              <c:f>List1!$E$2:$E$29</c:f>
              <c:strCache>
                <c:ptCount val="28"/>
                <c:pt idx="0">
                  <c:v>Malta</c:v>
                </c:pt>
                <c:pt idx="1">
                  <c:v>Irsko</c:v>
                </c:pt>
                <c:pt idx="2">
                  <c:v>Lucembursko</c:v>
                </c:pt>
                <c:pt idx="3">
                  <c:v>Kypr</c:v>
                </c:pt>
                <c:pt idx="4">
                  <c:v>Estonsko</c:v>
                </c:pt>
                <c:pt idx="5">
                  <c:v>Lotyšsko</c:v>
                </c:pt>
                <c:pt idx="6">
                  <c:v>Litva</c:v>
                </c:pt>
                <c:pt idx="7">
                  <c:v>Řecko</c:v>
                </c:pt>
                <c:pt idx="8">
                  <c:v>Chorvatsko</c:v>
                </c:pt>
                <c:pt idx="9">
                  <c:v>Slovinsko</c:v>
                </c:pt>
                <c:pt idx="10">
                  <c:v>Slovensko</c:v>
                </c:pt>
                <c:pt idx="11">
                  <c:v>Bulharsko</c:v>
                </c:pt>
                <c:pt idx="12">
                  <c:v>Dánsko</c:v>
                </c:pt>
                <c:pt idx="13">
                  <c:v>Švédsko</c:v>
                </c:pt>
                <c:pt idx="14">
                  <c:v>Rumunsko</c:v>
                </c:pt>
                <c:pt idx="15">
                  <c:v>Maďarsko</c:v>
                </c:pt>
                <c:pt idx="16">
                  <c:v>Finsko</c:v>
                </c:pt>
                <c:pt idx="17">
                  <c:v>Portugalsko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Rakousko</c:v>
                </c:pt>
                <c:pt idx="21">
                  <c:v>Polsko</c:v>
                </c:pt>
                <c:pt idx="22">
                  <c:v>Spojené království</c:v>
                </c:pt>
                <c:pt idx="23">
                  <c:v>Francie</c:v>
                </c:pt>
                <c:pt idx="24">
                  <c:v>Belgie</c:v>
                </c:pt>
                <c:pt idx="25">
                  <c:v>Nizozemsko</c:v>
                </c:pt>
                <c:pt idx="26">
                  <c:v>Itálie</c:v>
                </c:pt>
                <c:pt idx="27">
                  <c:v>Německo</c:v>
                </c:pt>
              </c:strCache>
            </c:strRef>
          </c:cat>
          <c:val>
            <c:numRef>
              <c:f>List1!$G$2:$G$29</c:f>
              <c:numCache>
                <c:formatCode>General</c:formatCode>
                <c:ptCount val="28"/>
                <c:pt idx="0">
                  <c:v>668.37199999999996</c:v>
                </c:pt>
                <c:pt idx="1">
                  <c:v>231.12300000000002</c:v>
                </c:pt>
                <c:pt idx="2">
                  <c:v>58.507000000000005</c:v>
                </c:pt>
                <c:pt idx="3">
                  <c:v>647.68200000000002</c:v>
                </c:pt>
                <c:pt idx="4">
                  <c:v>47.387999999999998</c:v>
                </c:pt>
                <c:pt idx="5">
                  <c:v>54.637</c:v>
                </c:pt>
                <c:pt idx="6">
                  <c:v>71.051999999999992</c:v>
                </c:pt>
                <c:pt idx="7">
                  <c:v>289.13499999999999</c:v>
                </c:pt>
                <c:pt idx="8">
                  <c:v>190.083</c:v>
                </c:pt>
                <c:pt idx="9">
                  <c:v>126.32000000000001</c:v>
                </c:pt>
                <c:pt idx="10">
                  <c:v>178.797</c:v>
                </c:pt>
                <c:pt idx="11">
                  <c:v>62.650999999999996</c:v>
                </c:pt>
                <c:pt idx="12">
                  <c:v>530.51699999999948</c:v>
                </c:pt>
                <c:pt idx="13">
                  <c:v>842.06900000000007</c:v>
                </c:pt>
                <c:pt idx="14">
                  <c:v>161.73999999999998</c:v>
                </c:pt>
                <c:pt idx="15">
                  <c:v>199.375</c:v>
                </c:pt>
                <c:pt idx="16">
                  <c:v>304.10899999999964</c:v>
                </c:pt>
                <c:pt idx="17">
                  <c:v>287.92099999999863</c:v>
                </c:pt>
                <c:pt idx="18">
                  <c:v>510.48999999999899</c:v>
                </c:pt>
                <c:pt idx="19">
                  <c:v>1751.646</c:v>
                </c:pt>
                <c:pt idx="20">
                  <c:v>1017.999</c:v>
                </c:pt>
                <c:pt idx="21">
                  <c:v>733.61599999999999</c:v>
                </c:pt>
                <c:pt idx="22">
                  <c:v>3190.0889999999904</c:v>
                </c:pt>
                <c:pt idx="23">
                  <c:v>3356.0219999999999</c:v>
                </c:pt>
                <c:pt idx="24">
                  <c:v>2000.377</c:v>
                </c:pt>
                <c:pt idx="25">
                  <c:v>2512.6959999999999</c:v>
                </c:pt>
                <c:pt idx="26">
                  <c:v>1946.336</c:v>
                </c:pt>
                <c:pt idx="27">
                  <c:v>4460.5950000000003</c:v>
                </c:pt>
              </c:numCache>
            </c:numRef>
          </c:val>
        </c:ser>
        <c:gapWidth val="101"/>
        <c:axId val="98843648"/>
        <c:axId val="102537088"/>
      </c:barChart>
      <c:catAx>
        <c:axId val="9884364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02537088"/>
        <c:crosses val="autoZero"/>
        <c:auto val="1"/>
        <c:lblAlgn val="ctr"/>
        <c:lblOffset val="100"/>
      </c:catAx>
      <c:valAx>
        <c:axId val="102537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988436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122954485994839"/>
          <c:y val="0"/>
          <c:w val="0.17754074149091553"/>
          <c:h val="3.6810001803209792E-2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8955-DFAD-4A28-93C3-638CEC7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12</TotalTime>
  <Pages>8</Pages>
  <Words>2301</Words>
  <Characters>13581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4</cp:revision>
  <cp:lastPrinted>2019-05-02T09:32:00Z</cp:lastPrinted>
  <dcterms:created xsi:type="dcterms:W3CDTF">2019-05-03T10:19:00Z</dcterms:created>
  <dcterms:modified xsi:type="dcterms:W3CDTF">2019-05-03T12:53:00Z</dcterms:modified>
</cp:coreProperties>
</file>