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C504E" w14:textId="66EDFADB" w:rsidR="00733628" w:rsidRPr="00F204DA" w:rsidRDefault="00733628" w:rsidP="00733628">
      <w:pPr>
        <w:pStyle w:val="Nadpis1"/>
      </w:pPr>
      <w:bookmarkStart w:id="0" w:name="_Toc176767109"/>
      <w:bookmarkStart w:id="1" w:name="_Toc216777588"/>
      <w:r>
        <w:t>4</w:t>
      </w:r>
      <w:bookmarkStart w:id="2" w:name="_Toc19090679"/>
      <w:bookmarkStart w:id="3" w:name="_Toc74643856"/>
      <w:bookmarkStart w:id="4" w:name="_Toc42852411"/>
      <w:bookmarkStart w:id="5" w:name="_Toc74643857"/>
      <w:bookmarkEnd w:id="2"/>
      <w:r>
        <w:t>. Vnější vztahy</w:t>
      </w:r>
      <w:bookmarkEnd w:id="1"/>
    </w:p>
    <w:tbl>
      <w:tblPr>
        <w:tblW w:w="9677" w:type="dxa"/>
        <w:tblInd w:w="-15" w:type="dxa"/>
        <w:tblLayout w:type="fixed"/>
        <w:tblCellMar>
          <w:left w:w="0" w:type="dxa"/>
          <w:right w:w="0" w:type="dxa"/>
        </w:tblCellMar>
        <w:tblLook w:val="00A0" w:firstRow="1" w:lastRow="0" w:firstColumn="1" w:lastColumn="0" w:noHBand="0" w:noVBand="0"/>
      </w:tblPr>
      <w:tblGrid>
        <w:gridCol w:w="1748"/>
        <w:gridCol w:w="252"/>
        <w:gridCol w:w="2811"/>
        <w:gridCol w:w="57"/>
        <w:gridCol w:w="4809"/>
      </w:tblGrid>
      <w:tr w:rsidR="00733628" w14:paraId="24027DC1" w14:textId="77777777" w:rsidTr="00252DB1">
        <w:trPr>
          <w:trHeight w:val="145"/>
        </w:trPr>
        <w:tc>
          <w:tcPr>
            <w:tcW w:w="1748" w:type="dxa"/>
            <w:hideMark/>
          </w:tcPr>
          <w:p w14:paraId="1E119F1F" w14:textId="77777777" w:rsidR="00733628" w:rsidRDefault="00733628" w:rsidP="00252DB1">
            <w:pPr>
              <w:pStyle w:val="Marginlie"/>
              <w:rPr>
                <w:lang w:eastAsia="en-US"/>
              </w:rPr>
            </w:pPr>
            <w:r>
              <w:rPr>
                <w:lang w:eastAsia="en-US"/>
              </w:rPr>
              <w:t>Meziroční růst hodnoty vývozu zpomalil.</w:t>
            </w:r>
          </w:p>
        </w:tc>
        <w:tc>
          <w:tcPr>
            <w:tcW w:w="252" w:type="dxa"/>
          </w:tcPr>
          <w:p w14:paraId="25123990" w14:textId="77777777" w:rsidR="00733628" w:rsidRDefault="00733628" w:rsidP="00252DB1">
            <w:pPr>
              <w:pStyle w:val="Textpoznpodarou"/>
              <w:jc w:val="both"/>
              <w:rPr>
                <w:spacing w:val="-4"/>
                <w:lang w:eastAsia="en-US"/>
              </w:rPr>
            </w:pPr>
          </w:p>
        </w:tc>
        <w:tc>
          <w:tcPr>
            <w:tcW w:w="7677" w:type="dxa"/>
            <w:gridSpan w:val="3"/>
            <w:hideMark/>
          </w:tcPr>
          <w:p w14:paraId="4736FFDC" w14:textId="77777777" w:rsidR="00733628" w:rsidRDefault="00733628" w:rsidP="00252DB1">
            <w:pPr>
              <w:spacing w:after="180"/>
              <w:rPr>
                <w:spacing w:val="-4"/>
                <w:lang w:eastAsia="en-US"/>
              </w:rPr>
            </w:pPr>
            <w:r>
              <w:rPr>
                <w:spacing w:val="-4"/>
                <w:lang w:eastAsia="en-US"/>
              </w:rPr>
              <w:t>Hodnota vývozu zboží</w:t>
            </w:r>
            <w:r>
              <w:rPr>
                <w:rStyle w:val="Znakapoznpodarou"/>
                <w:spacing w:val="-4"/>
                <w:lang w:eastAsia="en-US"/>
              </w:rPr>
              <w:footnoteReference w:id="1"/>
            </w:r>
            <w:r>
              <w:rPr>
                <w:spacing w:val="-4"/>
                <w:lang w:eastAsia="en-US"/>
              </w:rPr>
              <w:t xml:space="preserve"> za 1. až 3. čtvrtletí 2025 dosáhla celkem 3 595,3 mld. korun a meziročně se zvýšila o 121,5 mld. (3,5 %). K meziročnímu navýšení exportu z větší části přispěl 1. kvartál, zatímco ve zbytku roku dynamika postupně slábla. V samotném </w:t>
            </w:r>
            <w:r>
              <w:rPr>
                <w:spacing w:val="-4"/>
                <w:lang w:eastAsia="en-US"/>
              </w:rPr>
              <w:br/>
              <w:t>3. čtvrtletí tak export zboží dosáhl 1 146,4 mld. korun a meziročně se zvýšil jen o 14,4 mld. korun (1,3 %). Růst nominální hodnoty exportu byl tlumen rovněž cenovým vývojem</w:t>
            </w:r>
            <w:r>
              <w:rPr>
                <w:rStyle w:val="Znakapoznpodarou"/>
                <w:spacing w:val="-4"/>
                <w:lang w:eastAsia="en-US"/>
              </w:rPr>
              <w:footnoteReference w:id="2"/>
            </w:r>
            <w:r>
              <w:rPr>
                <w:spacing w:val="-4"/>
                <w:lang w:eastAsia="en-US"/>
              </w:rPr>
              <w:t>. Podle sezónně očištěných údajů ve 3. kvartálu došlo k mezičtvrtletnímu nominálnímu poklesu hodnoty vývozu o 1,5 %, což bylo největší oslabení za poslední dva roky.</w:t>
            </w:r>
          </w:p>
        </w:tc>
      </w:tr>
      <w:tr w:rsidR="00733628" w14:paraId="60950B2D" w14:textId="77777777" w:rsidTr="00252DB1">
        <w:trPr>
          <w:trHeight w:val="145"/>
        </w:trPr>
        <w:tc>
          <w:tcPr>
            <w:tcW w:w="1748" w:type="dxa"/>
          </w:tcPr>
          <w:p w14:paraId="0E9F1EFF" w14:textId="77777777" w:rsidR="00733628" w:rsidRDefault="00733628" w:rsidP="00252DB1">
            <w:pPr>
              <w:pStyle w:val="Marginlie"/>
              <w:rPr>
                <w:lang w:eastAsia="en-US"/>
              </w:rPr>
            </w:pPr>
            <w:r>
              <w:rPr>
                <w:lang w:eastAsia="en-US"/>
              </w:rPr>
              <w:t>Ve 3. čtvrtletí meziročně klesl export mimo EU.</w:t>
            </w:r>
          </w:p>
        </w:tc>
        <w:tc>
          <w:tcPr>
            <w:tcW w:w="252" w:type="dxa"/>
          </w:tcPr>
          <w:p w14:paraId="0974D3DD" w14:textId="77777777" w:rsidR="00733628" w:rsidRDefault="00733628" w:rsidP="00252DB1">
            <w:pPr>
              <w:pStyle w:val="Textpoznpodarou"/>
              <w:jc w:val="both"/>
              <w:rPr>
                <w:spacing w:val="-4"/>
                <w:lang w:eastAsia="en-US"/>
              </w:rPr>
            </w:pPr>
          </w:p>
        </w:tc>
        <w:tc>
          <w:tcPr>
            <w:tcW w:w="7677" w:type="dxa"/>
            <w:gridSpan w:val="3"/>
          </w:tcPr>
          <w:p w14:paraId="61F073BD" w14:textId="77777777" w:rsidR="00733628" w:rsidRDefault="00733628" w:rsidP="00252DB1">
            <w:pPr>
              <w:spacing w:after="220"/>
              <w:rPr>
                <w:spacing w:val="-4"/>
                <w:lang w:eastAsia="en-US"/>
              </w:rPr>
            </w:pPr>
            <w:r>
              <w:rPr>
                <w:spacing w:val="-4"/>
                <w:lang w:eastAsia="en-US"/>
              </w:rPr>
              <w:t>Celkem se od začátku roku výrazněji meziročně zvyšovala hodnota vývozu mimo EU (+46,1 mld. korun, 6,1 %). Export do EU byl vyšší o 75,2 mld. (2,8 %). Z toho nejvíce za 1. až 3. čtvrtletí meziročně vzrostl export do Německa (+35,7 mld. korun, 3,4 %), především díky vývoji v 1. kvartálu</w:t>
            </w:r>
            <w:r>
              <w:rPr>
                <w:rStyle w:val="Znakapoznpodarou"/>
                <w:spacing w:val="-4"/>
                <w:lang w:eastAsia="en-US"/>
              </w:rPr>
              <w:footnoteReference w:id="3"/>
            </w:r>
            <w:r>
              <w:rPr>
                <w:spacing w:val="-4"/>
                <w:lang w:eastAsia="en-US"/>
              </w:rPr>
              <w:t xml:space="preserve">. Výraznější nárůsty byly zaznamenány také v případě exportu na Ukrajinu (+9,0 mld., 30,1 %), do Belgie (+8,2 mld., 11,1 %), Dánska (+7,8 mld., 29,0 %), Francie (+7,2 mld., 4,2 %), Turecka (+6,6 mld., 11,8 %), na Slovensko (+6,4 mld., 2,1 %), do Spojených států amerických (+5,8 mld., 5,8 %) a Rakouska (+5,2 mld., 4,0 %). Největší kumulovaný pokles vývozu z Česka byl zachycen u Maďarska (−4,9 mld. korun, −4,6 %).  V samotném 3. čtvrtletí poprvé od 3. čtvrtletí 2023 meziročně klesl vývoz do mimounijních zemí (−6,8 mld. korun, −2,6 %). Export do EU byl naopak vyšší o 21,1 mld. (2,4 %). Pokles mimounijního vývozu byl ovlivněn mimo jiné propady u exportu do Velké Británie a Spojených států amerických (viz. Tabulka č. 2) – v obou případech šlo o první pokles po delší době, u Velké Británie první po čtyřech letech růstu, u Spojených států amerických první od konce roku 2023. Významný pokles vývozu byl zachycen také u Singapuru nebo Itálie. Meziročně rostl export do Německa, Francie, Bulharska, Belgie nebo Polska.       </w:t>
            </w:r>
          </w:p>
        </w:tc>
      </w:tr>
      <w:tr w:rsidR="00733628" w14:paraId="094DF8F2" w14:textId="77777777" w:rsidTr="00252DB1">
        <w:trPr>
          <w:trHeight w:val="170"/>
        </w:trPr>
        <w:tc>
          <w:tcPr>
            <w:tcW w:w="4811" w:type="dxa"/>
            <w:gridSpan w:val="3"/>
            <w:hideMark/>
          </w:tcPr>
          <w:p w14:paraId="50DA9E4E" w14:textId="77777777" w:rsidR="00733628" w:rsidRDefault="00733628" w:rsidP="00252DB1">
            <w:pPr>
              <w:spacing w:after="0"/>
              <w:rPr>
                <w:rFonts w:cs="Arial"/>
                <w:b/>
                <w:bCs/>
                <w:color w:val="000000"/>
                <w:sz w:val="18"/>
                <w:szCs w:val="18"/>
                <w:lang w:eastAsia="en-US"/>
              </w:rPr>
            </w:pPr>
            <w:r>
              <w:rPr>
                <w:rFonts w:cs="Arial"/>
                <w:b/>
                <w:bCs/>
                <w:color w:val="000000"/>
                <w:sz w:val="18"/>
                <w:szCs w:val="18"/>
                <w:lang w:eastAsia="en-US"/>
              </w:rPr>
              <w:t xml:space="preserve">Tabulka č. 1 Oddíly klasifikace CPA s největším </w:t>
            </w:r>
          </w:p>
          <w:p w14:paraId="6DF7F1D2" w14:textId="7366CF07" w:rsidR="00733628" w:rsidRDefault="00733628" w:rsidP="00252DB1">
            <w:pPr>
              <w:spacing w:after="0"/>
              <w:jc w:val="left"/>
              <w:rPr>
                <w:spacing w:val="-4"/>
                <w:lang w:eastAsia="en-US"/>
              </w:rPr>
            </w:pPr>
            <w:r>
              <w:rPr>
                <w:rFonts w:cs="Arial"/>
                <w:b/>
                <w:bCs/>
                <w:color w:val="000000"/>
                <w:sz w:val="18"/>
                <w:szCs w:val="18"/>
                <w:lang w:eastAsia="en-US"/>
              </w:rPr>
              <w:t xml:space="preserve">vlivem na vývoj vývozu zboží ve </w:t>
            </w:r>
            <w:r w:rsidR="00847963">
              <w:rPr>
                <w:rFonts w:cs="Arial"/>
                <w:b/>
                <w:bCs/>
                <w:color w:val="000000"/>
                <w:sz w:val="18"/>
                <w:szCs w:val="18"/>
                <w:lang w:eastAsia="en-US"/>
              </w:rPr>
              <w:t>3</w:t>
            </w:r>
            <w:r>
              <w:rPr>
                <w:rFonts w:cs="Arial"/>
                <w:b/>
                <w:bCs/>
                <w:color w:val="000000"/>
                <w:sz w:val="18"/>
                <w:szCs w:val="18"/>
                <w:lang w:eastAsia="en-US"/>
              </w:rPr>
              <w:t xml:space="preserve">. čtvrtletí 2025 </w:t>
            </w:r>
            <w:r>
              <w:rPr>
                <w:rFonts w:cs="Arial"/>
                <w:bCs/>
                <w:color w:val="000000"/>
                <w:sz w:val="18"/>
                <w:szCs w:val="18"/>
                <w:lang w:eastAsia="en-US"/>
              </w:rPr>
              <w:t>(meziročně)</w:t>
            </w:r>
          </w:p>
        </w:tc>
        <w:tc>
          <w:tcPr>
            <w:tcW w:w="57" w:type="dxa"/>
          </w:tcPr>
          <w:p w14:paraId="5C04FD2C" w14:textId="77777777" w:rsidR="00733628" w:rsidRDefault="00733628" w:rsidP="00252DB1">
            <w:pPr>
              <w:spacing w:after="0"/>
              <w:rPr>
                <w:spacing w:val="-4"/>
                <w:lang w:eastAsia="en-US"/>
              </w:rPr>
            </w:pPr>
          </w:p>
        </w:tc>
        <w:tc>
          <w:tcPr>
            <w:tcW w:w="4809" w:type="dxa"/>
            <w:hideMark/>
          </w:tcPr>
          <w:p w14:paraId="467172CD" w14:textId="47E87BDC" w:rsidR="00733628" w:rsidRDefault="00733628" w:rsidP="00252DB1">
            <w:pPr>
              <w:spacing w:after="0"/>
              <w:jc w:val="left"/>
              <w:rPr>
                <w:spacing w:val="-4"/>
                <w:sz w:val="18"/>
                <w:szCs w:val="18"/>
                <w:lang w:eastAsia="en-US"/>
              </w:rPr>
            </w:pPr>
            <w:r>
              <w:rPr>
                <w:rFonts w:cs="Arial"/>
                <w:b/>
                <w:bCs/>
                <w:color w:val="000000"/>
                <w:sz w:val="18"/>
                <w:szCs w:val="18"/>
                <w:lang w:eastAsia="en-US"/>
              </w:rPr>
              <w:t xml:space="preserve">Tabulka č. 2 Země s největším vlivem na vývoj vývozu zboží ve </w:t>
            </w:r>
            <w:r w:rsidR="00DC40D2">
              <w:rPr>
                <w:rFonts w:cs="Arial"/>
                <w:b/>
                <w:bCs/>
                <w:color w:val="000000"/>
                <w:sz w:val="18"/>
                <w:szCs w:val="18"/>
                <w:lang w:eastAsia="en-US"/>
              </w:rPr>
              <w:t>3. čtvrtletí</w:t>
            </w:r>
            <w:r>
              <w:rPr>
                <w:rFonts w:cs="Arial"/>
                <w:b/>
                <w:bCs/>
                <w:color w:val="000000"/>
                <w:sz w:val="18"/>
                <w:szCs w:val="18"/>
                <w:lang w:eastAsia="en-US"/>
              </w:rPr>
              <w:t xml:space="preserve"> 2025 </w:t>
            </w:r>
            <w:r>
              <w:rPr>
                <w:rFonts w:cs="Arial"/>
                <w:bCs/>
                <w:color w:val="000000"/>
                <w:sz w:val="18"/>
                <w:szCs w:val="18"/>
                <w:lang w:eastAsia="en-US"/>
              </w:rPr>
              <w:t>(meziročně)</w:t>
            </w:r>
          </w:p>
        </w:tc>
      </w:tr>
      <w:tr w:rsidR="00733628" w14:paraId="7E3AB378" w14:textId="77777777" w:rsidTr="00252DB1">
        <w:trPr>
          <w:trHeight w:val="170"/>
        </w:trPr>
        <w:tc>
          <w:tcPr>
            <w:tcW w:w="4811" w:type="dxa"/>
            <w:gridSpan w:val="3"/>
            <w:hideMark/>
          </w:tcPr>
          <w:tbl>
            <w:tblPr>
              <w:tblW w:w="4817" w:type="dxa"/>
              <w:tblLayout w:type="fixed"/>
              <w:tblCellMar>
                <w:left w:w="70" w:type="dxa"/>
                <w:right w:w="70" w:type="dxa"/>
              </w:tblCellMar>
              <w:tblLook w:val="04A0" w:firstRow="1" w:lastRow="0" w:firstColumn="1" w:lastColumn="0" w:noHBand="0" w:noVBand="1"/>
            </w:tblPr>
            <w:tblGrid>
              <w:gridCol w:w="3417"/>
              <w:gridCol w:w="700"/>
              <w:gridCol w:w="700"/>
            </w:tblGrid>
            <w:tr w:rsidR="00733628" w:rsidRPr="00E66262" w14:paraId="213DA068" w14:textId="77777777" w:rsidTr="00252DB1">
              <w:trPr>
                <w:trHeight w:val="255"/>
              </w:trPr>
              <w:tc>
                <w:tcPr>
                  <w:tcW w:w="3417" w:type="dxa"/>
                  <w:tcBorders>
                    <w:top w:val="nil"/>
                    <w:left w:val="nil"/>
                    <w:bottom w:val="nil"/>
                    <w:right w:val="nil"/>
                  </w:tcBorders>
                  <w:noWrap/>
                  <w:vAlign w:val="bottom"/>
                  <w:hideMark/>
                </w:tcPr>
                <w:p w14:paraId="0F54008F" w14:textId="77777777" w:rsidR="00733628" w:rsidRPr="00E66262" w:rsidRDefault="00733628" w:rsidP="00252DB1">
                  <w:pPr>
                    <w:spacing w:after="0" w:line="240" w:lineRule="auto"/>
                    <w:jc w:val="left"/>
                    <w:rPr>
                      <w:rFonts w:ascii="Times New Roman" w:hAnsi="Times New Roman"/>
                      <w:sz w:val="24"/>
                      <w:szCs w:val="20"/>
                    </w:rPr>
                  </w:pPr>
                </w:p>
              </w:tc>
              <w:tc>
                <w:tcPr>
                  <w:tcW w:w="700" w:type="dxa"/>
                  <w:tcBorders>
                    <w:top w:val="nil"/>
                    <w:left w:val="nil"/>
                    <w:bottom w:val="nil"/>
                    <w:right w:val="nil"/>
                  </w:tcBorders>
                  <w:noWrap/>
                  <w:vAlign w:val="bottom"/>
                  <w:hideMark/>
                </w:tcPr>
                <w:p w14:paraId="24A61A9C"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mld. Kč</w:t>
                  </w:r>
                </w:p>
              </w:tc>
              <w:tc>
                <w:tcPr>
                  <w:tcW w:w="700" w:type="dxa"/>
                  <w:tcBorders>
                    <w:top w:val="nil"/>
                    <w:left w:val="nil"/>
                    <w:bottom w:val="nil"/>
                    <w:right w:val="nil"/>
                  </w:tcBorders>
                  <w:noWrap/>
                  <w:vAlign w:val="bottom"/>
                  <w:hideMark/>
                </w:tcPr>
                <w:p w14:paraId="1357900B"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w:t>
                  </w:r>
                </w:p>
              </w:tc>
            </w:tr>
            <w:tr w:rsidR="00733628" w:rsidRPr="00E66262" w14:paraId="34758DD6" w14:textId="77777777" w:rsidTr="00252DB1">
              <w:trPr>
                <w:trHeight w:val="255"/>
              </w:trPr>
              <w:tc>
                <w:tcPr>
                  <w:tcW w:w="3417" w:type="dxa"/>
                  <w:tcBorders>
                    <w:top w:val="single" w:sz="4" w:space="0" w:color="auto"/>
                    <w:left w:val="nil"/>
                    <w:bottom w:val="nil"/>
                    <w:right w:val="nil"/>
                  </w:tcBorders>
                  <w:vAlign w:val="bottom"/>
                  <w:hideMark/>
                </w:tcPr>
                <w:p w14:paraId="543F8847"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Motorová vozidla (kromě motocyklů) a díly</w:t>
                  </w:r>
                </w:p>
              </w:tc>
              <w:tc>
                <w:tcPr>
                  <w:tcW w:w="700" w:type="dxa"/>
                  <w:tcBorders>
                    <w:top w:val="single" w:sz="4" w:space="0" w:color="auto"/>
                    <w:left w:val="nil"/>
                    <w:bottom w:val="nil"/>
                    <w:right w:val="nil"/>
                  </w:tcBorders>
                  <w:noWrap/>
                  <w:vAlign w:val="bottom"/>
                  <w:hideMark/>
                </w:tcPr>
                <w:p w14:paraId="245BE51C"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+17,2</w:t>
                  </w:r>
                </w:p>
              </w:tc>
              <w:tc>
                <w:tcPr>
                  <w:tcW w:w="700" w:type="dxa"/>
                  <w:tcBorders>
                    <w:top w:val="single" w:sz="4" w:space="0" w:color="auto"/>
                    <w:left w:val="nil"/>
                    <w:bottom w:val="nil"/>
                    <w:right w:val="nil"/>
                  </w:tcBorders>
                  <w:noWrap/>
                  <w:vAlign w:val="bottom"/>
                  <w:hideMark/>
                </w:tcPr>
                <w:p w14:paraId="74712A6D"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+5,6</w:t>
                  </w:r>
                </w:p>
              </w:tc>
            </w:tr>
            <w:tr w:rsidR="00733628" w:rsidRPr="00E66262" w14:paraId="71917463" w14:textId="77777777" w:rsidTr="00252DB1">
              <w:trPr>
                <w:trHeight w:val="255"/>
              </w:trPr>
              <w:tc>
                <w:tcPr>
                  <w:tcW w:w="3417" w:type="dxa"/>
                  <w:tcBorders>
                    <w:top w:val="nil"/>
                    <w:left w:val="nil"/>
                    <w:bottom w:val="nil"/>
                    <w:right w:val="nil"/>
                  </w:tcBorders>
                  <w:vAlign w:val="bottom"/>
                  <w:hideMark/>
                </w:tcPr>
                <w:p w14:paraId="1CCF167F"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Stroje a zařízení j. n.</w:t>
                  </w:r>
                </w:p>
              </w:tc>
              <w:tc>
                <w:tcPr>
                  <w:tcW w:w="700" w:type="dxa"/>
                  <w:tcBorders>
                    <w:top w:val="nil"/>
                    <w:left w:val="nil"/>
                    <w:bottom w:val="nil"/>
                    <w:right w:val="nil"/>
                  </w:tcBorders>
                  <w:noWrap/>
                  <w:vAlign w:val="bottom"/>
                  <w:hideMark/>
                </w:tcPr>
                <w:p w14:paraId="4F9ED21D"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+5,0</w:t>
                  </w:r>
                </w:p>
              </w:tc>
              <w:tc>
                <w:tcPr>
                  <w:tcW w:w="700" w:type="dxa"/>
                  <w:tcBorders>
                    <w:top w:val="nil"/>
                    <w:left w:val="nil"/>
                    <w:bottom w:val="nil"/>
                    <w:right w:val="nil"/>
                  </w:tcBorders>
                  <w:noWrap/>
                  <w:vAlign w:val="bottom"/>
                  <w:hideMark/>
                </w:tcPr>
                <w:p w14:paraId="1AEF836C"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+4,1</w:t>
                  </w:r>
                </w:p>
              </w:tc>
            </w:tr>
            <w:tr w:rsidR="00733628" w:rsidRPr="00E66262" w14:paraId="197E74D9" w14:textId="77777777" w:rsidTr="00252DB1">
              <w:trPr>
                <w:trHeight w:val="255"/>
              </w:trPr>
              <w:tc>
                <w:tcPr>
                  <w:tcW w:w="3417" w:type="dxa"/>
                  <w:tcBorders>
                    <w:top w:val="nil"/>
                    <w:left w:val="nil"/>
                    <w:bottom w:val="nil"/>
                    <w:right w:val="nil"/>
                  </w:tcBorders>
                  <w:vAlign w:val="bottom"/>
                  <w:hideMark/>
                </w:tcPr>
                <w:p w14:paraId="742AF5F8"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Potravinářské výrobky</w:t>
                  </w:r>
                </w:p>
              </w:tc>
              <w:tc>
                <w:tcPr>
                  <w:tcW w:w="700" w:type="dxa"/>
                  <w:tcBorders>
                    <w:top w:val="nil"/>
                    <w:left w:val="nil"/>
                    <w:bottom w:val="nil"/>
                    <w:right w:val="nil"/>
                  </w:tcBorders>
                  <w:noWrap/>
                  <w:vAlign w:val="bottom"/>
                  <w:hideMark/>
                </w:tcPr>
                <w:p w14:paraId="2F2B1C9D"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+2,6</w:t>
                  </w:r>
                </w:p>
              </w:tc>
              <w:tc>
                <w:tcPr>
                  <w:tcW w:w="700" w:type="dxa"/>
                  <w:tcBorders>
                    <w:top w:val="nil"/>
                    <w:left w:val="nil"/>
                    <w:bottom w:val="nil"/>
                    <w:right w:val="nil"/>
                  </w:tcBorders>
                  <w:noWrap/>
                  <w:vAlign w:val="bottom"/>
                  <w:hideMark/>
                </w:tcPr>
                <w:p w14:paraId="23F56DB5"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+5,5</w:t>
                  </w:r>
                </w:p>
              </w:tc>
            </w:tr>
            <w:tr w:rsidR="00733628" w:rsidRPr="00E66262" w14:paraId="7537274C" w14:textId="77777777" w:rsidTr="00252DB1">
              <w:trPr>
                <w:trHeight w:val="255"/>
              </w:trPr>
              <w:tc>
                <w:tcPr>
                  <w:tcW w:w="3417" w:type="dxa"/>
                  <w:tcBorders>
                    <w:top w:val="nil"/>
                    <w:left w:val="nil"/>
                    <w:bottom w:val="nil"/>
                    <w:right w:val="nil"/>
                  </w:tcBorders>
                  <w:vAlign w:val="bottom"/>
                  <w:hideMark/>
                </w:tcPr>
                <w:p w14:paraId="2355763C"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Ostatní dopravní prostředky a zařízení</w:t>
                  </w:r>
                </w:p>
              </w:tc>
              <w:tc>
                <w:tcPr>
                  <w:tcW w:w="700" w:type="dxa"/>
                  <w:tcBorders>
                    <w:top w:val="nil"/>
                    <w:left w:val="nil"/>
                    <w:bottom w:val="nil"/>
                    <w:right w:val="nil"/>
                  </w:tcBorders>
                  <w:noWrap/>
                  <w:vAlign w:val="bottom"/>
                  <w:hideMark/>
                </w:tcPr>
                <w:p w14:paraId="20A5A7A0"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+2,4</w:t>
                  </w:r>
                </w:p>
              </w:tc>
              <w:tc>
                <w:tcPr>
                  <w:tcW w:w="700" w:type="dxa"/>
                  <w:tcBorders>
                    <w:top w:val="nil"/>
                    <w:left w:val="nil"/>
                    <w:bottom w:val="nil"/>
                    <w:right w:val="nil"/>
                  </w:tcBorders>
                  <w:noWrap/>
                  <w:vAlign w:val="bottom"/>
                  <w:hideMark/>
                </w:tcPr>
                <w:p w14:paraId="0E1C7813"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+12,5</w:t>
                  </w:r>
                </w:p>
              </w:tc>
            </w:tr>
            <w:tr w:rsidR="00733628" w:rsidRPr="00E66262" w14:paraId="4763422C" w14:textId="77777777" w:rsidTr="00252DB1">
              <w:trPr>
                <w:trHeight w:val="255"/>
              </w:trPr>
              <w:tc>
                <w:tcPr>
                  <w:tcW w:w="3417" w:type="dxa"/>
                  <w:tcBorders>
                    <w:top w:val="nil"/>
                    <w:left w:val="nil"/>
                    <w:bottom w:val="nil"/>
                    <w:right w:val="nil"/>
                  </w:tcBorders>
                  <w:vAlign w:val="bottom"/>
                  <w:hideMark/>
                </w:tcPr>
                <w:p w14:paraId="5FEB89DD"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Koks a rafinované ropné produkty</w:t>
                  </w:r>
                </w:p>
              </w:tc>
              <w:tc>
                <w:tcPr>
                  <w:tcW w:w="700" w:type="dxa"/>
                  <w:tcBorders>
                    <w:top w:val="nil"/>
                    <w:left w:val="nil"/>
                    <w:bottom w:val="nil"/>
                    <w:right w:val="nil"/>
                  </w:tcBorders>
                  <w:noWrap/>
                  <w:vAlign w:val="bottom"/>
                  <w:hideMark/>
                </w:tcPr>
                <w:p w14:paraId="6A14DBD8"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+2,0</w:t>
                  </w:r>
                </w:p>
              </w:tc>
              <w:tc>
                <w:tcPr>
                  <w:tcW w:w="700" w:type="dxa"/>
                  <w:tcBorders>
                    <w:top w:val="nil"/>
                    <w:left w:val="nil"/>
                    <w:bottom w:val="nil"/>
                    <w:right w:val="nil"/>
                  </w:tcBorders>
                  <w:noWrap/>
                  <w:vAlign w:val="bottom"/>
                  <w:hideMark/>
                </w:tcPr>
                <w:p w14:paraId="3D42D146"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+21,2</w:t>
                  </w:r>
                </w:p>
              </w:tc>
            </w:tr>
            <w:tr w:rsidR="00733628" w:rsidRPr="00E66262" w14:paraId="425F3FB3" w14:textId="77777777" w:rsidTr="00252DB1">
              <w:trPr>
                <w:trHeight w:val="255"/>
              </w:trPr>
              <w:tc>
                <w:tcPr>
                  <w:tcW w:w="3417" w:type="dxa"/>
                  <w:tcBorders>
                    <w:top w:val="nil"/>
                    <w:left w:val="nil"/>
                    <w:bottom w:val="nil"/>
                    <w:right w:val="nil"/>
                  </w:tcBorders>
                  <w:vAlign w:val="bottom"/>
                  <w:hideMark/>
                </w:tcPr>
                <w:p w14:paraId="45EE605C"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Ostatní výrobky zpracovatelského průmyslu</w:t>
                  </w:r>
                </w:p>
              </w:tc>
              <w:tc>
                <w:tcPr>
                  <w:tcW w:w="700" w:type="dxa"/>
                  <w:tcBorders>
                    <w:top w:val="nil"/>
                    <w:left w:val="nil"/>
                    <w:bottom w:val="nil"/>
                    <w:right w:val="nil"/>
                  </w:tcBorders>
                  <w:noWrap/>
                  <w:vAlign w:val="bottom"/>
                  <w:hideMark/>
                </w:tcPr>
                <w:p w14:paraId="64F3831C"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+1,2</w:t>
                  </w:r>
                </w:p>
              </w:tc>
              <w:tc>
                <w:tcPr>
                  <w:tcW w:w="700" w:type="dxa"/>
                  <w:tcBorders>
                    <w:top w:val="nil"/>
                    <w:left w:val="nil"/>
                    <w:bottom w:val="nil"/>
                    <w:right w:val="nil"/>
                  </w:tcBorders>
                  <w:noWrap/>
                  <w:vAlign w:val="bottom"/>
                  <w:hideMark/>
                </w:tcPr>
                <w:p w14:paraId="6CF9B345"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+4,4</w:t>
                  </w:r>
                </w:p>
              </w:tc>
            </w:tr>
            <w:tr w:rsidR="00733628" w:rsidRPr="00E66262" w14:paraId="053319B0" w14:textId="77777777" w:rsidTr="00252DB1">
              <w:trPr>
                <w:trHeight w:val="255"/>
              </w:trPr>
              <w:tc>
                <w:tcPr>
                  <w:tcW w:w="3417" w:type="dxa"/>
                  <w:tcBorders>
                    <w:top w:val="nil"/>
                    <w:left w:val="nil"/>
                    <w:bottom w:val="nil"/>
                    <w:right w:val="nil"/>
                  </w:tcBorders>
                  <w:vAlign w:val="bottom"/>
                  <w:hideMark/>
                </w:tcPr>
                <w:p w14:paraId="5B1B8394"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Dřevo a dřevěné a korkové výrobky</w:t>
                  </w:r>
                </w:p>
              </w:tc>
              <w:tc>
                <w:tcPr>
                  <w:tcW w:w="700" w:type="dxa"/>
                  <w:tcBorders>
                    <w:top w:val="nil"/>
                    <w:left w:val="nil"/>
                    <w:bottom w:val="nil"/>
                    <w:right w:val="nil"/>
                  </w:tcBorders>
                  <w:noWrap/>
                  <w:vAlign w:val="bottom"/>
                  <w:hideMark/>
                </w:tcPr>
                <w:p w14:paraId="49939E88"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+1,1</w:t>
                  </w:r>
                </w:p>
              </w:tc>
              <w:tc>
                <w:tcPr>
                  <w:tcW w:w="700" w:type="dxa"/>
                  <w:tcBorders>
                    <w:top w:val="nil"/>
                    <w:left w:val="nil"/>
                    <w:bottom w:val="nil"/>
                    <w:right w:val="nil"/>
                  </w:tcBorders>
                  <w:noWrap/>
                  <w:vAlign w:val="bottom"/>
                  <w:hideMark/>
                </w:tcPr>
                <w:p w14:paraId="3F35921C"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+9,7</w:t>
                  </w:r>
                </w:p>
              </w:tc>
            </w:tr>
            <w:tr w:rsidR="00733628" w:rsidRPr="00E66262" w14:paraId="3B8DB53A" w14:textId="77777777" w:rsidTr="00252DB1">
              <w:trPr>
                <w:trHeight w:val="255"/>
              </w:trPr>
              <w:tc>
                <w:tcPr>
                  <w:tcW w:w="3417" w:type="dxa"/>
                  <w:tcBorders>
                    <w:top w:val="nil"/>
                    <w:left w:val="nil"/>
                    <w:bottom w:val="nil"/>
                    <w:right w:val="nil"/>
                  </w:tcBorders>
                  <w:vAlign w:val="bottom"/>
                  <w:hideMark/>
                </w:tcPr>
                <w:p w14:paraId="146D1C6D"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Pryžové a plastové výrobky</w:t>
                  </w:r>
                </w:p>
              </w:tc>
              <w:tc>
                <w:tcPr>
                  <w:tcW w:w="700" w:type="dxa"/>
                  <w:tcBorders>
                    <w:top w:val="nil"/>
                    <w:left w:val="nil"/>
                    <w:bottom w:val="nil"/>
                    <w:right w:val="nil"/>
                  </w:tcBorders>
                  <w:noWrap/>
                  <w:vAlign w:val="bottom"/>
                  <w:hideMark/>
                </w:tcPr>
                <w:p w14:paraId="38E850DF"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+1,0</w:t>
                  </w:r>
                </w:p>
              </w:tc>
              <w:tc>
                <w:tcPr>
                  <w:tcW w:w="700" w:type="dxa"/>
                  <w:tcBorders>
                    <w:top w:val="nil"/>
                    <w:left w:val="nil"/>
                    <w:bottom w:val="nil"/>
                    <w:right w:val="nil"/>
                  </w:tcBorders>
                  <w:noWrap/>
                  <w:vAlign w:val="bottom"/>
                  <w:hideMark/>
                </w:tcPr>
                <w:p w14:paraId="43735B98"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+1,9</w:t>
                  </w:r>
                </w:p>
              </w:tc>
            </w:tr>
            <w:tr w:rsidR="00733628" w:rsidRPr="00E66262" w14:paraId="7B912067" w14:textId="77777777" w:rsidTr="00252DB1">
              <w:trPr>
                <w:trHeight w:val="255"/>
              </w:trPr>
              <w:tc>
                <w:tcPr>
                  <w:tcW w:w="3417" w:type="dxa"/>
                  <w:tcBorders>
                    <w:top w:val="nil"/>
                    <w:left w:val="nil"/>
                    <w:bottom w:val="nil"/>
                    <w:right w:val="nil"/>
                  </w:tcBorders>
                  <w:vAlign w:val="bottom"/>
                  <w:hideMark/>
                </w:tcPr>
                <w:p w14:paraId="466E5833"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Základní farmaceutické výrobky a přípravky</w:t>
                  </w:r>
                </w:p>
              </w:tc>
              <w:tc>
                <w:tcPr>
                  <w:tcW w:w="700" w:type="dxa"/>
                  <w:tcBorders>
                    <w:top w:val="nil"/>
                    <w:left w:val="nil"/>
                    <w:bottom w:val="nil"/>
                    <w:right w:val="nil"/>
                  </w:tcBorders>
                  <w:noWrap/>
                  <w:vAlign w:val="bottom"/>
                  <w:hideMark/>
                </w:tcPr>
                <w:p w14:paraId="123A661C"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+0,9</w:t>
                  </w:r>
                </w:p>
              </w:tc>
              <w:tc>
                <w:tcPr>
                  <w:tcW w:w="700" w:type="dxa"/>
                  <w:tcBorders>
                    <w:top w:val="nil"/>
                    <w:left w:val="nil"/>
                    <w:bottom w:val="nil"/>
                    <w:right w:val="nil"/>
                  </w:tcBorders>
                  <w:noWrap/>
                  <w:vAlign w:val="bottom"/>
                  <w:hideMark/>
                </w:tcPr>
                <w:p w14:paraId="656C01E2"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+4,8</w:t>
                  </w:r>
                </w:p>
              </w:tc>
            </w:tr>
            <w:tr w:rsidR="00733628" w:rsidRPr="00E66262" w14:paraId="743A7FCC" w14:textId="77777777" w:rsidTr="00252DB1">
              <w:trPr>
                <w:trHeight w:val="255"/>
              </w:trPr>
              <w:tc>
                <w:tcPr>
                  <w:tcW w:w="3417" w:type="dxa"/>
                  <w:tcBorders>
                    <w:top w:val="nil"/>
                    <w:left w:val="nil"/>
                    <w:bottom w:val="nil"/>
                    <w:right w:val="nil"/>
                  </w:tcBorders>
                  <w:vAlign w:val="bottom"/>
                  <w:hideMark/>
                </w:tcPr>
                <w:p w14:paraId="0994FF70"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Nábytek</w:t>
                  </w:r>
                </w:p>
              </w:tc>
              <w:tc>
                <w:tcPr>
                  <w:tcW w:w="700" w:type="dxa"/>
                  <w:tcBorders>
                    <w:top w:val="nil"/>
                    <w:left w:val="nil"/>
                    <w:bottom w:val="nil"/>
                    <w:right w:val="nil"/>
                  </w:tcBorders>
                  <w:noWrap/>
                  <w:vAlign w:val="bottom"/>
                  <w:hideMark/>
                </w:tcPr>
                <w:p w14:paraId="34183472"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0,8</w:t>
                  </w:r>
                </w:p>
              </w:tc>
              <w:tc>
                <w:tcPr>
                  <w:tcW w:w="700" w:type="dxa"/>
                  <w:tcBorders>
                    <w:top w:val="nil"/>
                    <w:left w:val="nil"/>
                    <w:bottom w:val="nil"/>
                    <w:right w:val="nil"/>
                  </w:tcBorders>
                  <w:noWrap/>
                  <w:vAlign w:val="bottom"/>
                  <w:hideMark/>
                </w:tcPr>
                <w:p w14:paraId="1FA0BB34"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10,5</w:t>
                  </w:r>
                </w:p>
              </w:tc>
            </w:tr>
            <w:tr w:rsidR="00733628" w:rsidRPr="00E66262" w14:paraId="0F577638" w14:textId="77777777" w:rsidTr="00252DB1">
              <w:trPr>
                <w:trHeight w:val="255"/>
              </w:trPr>
              <w:tc>
                <w:tcPr>
                  <w:tcW w:w="3417" w:type="dxa"/>
                  <w:tcBorders>
                    <w:top w:val="nil"/>
                    <w:left w:val="nil"/>
                    <w:bottom w:val="nil"/>
                    <w:right w:val="nil"/>
                  </w:tcBorders>
                  <w:vAlign w:val="bottom"/>
                  <w:hideMark/>
                </w:tcPr>
                <w:p w14:paraId="0345A103"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Ostatní nekovové minerální výrobky</w:t>
                  </w:r>
                </w:p>
              </w:tc>
              <w:tc>
                <w:tcPr>
                  <w:tcW w:w="700" w:type="dxa"/>
                  <w:tcBorders>
                    <w:top w:val="nil"/>
                    <w:left w:val="nil"/>
                    <w:bottom w:val="nil"/>
                    <w:right w:val="nil"/>
                  </w:tcBorders>
                  <w:noWrap/>
                  <w:vAlign w:val="bottom"/>
                  <w:hideMark/>
                </w:tcPr>
                <w:p w14:paraId="213E92C9"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0,8</w:t>
                  </w:r>
                </w:p>
              </w:tc>
              <w:tc>
                <w:tcPr>
                  <w:tcW w:w="700" w:type="dxa"/>
                  <w:tcBorders>
                    <w:top w:val="nil"/>
                    <w:left w:val="nil"/>
                    <w:bottom w:val="nil"/>
                    <w:right w:val="nil"/>
                  </w:tcBorders>
                  <w:noWrap/>
                  <w:vAlign w:val="bottom"/>
                  <w:hideMark/>
                </w:tcPr>
                <w:p w14:paraId="7891E051"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4,0</w:t>
                  </w:r>
                </w:p>
              </w:tc>
            </w:tr>
            <w:tr w:rsidR="00733628" w:rsidRPr="00E66262" w14:paraId="16E5F518" w14:textId="77777777" w:rsidTr="00252DB1">
              <w:trPr>
                <w:trHeight w:val="255"/>
              </w:trPr>
              <w:tc>
                <w:tcPr>
                  <w:tcW w:w="3417" w:type="dxa"/>
                  <w:tcBorders>
                    <w:top w:val="nil"/>
                    <w:left w:val="nil"/>
                    <w:bottom w:val="nil"/>
                    <w:right w:val="nil"/>
                  </w:tcBorders>
                  <w:vAlign w:val="bottom"/>
                  <w:hideMark/>
                </w:tcPr>
                <w:p w14:paraId="295F0050"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Oděvy</w:t>
                  </w:r>
                </w:p>
              </w:tc>
              <w:tc>
                <w:tcPr>
                  <w:tcW w:w="700" w:type="dxa"/>
                  <w:tcBorders>
                    <w:top w:val="nil"/>
                    <w:left w:val="nil"/>
                    <w:bottom w:val="nil"/>
                    <w:right w:val="nil"/>
                  </w:tcBorders>
                  <w:noWrap/>
                  <w:vAlign w:val="bottom"/>
                  <w:hideMark/>
                </w:tcPr>
                <w:p w14:paraId="3C9BB8DB"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0,9</w:t>
                  </w:r>
                </w:p>
              </w:tc>
              <w:tc>
                <w:tcPr>
                  <w:tcW w:w="700" w:type="dxa"/>
                  <w:tcBorders>
                    <w:top w:val="nil"/>
                    <w:left w:val="nil"/>
                    <w:bottom w:val="nil"/>
                    <w:right w:val="nil"/>
                  </w:tcBorders>
                  <w:noWrap/>
                  <w:vAlign w:val="bottom"/>
                  <w:hideMark/>
                </w:tcPr>
                <w:p w14:paraId="3D0F8173"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14,4</w:t>
                  </w:r>
                </w:p>
              </w:tc>
            </w:tr>
            <w:tr w:rsidR="00733628" w:rsidRPr="00E66262" w14:paraId="2428B6DE" w14:textId="77777777" w:rsidTr="00252DB1">
              <w:trPr>
                <w:trHeight w:val="255"/>
              </w:trPr>
              <w:tc>
                <w:tcPr>
                  <w:tcW w:w="3417" w:type="dxa"/>
                  <w:tcBorders>
                    <w:top w:val="nil"/>
                    <w:left w:val="nil"/>
                    <w:bottom w:val="nil"/>
                    <w:right w:val="nil"/>
                  </w:tcBorders>
                  <w:vAlign w:val="bottom"/>
                  <w:hideMark/>
                </w:tcPr>
                <w:p w14:paraId="0EF844CE"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Chemické látky a přípravky</w:t>
                  </w:r>
                </w:p>
              </w:tc>
              <w:tc>
                <w:tcPr>
                  <w:tcW w:w="700" w:type="dxa"/>
                  <w:tcBorders>
                    <w:top w:val="nil"/>
                    <w:left w:val="nil"/>
                    <w:bottom w:val="nil"/>
                    <w:right w:val="nil"/>
                  </w:tcBorders>
                  <w:noWrap/>
                  <w:vAlign w:val="bottom"/>
                  <w:hideMark/>
                </w:tcPr>
                <w:p w14:paraId="65745752"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2,7</w:t>
                  </w:r>
                </w:p>
              </w:tc>
              <w:tc>
                <w:tcPr>
                  <w:tcW w:w="700" w:type="dxa"/>
                  <w:tcBorders>
                    <w:top w:val="nil"/>
                    <w:left w:val="nil"/>
                    <w:bottom w:val="nil"/>
                    <w:right w:val="nil"/>
                  </w:tcBorders>
                  <w:noWrap/>
                  <w:vAlign w:val="bottom"/>
                  <w:hideMark/>
                </w:tcPr>
                <w:p w14:paraId="3B46BF61"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5,1</w:t>
                  </w:r>
                </w:p>
              </w:tc>
            </w:tr>
            <w:tr w:rsidR="00733628" w:rsidRPr="00E66262" w14:paraId="7845491E" w14:textId="77777777" w:rsidTr="00252DB1">
              <w:trPr>
                <w:trHeight w:val="255"/>
              </w:trPr>
              <w:tc>
                <w:tcPr>
                  <w:tcW w:w="3417" w:type="dxa"/>
                  <w:tcBorders>
                    <w:top w:val="nil"/>
                    <w:left w:val="nil"/>
                    <w:bottom w:val="nil"/>
                    <w:right w:val="nil"/>
                  </w:tcBorders>
                  <w:vAlign w:val="bottom"/>
                  <w:hideMark/>
                </w:tcPr>
                <w:p w14:paraId="48FC3931"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Elektrická zařízení</w:t>
                  </w:r>
                </w:p>
              </w:tc>
              <w:tc>
                <w:tcPr>
                  <w:tcW w:w="700" w:type="dxa"/>
                  <w:tcBorders>
                    <w:top w:val="nil"/>
                    <w:left w:val="nil"/>
                    <w:bottom w:val="nil"/>
                    <w:right w:val="nil"/>
                  </w:tcBorders>
                  <w:noWrap/>
                  <w:vAlign w:val="bottom"/>
                  <w:hideMark/>
                </w:tcPr>
                <w:p w14:paraId="0F2ADEC7"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3,8</w:t>
                  </w:r>
                </w:p>
              </w:tc>
              <w:tc>
                <w:tcPr>
                  <w:tcW w:w="700" w:type="dxa"/>
                  <w:tcBorders>
                    <w:top w:val="nil"/>
                    <w:left w:val="nil"/>
                    <w:bottom w:val="nil"/>
                    <w:right w:val="nil"/>
                  </w:tcBorders>
                  <w:noWrap/>
                  <w:vAlign w:val="bottom"/>
                  <w:hideMark/>
                </w:tcPr>
                <w:p w14:paraId="7AB120D3"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3,3</w:t>
                  </w:r>
                </w:p>
              </w:tc>
            </w:tr>
            <w:tr w:rsidR="00733628" w:rsidRPr="00E66262" w14:paraId="786067EE" w14:textId="77777777" w:rsidTr="00252DB1">
              <w:trPr>
                <w:trHeight w:val="255"/>
              </w:trPr>
              <w:tc>
                <w:tcPr>
                  <w:tcW w:w="3417" w:type="dxa"/>
                  <w:tcBorders>
                    <w:top w:val="nil"/>
                    <w:left w:val="nil"/>
                    <w:bottom w:val="nil"/>
                    <w:right w:val="nil"/>
                  </w:tcBorders>
                  <w:vAlign w:val="bottom"/>
                  <w:hideMark/>
                </w:tcPr>
                <w:p w14:paraId="1512F784"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 xml:space="preserve">Počítače, elektron. a </w:t>
                  </w:r>
                  <w:proofErr w:type="spellStart"/>
                  <w:r w:rsidRPr="00E66262">
                    <w:rPr>
                      <w:rFonts w:cs="Arial"/>
                      <w:color w:val="000000"/>
                      <w:sz w:val="16"/>
                      <w:szCs w:val="16"/>
                    </w:rPr>
                    <w:t>opt</w:t>
                  </w:r>
                  <w:proofErr w:type="spellEnd"/>
                  <w:r w:rsidRPr="00E66262">
                    <w:rPr>
                      <w:rFonts w:cs="Arial"/>
                      <w:color w:val="000000"/>
                      <w:sz w:val="16"/>
                      <w:szCs w:val="16"/>
                    </w:rPr>
                    <w:t>. přístroje a zařízení</w:t>
                  </w:r>
                </w:p>
              </w:tc>
              <w:tc>
                <w:tcPr>
                  <w:tcW w:w="700" w:type="dxa"/>
                  <w:tcBorders>
                    <w:top w:val="nil"/>
                    <w:left w:val="nil"/>
                    <w:bottom w:val="nil"/>
                    <w:right w:val="nil"/>
                  </w:tcBorders>
                  <w:noWrap/>
                  <w:vAlign w:val="bottom"/>
                  <w:hideMark/>
                </w:tcPr>
                <w:p w14:paraId="13AE40EC"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8,9</w:t>
                  </w:r>
                </w:p>
              </w:tc>
              <w:tc>
                <w:tcPr>
                  <w:tcW w:w="700" w:type="dxa"/>
                  <w:tcBorders>
                    <w:top w:val="nil"/>
                    <w:left w:val="nil"/>
                    <w:bottom w:val="nil"/>
                    <w:right w:val="nil"/>
                  </w:tcBorders>
                  <w:noWrap/>
                  <w:vAlign w:val="bottom"/>
                  <w:hideMark/>
                </w:tcPr>
                <w:p w14:paraId="1EFD5988"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7,6</w:t>
                  </w:r>
                </w:p>
              </w:tc>
            </w:tr>
          </w:tbl>
          <w:p w14:paraId="25801823" w14:textId="77777777" w:rsidR="00733628" w:rsidRDefault="00733628" w:rsidP="00252DB1">
            <w:pPr>
              <w:spacing w:after="0"/>
              <w:rPr>
                <w:spacing w:val="-4"/>
                <w:lang w:eastAsia="en-US"/>
              </w:rPr>
            </w:pPr>
          </w:p>
        </w:tc>
        <w:tc>
          <w:tcPr>
            <w:tcW w:w="57" w:type="dxa"/>
          </w:tcPr>
          <w:p w14:paraId="3E2AC82A" w14:textId="77777777" w:rsidR="00733628" w:rsidRDefault="00733628" w:rsidP="00252DB1">
            <w:pPr>
              <w:spacing w:after="0"/>
              <w:rPr>
                <w:spacing w:val="-4"/>
                <w:lang w:eastAsia="en-US"/>
              </w:rPr>
            </w:pPr>
          </w:p>
        </w:tc>
        <w:tc>
          <w:tcPr>
            <w:tcW w:w="4809" w:type="dxa"/>
            <w:hideMark/>
          </w:tcPr>
          <w:tbl>
            <w:tblPr>
              <w:tblW w:w="4762" w:type="dxa"/>
              <w:tblLayout w:type="fixed"/>
              <w:tblCellMar>
                <w:left w:w="70" w:type="dxa"/>
                <w:right w:w="70" w:type="dxa"/>
              </w:tblCellMar>
              <w:tblLook w:val="04A0" w:firstRow="1" w:lastRow="0" w:firstColumn="1" w:lastColumn="0" w:noHBand="0" w:noVBand="1"/>
            </w:tblPr>
            <w:tblGrid>
              <w:gridCol w:w="3362"/>
              <w:gridCol w:w="700"/>
              <w:gridCol w:w="700"/>
            </w:tblGrid>
            <w:tr w:rsidR="00733628" w:rsidRPr="00E66262" w14:paraId="5D937B4C" w14:textId="77777777" w:rsidTr="00252DB1">
              <w:trPr>
                <w:trHeight w:val="255"/>
              </w:trPr>
              <w:tc>
                <w:tcPr>
                  <w:tcW w:w="3362" w:type="dxa"/>
                  <w:tcBorders>
                    <w:top w:val="nil"/>
                    <w:left w:val="nil"/>
                    <w:bottom w:val="nil"/>
                    <w:right w:val="nil"/>
                  </w:tcBorders>
                  <w:noWrap/>
                  <w:vAlign w:val="bottom"/>
                  <w:hideMark/>
                </w:tcPr>
                <w:p w14:paraId="0A4DB7BF" w14:textId="77777777" w:rsidR="00733628" w:rsidRPr="00E66262" w:rsidRDefault="00733628" w:rsidP="00252DB1">
                  <w:pPr>
                    <w:spacing w:after="0" w:line="240" w:lineRule="auto"/>
                    <w:jc w:val="left"/>
                    <w:rPr>
                      <w:rFonts w:ascii="Times New Roman" w:hAnsi="Times New Roman"/>
                      <w:sz w:val="24"/>
                      <w:szCs w:val="20"/>
                    </w:rPr>
                  </w:pPr>
                </w:p>
              </w:tc>
              <w:tc>
                <w:tcPr>
                  <w:tcW w:w="700" w:type="dxa"/>
                  <w:tcBorders>
                    <w:top w:val="nil"/>
                    <w:left w:val="nil"/>
                    <w:bottom w:val="nil"/>
                    <w:right w:val="nil"/>
                  </w:tcBorders>
                  <w:noWrap/>
                  <w:vAlign w:val="bottom"/>
                  <w:hideMark/>
                </w:tcPr>
                <w:p w14:paraId="628ECE9C"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mld. Kč</w:t>
                  </w:r>
                </w:p>
              </w:tc>
              <w:tc>
                <w:tcPr>
                  <w:tcW w:w="700" w:type="dxa"/>
                  <w:tcBorders>
                    <w:top w:val="nil"/>
                    <w:left w:val="nil"/>
                    <w:bottom w:val="nil"/>
                    <w:right w:val="nil"/>
                  </w:tcBorders>
                  <w:noWrap/>
                  <w:vAlign w:val="bottom"/>
                  <w:hideMark/>
                </w:tcPr>
                <w:p w14:paraId="1B9927AB"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w:t>
                  </w:r>
                </w:p>
              </w:tc>
            </w:tr>
            <w:tr w:rsidR="00733628" w:rsidRPr="00E66262" w14:paraId="31AC143E" w14:textId="77777777" w:rsidTr="00252DB1">
              <w:trPr>
                <w:trHeight w:val="255"/>
              </w:trPr>
              <w:tc>
                <w:tcPr>
                  <w:tcW w:w="3362" w:type="dxa"/>
                  <w:tcBorders>
                    <w:top w:val="single" w:sz="4" w:space="0" w:color="auto"/>
                    <w:left w:val="nil"/>
                    <w:bottom w:val="nil"/>
                    <w:right w:val="nil"/>
                  </w:tcBorders>
                  <w:noWrap/>
                  <w:vAlign w:val="bottom"/>
                  <w:hideMark/>
                </w:tcPr>
                <w:p w14:paraId="7DEE0AF1"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Německo</w:t>
                  </w:r>
                </w:p>
              </w:tc>
              <w:tc>
                <w:tcPr>
                  <w:tcW w:w="700" w:type="dxa"/>
                  <w:tcBorders>
                    <w:top w:val="single" w:sz="4" w:space="0" w:color="auto"/>
                    <w:left w:val="nil"/>
                    <w:bottom w:val="nil"/>
                    <w:right w:val="nil"/>
                  </w:tcBorders>
                  <w:noWrap/>
                  <w:vAlign w:val="bottom"/>
                  <w:hideMark/>
                </w:tcPr>
                <w:p w14:paraId="3026B4D1"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+7,4</w:t>
                  </w:r>
                </w:p>
              </w:tc>
              <w:tc>
                <w:tcPr>
                  <w:tcW w:w="700" w:type="dxa"/>
                  <w:tcBorders>
                    <w:top w:val="single" w:sz="4" w:space="0" w:color="auto"/>
                    <w:left w:val="nil"/>
                    <w:bottom w:val="nil"/>
                    <w:right w:val="nil"/>
                  </w:tcBorders>
                  <w:noWrap/>
                  <w:vAlign w:val="bottom"/>
                  <w:hideMark/>
                </w:tcPr>
                <w:p w14:paraId="57F373BE"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+2,2</w:t>
                  </w:r>
                </w:p>
              </w:tc>
            </w:tr>
            <w:tr w:rsidR="00733628" w:rsidRPr="00E66262" w14:paraId="5D3E3E73" w14:textId="77777777" w:rsidTr="00252DB1">
              <w:trPr>
                <w:trHeight w:val="255"/>
              </w:trPr>
              <w:tc>
                <w:tcPr>
                  <w:tcW w:w="3362" w:type="dxa"/>
                  <w:tcBorders>
                    <w:top w:val="nil"/>
                    <w:left w:val="nil"/>
                    <w:bottom w:val="nil"/>
                    <w:right w:val="nil"/>
                  </w:tcBorders>
                  <w:noWrap/>
                  <w:vAlign w:val="bottom"/>
                  <w:hideMark/>
                </w:tcPr>
                <w:p w14:paraId="31916EA8"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Francie</w:t>
                  </w:r>
                </w:p>
              </w:tc>
              <w:tc>
                <w:tcPr>
                  <w:tcW w:w="700" w:type="dxa"/>
                  <w:tcBorders>
                    <w:top w:val="nil"/>
                    <w:left w:val="nil"/>
                    <w:bottom w:val="nil"/>
                    <w:right w:val="nil"/>
                  </w:tcBorders>
                  <w:noWrap/>
                  <w:vAlign w:val="bottom"/>
                  <w:hideMark/>
                </w:tcPr>
                <w:p w14:paraId="334EFE98"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+3,7</w:t>
                  </w:r>
                </w:p>
              </w:tc>
              <w:tc>
                <w:tcPr>
                  <w:tcW w:w="700" w:type="dxa"/>
                  <w:tcBorders>
                    <w:top w:val="nil"/>
                    <w:left w:val="nil"/>
                    <w:bottom w:val="nil"/>
                    <w:right w:val="nil"/>
                  </w:tcBorders>
                  <w:noWrap/>
                  <w:vAlign w:val="bottom"/>
                  <w:hideMark/>
                </w:tcPr>
                <w:p w14:paraId="7889E5B5"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+7,1</w:t>
                  </w:r>
                </w:p>
              </w:tc>
            </w:tr>
            <w:tr w:rsidR="00733628" w:rsidRPr="00E66262" w14:paraId="7EB72D92" w14:textId="77777777" w:rsidTr="00252DB1">
              <w:trPr>
                <w:trHeight w:val="255"/>
              </w:trPr>
              <w:tc>
                <w:tcPr>
                  <w:tcW w:w="3362" w:type="dxa"/>
                  <w:tcBorders>
                    <w:top w:val="nil"/>
                    <w:left w:val="nil"/>
                    <w:bottom w:val="nil"/>
                    <w:right w:val="nil"/>
                  </w:tcBorders>
                  <w:noWrap/>
                  <w:vAlign w:val="bottom"/>
                  <w:hideMark/>
                </w:tcPr>
                <w:p w14:paraId="37EE989F"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Bulharsko</w:t>
                  </w:r>
                </w:p>
              </w:tc>
              <w:tc>
                <w:tcPr>
                  <w:tcW w:w="700" w:type="dxa"/>
                  <w:tcBorders>
                    <w:top w:val="nil"/>
                    <w:left w:val="nil"/>
                    <w:bottom w:val="nil"/>
                    <w:right w:val="nil"/>
                  </w:tcBorders>
                  <w:noWrap/>
                  <w:vAlign w:val="bottom"/>
                  <w:hideMark/>
                </w:tcPr>
                <w:p w14:paraId="5761D33E"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+3,2</w:t>
                  </w:r>
                </w:p>
              </w:tc>
              <w:tc>
                <w:tcPr>
                  <w:tcW w:w="700" w:type="dxa"/>
                  <w:tcBorders>
                    <w:top w:val="nil"/>
                    <w:left w:val="nil"/>
                    <w:bottom w:val="nil"/>
                    <w:right w:val="nil"/>
                  </w:tcBorders>
                  <w:noWrap/>
                  <w:vAlign w:val="bottom"/>
                  <w:hideMark/>
                </w:tcPr>
                <w:p w14:paraId="5EF1D64D"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+45,8</w:t>
                  </w:r>
                </w:p>
              </w:tc>
            </w:tr>
            <w:tr w:rsidR="00733628" w:rsidRPr="00E66262" w14:paraId="635C187B" w14:textId="77777777" w:rsidTr="00252DB1">
              <w:trPr>
                <w:trHeight w:val="255"/>
              </w:trPr>
              <w:tc>
                <w:tcPr>
                  <w:tcW w:w="3362" w:type="dxa"/>
                  <w:tcBorders>
                    <w:top w:val="nil"/>
                    <w:left w:val="nil"/>
                    <w:bottom w:val="nil"/>
                    <w:right w:val="nil"/>
                  </w:tcBorders>
                  <w:noWrap/>
                  <w:vAlign w:val="bottom"/>
                  <w:hideMark/>
                </w:tcPr>
                <w:p w14:paraId="545C45EE"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Polsko</w:t>
                  </w:r>
                </w:p>
              </w:tc>
              <w:tc>
                <w:tcPr>
                  <w:tcW w:w="700" w:type="dxa"/>
                  <w:tcBorders>
                    <w:top w:val="nil"/>
                    <w:left w:val="nil"/>
                    <w:bottom w:val="nil"/>
                    <w:right w:val="nil"/>
                  </w:tcBorders>
                  <w:noWrap/>
                  <w:vAlign w:val="bottom"/>
                  <w:hideMark/>
                </w:tcPr>
                <w:p w14:paraId="72F39A18"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+2,9</w:t>
                  </w:r>
                </w:p>
              </w:tc>
              <w:tc>
                <w:tcPr>
                  <w:tcW w:w="700" w:type="dxa"/>
                  <w:tcBorders>
                    <w:top w:val="nil"/>
                    <w:left w:val="nil"/>
                    <w:bottom w:val="nil"/>
                    <w:right w:val="nil"/>
                  </w:tcBorders>
                  <w:noWrap/>
                  <w:vAlign w:val="bottom"/>
                  <w:hideMark/>
                </w:tcPr>
                <w:p w14:paraId="066B745F"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+3,6</w:t>
                  </w:r>
                </w:p>
              </w:tc>
            </w:tr>
            <w:tr w:rsidR="00733628" w:rsidRPr="00E66262" w14:paraId="0E5DE564" w14:textId="77777777" w:rsidTr="00252DB1">
              <w:trPr>
                <w:trHeight w:val="255"/>
              </w:trPr>
              <w:tc>
                <w:tcPr>
                  <w:tcW w:w="3362" w:type="dxa"/>
                  <w:tcBorders>
                    <w:top w:val="nil"/>
                    <w:left w:val="nil"/>
                    <w:bottom w:val="nil"/>
                    <w:right w:val="nil"/>
                  </w:tcBorders>
                  <w:noWrap/>
                  <w:vAlign w:val="bottom"/>
                  <w:hideMark/>
                </w:tcPr>
                <w:p w14:paraId="5F241AD2"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Belgie</w:t>
                  </w:r>
                </w:p>
              </w:tc>
              <w:tc>
                <w:tcPr>
                  <w:tcW w:w="700" w:type="dxa"/>
                  <w:tcBorders>
                    <w:top w:val="nil"/>
                    <w:left w:val="nil"/>
                    <w:bottom w:val="nil"/>
                    <w:right w:val="nil"/>
                  </w:tcBorders>
                  <w:noWrap/>
                  <w:vAlign w:val="bottom"/>
                  <w:hideMark/>
                </w:tcPr>
                <w:p w14:paraId="0725D8F6"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+2,8</w:t>
                  </w:r>
                </w:p>
              </w:tc>
              <w:tc>
                <w:tcPr>
                  <w:tcW w:w="700" w:type="dxa"/>
                  <w:tcBorders>
                    <w:top w:val="nil"/>
                    <w:left w:val="nil"/>
                    <w:bottom w:val="nil"/>
                    <w:right w:val="nil"/>
                  </w:tcBorders>
                  <w:noWrap/>
                  <w:vAlign w:val="bottom"/>
                  <w:hideMark/>
                </w:tcPr>
                <w:p w14:paraId="520113B5"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+12,2</w:t>
                  </w:r>
                </w:p>
              </w:tc>
            </w:tr>
            <w:tr w:rsidR="00733628" w:rsidRPr="00E66262" w14:paraId="678BAA68" w14:textId="77777777" w:rsidTr="00252DB1">
              <w:trPr>
                <w:trHeight w:val="255"/>
              </w:trPr>
              <w:tc>
                <w:tcPr>
                  <w:tcW w:w="3362" w:type="dxa"/>
                  <w:tcBorders>
                    <w:top w:val="nil"/>
                    <w:left w:val="nil"/>
                    <w:bottom w:val="nil"/>
                    <w:right w:val="nil"/>
                  </w:tcBorders>
                  <w:noWrap/>
                  <w:vAlign w:val="bottom"/>
                  <w:hideMark/>
                </w:tcPr>
                <w:p w14:paraId="4335F09D"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Rakousko</w:t>
                  </w:r>
                </w:p>
              </w:tc>
              <w:tc>
                <w:tcPr>
                  <w:tcW w:w="700" w:type="dxa"/>
                  <w:tcBorders>
                    <w:top w:val="nil"/>
                    <w:left w:val="nil"/>
                    <w:bottom w:val="nil"/>
                    <w:right w:val="nil"/>
                  </w:tcBorders>
                  <w:noWrap/>
                  <w:vAlign w:val="bottom"/>
                  <w:hideMark/>
                </w:tcPr>
                <w:p w14:paraId="075C9539"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+1,6</w:t>
                  </w:r>
                </w:p>
              </w:tc>
              <w:tc>
                <w:tcPr>
                  <w:tcW w:w="700" w:type="dxa"/>
                  <w:tcBorders>
                    <w:top w:val="nil"/>
                    <w:left w:val="nil"/>
                    <w:bottom w:val="nil"/>
                    <w:right w:val="nil"/>
                  </w:tcBorders>
                  <w:noWrap/>
                  <w:vAlign w:val="bottom"/>
                  <w:hideMark/>
                </w:tcPr>
                <w:p w14:paraId="05D56B8D"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+3,6</w:t>
                  </w:r>
                </w:p>
              </w:tc>
            </w:tr>
            <w:tr w:rsidR="00733628" w:rsidRPr="00E66262" w14:paraId="40A99706" w14:textId="77777777" w:rsidTr="00252DB1">
              <w:trPr>
                <w:trHeight w:val="255"/>
              </w:trPr>
              <w:tc>
                <w:tcPr>
                  <w:tcW w:w="3362" w:type="dxa"/>
                  <w:tcBorders>
                    <w:top w:val="nil"/>
                    <w:left w:val="nil"/>
                    <w:bottom w:val="nil"/>
                    <w:right w:val="nil"/>
                  </w:tcBorders>
                  <w:noWrap/>
                  <w:vAlign w:val="bottom"/>
                  <w:hideMark/>
                </w:tcPr>
                <w:p w14:paraId="74153BBC"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Turecko</w:t>
                  </w:r>
                </w:p>
              </w:tc>
              <w:tc>
                <w:tcPr>
                  <w:tcW w:w="700" w:type="dxa"/>
                  <w:tcBorders>
                    <w:top w:val="nil"/>
                    <w:left w:val="nil"/>
                    <w:bottom w:val="nil"/>
                    <w:right w:val="nil"/>
                  </w:tcBorders>
                  <w:noWrap/>
                  <w:vAlign w:val="bottom"/>
                  <w:hideMark/>
                </w:tcPr>
                <w:p w14:paraId="6DA180F9"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+1,5</w:t>
                  </w:r>
                </w:p>
              </w:tc>
              <w:tc>
                <w:tcPr>
                  <w:tcW w:w="700" w:type="dxa"/>
                  <w:tcBorders>
                    <w:top w:val="nil"/>
                    <w:left w:val="nil"/>
                    <w:bottom w:val="nil"/>
                    <w:right w:val="nil"/>
                  </w:tcBorders>
                  <w:noWrap/>
                  <w:vAlign w:val="bottom"/>
                  <w:hideMark/>
                </w:tcPr>
                <w:p w14:paraId="67DDBD07"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+8,5</w:t>
                  </w:r>
                </w:p>
              </w:tc>
            </w:tr>
            <w:tr w:rsidR="00733628" w:rsidRPr="00E66262" w14:paraId="14C89B59" w14:textId="77777777" w:rsidTr="00252DB1">
              <w:trPr>
                <w:trHeight w:val="255"/>
              </w:trPr>
              <w:tc>
                <w:tcPr>
                  <w:tcW w:w="3362" w:type="dxa"/>
                  <w:tcBorders>
                    <w:top w:val="nil"/>
                    <w:left w:val="nil"/>
                    <w:bottom w:val="nil"/>
                    <w:right w:val="nil"/>
                  </w:tcBorders>
                  <w:noWrap/>
                  <w:vAlign w:val="bottom"/>
                  <w:hideMark/>
                </w:tcPr>
                <w:p w14:paraId="4513A715"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Španělsko</w:t>
                  </w:r>
                </w:p>
              </w:tc>
              <w:tc>
                <w:tcPr>
                  <w:tcW w:w="700" w:type="dxa"/>
                  <w:tcBorders>
                    <w:top w:val="nil"/>
                    <w:left w:val="nil"/>
                    <w:bottom w:val="nil"/>
                    <w:right w:val="nil"/>
                  </w:tcBorders>
                  <w:noWrap/>
                  <w:vAlign w:val="bottom"/>
                  <w:hideMark/>
                </w:tcPr>
                <w:p w14:paraId="1DFDABAB"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+1,5</w:t>
                  </w:r>
                </w:p>
              </w:tc>
              <w:tc>
                <w:tcPr>
                  <w:tcW w:w="700" w:type="dxa"/>
                  <w:tcBorders>
                    <w:top w:val="nil"/>
                    <w:left w:val="nil"/>
                    <w:bottom w:val="nil"/>
                    <w:right w:val="nil"/>
                  </w:tcBorders>
                  <w:noWrap/>
                  <w:vAlign w:val="bottom"/>
                  <w:hideMark/>
                </w:tcPr>
                <w:p w14:paraId="27AF8D33"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+5,8</w:t>
                  </w:r>
                </w:p>
              </w:tc>
            </w:tr>
            <w:tr w:rsidR="00733628" w:rsidRPr="00E66262" w14:paraId="15C1104F" w14:textId="77777777" w:rsidTr="00252DB1">
              <w:trPr>
                <w:trHeight w:val="255"/>
              </w:trPr>
              <w:tc>
                <w:tcPr>
                  <w:tcW w:w="3362" w:type="dxa"/>
                  <w:tcBorders>
                    <w:top w:val="nil"/>
                    <w:left w:val="nil"/>
                    <w:bottom w:val="nil"/>
                    <w:right w:val="nil"/>
                  </w:tcBorders>
                  <w:noWrap/>
                  <w:vAlign w:val="bottom"/>
                  <w:hideMark/>
                </w:tcPr>
                <w:p w14:paraId="6EFC5330"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Švýcarsko</w:t>
                  </w:r>
                </w:p>
              </w:tc>
              <w:tc>
                <w:tcPr>
                  <w:tcW w:w="700" w:type="dxa"/>
                  <w:tcBorders>
                    <w:top w:val="nil"/>
                    <w:left w:val="nil"/>
                    <w:bottom w:val="nil"/>
                    <w:right w:val="nil"/>
                  </w:tcBorders>
                  <w:noWrap/>
                  <w:vAlign w:val="bottom"/>
                  <w:hideMark/>
                </w:tcPr>
                <w:p w14:paraId="61103892"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+1,5</w:t>
                  </w:r>
                </w:p>
              </w:tc>
              <w:tc>
                <w:tcPr>
                  <w:tcW w:w="700" w:type="dxa"/>
                  <w:tcBorders>
                    <w:top w:val="nil"/>
                    <w:left w:val="nil"/>
                    <w:bottom w:val="nil"/>
                    <w:right w:val="nil"/>
                  </w:tcBorders>
                  <w:noWrap/>
                  <w:vAlign w:val="bottom"/>
                  <w:hideMark/>
                </w:tcPr>
                <w:p w14:paraId="465714AD" w14:textId="77777777" w:rsidR="00733628" w:rsidRPr="00E66262" w:rsidRDefault="00733628" w:rsidP="00252DB1">
                  <w:pPr>
                    <w:spacing w:after="0" w:line="240" w:lineRule="auto"/>
                    <w:jc w:val="right"/>
                    <w:rPr>
                      <w:rFonts w:cs="Arial"/>
                      <w:color w:val="000000"/>
                      <w:sz w:val="16"/>
                      <w:szCs w:val="16"/>
                    </w:rPr>
                  </w:pPr>
                  <w:r w:rsidRPr="00E66262">
                    <w:rPr>
                      <w:rFonts w:cs="Arial"/>
                      <w:color w:val="000000"/>
                      <w:sz w:val="16"/>
                      <w:szCs w:val="16"/>
                    </w:rPr>
                    <w:t>+8,0</w:t>
                  </w:r>
                </w:p>
              </w:tc>
            </w:tr>
            <w:tr w:rsidR="00733628" w:rsidRPr="00E66262" w14:paraId="2D59F110" w14:textId="77777777" w:rsidTr="00252DB1">
              <w:trPr>
                <w:trHeight w:val="255"/>
              </w:trPr>
              <w:tc>
                <w:tcPr>
                  <w:tcW w:w="3362" w:type="dxa"/>
                  <w:tcBorders>
                    <w:top w:val="nil"/>
                    <w:left w:val="nil"/>
                    <w:bottom w:val="nil"/>
                    <w:right w:val="nil"/>
                  </w:tcBorders>
                  <w:noWrap/>
                  <w:vAlign w:val="bottom"/>
                  <w:hideMark/>
                </w:tcPr>
                <w:p w14:paraId="2A9B69E9"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Rusko</w:t>
                  </w:r>
                </w:p>
              </w:tc>
              <w:tc>
                <w:tcPr>
                  <w:tcW w:w="700" w:type="dxa"/>
                  <w:tcBorders>
                    <w:top w:val="nil"/>
                    <w:left w:val="nil"/>
                    <w:bottom w:val="nil"/>
                    <w:right w:val="nil"/>
                  </w:tcBorders>
                  <w:noWrap/>
                  <w:vAlign w:val="bottom"/>
                  <w:hideMark/>
                </w:tcPr>
                <w:p w14:paraId="273AE6DD"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1,3</w:t>
                  </w:r>
                </w:p>
              </w:tc>
              <w:tc>
                <w:tcPr>
                  <w:tcW w:w="700" w:type="dxa"/>
                  <w:tcBorders>
                    <w:top w:val="nil"/>
                    <w:left w:val="nil"/>
                    <w:bottom w:val="nil"/>
                    <w:right w:val="nil"/>
                  </w:tcBorders>
                  <w:noWrap/>
                  <w:vAlign w:val="bottom"/>
                  <w:hideMark/>
                </w:tcPr>
                <w:p w14:paraId="19B7703F"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35,8</w:t>
                  </w:r>
                </w:p>
              </w:tc>
            </w:tr>
            <w:tr w:rsidR="00733628" w:rsidRPr="00E66262" w14:paraId="27DE4FF4" w14:textId="77777777" w:rsidTr="00252DB1">
              <w:trPr>
                <w:trHeight w:val="255"/>
              </w:trPr>
              <w:tc>
                <w:tcPr>
                  <w:tcW w:w="3362" w:type="dxa"/>
                  <w:tcBorders>
                    <w:top w:val="nil"/>
                    <w:left w:val="nil"/>
                    <w:bottom w:val="nil"/>
                    <w:right w:val="nil"/>
                  </w:tcBorders>
                  <w:noWrap/>
                  <w:vAlign w:val="bottom"/>
                  <w:hideMark/>
                </w:tcPr>
                <w:p w14:paraId="6E81B3EC"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Maďarsko</w:t>
                  </w:r>
                </w:p>
              </w:tc>
              <w:tc>
                <w:tcPr>
                  <w:tcW w:w="700" w:type="dxa"/>
                  <w:tcBorders>
                    <w:top w:val="nil"/>
                    <w:left w:val="nil"/>
                    <w:bottom w:val="nil"/>
                    <w:right w:val="nil"/>
                  </w:tcBorders>
                  <w:noWrap/>
                  <w:vAlign w:val="bottom"/>
                  <w:hideMark/>
                </w:tcPr>
                <w:p w14:paraId="00E05F06"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1,4</w:t>
                  </w:r>
                </w:p>
              </w:tc>
              <w:tc>
                <w:tcPr>
                  <w:tcW w:w="700" w:type="dxa"/>
                  <w:tcBorders>
                    <w:top w:val="nil"/>
                    <w:left w:val="nil"/>
                    <w:bottom w:val="nil"/>
                    <w:right w:val="nil"/>
                  </w:tcBorders>
                  <w:noWrap/>
                  <w:vAlign w:val="bottom"/>
                  <w:hideMark/>
                </w:tcPr>
                <w:p w14:paraId="3AAA0714"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4,2</w:t>
                  </w:r>
                </w:p>
              </w:tc>
            </w:tr>
            <w:tr w:rsidR="00733628" w:rsidRPr="00E66262" w14:paraId="41A48681" w14:textId="77777777" w:rsidTr="00252DB1">
              <w:trPr>
                <w:trHeight w:val="255"/>
              </w:trPr>
              <w:tc>
                <w:tcPr>
                  <w:tcW w:w="3362" w:type="dxa"/>
                  <w:tcBorders>
                    <w:top w:val="nil"/>
                    <w:left w:val="nil"/>
                    <w:bottom w:val="nil"/>
                    <w:right w:val="nil"/>
                  </w:tcBorders>
                  <w:noWrap/>
                  <w:vAlign w:val="bottom"/>
                  <w:hideMark/>
                </w:tcPr>
                <w:p w14:paraId="16ADFFBC"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Itálie</w:t>
                  </w:r>
                </w:p>
              </w:tc>
              <w:tc>
                <w:tcPr>
                  <w:tcW w:w="700" w:type="dxa"/>
                  <w:tcBorders>
                    <w:top w:val="nil"/>
                    <w:left w:val="nil"/>
                    <w:bottom w:val="nil"/>
                    <w:right w:val="nil"/>
                  </w:tcBorders>
                  <w:noWrap/>
                  <w:vAlign w:val="bottom"/>
                  <w:hideMark/>
                </w:tcPr>
                <w:p w14:paraId="2C389CB3"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2,0</w:t>
                  </w:r>
                </w:p>
              </w:tc>
              <w:tc>
                <w:tcPr>
                  <w:tcW w:w="700" w:type="dxa"/>
                  <w:tcBorders>
                    <w:top w:val="nil"/>
                    <w:left w:val="nil"/>
                    <w:bottom w:val="nil"/>
                    <w:right w:val="nil"/>
                  </w:tcBorders>
                  <w:noWrap/>
                  <w:vAlign w:val="bottom"/>
                  <w:hideMark/>
                </w:tcPr>
                <w:p w14:paraId="12E04ADC"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4,5</w:t>
                  </w:r>
                </w:p>
              </w:tc>
            </w:tr>
            <w:tr w:rsidR="00733628" w:rsidRPr="00E66262" w14:paraId="7A826305" w14:textId="77777777" w:rsidTr="00252DB1">
              <w:trPr>
                <w:trHeight w:val="255"/>
              </w:trPr>
              <w:tc>
                <w:tcPr>
                  <w:tcW w:w="3362" w:type="dxa"/>
                  <w:tcBorders>
                    <w:top w:val="nil"/>
                    <w:left w:val="nil"/>
                    <w:bottom w:val="nil"/>
                    <w:right w:val="nil"/>
                  </w:tcBorders>
                  <w:noWrap/>
                  <w:vAlign w:val="bottom"/>
                  <w:hideMark/>
                </w:tcPr>
                <w:p w14:paraId="5FC8DF9F"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Singapur</w:t>
                  </w:r>
                </w:p>
              </w:tc>
              <w:tc>
                <w:tcPr>
                  <w:tcW w:w="700" w:type="dxa"/>
                  <w:tcBorders>
                    <w:top w:val="nil"/>
                    <w:left w:val="nil"/>
                    <w:bottom w:val="nil"/>
                    <w:right w:val="nil"/>
                  </w:tcBorders>
                  <w:noWrap/>
                  <w:vAlign w:val="bottom"/>
                  <w:hideMark/>
                </w:tcPr>
                <w:p w14:paraId="3837D205"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2,7</w:t>
                  </w:r>
                </w:p>
              </w:tc>
              <w:tc>
                <w:tcPr>
                  <w:tcW w:w="700" w:type="dxa"/>
                  <w:tcBorders>
                    <w:top w:val="nil"/>
                    <w:left w:val="nil"/>
                    <w:bottom w:val="nil"/>
                    <w:right w:val="nil"/>
                  </w:tcBorders>
                  <w:noWrap/>
                  <w:vAlign w:val="bottom"/>
                  <w:hideMark/>
                </w:tcPr>
                <w:p w14:paraId="5080DBF0"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36,7</w:t>
                  </w:r>
                </w:p>
              </w:tc>
            </w:tr>
            <w:tr w:rsidR="00733628" w:rsidRPr="00E66262" w14:paraId="2B78DFD3" w14:textId="77777777" w:rsidTr="00252DB1">
              <w:trPr>
                <w:trHeight w:val="255"/>
              </w:trPr>
              <w:tc>
                <w:tcPr>
                  <w:tcW w:w="3362" w:type="dxa"/>
                  <w:tcBorders>
                    <w:top w:val="nil"/>
                    <w:left w:val="nil"/>
                    <w:bottom w:val="nil"/>
                    <w:right w:val="nil"/>
                  </w:tcBorders>
                  <w:noWrap/>
                  <w:vAlign w:val="bottom"/>
                  <w:hideMark/>
                </w:tcPr>
                <w:p w14:paraId="771DB90A"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Spojené státy</w:t>
                  </w:r>
                  <w:r>
                    <w:rPr>
                      <w:rFonts w:cs="Arial"/>
                      <w:color w:val="000000"/>
                      <w:sz w:val="16"/>
                      <w:szCs w:val="16"/>
                    </w:rPr>
                    <w:t xml:space="preserve"> americké</w:t>
                  </w:r>
                </w:p>
              </w:tc>
              <w:tc>
                <w:tcPr>
                  <w:tcW w:w="700" w:type="dxa"/>
                  <w:tcBorders>
                    <w:top w:val="nil"/>
                    <w:left w:val="nil"/>
                    <w:bottom w:val="nil"/>
                    <w:right w:val="nil"/>
                  </w:tcBorders>
                  <w:noWrap/>
                  <w:vAlign w:val="bottom"/>
                  <w:hideMark/>
                </w:tcPr>
                <w:p w14:paraId="4A50A925"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4,4</w:t>
                  </w:r>
                </w:p>
              </w:tc>
              <w:tc>
                <w:tcPr>
                  <w:tcW w:w="700" w:type="dxa"/>
                  <w:tcBorders>
                    <w:top w:val="nil"/>
                    <w:left w:val="nil"/>
                    <w:bottom w:val="nil"/>
                    <w:right w:val="nil"/>
                  </w:tcBorders>
                  <w:noWrap/>
                  <w:vAlign w:val="bottom"/>
                  <w:hideMark/>
                </w:tcPr>
                <w:p w14:paraId="1375DBAB"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12,3</w:t>
                  </w:r>
                </w:p>
              </w:tc>
            </w:tr>
            <w:tr w:rsidR="00733628" w:rsidRPr="00E66262" w14:paraId="4391BBF5" w14:textId="77777777" w:rsidTr="00252DB1">
              <w:trPr>
                <w:trHeight w:val="255"/>
              </w:trPr>
              <w:tc>
                <w:tcPr>
                  <w:tcW w:w="3362" w:type="dxa"/>
                  <w:tcBorders>
                    <w:top w:val="nil"/>
                    <w:left w:val="nil"/>
                    <w:bottom w:val="nil"/>
                    <w:right w:val="nil"/>
                  </w:tcBorders>
                  <w:noWrap/>
                  <w:vAlign w:val="bottom"/>
                  <w:hideMark/>
                </w:tcPr>
                <w:p w14:paraId="572F7E0A" w14:textId="77777777" w:rsidR="00733628" w:rsidRPr="00E66262" w:rsidRDefault="00733628" w:rsidP="00252DB1">
                  <w:pPr>
                    <w:spacing w:after="0" w:line="240" w:lineRule="auto"/>
                    <w:jc w:val="left"/>
                    <w:rPr>
                      <w:rFonts w:cs="Arial"/>
                      <w:color w:val="000000"/>
                      <w:sz w:val="16"/>
                      <w:szCs w:val="16"/>
                    </w:rPr>
                  </w:pPr>
                  <w:r w:rsidRPr="00E66262">
                    <w:rPr>
                      <w:rFonts w:cs="Arial"/>
                      <w:color w:val="000000"/>
                      <w:sz w:val="16"/>
                      <w:szCs w:val="16"/>
                    </w:rPr>
                    <w:t>Velká Británie</w:t>
                  </w:r>
                </w:p>
              </w:tc>
              <w:tc>
                <w:tcPr>
                  <w:tcW w:w="700" w:type="dxa"/>
                  <w:tcBorders>
                    <w:top w:val="nil"/>
                    <w:left w:val="nil"/>
                    <w:bottom w:val="nil"/>
                    <w:right w:val="nil"/>
                  </w:tcBorders>
                  <w:noWrap/>
                  <w:vAlign w:val="bottom"/>
                  <w:hideMark/>
                </w:tcPr>
                <w:p w14:paraId="54031E0C"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5,4</w:t>
                  </w:r>
                </w:p>
              </w:tc>
              <w:tc>
                <w:tcPr>
                  <w:tcW w:w="700" w:type="dxa"/>
                  <w:tcBorders>
                    <w:top w:val="nil"/>
                    <w:left w:val="nil"/>
                    <w:bottom w:val="nil"/>
                    <w:right w:val="nil"/>
                  </w:tcBorders>
                  <w:noWrap/>
                  <w:vAlign w:val="bottom"/>
                  <w:hideMark/>
                </w:tcPr>
                <w:p w14:paraId="16A49917" w14:textId="77777777" w:rsidR="00733628" w:rsidRPr="00E66262" w:rsidRDefault="00733628" w:rsidP="00252DB1">
                  <w:pPr>
                    <w:spacing w:after="0" w:line="240" w:lineRule="auto"/>
                    <w:jc w:val="right"/>
                    <w:rPr>
                      <w:rFonts w:cs="Arial"/>
                      <w:color w:val="000000"/>
                      <w:sz w:val="16"/>
                      <w:szCs w:val="16"/>
                    </w:rPr>
                  </w:pPr>
                  <w:r>
                    <w:rPr>
                      <w:rFonts w:cs="Arial"/>
                      <w:color w:val="000000"/>
                      <w:sz w:val="16"/>
                      <w:szCs w:val="16"/>
                    </w:rPr>
                    <w:t>−</w:t>
                  </w:r>
                  <w:r w:rsidRPr="00E66262">
                    <w:rPr>
                      <w:rFonts w:cs="Arial"/>
                      <w:color w:val="000000"/>
                      <w:sz w:val="16"/>
                      <w:szCs w:val="16"/>
                    </w:rPr>
                    <w:t>9,4</w:t>
                  </w:r>
                </w:p>
              </w:tc>
            </w:tr>
          </w:tbl>
          <w:p w14:paraId="48E46D1C" w14:textId="77777777" w:rsidR="00733628" w:rsidRDefault="00733628" w:rsidP="00252DB1">
            <w:pPr>
              <w:spacing w:after="0"/>
              <w:rPr>
                <w:spacing w:val="-4"/>
                <w:lang w:eastAsia="en-US"/>
              </w:rPr>
            </w:pPr>
          </w:p>
        </w:tc>
      </w:tr>
      <w:tr w:rsidR="00733628" w14:paraId="1E020342" w14:textId="77777777" w:rsidTr="00252DB1">
        <w:trPr>
          <w:trHeight w:val="170"/>
        </w:trPr>
        <w:tc>
          <w:tcPr>
            <w:tcW w:w="4811" w:type="dxa"/>
            <w:gridSpan w:val="3"/>
            <w:hideMark/>
          </w:tcPr>
          <w:p w14:paraId="2D03FCCE" w14:textId="77777777" w:rsidR="00733628" w:rsidRDefault="00733628" w:rsidP="00252DB1">
            <w:pPr>
              <w:jc w:val="left"/>
              <w:rPr>
                <w:spacing w:val="-4"/>
                <w:sz w:val="16"/>
                <w:szCs w:val="16"/>
                <w:lang w:eastAsia="en-US"/>
              </w:rPr>
            </w:pPr>
            <w:r>
              <w:rPr>
                <w:spacing w:val="-4"/>
                <w:sz w:val="16"/>
                <w:szCs w:val="16"/>
                <w:lang w:eastAsia="en-US"/>
              </w:rPr>
              <w:t>Zdroj: ČSÚ</w:t>
            </w:r>
          </w:p>
        </w:tc>
        <w:tc>
          <w:tcPr>
            <w:tcW w:w="57" w:type="dxa"/>
          </w:tcPr>
          <w:p w14:paraId="0D062835" w14:textId="77777777" w:rsidR="00733628" w:rsidRDefault="00733628" w:rsidP="00252DB1">
            <w:pPr>
              <w:spacing w:after="0"/>
              <w:rPr>
                <w:spacing w:val="-4"/>
                <w:lang w:eastAsia="en-US"/>
              </w:rPr>
            </w:pPr>
          </w:p>
        </w:tc>
        <w:tc>
          <w:tcPr>
            <w:tcW w:w="4809" w:type="dxa"/>
            <w:hideMark/>
          </w:tcPr>
          <w:p w14:paraId="404123AA" w14:textId="77777777" w:rsidR="00733628" w:rsidRDefault="00733628" w:rsidP="00252DB1">
            <w:pPr>
              <w:spacing w:after="0"/>
              <w:ind w:right="21"/>
              <w:jc w:val="left"/>
              <w:rPr>
                <w:spacing w:val="-4"/>
                <w:lang w:eastAsia="en-US"/>
              </w:rPr>
            </w:pPr>
            <w:r>
              <w:rPr>
                <w:spacing w:val="-4"/>
                <w:sz w:val="16"/>
                <w:szCs w:val="16"/>
                <w:lang w:eastAsia="en-US"/>
              </w:rPr>
              <w:t>Zdroj: ČSÚ</w:t>
            </w:r>
          </w:p>
        </w:tc>
      </w:tr>
      <w:tr w:rsidR="00733628" w14:paraId="60501272" w14:textId="77777777" w:rsidTr="00252DB1">
        <w:trPr>
          <w:trHeight w:val="145"/>
        </w:trPr>
        <w:tc>
          <w:tcPr>
            <w:tcW w:w="1748" w:type="dxa"/>
          </w:tcPr>
          <w:p w14:paraId="4E43ADED" w14:textId="77777777" w:rsidR="00733628" w:rsidRDefault="00733628" w:rsidP="00252DB1">
            <w:pPr>
              <w:pStyle w:val="Marginlie"/>
              <w:rPr>
                <w:lang w:eastAsia="en-US"/>
              </w:rPr>
            </w:pPr>
            <w:r>
              <w:rPr>
                <w:lang w:eastAsia="en-US"/>
              </w:rPr>
              <w:lastRenderedPageBreak/>
              <w:t>Motorová vozidla si po celý rok udržovala silný vliv na růst exportu.</w:t>
            </w:r>
          </w:p>
        </w:tc>
        <w:tc>
          <w:tcPr>
            <w:tcW w:w="252" w:type="dxa"/>
          </w:tcPr>
          <w:p w14:paraId="15744AB8" w14:textId="77777777" w:rsidR="00733628" w:rsidRDefault="00733628" w:rsidP="00252DB1">
            <w:pPr>
              <w:pStyle w:val="Textpoznpodarou"/>
              <w:jc w:val="both"/>
              <w:rPr>
                <w:spacing w:val="-4"/>
                <w:lang w:eastAsia="en-US"/>
              </w:rPr>
            </w:pPr>
          </w:p>
        </w:tc>
        <w:tc>
          <w:tcPr>
            <w:tcW w:w="7677" w:type="dxa"/>
            <w:gridSpan w:val="3"/>
          </w:tcPr>
          <w:p w14:paraId="296344B8" w14:textId="77777777" w:rsidR="00733628" w:rsidRDefault="00733628" w:rsidP="00252DB1">
            <w:pPr>
              <w:spacing w:after="180"/>
              <w:rPr>
                <w:spacing w:val="-4"/>
                <w:lang w:eastAsia="en-US"/>
              </w:rPr>
            </w:pPr>
            <w:r>
              <w:rPr>
                <w:spacing w:val="-4"/>
                <w:lang w:eastAsia="en-US"/>
              </w:rPr>
              <w:t xml:space="preserve">Meziroční nárůst hodnoty exportu zboží v 1. až 3. čtvrtletí 2025 nejvíce táhl vývoz motorových vozidel (+56,9 mld. korun, 5,8 %). Významně se zvyšoval také vývoz v oblasti elektřiny, plynu, páry a klimatizovaného vzduchu (+11,9 mld. korun, 41,2 %, z naprosté většiny zásluhou vývoje v 1. kvartálu), ostatních dopravních prostředků (+10,8 mld., 18,2 %), potravinářských výrobků (+10,5 mld., 7,6 %) nebo strojů a zařízení (+9,5 mld., 2,5 %). Hranici 5 mld. přesáhly také nárůsty u elektrických zařízení, základních farmaceutických výrobků a přípravků a koksu a rafinovaných ropných produktů. Zaznamenané poklesy byly vesměs relativně malé, nejvíce se v kumulaci od začátku roku meziročně snížil vývoz chemických látek a přípravků (−4,3 mld. korun, −2,6 %). U řady artiklů bylo v jednotlivých čtvrtletích patrné mírné oslabování meziročních přírůstků vývozu oproti první čtvrtině roku. To je případ dominantních motorových vozidel, která rozhodujícím způsobem podpořila meziroční růst exportu ve 3. čtvrtletí (viz Tabulka č. 1). Mírnější byla také navýšení u ostatních dopravních prostředků a zařízení a potravinářských výrobků. Naopak export strojů a zařízení vykázal ve 3. čtvrtletí oživení přírůstku a stabilně rostl vývoz koksu a rafinovaných ropných produktů. Samotné 3. čtvrtletí přineslo jen několik výraznějších zlomů v dynamice – především pokles exportu počítačů, elektronických </w:t>
            </w:r>
            <w:r>
              <w:rPr>
                <w:spacing w:val="-4"/>
                <w:lang w:eastAsia="en-US"/>
              </w:rPr>
              <w:br/>
              <w:t xml:space="preserve">a optických přístrojů a zařízení a elektrických zařízení. U obou šlo o propad po delším období růstu. Na předchozí pokles dalším snížením navázal vývoz chemických látek </w:t>
            </w:r>
            <w:r>
              <w:rPr>
                <w:spacing w:val="-4"/>
                <w:lang w:eastAsia="en-US"/>
              </w:rPr>
              <w:br/>
              <w:t xml:space="preserve">a přípravků.   </w:t>
            </w:r>
          </w:p>
        </w:tc>
      </w:tr>
      <w:tr w:rsidR="00733628" w14:paraId="68E86E54" w14:textId="77777777" w:rsidTr="00252DB1">
        <w:trPr>
          <w:trHeight w:val="145"/>
        </w:trPr>
        <w:tc>
          <w:tcPr>
            <w:tcW w:w="1748" w:type="dxa"/>
            <w:hideMark/>
          </w:tcPr>
          <w:p w14:paraId="7AE083D1" w14:textId="77777777" w:rsidR="00733628" w:rsidRDefault="00733628" w:rsidP="00252DB1">
            <w:pPr>
              <w:pStyle w:val="Marginlie"/>
              <w:rPr>
                <w:lang w:eastAsia="en-US"/>
              </w:rPr>
            </w:pPr>
            <w:r>
              <w:rPr>
                <w:lang w:eastAsia="en-US"/>
              </w:rPr>
              <w:t xml:space="preserve">U dovozu bylo ve </w:t>
            </w:r>
            <w:r>
              <w:rPr>
                <w:lang w:eastAsia="en-US"/>
              </w:rPr>
              <w:br/>
              <w:t>3. čtvrtletí zaznamenáno výrazné zpomalení meziročního růstu.</w:t>
            </w:r>
          </w:p>
        </w:tc>
        <w:tc>
          <w:tcPr>
            <w:tcW w:w="252" w:type="dxa"/>
          </w:tcPr>
          <w:p w14:paraId="122DD20E" w14:textId="77777777" w:rsidR="00733628" w:rsidRDefault="00733628" w:rsidP="00252DB1">
            <w:pPr>
              <w:pStyle w:val="Textpoznpodarou"/>
              <w:jc w:val="both"/>
              <w:rPr>
                <w:spacing w:val="-4"/>
                <w:lang w:eastAsia="en-US"/>
              </w:rPr>
            </w:pPr>
          </w:p>
        </w:tc>
        <w:tc>
          <w:tcPr>
            <w:tcW w:w="7677" w:type="dxa"/>
            <w:gridSpan w:val="3"/>
            <w:hideMark/>
          </w:tcPr>
          <w:p w14:paraId="02E01092" w14:textId="77777777" w:rsidR="00733628" w:rsidRDefault="00733628" w:rsidP="00252DB1">
            <w:pPr>
              <w:spacing w:after="180"/>
              <w:rPr>
                <w:spacing w:val="-4"/>
                <w:lang w:eastAsia="en-US"/>
              </w:rPr>
            </w:pPr>
            <w:r>
              <w:rPr>
                <w:spacing w:val="-4"/>
                <w:lang w:eastAsia="en-US"/>
              </w:rPr>
              <w:t>Dovoz zboží celkem od počátku roku dosáhl hodnoty 3 425,7 mld. korun a meziročně vzrostl o 132,4 mld. (4,0 %). Meziroční dynamika importu v 1. i 2. čtvrtletí předčila růst vývozu, ale ve 3. kvartálu přírůstek prudce zpomalil na 7,8 mld. korun (0,7 %) a dovoz dosáhl 1 112,5 mld. I v případě dovozu měl vývoj cen tlumivý dopad na jeho dynamiku</w:t>
            </w:r>
            <w:r w:rsidRPr="00C11451">
              <w:rPr>
                <w:rStyle w:val="Znakapoznpodarou"/>
                <w:spacing w:val="-4"/>
                <w:lang w:eastAsia="en-US"/>
              </w:rPr>
              <w:footnoteReference w:id="4"/>
            </w:r>
            <w:r>
              <w:rPr>
                <w:spacing w:val="-4"/>
                <w:lang w:eastAsia="en-US"/>
              </w:rPr>
              <w:t xml:space="preserve">. Sezónně očištěné údaje ukázaly na mezičtvrtletní pokles importu o 3,2 %. Dovoz ze zemí EU byl od počátku roku meziročně o 59,2 mld. korun (2,9 %) vyšší. Import ze zemí mimo EU vzrostl </w:t>
            </w:r>
            <w:r>
              <w:rPr>
                <w:spacing w:val="-4"/>
                <w:lang w:eastAsia="en-US"/>
              </w:rPr>
              <w:br/>
              <w:t>o 54,3 mld. (4,5 %). Nejvíce od začátku roku vzrostl dovoz z Číny (+26,9 mld. korun, 6,9 %), Norska (+17,2 mld., 37,6 %) a Německa (+12,8 mld., 1,7 %). Výrazný pokles byl naopak zaznamenán u dovozu z Ruska (−31,3 mld. korun, −61,7 %) a Tchaj-wanu (−10,4 mld., −28,9 %). V samotném 3. čtvrtletí výrazně meziročně klesl import z Ruska (viz Tabulka č. 4) a Polska, nižší byl také dovoz z Číny. Přírůstky dovozu ve 3. kvartálu nebyly příliš výrazné, nejvíce se zvýšil dovoz z Norska a s odstupem dále ze Švédska a Maďarska.</w:t>
            </w:r>
          </w:p>
        </w:tc>
      </w:tr>
      <w:tr w:rsidR="00733628" w14:paraId="1BBEAC3D" w14:textId="77777777" w:rsidTr="00252DB1">
        <w:trPr>
          <w:trHeight w:val="170"/>
        </w:trPr>
        <w:tc>
          <w:tcPr>
            <w:tcW w:w="4811" w:type="dxa"/>
            <w:gridSpan w:val="3"/>
            <w:hideMark/>
          </w:tcPr>
          <w:p w14:paraId="37DD7CB0" w14:textId="26C4B826" w:rsidR="00733628" w:rsidRDefault="00733628" w:rsidP="00252DB1">
            <w:pPr>
              <w:spacing w:after="0"/>
              <w:jc w:val="left"/>
              <w:rPr>
                <w:spacing w:val="-4"/>
                <w:lang w:eastAsia="en-US"/>
              </w:rPr>
            </w:pPr>
            <w:r>
              <w:rPr>
                <w:rFonts w:cs="Arial"/>
                <w:b/>
                <w:bCs/>
                <w:color w:val="000000"/>
                <w:sz w:val="18"/>
                <w:szCs w:val="18"/>
                <w:lang w:eastAsia="en-US"/>
              </w:rPr>
              <w:t xml:space="preserve">Tabulka č. 3 Oddíly klasifikace CPA s největším vlivem na vývoj dovozu zboží ve </w:t>
            </w:r>
            <w:r w:rsidR="00DC40D2">
              <w:rPr>
                <w:rFonts w:cs="Arial"/>
                <w:b/>
                <w:bCs/>
                <w:color w:val="000000"/>
                <w:sz w:val="18"/>
                <w:szCs w:val="18"/>
                <w:lang w:eastAsia="en-US"/>
              </w:rPr>
              <w:t>3. čtvrtletí</w:t>
            </w:r>
            <w:r>
              <w:rPr>
                <w:rFonts w:cs="Arial"/>
                <w:b/>
                <w:bCs/>
                <w:color w:val="000000"/>
                <w:sz w:val="18"/>
                <w:szCs w:val="18"/>
                <w:lang w:eastAsia="en-US"/>
              </w:rPr>
              <w:t xml:space="preserve"> 2025 </w:t>
            </w:r>
            <w:r>
              <w:rPr>
                <w:rFonts w:cs="Arial"/>
                <w:bCs/>
                <w:color w:val="000000"/>
                <w:sz w:val="18"/>
                <w:szCs w:val="18"/>
                <w:lang w:eastAsia="en-US"/>
              </w:rPr>
              <w:t>(meziročně)</w:t>
            </w:r>
          </w:p>
        </w:tc>
        <w:tc>
          <w:tcPr>
            <w:tcW w:w="57" w:type="dxa"/>
          </w:tcPr>
          <w:p w14:paraId="47053332" w14:textId="77777777" w:rsidR="00733628" w:rsidRDefault="00733628" w:rsidP="00252DB1">
            <w:pPr>
              <w:spacing w:after="0"/>
              <w:rPr>
                <w:spacing w:val="-4"/>
                <w:lang w:eastAsia="en-US"/>
              </w:rPr>
            </w:pPr>
          </w:p>
        </w:tc>
        <w:tc>
          <w:tcPr>
            <w:tcW w:w="4809" w:type="dxa"/>
            <w:hideMark/>
          </w:tcPr>
          <w:p w14:paraId="2D89D50A" w14:textId="24499434" w:rsidR="00733628" w:rsidRDefault="00733628" w:rsidP="00252DB1">
            <w:pPr>
              <w:spacing w:after="0"/>
              <w:jc w:val="left"/>
              <w:rPr>
                <w:spacing w:val="-4"/>
                <w:sz w:val="18"/>
                <w:szCs w:val="18"/>
                <w:lang w:eastAsia="en-US"/>
              </w:rPr>
            </w:pPr>
            <w:r>
              <w:rPr>
                <w:rFonts w:cs="Arial"/>
                <w:b/>
                <w:bCs/>
                <w:color w:val="000000"/>
                <w:sz w:val="18"/>
                <w:szCs w:val="18"/>
                <w:lang w:eastAsia="en-US"/>
              </w:rPr>
              <w:t xml:space="preserve">Tabulka č. 4 Země s největším vlivem na vývoj dovozu zboží ve </w:t>
            </w:r>
            <w:r w:rsidR="00DC40D2">
              <w:rPr>
                <w:rFonts w:cs="Arial"/>
                <w:b/>
                <w:bCs/>
                <w:color w:val="000000"/>
                <w:sz w:val="18"/>
                <w:szCs w:val="18"/>
                <w:lang w:eastAsia="en-US"/>
              </w:rPr>
              <w:t>3. čtvrtletí</w:t>
            </w:r>
            <w:r>
              <w:rPr>
                <w:rFonts w:cs="Arial"/>
                <w:b/>
                <w:bCs/>
                <w:color w:val="000000"/>
                <w:sz w:val="18"/>
                <w:szCs w:val="18"/>
                <w:lang w:eastAsia="en-US"/>
              </w:rPr>
              <w:t xml:space="preserve"> 2025 </w:t>
            </w:r>
            <w:r>
              <w:rPr>
                <w:rFonts w:cs="Arial"/>
                <w:bCs/>
                <w:color w:val="000000"/>
                <w:sz w:val="18"/>
                <w:szCs w:val="18"/>
                <w:lang w:eastAsia="en-US"/>
              </w:rPr>
              <w:t>(meziročně)</w:t>
            </w:r>
          </w:p>
        </w:tc>
      </w:tr>
      <w:tr w:rsidR="00733628" w:rsidRPr="005A40B7" w14:paraId="4729C90E" w14:textId="77777777" w:rsidTr="00252DB1">
        <w:trPr>
          <w:trHeight w:val="170"/>
        </w:trPr>
        <w:tc>
          <w:tcPr>
            <w:tcW w:w="4811" w:type="dxa"/>
            <w:gridSpan w:val="3"/>
            <w:hideMark/>
          </w:tcPr>
          <w:tbl>
            <w:tblPr>
              <w:tblW w:w="4817" w:type="dxa"/>
              <w:tblLayout w:type="fixed"/>
              <w:tblCellMar>
                <w:left w:w="70" w:type="dxa"/>
                <w:right w:w="70" w:type="dxa"/>
              </w:tblCellMar>
              <w:tblLook w:val="04A0" w:firstRow="1" w:lastRow="0" w:firstColumn="1" w:lastColumn="0" w:noHBand="0" w:noVBand="1"/>
            </w:tblPr>
            <w:tblGrid>
              <w:gridCol w:w="3417"/>
              <w:gridCol w:w="700"/>
              <w:gridCol w:w="700"/>
            </w:tblGrid>
            <w:tr w:rsidR="00733628" w:rsidRPr="00AD4CDC" w14:paraId="7C54423E" w14:textId="77777777" w:rsidTr="00252DB1">
              <w:trPr>
                <w:trHeight w:val="252"/>
              </w:trPr>
              <w:tc>
                <w:tcPr>
                  <w:tcW w:w="3417" w:type="dxa"/>
                  <w:tcBorders>
                    <w:top w:val="nil"/>
                    <w:left w:val="nil"/>
                    <w:bottom w:val="single" w:sz="4" w:space="0" w:color="auto"/>
                    <w:right w:val="nil"/>
                  </w:tcBorders>
                  <w:noWrap/>
                  <w:vAlign w:val="bottom"/>
                  <w:hideMark/>
                </w:tcPr>
                <w:p w14:paraId="7CE25E33"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 </w:t>
                  </w:r>
                </w:p>
              </w:tc>
              <w:tc>
                <w:tcPr>
                  <w:tcW w:w="700" w:type="dxa"/>
                  <w:tcBorders>
                    <w:top w:val="nil"/>
                    <w:left w:val="nil"/>
                    <w:bottom w:val="single" w:sz="4" w:space="0" w:color="auto"/>
                    <w:right w:val="nil"/>
                  </w:tcBorders>
                  <w:noWrap/>
                  <w:vAlign w:val="bottom"/>
                  <w:hideMark/>
                </w:tcPr>
                <w:p w14:paraId="1344B3A8"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mld. Kč</w:t>
                  </w:r>
                </w:p>
              </w:tc>
              <w:tc>
                <w:tcPr>
                  <w:tcW w:w="700" w:type="dxa"/>
                  <w:tcBorders>
                    <w:top w:val="nil"/>
                    <w:left w:val="nil"/>
                    <w:bottom w:val="single" w:sz="4" w:space="0" w:color="auto"/>
                    <w:right w:val="nil"/>
                  </w:tcBorders>
                  <w:noWrap/>
                  <w:vAlign w:val="bottom"/>
                  <w:hideMark/>
                </w:tcPr>
                <w:p w14:paraId="4DACE183"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w:t>
                  </w:r>
                </w:p>
              </w:tc>
            </w:tr>
            <w:tr w:rsidR="00733628" w:rsidRPr="00AD4CDC" w14:paraId="6B1F41BB" w14:textId="77777777" w:rsidTr="00252DB1">
              <w:trPr>
                <w:trHeight w:val="252"/>
              </w:trPr>
              <w:tc>
                <w:tcPr>
                  <w:tcW w:w="3417" w:type="dxa"/>
                  <w:tcBorders>
                    <w:top w:val="nil"/>
                    <w:left w:val="nil"/>
                    <w:bottom w:val="nil"/>
                    <w:right w:val="nil"/>
                  </w:tcBorders>
                  <w:noWrap/>
                  <w:vAlign w:val="bottom"/>
                  <w:hideMark/>
                </w:tcPr>
                <w:p w14:paraId="477E34B1"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Motorová vozidla (kromě motocyklů) a díly</w:t>
                  </w:r>
                </w:p>
              </w:tc>
              <w:tc>
                <w:tcPr>
                  <w:tcW w:w="700" w:type="dxa"/>
                  <w:tcBorders>
                    <w:top w:val="nil"/>
                    <w:left w:val="nil"/>
                    <w:bottom w:val="nil"/>
                    <w:right w:val="nil"/>
                  </w:tcBorders>
                  <w:noWrap/>
                  <w:vAlign w:val="bottom"/>
                  <w:hideMark/>
                </w:tcPr>
                <w:p w14:paraId="4FB840FE"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+8,5</w:t>
                  </w:r>
                </w:p>
              </w:tc>
              <w:tc>
                <w:tcPr>
                  <w:tcW w:w="700" w:type="dxa"/>
                  <w:tcBorders>
                    <w:top w:val="nil"/>
                    <w:left w:val="nil"/>
                    <w:bottom w:val="nil"/>
                    <w:right w:val="nil"/>
                  </w:tcBorders>
                  <w:noWrap/>
                  <w:vAlign w:val="bottom"/>
                  <w:hideMark/>
                </w:tcPr>
                <w:p w14:paraId="6AA2302E"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+5,4</w:t>
                  </w:r>
                </w:p>
              </w:tc>
            </w:tr>
            <w:tr w:rsidR="00733628" w:rsidRPr="00AD4CDC" w14:paraId="6E083D0E" w14:textId="77777777" w:rsidTr="00252DB1">
              <w:trPr>
                <w:trHeight w:val="252"/>
              </w:trPr>
              <w:tc>
                <w:tcPr>
                  <w:tcW w:w="3417" w:type="dxa"/>
                  <w:tcBorders>
                    <w:top w:val="nil"/>
                    <w:left w:val="nil"/>
                    <w:bottom w:val="nil"/>
                    <w:right w:val="nil"/>
                  </w:tcBorders>
                  <w:noWrap/>
                  <w:vAlign w:val="bottom"/>
                  <w:hideMark/>
                </w:tcPr>
                <w:p w14:paraId="292987CA"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Kovodělné výrobky</w:t>
                  </w:r>
                </w:p>
              </w:tc>
              <w:tc>
                <w:tcPr>
                  <w:tcW w:w="700" w:type="dxa"/>
                  <w:tcBorders>
                    <w:top w:val="nil"/>
                    <w:left w:val="nil"/>
                    <w:bottom w:val="nil"/>
                    <w:right w:val="nil"/>
                  </w:tcBorders>
                  <w:noWrap/>
                  <w:vAlign w:val="bottom"/>
                  <w:hideMark/>
                </w:tcPr>
                <w:p w14:paraId="394B16BE"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+8,3</w:t>
                  </w:r>
                </w:p>
              </w:tc>
              <w:tc>
                <w:tcPr>
                  <w:tcW w:w="700" w:type="dxa"/>
                  <w:tcBorders>
                    <w:top w:val="nil"/>
                    <w:left w:val="nil"/>
                    <w:bottom w:val="nil"/>
                    <w:right w:val="nil"/>
                  </w:tcBorders>
                  <w:noWrap/>
                  <w:vAlign w:val="bottom"/>
                  <w:hideMark/>
                </w:tcPr>
                <w:p w14:paraId="10B44002"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+15,5</w:t>
                  </w:r>
                </w:p>
              </w:tc>
            </w:tr>
            <w:tr w:rsidR="00733628" w:rsidRPr="00AD4CDC" w14:paraId="31024FA8" w14:textId="77777777" w:rsidTr="00252DB1">
              <w:trPr>
                <w:trHeight w:val="252"/>
              </w:trPr>
              <w:tc>
                <w:tcPr>
                  <w:tcW w:w="3417" w:type="dxa"/>
                  <w:tcBorders>
                    <w:top w:val="nil"/>
                    <w:left w:val="nil"/>
                    <w:bottom w:val="nil"/>
                    <w:right w:val="nil"/>
                  </w:tcBorders>
                  <w:noWrap/>
                  <w:vAlign w:val="bottom"/>
                  <w:hideMark/>
                </w:tcPr>
                <w:p w14:paraId="4D1B21FE"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Elektřina, plyn, pára a klimatizovaný vzduch</w:t>
                  </w:r>
                </w:p>
              </w:tc>
              <w:tc>
                <w:tcPr>
                  <w:tcW w:w="700" w:type="dxa"/>
                  <w:tcBorders>
                    <w:top w:val="nil"/>
                    <w:left w:val="nil"/>
                    <w:bottom w:val="nil"/>
                    <w:right w:val="nil"/>
                  </w:tcBorders>
                  <w:noWrap/>
                  <w:vAlign w:val="bottom"/>
                  <w:hideMark/>
                </w:tcPr>
                <w:p w14:paraId="24F3FA4C"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+3,4</w:t>
                  </w:r>
                </w:p>
              </w:tc>
              <w:tc>
                <w:tcPr>
                  <w:tcW w:w="700" w:type="dxa"/>
                  <w:tcBorders>
                    <w:top w:val="nil"/>
                    <w:left w:val="nil"/>
                    <w:bottom w:val="nil"/>
                    <w:right w:val="nil"/>
                  </w:tcBorders>
                  <w:noWrap/>
                  <w:vAlign w:val="bottom"/>
                  <w:hideMark/>
                </w:tcPr>
                <w:p w14:paraId="3ED5F41A"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+103,4</w:t>
                  </w:r>
                </w:p>
              </w:tc>
            </w:tr>
            <w:tr w:rsidR="00733628" w:rsidRPr="00AD4CDC" w14:paraId="363D519F" w14:textId="77777777" w:rsidTr="00252DB1">
              <w:trPr>
                <w:trHeight w:val="252"/>
              </w:trPr>
              <w:tc>
                <w:tcPr>
                  <w:tcW w:w="3417" w:type="dxa"/>
                  <w:tcBorders>
                    <w:top w:val="nil"/>
                    <w:left w:val="nil"/>
                    <w:bottom w:val="nil"/>
                    <w:right w:val="nil"/>
                  </w:tcBorders>
                  <w:noWrap/>
                  <w:vAlign w:val="bottom"/>
                  <w:hideMark/>
                </w:tcPr>
                <w:p w14:paraId="40B69B13"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Potravinářské výrobky</w:t>
                  </w:r>
                </w:p>
              </w:tc>
              <w:tc>
                <w:tcPr>
                  <w:tcW w:w="700" w:type="dxa"/>
                  <w:tcBorders>
                    <w:top w:val="nil"/>
                    <w:left w:val="nil"/>
                    <w:bottom w:val="nil"/>
                    <w:right w:val="nil"/>
                  </w:tcBorders>
                  <w:noWrap/>
                  <w:vAlign w:val="bottom"/>
                  <w:hideMark/>
                </w:tcPr>
                <w:p w14:paraId="386806D6"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+2,6</w:t>
                  </w:r>
                </w:p>
              </w:tc>
              <w:tc>
                <w:tcPr>
                  <w:tcW w:w="700" w:type="dxa"/>
                  <w:tcBorders>
                    <w:top w:val="nil"/>
                    <w:left w:val="nil"/>
                    <w:bottom w:val="nil"/>
                    <w:right w:val="nil"/>
                  </w:tcBorders>
                  <w:noWrap/>
                  <w:vAlign w:val="bottom"/>
                  <w:hideMark/>
                </w:tcPr>
                <w:p w14:paraId="09DB1EE8"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+4,2</w:t>
                  </w:r>
                </w:p>
              </w:tc>
            </w:tr>
            <w:tr w:rsidR="00733628" w:rsidRPr="00AD4CDC" w14:paraId="309E9E4E" w14:textId="77777777" w:rsidTr="00252DB1">
              <w:trPr>
                <w:trHeight w:val="252"/>
              </w:trPr>
              <w:tc>
                <w:tcPr>
                  <w:tcW w:w="3417" w:type="dxa"/>
                  <w:tcBorders>
                    <w:top w:val="nil"/>
                    <w:left w:val="nil"/>
                    <w:bottom w:val="nil"/>
                    <w:right w:val="nil"/>
                  </w:tcBorders>
                  <w:noWrap/>
                  <w:vAlign w:val="bottom"/>
                  <w:hideMark/>
                </w:tcPr>
                <w:p w14:paraId="69710219"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Ostatní výrobky zpracovatelského průmyslu</w:t>
                  </w:r>
                </w:p>
              </w:tc>
              <w:tc>
                <w:tcPr>
                  <w:tcW w:w="700" w:type="dxa"/>
                  <w:tcBorders>
                    <w:top w:val="nil"/>
                    <w:left w:val="nil"/>
                    <w:bottom w:val="nil"/>
                    <w:right w:val="nil"/>
                  </w:tcBorders>
                  <w:noWrap/>
                  <w:vAlign w:val="bottom"/>
                  <w:hideMark/>
                </w:tcPr>
                <w:p w14:paraId="2F6A61E8"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+1,9</w:t>
                  </w:r>
                </w:p>
              </w:tc>
              <w:tc>
                <w:tcPr>
                  <w:tcW w:w="700" w:type="dxa"/>
                  <w:tcBorders>
                    <w:top w:val="nil"/>
                    <w:left w:val="nil"/>
                    <w:bottom w:val="nil"/>
                    <w:right w:val="nil"/>
                  </w:tcBorders>
                  <w:noWrap/>
                  <w:vAlign w:val="bottom"/>
                  <w:hideMark/>
                </w:tcPr>
                <w:p w14:paraId="1F3ADF8B"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+7,9</w:t>
                  </w:r>
                </w:p>
              </w:tc>
            </w:tr>
            <w:tr w:rsidR="00733628" w:rsidRPr="00AD4CDC" w14:paraId="7D67002E" w14:textId="77777777" w:rsidTr="00252DB1">
              <w:trPr>
                <w:trHeight w:val="252"/>
              </w:trPr>
              <w:tc>
                <w:tcPr>
                  <w:tcW w:w="3417" w:type="dxa"/>
                  <w:tcBorders>
                    <w:top w:val="nil"/>
                    <w:left w:val="nil"/>
                    <w:bottom w:val="nil"/>
                    <w:right w:val="nil"/>
                  </w:tcBorders>
                  <w:noWrap/>
                  <w:vAlign w:val="bottom"/>
                  <w:hideMark/>
                </w:tcPr>
                <w:p w14:paraId="502BE2C3"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Produkty zemědělství a myslivosti</w:t>
                  </w:r>
                </w:p>
              </w:tc>
              <w:tc>
                <w:tcPr>
                  <w:tcW w:w="700" w:type="dxa"/>
                  <w:tcBorders>
                    <w:top w:val="nil"/>
                    <w:left w:val="nil"/>
                    <w:bottom w:val="nil"/>
                    <w:right w:val="nil"/>
                  </w:tcBorders>
                  <w:noWrap/>
                  <w:vAlign w:val="bottom"/>
                  <w:hideMark/>
                </w:tcPr>
                <w:p w14:paraId="3EA7372B"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+1,7</w:t>
                  </w:r>
                </w:p>
              </w:tc>
              <w:tc>
                <w:tcPr>
                  <w:tcW w:w="700" w:type="dxa"/>
                  <w:tcBorders>
                    <w:top w:val="nil"/>
                    <w:left w:val="nil"/>
                    <w:bottom w:val="nil"/>
                    <w:right w:val="nil"/>
                  </w:tcBorders>
                  <w:noWrap/>
                  <w:vAlign w:val="bottom"/>
                  <w:hideMark/>
                </w:tcPr>
                <w:p w14:paraId="2FFC4EC7"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+11,2</w:t>
                  </w:r>
                </w:p>
              </w:tc>
            </w:tr>
            <w:tr w:rsidR="00733628" w:rsidRPr="00AD4CDC" w14:paraId="4C35BABB" w14:textId="77777777" w:rsidTr="00252DB1">
              <w:trPr>
                <w:trHeight w:val="252"/>
              </w:trPr>
              <w:tc>
                <w:tcPr>
                  <w:tcW w:w="3417" w:type="dxa"/>
                  <w:tcBorders>
                    <w:top w:val="nil"/>
                    <w:left w:val="nil"/>
                    <w:bottom w:val="nil"/>
                    <w:right w:val="nil"/>
                  </w:tcBorders>
                  <w:noWrap/>
                  <w:vAlign w:val="bottom"/>
                  <w:hideMark/>
                </w:tcPr>
                <w:p w14:paraId="737EE762"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Ropa a zemní plyn</w:t>
                  </w:r>
                </w:p>
              </w:tc>
              <w:tc>
                <w:tcPr>
                  <w:tcW w:w="700" w:type="dxa"/>
                  <w:tcBorders>
                    <w:top w:val="nil"/>
                    <w:left w:val="nil"/>
                    <w:bottom w:val="nil"/>
                    <w:right w:val="nil"/>
                  </w:tcBorders>
                  <w:noWrap/>
                  <w:vAlign w:val="bottom"/>
                  <w:hideMark/>
                </w:tcPr>
                <w:p w14:paraId="667F9269"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+1,2</w:t>
                  </w:r>
                </w:p>
              </w:tc>
              <w:tc>
                <w:tcPr>
                  <w:tcW w:w="700" w:type="dxa"/>
                  <w:tcBorders>
                    <w:top w:val="nil"/>
                    <w:left w:val="nil"/>
                    <w:bottom w:val="nil"/>
                    <w:right w:val="nil"/>
                  </w:tcBorders>
                  <w:noWrap/>
                  <w:vAlign w:val="bottom"/>
                  <w:hideMark/>
                </w:tcPr>
                <w:p w14:paraId="4720B111"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+3,0</w:t>
                  </w:r>
                </w:p>
              </w:tc>
            </w:tr>
            <w:tr w:rsidR="00733628" w:rsidRPr="00AD4CDC" w14:paraId="6068B7F8" w14:textId="77777777" w:rsidTr="00252DB1">
              <w:trPr>
                <w:trHeight w:val="252"/>
              </w:trPr>
              <w:tc>
                <w:tcPr>
                  <w:tcW w:w="3417" w:type="dxa"/>
                  <w:tcBorders>
                    <w:top w:val="nil"/>
                    <w:left w:val="nil"/>
                    <w:bottom w:val="nil"/>
                    <w:right w:val="nil"/>
                  </w:tcBorders>
                  <w:noWrap/>
                  <w:vAlign w:val="bottom"/>
                  <w:hideMark/>
                </w:tcPr>
                <w:p w14:paraId="444984CE"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Základní farmaceutické výrobky a přípravky</w:t>
                  </w:r>
                </w:p>
              </w:tc>
              <w:tc>
                <w:tcPr>
                  <w:tcW w:w="700" w:type="dxa"/>
                  <w:tcBorders>
                    <w:top w:val="nil"/>
                    <w:left w:val="nil"/>
                    <w:bottom w:val="nil"/>
                    <w:right w:val="nil"/>
                  </w:tcBorders>
                  <w:noWrap/>
                  <w:vAlign w:val="bottom"/>
                  <w:hideMark/>
                </w:tcPr>
                <w:p w14:paraId="5378A9C0"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0,9</w:t>
                  </w:r>
                </w:p>
              </w:tc>
              <w:tc>
                <w:tcPr>
                  <w:tcW w:w="700" w:type="dxa"/>
                  <w:tcBorders>
                    <w:top w:val="nil"/>
                    <w:left w:val="nil"/>
                    <w:bottom w:val="nil"/>
                    <w:right w:val="nil"/>
                  </w:tcBorders>
                  <w:noWrap/>
                  <w:vAlign w:val="bottom"/>
                  <w:hideMark/>
                </w:tcPr>
                <w:p w14:paraId="57151F90"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2,4</w:t>
                  </w:r>
                </w:p>
              </w:tc>
            </w:tr>
            <w:tr w:rsidR="00733628" w:rsidRPr="00AD4CDC" w14:paraId="30A02F31" w14:textId="77777777" w:rsidTr="00252DB1">
              <w:trPr>
                <w:trHeight w:val="252"/>
              </w:trPr>
              <w:tc>
                <w:tcPr>
                  <w:tcW w:w="3417" w:type="dxa"/>
                  <w:tcBorders>
                    <w:top w:val="nil"/>
                    <w:left w:val="nil"/>
                    <w:bottom w:val="nil"/>
                    <w:right w:val="nil"/>
                  </w:tcBorders>
                  <w:noWrap/>
                  <w:vAlign w:val="bottom"/>
                  <w:hideMark/>
                </w:tcPr>
                <w:p w14:paraId="2C668B13"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Papír a výrobky z papíru</w:t>
                  </w:r>
                </w:p>
              </w:tc>
              <w:tc>
                <w:tcPr>
                  <w:tcW w:w="700" w:type="dxa"/>
                  <w:tcBorders>
                    <w:top w:val="nil"/>
                    <w:left w:val="nil"/>
                    <w:bottom w:val="nil"/>
                    <w:right w:val="nil"/>
                  </w:tcBorders>
                  <w:noWrap/>
                  <w:vAlign w:val="bottom"/>
                  <w:hideMark/>
                </w:tcPr>
                <w:p w14:paraId="74F2138B"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1,1</w:t>
                  </w:r>
                </w:p>
              </w:tc>
              <w:tc>
                <w:tcPr>
                  <w:tcW w:w="700" w:type="dxa"/>
                  <w:tcBorders>
                    <w:top w:val="nil"/>
                    <w:left w:val="nil"/>
                    <w:bottom w:val="nil"/>
                    <w:right w:val="nil"/>
                  </w:tcBorders>
                  <w:noWrap/>
                  <w:vAlign w:val="bottom"/>
                  <w:hideMark/>
                </w:tcPr>
                <w:p w14:paraId="05E4ABD1"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6,1</w:t>
                  </w:r>
                </w:p>
              </w:tc>
            </w:tr>
            <w:tr w:rsidR="00733628" w:rsidRPr="00AD4CDC" w14:paraId="64909CEC" w14:textId="77777777" w:rsidTr="00252DB1">
              <w:trPr>
                <w:trHeight w:val="252"/>
              </w:trPr>
              <w:tc>
                <w:tcPr>
                  <w:tcW w:w="3417" w:type="dxa"/>
                  <w:tcBorders>
                    <w:top w:val="nil"/>
                    <w:left w:val="nil"/>
                    <w:bottom w:val="nil"/>
                    <w:right w:val="nil"/>
                  </w:tcBorders>
                  <w:noWrap/>
                  <w:vAlign w:val="bottom"/>
                  <w:hideMark/>
                </w:tcPr>
                <w:p w14:paraId="0C3F4278"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Textilie</w:t>
                  </w:r>
                </w:p>
              </w:tc>
              <w:tc>
                <w:tcPr>
                  <w:tcW w:w="700" w:type="dxa"/>
                  <w:tcBorders>
                    <w:top w:val="nil"/>
                    <w:left w:val="nil"/>
                    <w:bottom w:val="nil"/>
                    <w:right w:val="nil"/>
                  </w:tcBorders>
                  <w:noWrap/>
                  <w:vAlign w:val="bottom"/>
                  <w:hideMark/>
                </w:tcPr>
                <w:p w14:paraId="71E5BCFF"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1,1</w:t>
                  </w:r>
                </w:p>
              </w:tc>
              <w:tc>
                <w:tcPr>
                  <w:tcW w:w="700" w:type="dxa"/>
                  <w:tcBorders>
                    <w:top w:val="nil"/>
                    <w:left w:val="nil"/>
                    <w:bottom w:val="nil"/>
                    <w:right w:val="nil"/>
                  </w:tcBorders>
                  <w:noWrap/>
                  <w:vAlign w:val="bottom"/>
                  <w:hideMark/>
                </w:tcPr>
                <w:p w14:paraId="159086D0"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8,2</w:t>
                  </w:r>
                </w:p>
              </w:tc>
            </w:tr>
            <w:tr w:rsidR="00733628" w:rsidRPr="00AD4CDC" w14:paraId="7688D416" w14:textId="77777777" w:rsidTr="00252DB1">
              <w:trPr>
                <w:trHeight w:val="252"/>
              </w:trPr>
              <w:tc>
                <w:tcPr>
                  <w:tcW w:w="3417" w:type="dxa"/>
                  <w:tcBorders>
                    <w:top w:val="nil"/>
                    <w:left w:val="nil"/>
                    <w:bottom w:val="nil"/>
                    <w:right w:val="nil"/>
                  </w:tcBorders>
                  <w:noWrap/>
                  <w:vAlign w:val="bottom"/>
                  <w:hideMark/>
                </w:tcPr>
                <w:p w14:paraId="1AE0EEE4"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Základní kovy</w:t>
                  </w:r>
                </w:p>
              </w:tc>
              <w:tc>
                <w:tcPr>
                  <w:tcW w:w="700" w:type="dxa"/>
                  <w:tcBorders>
                    <w:top w:val="nil"/>
                    <w:left w:val="nil"/>
                    <w:bottom w:val="nil"/>
                    <w:right w:val="nil"/>
                  </w:tcBorders>
                  <w:noWrap/>
                  <w:vAlign w:val="bottom"/>
                  <w:hideMark/>
                </w:tcPr>
                <w:p w14:paraId="42395C8C"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1,4</w:t>
                  </w:r>
                </w:p>
              </w:tc>
              <w:tc>
                <w:tcPr>
                  <w:tcW w:w="700" w:type="dxa"/>
                  <w:tcBorders>
                    <w:top w:val="nil"/>
                    <w:left w:val="nil"/>
                    <w:bottom w:val="nil"/>
                    <w:right w:val="nil"/>
                  </w:tcBorders>
                  <w:noWrap/>
                  <w:vAlign w:val="bottom"/>
                  <w:hideMark/>
                </w:tcPr>
                <w:p w14:paraId="2DA037C9"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1,8</w:t>
                  </w:r>
                </w:p>
              </w:tc>
            </w:tr>
            <w:tr w:rsidR="00733628" w:rsidRPr="00AD4CDC" w14:paraId="6BEBE881" w14:textId="77777777" w:rsidTr="00252DB1">
              <w:trPr>
                <w:trHeight w:val="252"/>
              </w:trPr>
              <w:tc>
                <w:tcPr>
                  <w:tcW w:w="3417" w:type="dxa"/>
                  <w:tcBorders>
                    <w:top w:val="nil"/>
                    <w:left w:val="nil"/>
                    <w:bottom w:val="nil"/>
                    <w:right w:val="nil"/>
                  </w:tcBorders>
                  <w:noWrap/>
                  <w:vAlign w:val="bottom"/>
                  <w:hideMark/>
                </w:tcPr>
                <w:p w14:paraId="7A3D476D"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Stroje a zařízení j. n.</w:t>
                  </w:r>
                </w:p>
              </w:tc>
              <w:tc>
                <w:tcPr>
                  <w:tcW w:w="700" w:type="dxa"/>
                  <w:tcBorders>
                    <w:top w:val="nil"/>
                    <w:left w:val="nil"/>
                    <w:bottom w:val="nil"/>
                    <w:right w:val="nil"/>
                  </w:tcBorders>
                  <w:noWrap/>
                  <w:vAlign w:val="bottom"/>
                  <w:hideMark/>
                </w:tcPr>
                <w:p w14:paraId="1BEA0F1F"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1,8</w:t>
                  </w:r>
                </w:p>
              </w:tc>
              <w:tc>
                <w:tcPr>
                  <w:tcW w:w="700" w:type="dxa"/>
                  <w:tcBorders>
                    <w:top w:val="nil"/>
                    <w:left w:val="nil"/>
                    <w:bottom w:val="nil"/>
                    <w:right w:val="nil"/>
                  </w:tcBorders>
                  <w:noWrap/>
                  <w:vAlign w:val="bottom"/>
                  <w:hideMark/>
                </w:tcPr>
                <w:p w14:paraId="7D52C8BD"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1,9</w:t>
                  </w:r>
                </w:p>
              </w:tc>
            </w:tr>
            <w:tr w:rsidR="00733628" w:rsidRPr="00AD4CDC" w14:paraId="4CFBF504" w14:textId="77777777" w:rsidTr="00252DB1">
              <w:trPr>
                <w:trHeight w:val="252"/>
              </w:trPr>
              <w:tc>
                <w:tcPr>
                  <w:tcW w:w="3417" w:type="dxa"/>
                  <w:tcBorders>
                    <w:top w:val="nil"/>
                    <w:left w:val="nil"/>
                    <w:bottom w:val="nil"/>
                    <w:right w:val="nil"/>
                  </w:tcBorders>
                  <w:noWrap/>
                  <w:vAlign w:val="bottom"/>
                  <w:hideMark/>
                </w:tcPr>
                <w:p w14:paraId="544381CA"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Elektrická zařízení</w:t>
                  </w:r>
                </w:p>
              </w:tc>
              <w:tc>
                <w:tcPr>
                  <w:tcW w:w="700" w:type="dxa"/>
                  <w:tcBorders>
                    <w:top w:val="nil"/>
                    <w:left w:val="nil"/>
                    <w:bottom w:val="nil"/>
                    <w:right w:val="nil"/>
                  </w:tcBorders>
                  <w:noWrap/>
                  <w:vAlign w:val="bottom"/>
                  <w:hideMark/>
                </w:tcPr>
                <w:p w14:paraId="3CD715FF"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1,9</w:t>
                  </w:r>
                </w:p>
              </w:tc>
              <w:tc>
                <w:tcPr>
                  <w:tcW w:w="700" w:type="dxa"/>
                  <w:tcBorders>
                    <w:top w:val="nil"/>
                    <w:left w:val="nil"/>
                    <w:bottom w:val="nil"/>
                    <w:right w:val="nil"/>
                  </w:tcBorders>
                  <w:noWrap/>
                  <w:vAlign w:val="bottom"/>
                  <w:hideMark/>
                </w:tcPr>
                <w:p w14:paraId="2273BBE5"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1,6</w:t>
                  </w:r>
                </w:p>
              </w:tc>
            </w:tr>
            <w:tr w:rsidR="00733628" w:rsidRPr="00AD4CDC" w14:paraId="23420ED1" w14:textId="77777777" w:rsidTr="00252DB1">
              <w:trPr>
                <w:trHeight w:val="252"/>
              </w:trPr>
              <w:tc>
                <w:tcPr>
                  <w:tcW w:w="3417" w:type="dxa"/>
                  <w:tcBorders>
                    <w:top w:val="nil"/>
                    <w:left w:val="nil"/>
                    <w:bottom w:val="nil"/>
                    <w:right w:val="nil"/>
                  </w:tcBorders>
                  <w:noWrap/>
                  <w:vAlign w:val="bottom"/>
                  <w:hideMark/>
                </w:tcPr>
                <w:p w14:paraId="78F37676"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 xml:space="preserve">Počítače, elektron. a </w:t>
                  </w:r>
                  <w:proofErr w:type="spellStart"/>
                  <w:r w:rsidRPr="00AD4CDC">
                    <w:rPr>
                      <w:rFonts w:cs="Arial"/>
                      <w:color w:val="000000"/>
                      <w:sz w:val="16"/>
                      <w:szCs w:val="16"/>
                    </w:rPr>
                    <w:t>opt</w:t>
                  </w:r>
                  <w:proofErr w:type="spellEnd"/>
                  <w:r w:rsidRPr="00AD4CDC">
                    <w:rPr>
                      <w:rFonts w:cs="Arial"/>
                      <w:color w:val="000000"/>
                      <w:sz w:val="16"/>
                      <w:szCs w:val="16"/>
                    </w:rPr>
                    <w:t>. přístroje a zařízení</w:t>
                  </w:r>
                </w:p>
              </w:tc>
              <w:tc>
                <w:tcPr>
                  <w:tcW w:w="700" w:type="dxa"/>
                  <w:tcBorders>
                    <w:top w:val="nil"/>
                    <w:left w:val="nil"/>
                    <w:bottom w:val="nil"/>
                    <w:right w:val="nil"/>
                  </w:tcBorders>
                  <w:noWrap/>
                  <w:vAlign w:val="bottom"/>
                  <w:hideMark/>
                </w:tcPr>
                <w:p w14:paraId="2F148F2B"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5,3</w:t>
                  </w:r>
                </w:p>
              </w:tc>
              <w:tc>
                <w:tcPr>
                  <w:tcW w:w="700" w:type="dxa"/>
                  <w:tcBorders>
                    <w:top w:val="nil"/>
                    <w:left w:val="nil"/>
                    <w:bottom w:val="nil"/>
                    <w:right w:val="nil"/>
                  </w:tcBorders>
                  <w:noWrap/>
                  <w:vAlign w:val="bottom"/>
                  <w:hideMark/>
                </w:tcPr>
                <w:p w14:paraId="42C539AA"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4,2</w:t>
                  </w:r>
                </w:p>
              </w:tc>
            </w:tr>
            <w:tr w:rsidR="00733628" w:rsidRPr="00AD4CDC" w14:paraId="5878B64F" w14:textId="77777777" w:rsidTr="00252DB1">
              <w:trPr>
                <w:trHeight w:val="252"/>
              </w:trPr>
              <w:tc>
                <w:tcPr>
                  <w:tcW w:w="3417" w:type="dxa"/>
                  <w:tcBorders>
                    <w:top w:val="nil"/>
                    <w:left w:val="nil"/>
                    <w:bottom w:val="nil"/>
                    <w:right w:val="nil"/>
                  </w:tcBorders>
                  <w:noWrap/>
                  <w:vAlign w:val="bottom"/>
                  <w:hideMark/>
                </w:tcPr>
                <w:p w14:paraId="383F3C85"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Chemické látky a přípravky</w:t>
                  </w:r>
                </w:p>
              </w:tc>
              <w:tc>
                <w:tcPr>
                  <w:tcW w:w="700" w:type="dxa"/>
                  <w:tcBorders>
                    <w:top w:val="nil"/>
                    <w:left w:val="nil"/>
                    <w:bottom w:val="nil"/>
                    <w:right w:val="nil"/>
                  </w:tcBorders>
                  <w:noWrap/>
                  <w:vAlign w:val="bottom"/>
                  <w:hideMark/>
                </w:tcPr>
                <w:p w14:paraId="6D0196ED"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6,1</w:t>
                  </w:r>
                </w:p>
              </w:tc>
              <w:tc>
                <w:tcPr>
                  <w:tcW w:w="700" w:type="dxa"/>
                  <w:tcBorders>
                    <w:top w:val="nil"/>
                    <w:left w:val="nil"/>
                    <w:bottom w:val="nil"/>
                    <w:right w:val="nil"/>
                  </w:tcBorders>
                  <w:noWrap/>
                  <w:vAlign w:val="bottom"/>
                  <w:hideMark/>
                </w:tcPr>
                <w:p w14:paraId="7107EF6A"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6,8</w:t>
                  </w:r>
                </w:p>
              </w:tc>
            </w:tr>
          </w:tbl>
          <w:p w14:paraId="29F6D7D5" w14:textId="77777777" w:rsidR="00733628" w:rsidRPr="005A40B7" w:rsidRDefault="00733628" w:rsidP="00252DB1">
            <w:pPr>
              <w:spacing w:after="0"/>
              <w:rPr>
                <w:spacing w:val="-4"/>
                <w:sz w:val="16"/>
                <w:szCs w:val="16"/>
                <w:lang w:eastAsia="en-US"/>
              </w:rPr>
            </w:pPr>
          </w:p>
        </w:tc>
        <w:tc>
          <w:tcPr>
            <w:tcW w:w="57" w:type="dxa"/>
          </w:tcPr>
          <w:p w14:paraId="7DC2C5C4" w14:textId="77777777" w:rsidR="00733628" w:rsidRPr="005A40B7" w:rsidRDefault="00733628" w:rsidP="00252DB1">
            <w:pPr>
              <w:spacing w:after="0"/>
              <w:rPr>
                <w:spacing w:val="-4"/>
                <w:sz w:val="16"/>
                <w:szCs w:val="16"/>
                <w:lang w:eastAsia="en-US"/>
              </w:rPr>
            </w:pPr>
          </w:p>
        </w:tc>
        <w:tc>
          <w:tcPr>
            <w:tcW w:w="4809" w:type="dxa"/>
            <w:hideMark/>
          </w:tcPr>
          <w:tbl>
            <w:tblPr>
              <w:tblW w:w="4762" w:type="dxa"/>
              <w:tblLayout w:type="fixed"/>
              <w:tblCellMar>
                <w:left w:w="70" w:type="dxa"/>
                <w:right w:w="70" w:type="dxa"/>
              </w:tblCellMar>
              <w:tblLook w:val="04A0" w:firstRow="1" w:lastRow="0" w:firstColumn="1" w:lastColumn="0" w:noHBand="0" w:noVBand="1"/>
            </w:tblPr>
            <w:tblGrid>
              <w:gridCol w:w="3362"/>
              <w:gridCol w:w="700"/>
              <w:gridCol w:w="700"/>
            </w:tblGrid>
            <w:tr w:rsidR="00733628" w:rsidRPr="00AD4CDC" w14:paraId="6221550D" w14:textId="77777777" w:rsidTr="00252DB1">
              <w:trPr>
                <w:trHeight w:val="252"/>
              </w:trPr>
              <w:tc>
                <w:tcPr>
                  <w:tcW w:w="3362" w:type="dxa"/>
                  <w:tcBorders>
                    <w:top w:val="nil"/>
                    <w:left w:val="nil"/>
                    <w:bottom w:val="single" w:sz="4" w:space="0" w:color="auto"/>
                    <w:right w:val="nil"/>
                  </w:tcBorders>
                  <w:noWrap/>
                  <w:vAlign w:val="bottom"/>
                  <w:hideMark/>
                </w:tcPr>
                <w:p w14:paraId="3429E3AB" w14:textId="77777777" w:rsidR="00733628" w:rsidRPr="00AD4CDC" w:rsidRDefault="00733628" w:rsidP="00252DB1">
                  <w:pPr>
                    <w:spacing w:after="0" w:line="240" w:lineRule="auto"/>
                    <w:jc w:val="left"/>
                    <w:rPr>
                      <w:rFonts w:cs="Arial"/>
                      <w:color w:val="000000"/>
                      <w:szCs w:val="20"/>
                    </w:rPr>
                  </w:pPr>
                </w:p>
              </w:tc>
              <w:tc>
                <w:tcPr>
                  <w:tcW w:w="700" w:type="dxa"/>
                  <w:tcBorders>
                    <w:top w:val="nil"/>
                    <w:left w:val="nil"/>
                    <w:bottom w:val="single" w:sz="4" w:space="0" w:color="auto"/>
                    <w:right w:val="nil"/>
                  </w:tcBorders>
                  <w:noWrap/>
                  <w:vAlign w:val="bottom"/>
                  <w:hideMark/>
                </w:tcPr>
                <w:p w14:paraId="460FED83"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mld. Kč</w:t>
                  </w:r>
                </w:p>
              </w:tc>
              <w:tc>
                <w:tcPr>
                  <w:tcW w:w="700" w:type="dxa"/>
                  <w:tcBorders>
                    <w:top w:val="nil"/>
                    <w:left w:val="nil"/>
                    <w:bottom w:val="single" w:sz="4" w:space="0" w:color="auto"/>
                    <w:right w:val="nil"/>
                  </w:tcBorders>
                  <w:noWrap/>
                  <w:vAlign w:val="bottom"/>
                  <w:hideMark/>
                </w:tcPr>
                <w:p w14:paraId="6C17A4FC"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w:t>
                  </w:r>
                </w:p>
              </w:tc>
            </w:tr>
            <w:tr w:rsidR="00733628" w:rsidRPr="00AD4CDC" w14:paraId="1489395F" w14:textId="77777777" w:rsidTr="00252DB1">
              <w:trPr>
                <w:trHeight w:val="252"/>
              </w:trPr>
              <w:tc>
                <w:tcPr>
                  <w:tcW w:w="3362" w:type="dxa"/>
                  <w:tcBorders>
                    <w:top w:val="nil"/>
                    <w:left w:val="nil"/>
                    <w:bottom w:val="nil"/>
                    <w:right w:val="nil"/>
                  </w:tcBorders>
                  <w:noWrap/>
                  <w:vAlign w:val="bottom"/>
                  <w:hideMark/>
                </w:tcPr>
                <w:p w14:paraId="33C8B727"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Norsko</w:t>
                  </w:r>
                </w:p>
              </w:tc>
              <w:tc>
                <w:tcPr>
                  <w:tcW w:w="700" w:type="dxa"/>
                  <w:tcBorders>
                    <w:top w:val="nil"/>
                    <w:left w:val="nil"/>
                    <w:bottom w:val="nil"/>
                    <w:right w:val="nil"/>
                  </w:tcBorders>
                  <w:noWrap/>
                  <w:vAlign w:val="bottom"/>
                  <w:hideMark/>
                </w:tcPr>
                <w:p w14:paraId="36272E6E"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+6,4</w:t>
                  </w:r>
                </w:p>
              </w:tc>
              <w:tc>
                <w:tcPr>
                  <w:tcW w:w="700" w:type="dxa"/>
                  <w:tcBorders>
                    <w:top w:val="nil"/>
                    <w:left w:val="nil"/>
                    <w:bottom w:val="nil"/>
                    <w:right w:val="nil"/>
                  </w:tcBorders>
                  <w:noWrap/>
                  <w:vAlign w:val="bottom"/>
                  <w:hideMark/>
                </w:tcPr>
                <w:p w14:paraId="182D14F2"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+40,5</w:t>
                  </w:r>
                </w:p>
              </w:tc>
            </w:tr>
            <w:tr w:rsidR="00733628" w:rsidRPr="00AD4CDC" w14:paraId="66D2101D" w14:textId="77777777" w:rsidTr="00252DB1">
              <w:trPr>
                <w:trHeight w:val="252"/>
              </w:trPr>
              <w:tc>
                <w:tcPr>
                  <w:tcW w:w="3362" w:type="dxa"/>
                  <w:tcBorders>
                    <w:top w:val="nil"/>
                    <w:left w:val="nil"/>
                    <w:bottom w:val="nil"/>
                    <w:right w:val="nil"/>
                  </w:tcBorders>
                  <w:noWrap/>
                  <w:vAlign w:val="bottom"/>
                  <w:hideMark/>
                </w:tcPr>
                <w:p w14:paraId="6F6AA07D"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Švédsko</w:t>
                  </w:r>
                </w:p>
              </w:tc>
              <w:tc>
                <w:tcPr>
                  <w:tcW w:w="700" w:type="dxa"/>
                  <w:tcBorders>
                    <w:top w:val="nil"/>
                    <w:left w:val="nil"/>
                    <w:bottom w:val="nil"/>
                    <w:right w:val="nil"/>
                  </w:tcBorders>
                  <w:noWrap/>
                  <w:vAlign w:val="bottom"/>
                  <w:hideMark/>
                </w:tcPr>
                <w:p w14:paraId="689BD757"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+2,7</w:t>
                  </w:r>
                </w:p>
              </w:tc>
              <w:tc>
                <w:tcPr>
                  <w:tcW w:w="700" w:type="dxa"/>
                  <w:tcBorders>
                    <w:top w:val="nil"/>
                    <w:left w:val="nil"/>
                    <w:bottom w:val="nil"/>
                    <w:right w:val="nil"/>
                  </w:tcBorders>
                  <w:noWrap/>
                  <w:vAlign w:val="bottom"/>
                  <w:hideMark/>
                </w:tcPr>
                <w:p w14:paraId="3DA10F3B"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+30,0</w:t>
                  </w:r>
                </w:p>
              </w:tc>
            </w:tr>
            <w:tr w:rsidR="00733628" w:rsidRPr="00AD4CDC" w14:paraId="6339C796" w14:textId="77777777" w:rsidTr="00252DB1">
              <w:trPr>
                <w:trHeight w:val="252"/>
              </w:trPr>
              <w:tc>
                <w:tcPr>
                  <w:tcW w:w="3362" w:type="dxa"/>
                  <w:tcBorders>
                    <w:top w:val="nil"/>
                    <w:left w:val="nil"/>
                    <w:bottom w:val="nil"/>
                    <w:right w:val="nil"/>
                  </w:tcBorders>
                  <w:noWrap/>
                  <w:vAlign w:val="bottom"/>
                  <w:hideMark/>
                </w:tcPr>
                <w:p w14:paraId="23C125E4"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Maďarsko</w:t>
                  </w:r>
                </w:p>
              </w:tc>
              <w:tc>
                <w:tcPr>
                  <w:tcW w:w="700" w:type="dxa"/>
                  <w:tcBorders>
                    <w:top w:val="nil"/>
                    <w:left w:val="nil"/>
                    <w:bottom w:val="nil"/>
                    <w:right w:val="nil"/>
                  </w:tcBorders>
                  <w:noWrap/>
                  <w:vAlign w:val="bottom"/>
                  <w:hideMark/>
                </w:tcPr>
                <w:p w14:paraId="43D7713F"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+2,7</w:t>
                  </w:r>
                </w:p>
              </w:tc>
              <w:tc>
                <w:tcPr>
                  <w:tcW w:w="700" w:type="dxa"/>
                  <w:tcBorders>
                    <w:top w:val="nil"/>
                    <w:left w:val="nil"/>
                    <w:bottom w:val="nil"/>
                    <w:right w:val="nil"/>
                  </w:tcBorders>
                  <w:noWrap/>
                  <w:vAlign w:val="bottom"/>
                  <w:hideMark/>
                </w:tcPr>
                <w:p w14:paraId="3B205A6C"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+11,2</w:t>
                  </w:r>
                </w:p>
              </w:tc>
            </w:tr>
            <w:tr w:rsidR="00733628" w:rsidRPr="00AD4CDC" w14:paraId="63872CD4" w14:textId="77777777" w:rsidTr="00252DB1">
              <w:trPr>
                <w:trHeight w:val="252"/>
              </w:trPr>
              <w:tc>
                <w:tcPr>
                  <w:tcW w:w="3362" w:type="dxa"/>
                  <w:tcBorders>
                    <w:top w:val="nil"/>
                    <w:left w:val="nil"/>
                    <w:bottom w:val="nil"/>
                    <w:right w:val="nil"/>
                  </w:tcBorders>
                  <w:noWrap/>
                  <w:vAlign w:val="bottom"/>
                  <w:hideMark/>
                </w:tcPr>
                <w:p w14:paraId="3AAAA3FA"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Rakousko</w:t>
                  </w:r>
                </w:p>
              </w:tc>
              <w:tc>
                <w:tcPr>
                  <w:tcW w:w="700" w:type="dxa"/>
                  <w:tcBorders>
                    <w:top w:val="nil"/>
                    <w:left w:val="nil"/>
                    <w:bottom w:val="nil"/>
                    <w:right w:val="nil"/>
                  </w:tcBorders>
                  <w:noWrap/>
                  <w:vAlign w:val="bottom"/>
                  <w:hideMark/>
                </w:tcPr>
                <w:p w14:paraId="3F618988"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+1,6</w:t>
                  </w:r>
                </w:p>
              </w:tc>
              <w:tc>
                <w:tcPr>
                  <w:tcW w:w="700" w:type="dxa"/>
                  <w:tcBorders>
                    <w:top w:val="nil"/>
                    <w:left w:val="nil"/>
                    <w:bottom w:val="nil"/>
                    <w:right w:val="nil"/>
                  </w:tcBorders>
                  <w:noWrap/>
                  <w:vAlign w:val="bottom"/>
                  <w:hideMark/>
                </w:tcPr>
                <w:p w14:paraId="1BE60CD6"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+5,5</w:t>
                  </w:r>
                </w:p>
              </w:tc>
            </w:tr>
            <w:tr w:rsidR="00733628" w:rsidRPr="00AD4CDC" w14:paraId="46665B9C" w14:textId="77777777" w:rsidTr="00252DB1">
              <w:trPr>
                <w:trHeight w:val="252"/>
              </w:trPr>
              <w:tc>
                <w:tcPr>
                  <w:tcW w:w="3362" w:type="dxa"/>
                  <w:tcBorders>
                    <w:top w:val="nil"/>
                    <w:left w:val="nil"/>
                    <w:bottom w:val="nil"/>
                    <w:right w:val="nil"/>
                  </w:tcBorders>
                  <w:noWrap/>
                  <w:vAlign w:val="bottom"/>
                  <w:hideMark/>
                </w:tcPr>
                <w:p w14:paraId="53CFBEF8"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Irsko</w:t>
                  </w:r>
                </w:p>
              </w:tc>
              <w:tc>
                <w:tcPr>
                  <w:tcW w:w="700" w:type="dxa"/>
                  <w:tcBorders>
                    <w:top w:val="nil"/>
                    <w:left w:val="nil"/>
                    <w:bottom w:val="nil"/>
                    <w:right w:val="nil"/>
                  </w:tcBorders>
                  <w:noWrap/>
                  <w:vAlign w:val="bottom"/>
                  <w:hideMark/>
                </w:tcPr>
                <w:p w14:paraId="63DE16E5"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+1,4</w:t>
                  </w:r>
                </w:p>
              </w:tc>
              <w:tc>
                <w:tcPr>
                  <w:tcW w:w="700" w:type="dxa"/>
                  <w:tcBorders>
                    <w:top w:val="nil"/>
                    <w:left w:val="nil"/>
                    <w:bottom w:val="nil"/>
                    <w:right w:val="nil"/>
                  </w:tcBorders>
                  <w:noWrap/>
                  <w:vAlign w:val="bottom"/>
                  <w:hideMark/>
                </w:tcPr>
                <w:p w14:paraId="5A21311F"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+27,9</w:t>
                  </w:r>
                </w:p>
              </w:tc>
            </w:tr>
            <w:tr w:rsidR="00733628" w:rsidRPr="00AD4CDC" w14:paraId="1EC50B4F" w14:textId="77777777" w:rsidTr="00252DB1">
              <w:trPr>
                <w:trHeight w:val="252"/>
              </w:trPr>
              <w:tc>
                <w:tcPr>
                  <w:tcW w:w="3362" w:type="dxa"/>
                  <w:tcBorders>
                    <w:top w:val="nil"/>
                    <w:left w:val="nil"/>
                    <w:bottom w:val="nil"/>
                    <w:right w:val="nil"/>
                  </w:tcBorders>
                  <w:noWrap/>
                  <w:vAlign w:val="bottom"/>
                  <w:hideMark/>
                </w:tcPr>
                <w:p w14:paraId="5FD55858"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Turecko</w:t>
                  </w:r>
                </w:p>
              </w:tc>
              <w:tc>
                <w:tcPr>
                  <w:tcW w:w="700" w:type="dxa"/>
                  <w:tcBorders>
                    <w:top w:val="nil"/>
                    <w:left w:val="nil"/>
                    <w:bottom w:val="nil"/>
                    <w:right w:val="nil"/>
                  </w:tcBorders>
                  <w:noWrap/>
                  <w:vAlign w:val="bottom"/>
                  <w:hideMark/>
                </w:tcPr>
                <w:p w14:paraId="16AB1EA8"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+1,4</w:t>
                  </w:r>
                </w:p>
              </w:tc>
              <w:tc>
                <w:tcPr>
                  <w:tcW w:w="700" w:type="dxa"/>
                  <w:tcBorders>
                    <w:top w:val="nil"/>
                    <w:left w:val="nil"/>
                    <w:bottom w:val="nil"/>
                    <w:right w:val="nil"/>
                  </w:tcBorders>
                  <w:noWrap/>
                  <w:vAlign w:val="bottom"/>
                  <w:hideMark/>
                </w:tcPr>
                <w:p w14:paraId="3DC3E215"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+10,3</w:t>
                  </w:r>
                </w:p>
              </w:tc>
            </w:tr>
            <w:tr w:rsidR="00733628" w:rsidRPr="00AD4CDC" w14:paraId="52BE6100" w14:textId="77777777" w:rsidTr="00252DB1">
              <w:trPr>
                <w:trHeight w:val="252"/>
              </w:trPr>
              <w:tc>
                <w:tcPr>
                  <w:tcW w:w="3362" w:type="dxa"/>
                  <w:tcBorders>
                    <w:top w:val="nil"/>
                    <w:left w:val="nil"/>
                    <w:bottom w:val="nil"/>
                    <w:right w:val="nil"/>
                  </w:tcBorders>
                  <w:noWrap/>
                  <w:vAlign w:val="bottom"/>
                  <w:hideMark/>
                </w:tcPr>
                <w:p w14:paraId="084F9AB6"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Německo</w:t>
                  </w:r>
                </w:p>
              </w:tc>
              <w:tc>
                <w:tcPr>
                  <w:tcW w:w="700" w:type="dxa"/>
                  <w:tcBorders>
                    <w:top w:val="nil"/>
                    <w:left w:val="nil"/>
                    <w:bottom w:val="nil"/>
                    <w:right w:val="nil"/>
                  </w:tcBorders>
                  <w:noWrap/>
                  <w:vAlign w:val="bottom"/>
                  <w:hideMark/>
                </w:tcPr>
                <w:p w14:paraId="70EEF6C1"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+1,4</w:t>
                  </w:r>
                </w:p>
              </w:tc>
              <w:tc>
                <w:tcPr>
                  <w:tcW w:w="700" w:type="dxa"/>
                  <w:tcBorders>
                    <w:top w:val="nil"/>
                    <w:left w:val="nil"/>
                    <w:bottom w:val="nil"/>
                    <w:right w:val="nil"/>
                  </w:tcBorders>
                  <w:noWrap/>
                  <w:vAlign w:val="bottom"/>
                  <w:hideMark/>
                </w:tcPr>
                <w:p w14:paraId="1A7D44A0"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+0,6</w:t>
                  </w:r>
                </w:p>
              </w:tc>
            </w:tr>
            <w:tr w:rsidR="00733628" w:rsidRPr="00AD4CDC" w14:paraId="02431859" w14:textId="77777777" w:rsidTr="00252DB1">
              <w:trPr>
                <w:trHeight w:val="252"/>
              </w:trPr>
              <w:tc>
                <w:tcPr>
                  <w:tcW w:w="3362" w:type="dxa"/>
                  <w:tcBorders>
                    <w:top w:val="nil"/>
                    <w:left w:val="nil"/>
                    <w:bottom w:val="nil"/>
                    <w:right w:val="nil"/>
                  </w:tcBorders>
                  <w:noWrap/>
                  <w:vAlign w:val="bottom"/>
                  <w:hideMark/>
                </w:tcPr>
                <w:p w14:paraId="6C9C23A6"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Bulharsko</w:t>
                  </w:r>
                </w:p>
              </w:tc>
              <w:tc>
                <w:tcPr>
                  <w:tcW w:w="700" w:type="dxa"/>
                  <w:tcBorders>
                    <w:top w:val="nil"/>
                    <w:left w:val="nil"/>
                    <w:bottom w:val="nil"/>
                    <w:right w:val="nil"/>
                  </w:tcBorders>
                  <w:noWrap/>
                  <w:vAlign w:val="bottom"/>
                  <w:hideMark/>
                </w:tcPr>
                <w:p w14:paraId="3D1091AA"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+1,2</w:t>
                  </w:r>
                </w:p>
              </w:tc>
              <w:tc>
                <w:tcPr>
                  <w:tcW w:w="700" w:type="dxa"/>
                  <w:tcBorders>
                    <w:top w:val="nil"/>
                    <w:left w:val="nil"/>
                    <w:bottom w:val="nil"/>
                    <w:right w:val="nil"/>
                  </w:tcBorders>
                  <w:noWrap/>
                  <w:vAlign w:val="bottom"/>
                  <w:hideMark/>
                </w:tcPr>
                <w:p w14:paraId="3FB0F210"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+16,7</w:t>
                  </w:r>
                </w:p>
              </w:tc>
            </w:tr>
            <w:tr w:rsidR="00733628" w:rsidRPr="00AD4CDC" w14:paraId="379BA319" w14:textId="77777777" w:rsidTr="00252DB1">
              <w:trPr>
                <w:trHeight w:val="252"/>
              </w:trPr>
              <w:tc>
                <w:tcPr>
                  <w:tcW w:w="3362" w:type="dxa"/>
                  <w:tcBorders>
                    <w:top w:val="nil"/>
                    <w:left w:val="nil"/>
                    <w:bottom w:val="nil"/>
                    <w:right w:val="nil"/>
                  </w:tcBorders>
                  <w:noWrap/>
                  <w:vAlign w:val="bottom"/>
                  <w:hideMark/>
                </w:tcPr>
                <w:p w14:paraId="6309BB36"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Kazachstán</w:t>
                  </w:r>
                </w:p>
              </w:tc>
              <w:tc>
                <w:tcPr>
                  <w:tcW w:w="700" w:type="dxa"/>
                  <w:tcBorders>
                    <w:top w:val="nil"/>
                    <w:left w:val="nil"/>
                    <w:bottom w:val="nil"/>
                    <w:right w:val="nil"/>
                  </w:tcBorders>
                  <w:noWrap/>
                  <w:vAlign w:val="bottom"/>
                  <w:hideMark/>
                </w:tcPr>
                <w:p w14:paraId="075FFF42"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+1,0</w:t>
                  </w:r>
                </w:p>
              </w:tc>
              <w:tc>
                <w:tcPr>
                  <w:tcW w:w="700" w:type="dxa"/>
                  <w:tcBorders>
                    <w:top w:val="nil"/>
                    <w:left w:val="nil"/>
                    <w:bottom w:val="nil"/>
                    <w:right w:val="nil"/>
                  </w:tcBorders>
                  <w:noWrap/>
                  <w:vAlign w:val="bottom"/>
                  <w:hideMark/>
                </w:tcPr>
                <w:p w14:paraId="08D03C08" w14:textId="77777777" w:rsidR="00733628" w:rsidRPr="00AD4CDC" w:rsidRDefault="00733628" w:rsidP="00252DB1">
                  <w:pPr>
                    <w:spacing w:after="0" w:line="240" w:lineRule="auto"/>
                    <w:jc w:val="right"/>
                    <w:rPr>
                      <w:rFonts w:cs="Arial"/>
                      <w:color w:val="000000"/>
                      <w:sz w:val="16"/>
                      <w:szCs w:val="16"/>
                    </w:rPr>
                  </w:pPr>
                  <w:r w:rsidRPr="00AD4CDC">
                    <w:rPr>
                      <w:rFonts w:cs="Arial"/>
                      <w:color w:val="000000"/>
                      <w:sz w:val="16"/>
                      <w:szCs w:val="16"/>
                    </w:rPr>
                    <w:t>+22,2</w:t>
                  </w:r>
                </w:p>
              </w:tc>
            </w:tr>
            <w:tr w:rsidR="00733628" w:rsidRPr="00AD4CDC" w14:paraId="104ABF6F" w14:textId="77777777" w:rsidTr="00252DB1">
              <w:trPr>
                <w:trHeight w:val="252"/>
              </w:trPr>
              <w:tc>
                <w:tcPr>
                  <w:tcW w:w="3362" w:type="dxa"/>
                  <w:tcBorders>
                    <w:top w:val="nil"/>
                    <w:left w:val="nil"/>
                    <w:bottom w:val="nil"/>
                    <w:right w:val="nil"/>
                  </w:tcBorders>
                  <w:noWrap/>
                  <w:vAlign w:val="bottom"/>
                  <w:hideMark/>
                </w:tcPr>
                <w:p w14:paraId="68CCC5A7"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Spojené státy</w:t>
                  </w:r>
                  <w:r>
                    <w:rPr>
                      <w:rFonts w:cs="Arial"/>
                      <w:color w:val="000000"/>
                      <w:sz w:val="16"/>
                      <w:szCs w:val="16"/>
                    </w:rPr>
                    <w:t xml:space="preserve"> americké</w:t>
                  </w:r>
                </w:p>
              </w:tc>
              <w:tc>
                <w:tcPr>
                  <w:tcW w:w="700" w:type="dxa"/>
                  <w:tcBorders>
                    <w:top w:val="nil"/>
                    <w:left w:val="nil"/>
                    <w:bottom w:val="nil"/>
                    <w:right w:val="nil"/>
                  </w:tcBorders>
                  <w:noWrap/>
                  <w:vAlign w:val="bottom"/>
                  <w:hideMark/>
                </w:tcPr>
                <w:p w14:paraId="12C79420"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1,3</w:t>
                  </w:r>
                </w:p>
              </w:tc>
              <w:tc>
                <w:tcPr>
                  <w:tcW w:w="700" w:type="dxa"/>
                  <w:tcBorders>
                    <w:top w:val="nil"/>
                    <w:left w:val="nil"/>
                    <w:bottom w:val="nil"/>
                    <w:right w:val="nil"/>
                  </w:tcBorders>
                  <w:noWrap/>
                  <w:vAlign w:val="bottom"/>
                  <w:hideMark/>
                </w:tcPr>
                <w:p w14:paraId="0D8A5E27"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4,2</w:t>
                  </w:r>
                </w:p>
              </w:tc>
            </w:tr>
            <w:tr w:rsidR="00733628" w:rsidRPr="00AD4CDC" w14:paraId="3D83854D" w14:textId="77777777" w:rsidTr="00252DB1">
              <w:trPr>
                <w:trHeight w:val="252"/>
              </w:trPr>
              <w:tc>
                <w:tcPr>
                  <w:tcW w:w="3362" w:type="dxa"/>
                  <w:tcBorders>
                    <w:top w:val="nil"/>
                    <w:left w:val="nil"/>
                    <w:bottom w:val="nil"/>
                    <w:right w:val="nil"/>
                  </w:tcBorders>
                  <w:noWrap/>
                  <w:vAlign w:val="bottom"/>
                  <w:hideMark/>
                </w:tcPr>
                <w:p w14:paraId="1E9EC0D2"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Ázerbájdžán</w:t>
                  </w:r>
                </w:p>
              </w:tc>
              <w:tc>
                <w:tcPr>
                  <w:tcW w:w="700" w:type="dxa"/>
                  <w:tcBorders>
                    <w:top w:val="nil"/>
                    <w:left w:val="nil"/>
                    <w:bottom w:val="nil"/>
                    <w:right w:val="nil"/>
                  </w:tcBorders>
                  <w:noWrap/>
                  <w:vAlign w:val="bottom"/>
                  <w:hideMark/>
                </w:tcPr>
                <w:p w14:paraId="4B57F44E"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1,5</w:t>
                  </w:r>
                </w:p>
              </w:tc>
              <w:tc>
                <w:tcPr>
                  <w:tcW w:w="700" w:type="dxa"/>
                  <w:tcBorders>
                    <w:top w:val="nil"/>
                    <w:left w:val="nil"/>
                    <w:bottom w:val="nil"/>
                    <w:right w:val="nil"/>
                  </w:tcBorders>
                  <w:noWrap/>
                  <w:vAlign w:val="bottom"/>
                  <w:hideMark/>
                </w:tcPr>
                <w:p w14:paraId="08444123"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14,1</w:t>
                  </w:r>
                </w:p>
              </w:tc>
            </w:tr>
            <w:tr w:rsidR="00733628" w:rsidRPr="00AD4CDC" w14:paraId="730CBFDD" w14:textId="77777777" w:rsidTr="00252DB1">
              <w:trPr>
                <w:trHeight w:val="252"/>
              </w:trPr>
              <w:tc>
                <w:tcPr>
                  <w:tcW w:w="3362" w:type="dxa"/>
                  <w:tcBorders>
                    <w:top w:val="nil"/>
                    <w:left w:val="nil"/>
                    <w:bottom w:val="nil"/>
                    <w:right w:val="nil"/>
                  </w:tcBorders>
                  <w:noWrap/>
                  <w:vAlign w:val="bottom"/>
                  <w:hideMark/>
                </w:tcPr>
                <w:p w14:paraId="799DAD8A"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Tchaj-wan</w:t>
                  </w:r>
                </w:p>
              </w:tc>
              <w:tc>
                <w:tcPr>
                  <w:tcW w:w="700" w:type="dxa"/>
                  <w:tcBorders>
                    <w:top w:val="nil"/>
                    <w:left w:val="nil"/>
                    <w:bottom w:val="nil"/>
                    <w:right w:val="nil"/>
                  </w:tcBorders>
                  <w:noWrap/>
                  <w:vAlign w:val="bottom"/>
                  <w:hideMark/>
                </w:tcPr>
                <w:p w14:paraId="31178DC8"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1,6</w:t>
                  </w:r>
                </w:p>
              </w:tc>
              <w:tc>
                <w:tcPr>
                  <w:tcW w:w="700" w:type="dxa"/>
                  <w:tcBorders>
                    <w:top w:val="nil"/>
                    <w:left w:val="nil"/>
                    <w:bottom w:val="nil"/>
                    <w:right w:val="nil"/>
                  </w:tcBorders>
                  <w:noWrap/>
                  <w:vAlign w:val="bottom"/>
                  <w:hideMark/>
                </w:tcPr>
                <w:p w14:paraId="6FA6F4DD"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16,5</w:t>
                  </w:r>
                </w:p>
              </w:tc>
            </w:tr>
            <w:tr w:rsidR="00733628" w:rsidRPr="00AD4CDC" w14:paraId="7C6859B9" w14:textId="77777777" w:rsidTr="00252DB1">
              <w:trPr>
                <w:trHeight w:val="252"/>
              </w:trPr>
              <w:tc>
                <w:tcPr>
                  <w:tcW w:w="3362" w:type="dxa"/>
                  <w:tcBorders>
                    <w:top w:val="nil"/>
                    <w:left w:val="nil"/>
                    <w:bottom w:val="nil"/>
                    <w:right w:val="nil"/>
                  </w:tcBorders>
                  <w:noWrap/>
                  <w:vAlign w:val="bottom"/>
                  <w:hideMark/>
                </w:tcPr>
                <w:p w14:paraId="4B296B9C"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Čína</w:t>
                  </w:r>
                </w:p>
              </w:tc>
              <w:tc>
                <w:tcPr>
                  <w:tcW w:w="700" w:type="dxa"/>
                  <w:tcBorders>
                    <w:top w:val="nil"/>
                    <w:left w:val="nil"/>
                    <w:bottom w:val="nil"/>
                    <w:right w:val="nil"/>
                  </w:tcBorders>
                  <w:noWrap/>
                  <w:vAlign w:val="bottom"/>
                  <w:hideMark/>
                </w:tcPr>
                <w:p w14:paraId="0F120FEC"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3,0</w:t>
                  </w:r>
                </w:p>
              </w:tc>
              <w:tc>
                <w:tcPr>
                  <w:tcW w:w="700" w:type="dxa"/>
                  <w:tcBorders>
                    <w:top w:val="nil"/>
                    <w:left w:val="nil"/>
                    <w:bottom w:val="nil"/>
                    <w:right w:val="nil"/>
                  </w:tcBorders>
                  <w:noWrap/>
                  <w:vAlign w:val="bottom"/>
                  <w:hideMark/>
                </w:tcPr>
                <w:p w14:paraId="42F998D1"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2,1</w:t>
                  </w:r>
                </w:p>
              </w:tc>
            </w:tr>
            <w:tr w:rsidR="00733628" w:rsidRPr="00AD4CDC" w14:paraId="7400E244" w14:textId="77777777" w:rsidTr="00252DB1">
              <w:trPr>
                <w:trHeight w:val="252"/>
              </w:trPr>
              <w:tc>
                <w:tcPr>
                  <w:tcW w:w="3362" w:type="dxa"/>
                  <w:tcBorders>
                    <w:top w:val="nil"/>
                    <w:left w:val="nil"/>
                    <w:bottom w:val="nil"/>
                    <w:right w:val="nil"/>
                  </w:tcBorders>
                  <w:noWrap/>
                  <w:vAlign w:val="bottom"/>
                  <w:hideMark/>
                </w:tcPr>
                <w:p w14:paraId="4A46F934"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Polsko</w:t>
                  </w:r>
                </w:p>
              </w:tc>
              <w:tc>
                <w:tcPr>
                  <w:tcW w:w="700" w:type="dxa"/>
                  <w:tcBorders>
                    <w:top w:val="nil"/>
                    <w:left w:val="nil"/>
                    <w:bottom w:val="nil"/>
                    <w:right w:val="nil"/>
                  </w:tcBorders>
                  <w:noWrap/>
                  <w:vAlign w:val="bottom"/>
                  <w:hideMark/>
                </w:tcPr>
                <w:p w14:paraId="1FD3286B"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6,3</w:t>
                  </w:r>
                </w:p>
              </w:tc>
              <w:tc>
                <w:tcPr>
                  <w:tcW w:w="700" w:type="dxa"/>
                  <w:tcBorders>
                    <w:top w:val="nil"/>
                    <w:left w:val="nil"/>
                    <w:bottom w:val="nil"/>
                    <w:right w:val="nil"/>
                  </w:tcBorders>
                  <w:noWrap/>
                  <w:vAlign w:val="bottom"/>
                  <w:hideMark/>
                </w:tcPr>
                <w:p w14:paraId="02C25343"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5,9</w:t>
                  </w:r>
                </w:p>
              </w:tc>
            </w:tr>
            <w:tr w:rsidR="00733628" w:rsidRPr="00AD4CDC" w14:paraId="171A001C" w14:textId="77777777" w:rsidTr="00252DB1">
              <w:trPr>
                <w:trHeight w:val="252"/>
              </w:trPr>
              <w:tc>
                <w:tcPr>
                  <w:tcW w:w="3362" w:type="dxa"/>
                  <w:tcBorders>
                    <w:top w:val="nil"/>
                    <w:left w:val="nil"/>
                    <w:bottom w:val="nil"/>
                    <w:right w:val="nil"/>
                  </w:tcBorders>
                  <w:noWrap/>
                  <w:vAlign w:val="bottom"/>
                  <w:hideMark/>
                </w:tcPr>
                <w:p w14:paraId="60F53BFF" w14:textId="77777777" w:rsidR="00733628" w:rsidRPr="00AD4CDC" w:rsidRDefault="00733628" w:rsidP="00252DB1">
                  <w:pPr>
                    <w:spacing w:after="0" w:line="240" w:lineRule="auto"/>
                    <w:jc w:val="left"/>
                    <w:rPr>
                      <w:rFonts w:cs="Arial"/>
                      <w:color w:val="000000"/>
                      <w:sz w:val="16"/>
                      <w:szCs w:val="16"/>
                    </w:rPr>
                  </w:pPr>
                  <w:r w:rsidRPr="00AD4CDC">
                    <w:rPr>
                      <w:rFonts w:cs="Arial"/>
                      <w:color w:val="000000"/>
                      <w:sz w:val="16"/>
                      <w:szCs w:val="16"/>
                    </w:rPr>
                    <w:t>Rusko</w:t>
                  </w:r>
                </w:p>
              </w:tc>
              <w:tc>
                <w:tcPr>
                  <w:tcW w:w="700" w:type="dxa"/>
                  <w:tcBorders>
                    <w:top w:val="nil"/>
                    <w:left w:val="nil"/>
                    <w:bottom w:val="nil"/>
                    <w:right w:val="nil"/>
                  </w:tcBorders>
                  <w:noWrap/>
                  <w:vAlign w:val="bottom"/>
                  <w:hideMark/>
                </w:tcPr>
                <w:p w14:paraId="3B0B88C4"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13,9</w:t>
                  </w:r>
                </w:p>
              </w:tc>
              <w:tc>
                <w:tcPr>
                  <w:tcW w:w="700" w:type="dxa"/>
                  <w:tcBorders>
                    <w:top w:val="nil"/>
                    <w:left w:val="nil"/>
                    <w:bottom w:val="nil"/>
                    <w:right w:val="nil"/>
                  </w:tcBorders>
                  <w:noWrap/>
                  <w:vAlign w:val="bottom"/>
                  <w:hideMark/>
                </w:tcPr>
                <w:p w14:paraId="448AACF5" w14:textId="77777777" w:rsidR="00733628" w:rsidRPr="00AD4CDC" w:rsidRDefault="00733628" w:rsidP="00252DB1">
                  <w:pPr>
                    <w:spacing w:after="0" w:line="240" w:lineRule="auto"/>
                    <w:jc w:val="right"/>
                    <w:rPr>
                      <w:rFonts w:cs="Arial"/>
                      <w:color w:val="000000"/>
                      <w:sz w:val="16"/>
                      <w:szCs w:val="16"/>
                    </w:rPr>
                  </w:pPr>
                  <w:r>
                    <w:rPr>
                      <w:rFonts w:cs="Arial"/>
                      <w:color w:val="000000"/>
                      <w:sz w:val="16"/>
                      <w:szCs w:val="16"/>
                    </w:rPr>
                    <w:t>−</w:t>
                  </w:r>
                  <w:r w:rsidRPr="00AD4CDC">
                    <w:rPr>
                      <w:rFonts w:cs="Arial"/>
                      <w:color w:val="000000"/>
                      <w:sz w:val="16"/>
                      <w:szCs w:val="16"/>
                    </w:rPr>
                    <w:t>81,4</w:t>
                  </w:r>
                </w:p>
              </w:tc>
            </w:tr>
          </w:tbl>
          <w:p w14:paraId="5B82E220" w14:textId="77777777" w:rsidR="00733628" w:rsidRPr="005A40B7" w:rsidRDefault="00733628" w:rsidP="00252DB1">
            <w:pPr>
              <w:spacing w:after="0"/>
              <w:rPr>
                <w:spacing w:val="-4"/>
                <w:sz w:val="16"/>
                <w:szCs w:val="16"/>
                <w:lang w:eastAsia="en-US"/>
              </w:rPr>
            </w:pPr>
          </w:p>
        </w:tc>
      </w:tr>
      <w:tr w:rsidR="00733628" w14:paraId="283E2F15" w14:textId="77777777" w:rsidTr="00252DB1">
        <w:trPr>
          <w:trHeight w:val="170"/>
        </w:trPr>
        <w:tc>
          <w:tcPr>
            <w:tcW w:w="4811" w:type="dxa"/>
            <w:gridSpan w:val="3"/>
            <w:hideMark/>
          </w:tcPr>
          <w:p w14:paraId="2912F95A" w14:textId="77777777" w:rsidR="00733628" w:rsidRDefault="00733628" w:rsidP="00252DB1">
            <w:pPr>
              <w:jc w:val="left"/>
              <w:rPr>
                <w:spacing w:val="-4"/>
                <w:sz w:val="16"/>
                <w:szCs w:val="16"/>
                <w:lang w:eastAsia="en-US"/>
              </w:rPr>
            </w:pPr>
            <w:r>
              <w:rPr>
                <w:spacing w:val="-4"/>
                <w:sz w:val="16"/>
                <w:szCs w:val="16"/>
                <w:lang w:eastAsia="en-US"/>
              </w:rPr>
              <w:t>Zdroj: ČSÚ</w:t>
            </w:r>
          </w:p>
        </w:tc>
        <w:tc>
          <w:tcPr>
            <w:tcW w:w="57" w:type="dxa"/>
          </w:tcPr>
          <w:p w14:paraId="57F4AE50" w14:textId="77777777" w:rsidR="00733628" w:rsidRDefault="00733628" w:rsidP="00252DB1">
            <w:pPr>
              <w:spacing w:after="0"/>
              <w:rPr>
                <w:spacing w:val="-4"/>
                <w:lang w:eastAsia="en-US"/>
              </w:rPr>
            </w:pPr>
          </w:p>
        </w:tc>
        <w:tc>
          <w:tcPr>
            <w:tcW w:w="4809" w:type="dxa"/>
            <w:hideMark/>
          </w:tcPr>
          <w:p w14:paraId="60D00AE0" w14:textId="77777777" w:rsidR="00733628" w:rsidRDefault="00733628" w:rsidP="00252DB1">
            <w:pPr>
              <w:spacing w:after="0"/>
              <w:ind w:right="21"/>
              <w:jc w:val="left"/>
              <w:rPr>
                <w:spacing w:val="-4"/>
                <w:lang w:eastAsia="en-US"/>
              </w:rPr>
            </w:pPr>
            <w:r>
              <w:rPr>
                <w:spacing w:val="-4"/>
                <w:sz w:val="16"/>
                <w:szCs w:val="16"/>
                <w:lang w:eastAsia="en-US"/>
              </w:rPr>
              <w:t>Zdroj: ČSÚ</w:t>
            </w:r>
          </w:p>
        </w:tc>
      </w:tr>
      <w:tr w:rsidR="00733628" w14:paraId="10AD5C43" w14:textId="77777777" w:rsidTr="00252DB1">
        <w:trPr>
          <w:trHeight w:val="145"/>
        </w:trPr>
        <w:tc>
          <w:tcPr>
            <w:tcW w:w="1748" w:type="dxa"/>
          </w:tcPr>
          <w:p w14:paraId="74A10E32" w14:textId="77777777" w:rsidR="00733628" w:rsidRDefault="00733628" w:rsidP="00252DB1">
            <w:pPr>
              <w:pStyle w:val="Marginlie"/>
              <w:rPr>
                <w:lang w:eastAsia="en-US"/>
              </w:rPr>
            </w:pPr>
            <w:r>
              <w:rPr>
                <w:lang w:eastAsia="en-US"/>
              </w:rPr>
              <w:lastRenderedPageBreak/>
              <w:t>Kovodělné výrobky letos nejvíce podporují celkový růst dovozu.</w:t>
            </w:r>
          </w:p>
        </w:tc>
        <w:tc>
          <w:tcPr>
            <w:tcW w:w="252" w:type="dxa"/>
          </w:tcPr>
          <w:p w14:paraId="61AA7EA3" w14:textId="77777777" w:rsidR="00733628" w:rsidRDefault="00733628" w:rsidP="00252DB1">
            <w:pPr>
              <w:pStyle w:val="Textpoznpodarou"/>
              <w:jc w:val="both"/>
              <w:rPr>
                <w:spacing w:val="-4"/>
                <w:lang w:eastAsia="en-US"/>
              </w:rPr>
            </w:pPr>
          </w:p>
        </w:tc>
        <w:tc>
          <w:tcPr>
            <w:tcW w:w="7677" w:type="dxa"/>
            <w:gridSpan w:val="3"/>
          </w:tcPr>
          <w:p w14:paraId="64C91166" w14:textId="7FB16765" w:rsidR="00733628" w:rsidRDefault="00733628" w:rsidP="00252DB1">
            <w:pPr>
              <w:spacing w:after="180"/>
              <w:rPr>
                <w:spacing w:val="-4"/>
                <w:szCs w:val="20"/>
                <w:lang w:eastAsia="en-US"/>
              </w:rPr>
            </w:pPr>
            <w:r>
              <w:rPr>
                <w:spacing w:val="-4"/>
                <w:szCs w:val="20"/>
                <w:lang w:eastAsia="en-US"/>
              </w:rPr>
              <w:t>V 1. až 3. čtvrtletí celkově nejvíce meziročně rostl dovoz kovodělných výrobků</w:t>
            </w:r>
            <w:r>
              <w:rPr>
                <w:rStyle w:val="Znakapoznpodarou"/>
                <w:spacing w:val="-4"/>
                <w:szCs w:val="20"/>
                <w:lang w:eastAsia="en-US"/>
              </w:rPr>
              <w:footnoteReference w:id="5"/>
            </w:r>
            <w:r>
              <w:rPr>
                <w:spacing w:val="-4"/>
                <w:szCs w:val="20"/>
                <w:lang w:eastAsia="en-US"/>
              </w:rPr>
              <w:t xml:space="preserve"> (+34,4 mld. korun, 22,7 %) a elektrických zařízení (+31,8 mld., 9,8 %)</w:t>
            </w:r>
            <w:r>
              <w:rPr>
                <w:rStyle w:val="Znakapoznpodarou"/>
                <w:spacing w:val="-4"/>
                <w:lang w:eastAsia="en-US"/>
              </w:rPr>
              <w:footnoteReference w:id="6"/>
            </w:r>
            <w:r>
              <w:rPr>
                <w:spacing w:val="-4"/>
                <w:szCs w:val="20"/>
                <w:lang w:eastAsia="en-US"/>
              </w:rPr>
              <w:t>. Výrazná navýšení byla zaznamenána rovněž u importu potravinářských výrobků (+14,</w:t>
            </w:r>
            <w:r w:rsidR="00DC40D2">
              <w:rPr>
                <w:spacing w:val="-4"/>
                <w:szCs w:val="20"/>
                <w:lang w:eastAsia="en-US"/>
              </w:rPr>
              <w:t>0</w:t>
            </w:r>
            <w:r>
              <w:rPr>
                <w:spacing w:val="-4"/>
                <w:szCs w:val="20"/>
                <w:lang w:eastAsia="en-US"/>
              </w:rPr>
              <w:t xml:space="preserve"> mld. korun, 7,8 %), motorových vozidel (+13,9 mld., 2,8 %) a elektřiny, plynu, páry a klimatizovaného vzduchu (+10,3 mld., 96,3 %). Největší pokles dovozu v součtu od začátku roku byl zachycen u koksu a rafinovaných ropných produktů (−6,0 mld. korun, −7,7 %). V samotném 3. čtvrtletí u řady dříve rostoucích komodit začal dovoz meziročně klesat nebo se existující propady prohloubily, což také přispělo k výraznému zpomalení celkové dynamiky importu. Prohloubil se pokles dovozu u chemických látek a přípravků (viz. Tabulka č. 3), snižovat se začal import počítačů, elektronických a optických přístrojů a zařízení, elektrických zařízení i strojů a zařízení a základních kovů. Ve 3. čtvrtletí posílila dynamika u motorových vozidel i elektřiny, plynu, páry a klimatizovaného vzduchu a výrazně rostl dovoz kovodělných výrobků. Mírnější byl nárůst dovozu potravinářských výrobků, ostatních výrobků zpracovatelského průmyslu a ropy a zemního plynu.</w:t>
            </w:r>
          </w:p>
        </w:tc>
      </w:tr>
      <w:tr w:rsidR="00733628" w14:paraId="25C27B8B" w14:textId="77777777" w:rsidTr="00252DB1">
        <w:trPr>
          <w:trHeight w:val="145"/>
        </w:trPr>
        <w:tc>
          <w:tcPr>
            <w:tcW w:w="1748" w:type="dxa"/>
            <w:hideMark/>
          </w:tcPr>
          <w:p w14:paraId="65B92086" w14:textId="77777777" w:rsidR="00733628" w:rsidRDefault="00733628" w:rsidP="00252DB1">
            <w:pPr>
              <w:pStyle w:val="Marginlie"/>
              <w:rPr>
                <w:lang w:eastAsia="en-US"/>
              </w:rPr>
            </w:pPr>
            <w:r>
              <w:rPr>
                <w:lang w:eastAsia="en-US"/>
              </w:rPr>
              <w:t>Bilance zahraničního obchodu se zbožím se ve 3. čtvrtletí meziročně zlepšila.</w:t>
            </w:r>
          </w:p>
        </w:tc>
        <w:tc>
          <w:tcPr>
            <w:tcW w:w="252" w:type="dxa"/>
          </w:tcPr>
          <w:p w14:paraId="0A2198A3" w14:textId="77777777" w:rsidR="00733628" w:rsidRDefault="00733628" w:rsidP="00252DB1">
            <w:pPr>
              <w:pStyle w:val="Textpoznpodarou"/>
              <w:jc w:val="both"/>
              <w:rPr>
                <w:spacing w:val="-4"/>
                <w:lang w:eastAsia="en-US"/>
              </w:rPr>
            </w:pPr>
          </w:p>
        </w:tc>
        <w:tc>
          <w:tcPr>
            <w:tcW w:w="7677" w:type="dxa"/>
            <w:gridSpan w:val="3"/>
            <w:hideMark/>
          </w:tcPr>
          <w:p w14:paraId="45E96487" w14:textId="77777777" w:rsidR="00733628" w:rsidRPr="002971BF" w:rsidRDefault="00733628" w:rsidP="00252DB1">
            <w:pPr>
              <w:spacing w:after="180"/>
              <w:rPr>
                <w:spacing w:val="-4"/>
                <w:szCs w:val="20"/>
                <w:lang w:eastAsia="en-US"/>
              </w:rPr>
            </w:pPr>
            <w:r>
              <w:rPr>
                <w:spacing w:val="-4"/>
                <w:szCs w:val="20"/>
                <w:lang w:eastAsia="en-US"/>
              </w:rPr>
              <w:t xml:space="preserve">Bilance zahraničního obchodu se zbožím za 1. až 3. kvartál kumulovaně dosáhla přebytku 169,6 mld. korun, což bylo meziročně o 10,9 mld. méně. V samotném 3. čtvrtletí i díky zpomalení dynamiky dovozu bilance vykázala první meziroční zlepšení od loňského 3. kvartálu. Přebytek se zvýšil o 6,6 mld. korun na 33,9 mld. Sezónně očištěná bilance zahraničního obchodu se zbožím vykázala ve 3. čtvrtletí silné mezičtvrtletní zlepšení. </w:t>
            </w:r>
          </w:p>
        </w:tc>
      </w:tr>
      <w:tr w:rsidR="00733628" w14:paraId="2E72F9CF" w14:textId="77777777" w:rsidTr="00252DB1">
        <w:trPr>
          <w:trHeight w:val="170"/>
        </w:trPr>
        <w:tc>
          <w:tcPr>
            <w:tcW w:w="4811" w:type="dxa"/>
            <w:gridSpan w:val="3"/>
            <w:hideMark/>
          </w:tcPr>
          <w:p w14:paraId="310A3793" w14:textId="77777777" w:rsidR="00733628" w:rsidRDefault="00733628" w:rsidP="00252DB1">
            <w:pPr>
              <w:spacing w:after="0"/>
              <w:rPr>
                <w:rFonts w:cs="Arial"/>
                <w:b/>
                <w:bCs/>
                <w:color w:val="000000"/>
                <w:sz w:val="18"/>
                <w:szCs w:val="18"/>
                <w:lang w:eastAsia="en-US"/>
              </w:rPr>
            </w:pPr>
            <w:r>
              <w:rPr>
                <w:rFonts w:cs="Arial"/>
                <w:b/>
                <w:bCs/>
                <w:color w:val="000000"/>
                <w:sz w:val="18"/>
                <w:szCs w:val="18"/>
                <w:lang w:eastAsia="en-US"/>
              </w:rPr>
              <w:t xml:space="preserve">Tabulka č. 5 Oddíly klasifikace CPA s největším </w:t>
            </w:r>
          </w:p>
          <w:p w14:paraId="7002BF17" w14:textId="3BB97A3F" w:rsidR="00733628" w:rsidRDefault="00733628" w:rsidP="00252DB1">
            <w:pPr>
              <w:spacing w:after="0"/>
              <w:jc w:val="left"/>
              <w:rPr>
                <w:rFonts w:cs="Arial"/>
                <w:b/>
                <w:bCs/>
                <w:color w:val="000000"/>
                <w:sz w:val="18"/>
                <w:szCs w:val="18"/>
                <w:lang w:eastAsia="en-US"/>
              </w:rPr>
            </w:pPr>
            <w:r>
              <w:rPr>
                <w:rFonts w:cs="Arial"/>
                <w:b/>
                <w:bCs/>
                <w:color w:val="000000"/>
                <w:sz w:val="18"/>
                <w:szCs w:val="18"/>
                <w:lang w:eastAsia="en-US"/>
              </w:rPr>
              <w:t xml:space="preserve">vlivem na vývoj bilance zahraničního obchodu se zbožím ve </w:t>
            </w:r>
            <w:r w:rsidR="00DC40D2">
              <w:rPr>
                <w:rFonts w:cs="Arial"/>
                <w:b/>
                <w:bCs/>
                <w:color w:val="000000"/>
                <w:sz w:val="18"/>
                <w:szCs w:val="18"/>
                <w:lang w:eastAsia="en-US"/>
              </w:rPr>
              <w:t>3. čtvrtletí</w:t>
            </w:r>
            <w:r>
              <w:rPr>
                <w:rFonts w:cs="Arial"/>
                <w:b/>
                <w:bCs/>
                <w:color w:val="000000"/>
                <w:sz w:val="18"/>
                <w:szCs w:val="18"/>
                <w:lang w:eastAsia="en-US"/>
              </w:rPr>
              <w:t xml:space="preserve"> 2025 </w:t>
            </w:r>
            <w:r>
              <w:rPr>
                <w:rFonts w:cs="Arial"/>
                <w:bCs/>
                <w:color w:val="000000"/>
                <w:sz w:val="18"/>
                <w:szCs w:val="18"/>
                <w:lang w:eastAsia="en-US"/>
              </w:rPr>
              <w:t>(meziročně)</w:t>
            </w:r>
          </w:p>
        </w:tc>
        <w:tc>
          <w:tcPr>
            <w:tcW w:w="57" w:type="dxa"/>
          </w:tcPr>
          <w:p w14:paraId="3469DA81" w14:textId="77777777" w:rsidR="00733628" w:rsidRDefault="00733628" w:rsidP="00252DB1">
            <w:pPr>
              <w:spacing w:after="0"/>
              <w:rPr>
                <w:spacing w:val="-4"/>
                <w:lang w:eastAsia="en-US"/>
              </w:rPr>
            </w:pPr>
          </w:p>
        </w:tc>
        <w:tc>
          <w:tcPr>
            <w:tcW w:w="4809" w:type="dxa"/>
            <w:hideMark/>
          </w:tcPr>
          <w:p w14:paraId="5BF05829" w14:textId="1B9CD57C" w:rsidR="00733628" w:rsidRDefault="00733628" w:rsidP="00252DB1">
            <w:pPr>
              <w:spacing w:after="0"/>
              <w:jc w:val="left"/>
              <w:rPr>
                <w:spacing w:val="-4"/>
                <w:sz w:val="18"/>
                <w:szCs w:val="18"/>
                <w:lang w:eastAsia="en-US"/>
              </w:rPr>
            </w:pPr>
            <w:r>
              <w:rPr>
                <w:rFonts w:cs="Arial"/>
                <w:b/>
                <w:bCs/>
                <w:color w:val="000000"/>
                <w:sz w:val="18"/>
                <w:szCs w:val="18"/>
                <w:lang w:eastAsia="en-US"/>
              </w:rPr>
              <w:t xml:space="preserve">Tabulka č. 6 Země s největším vlivem na vývoj bilance zahraničního obchodu se zbožím ve </w:t>
            </w:r>
            <w:r w:rsidR="00DC40D2">
              <w:rPr>
                <w:rFonts w:cs="Arial"/>
                <w:b/>
                <w:bCs/>
                <w:color w:val="000000"/>
                <w:sz w:val="18"/>
                <w:szCs w:val="18"/>
                <w:lang w:eastAsia="en-US"/>
              </w:rPr>
              <w:t>3. čtvrtletí</w:t>
            </w:r>
            <w:r>
              <w:rPr>
                <w:rFonts w:cs="Arial"/>
                <w:b/>
                <w:bCs/>
                <w:color w:val="000000"/>
                <w:sz w:val="18"/>
                <w:szCs w:val="18"/>
                <w:lang w:eastAsia="en-US"/>
              </w:rPr>
              <w:t xml:space="preserve"> 2025 </w:t>
            </w:r>
            <w:r>
              <w:rPr>
                <w:rFonts w:cs="Arial"/>
                <w:bCs/>
                <w:color w:val="000000"/>
                <w:sz w:val="18"/>
                <w:szCs w:val="18"/>
                <w:lang w:eastAsia="en-US"/>
              </w:rPr>
              <w:t>(meziročně)</w:t>
            </w:r>
          </w:p>
        </w:tc>
      </w:tr>
      <w:tr w:rsidR="00733628" w14:paraId="177C9CBE" w14:textId="77777777" w:rsidTr="00252DB1">
        <w:trPr>
          <w:trHeight w:val="170"/>
        </w:trPr>
        <w:tc>
          <w:tcPr>
            <w:tcW w:w="4811" w:type="dxa"/>
            <w:gridSpan w:val="3"/>
            <w:hideMark/>
          </w:tcPr>
          <w:tbl>
            <w:tblPr>
              <w:tblW w:w="4826" w:type="dxa"/>
              <w:tblLayout w:type="fixed"/>
              <w:tblCellMar>
                <w:left w:w="70" w:type="dxa"/>
                <w:right w:w="70" w:type="dxa"/>
              </w:tblCellMar>
              <w:tblLook w:val="04A0" w:firstRow="1" w:lastRow="0" w:firstColumn="1" w:lastColumn="0" w:noHBand="0" w:noVBand="1"/>
            </w:tblPr>
            <w:tblGrid>
              <w:gridCol w:w="4126"/>
              <w:gridCol w:w="700"/>
            </w:tblGrid>
            <w:tr w:rsidR="00733628" w:rsidRPr="004D65A2" w14:paraId="435BC596" w14:textId="77777777" w:rsidTr="00252DB1">
              <w:trPr>
                <w:trHeight w:val="255"/>
              </w:trPr>
              <w:tc>
                <w:tcPr>
                  <w:tcW w:w="4126" w:type="dxa"/>
                  <w:tcBorders>
                    <w:top w:val="nil"/>
                    <w:left w:val="nil"/>
                    <w:bottom w:val="single" w:sz="4" w:space="0" w:color="auto"/>
                    <w:right w:val="nil"/>
                  </w:tcBorders>
                  <w:noWrap/>
                  <w:vAlign w:val="bottom"/>
                  <w:hideMark/>
                </w:tcPr>
                <w:p w14:paraId="0BE636AB"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 </w:t>
                  </w:r>
                </w:p>
              </w:tc>
              <w:tc>
                <w:tcPr>
                  <w:tcW w:w="700" w:type="dxa"/>
                  <w:tcBorders>
                    <w:top w:val="nil"/>
                    <w:left w:val="nil"/>
                    <w:bottom w:val="single" w:sz="4" w:space="0" w:color="auto"/>
                    <w:right w:val="nil"/>
                  </w:tcBorders>
                  <w:noWrap/>
                  <w:vAlign w:val="bottom"/>
                  <w:hideMark/>
                </w:tcPr>
                <w:p w14:paraId="19CC0801" w14:textId="77777777" w:rsidR="00733628" w:rsidRPr="004D65A2" w:rsidRDefault="00733628" w:rsidP="00252DB1">
                  <w:pPr>
                    <w:spacing w:after="0" w:line="240" w:lineRule="auto"/>
                    <w:jc w:val="right"/>
                    <w:rPr>
                      <w:rFonts w:cs="Arial"/>
                      <w:color w:val="000000"/>
                      <w:sz w:val="16"/>
                      <w:szCs w:val="16"/>
                    </w:rPr>
                  </w:pPr>
                  <w:r w:rsidRPr="004D65A2">
                    <w:rPr>
                      <w:rFonts w:cs="Arial"/>
                      <w:color w:val="000000"/>
                      <w:sz w:val="16"/>
                      <w:szCs w:val="16"/>
                    </w:rPr>
                    <w:t>mld. Kč</w:t>
                  </w:r>
                </w:p>
              </w:tc>
            </w:tr>
            <w:tr w:rsidR="00733628" w:rsidRPr="004D65A2" w14:paraId="5384A6F0" w14:textId="77777777" w:rsidTr="00252DB1">
              <w:trPr>
                <w:trHeight w:val="255"/>
              </w:trPr>
              <w:tc>
                <w:tcPr>
                  <w:tcW w:w="4126" w:type="dxa"/>
                  <w:tcBorders>
                    <w:top w:val="nil"/>
                    <w:left w:val="nil"/>
                    <w:bottom w:val="nil"/>
                    <w:right w:val="nil"/>
                  </w:tcBorders>
                  <w:noWrap/>
                  <w:vAlign w:val="bottom"/>
                  <w:hideMark/>
                </w:tcPr>
                <w:p w14:paraId="32B7E050"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Motorová vozidla (kromě motocyklů) a díly</w:t>
                  </w:r>
                </w:p>
              </w:tc>
              <w:tc>
                <w:tcPr>
                  <w:tcW w:w="700" w:type="dxa"/>
                  <w:tcBorders>
                    <w:top w:val="nil"/>
                    <w:left w:val="nil"/>
                    <w:bottom w:val="nil"/>
                    <w:right w:val="nil"/>
                  </w:tcBorders>
                  <w:noWrap/>
                  <w:vAlign w:val="bottom"/>
                  <w:hideMark/>
                </w:tcPr>
                <w:p w14:paraId="53252837" w14:textId="77777777" w:rsidR="00733628" w:rsidRPr="004D65A2" w:rsidRDefault="00733628" w:rsidP="00252DB1">
                  <w:pPr>
                    <w:spacing w:after="0" w:line="240" w:lineRule="auto"/>
                    <w:jc w:val="right"/>
                    <w:rPr>
                      <w:rFonts w:cs="Arial"/>
                      <w:color w:val="000000"/>
                      <w:sz w:val="16"/>
                      <w:szCs w:val="16"/>
                    </w:rPr>
                  </w:pPr>
                  <w:r w:rsidRPr="004D65A2">
                    <w:rPr>
                      <w:rFonts w:cs="Arial"/>
                      <w:color w:val="000000"/>
                      <w:sz w:val="16"/>
                      <w:szCs w:val="16"/>
                    </w:rPr>
                    <w:t>+8,7</w:t>
                  </w:r>
                </w:p>
              </w:tc>
            </w:tr>
            <w:tr w:rsidR="00733628" w:rsidRPr="004D65A2" w14:paraId="60082DF6" w14:textId="77777777" w:rsidTr="00252DB1">
              <w:trPr>
                <w:trHeight w:val="255"/>
              </w:trPr>
              <w:tc>
                <w:tcPr>
                  <w:tcW w:w="4126" w:type="dxa"/>
                  <w:tcBorders>
                    <w:top w:val="nil"/>
                    <w:left w:val="nil"/>
                    <w:bottom w:val="nil"/>
                    <w:right w:val="nil"/>
                  </w:tcBorders>
                  <w:noWrap/>
                  <w:vAlign w:val="bottom"/>
                  <w:hideMark/>
                </w:tcPr>
                <w:p w14:paraId="230520AD"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Stroje a zařízení j. n.</w:t>
                  </w:r>
                </w:p>
              </w:tc>
              <w:tc>
                <w:tcPr>
                  <w:tcW w:w="700" w:type="dxa"/>
                  <w:tcBorders>
                    <w:top w:val="nil"/>
                    <w:left w:val="nil"/>
                    <w:bottom w:val="nil"/>
                    <w:right w:val="nil"/>
                  </w:tcBorders>
                  <w:noWrap/>
                  <w:vAlign w:val="bottom"/>
                  <w:hideMark/>
                </w:tcPr>
                <w:p w14:paraId="16C35E5F" w14:textId="77777777" w:rsidR="00733628" w:rsidRPr="004D65A2" w:rsidRDefault="00733628" w:rsidP="00252DB1">
                  <w:pPr>
                    <w:spacing w:after="0" w:line="240" w:lineRule="auto"/>
                    <w:jc w:val="right"/>
                    <w:rPr>
                      <w:rFonts w:cs="Arial"/>
                      <w:color w:val="000000"/>
                      <w:sz w:val="16"/>
                      <w:szCs w:val="16"/>
                    </w:rPr>
                  </w:pPr>
                  <w:r w:rsidRPr="004D65A2">
                    <w:rPr>
                      <w:rFonts w:cs="Arial"/>
                      <w:color w:val="000000"/>
                      <w:sz w:val="16"/>
                      <w:szCs w:val="16"/>
                    </w:rPr>
                    <w:t>+6,8</w:t>
                  </w:r>
                </w:p>
              </w:tc>
            </w:tr>
            <w:tr w:rsidR="00733628" w:rsidRPr="004D65A2" w14:paraId="226E926E" w14:textId="77777777" w:rsidTr="00252DB1">
              <w:trPr>
                <w:trHeight w:val="255"/>
              </w:trPr>
              <w:tc>
                <w:tcPr>
                  <w:tcW w:w="4126" w:type="dxa"/>
                  <w:tcBorders>
                    <w:top w:val="nil"/>
                    <w:left w:val="nil"/>
                    <w:bottom w:val="nil"/>
                    <w:right w:val="nil"/>
                  </w:tcBorders>
                  <w:noWrap/>
                  <w:vAlign w:val="bottom"/>
                  <w:hideMark/>
                </w:tcPr>
                <w:p w14:paraId="34D83333"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Chemické látky a přípravky</w:t>
                  </w:r>
                </w:p>
              </w:tc>
              <w:tc>
                <w:tcPr>
                  <w:tcW w:w="700" w:type="dxa"/>
                  <w:tcBorders>
                    <w:top w:val="nil"/>
                    <w:left w:val="nil"/>
                    <w:bottom w:val="nil"/>
                    <w:right w:val="nil"/>
                  </w:tcBorders>
                  <w:noWrap/>
                  <w:vAlign w:val="bottom"/>
                  <w:hideMark/>
                </w:tcPr>
                <w:p w14:paraId="6530F687" w14:textId="77777777" w:rsidR="00733628" w:rsidRPr="004D65A2" w:rsidRDefault="00733628" w:rsidP="00252DB1">
                  <w:pPr>
                    <w:spacing w:after="0" w:line="240" w:lineRule="auto"/>
                    <w:jc w:val="right"/>
                    <w:rPr>
                      <w:rFonts w:cs="Arial"/>
                      <w:color w:val="000000"/>
                      <w:sz w:val="16"/>
                      <w:szCs w:val="16"/>
                    </w:rPr>
                  </w:pPr>
                  <w:r w:rsidRPr="004D65A2">
                    <w:rPr>
                      <w:rFonts w:cs="Arial"/>
                      <w:color w:val="000000"/>
                      <w:sz w:val="16"/>
                      <w:szCs w:val="16"/>
                    </w:rPr>
                    <w:t>+3,4</w:t>
                  </w:r>
                </w:p>
              </w:tc>
            </w:tr>
            <w:tr w:rsidR="00733628" w:rsidRPr="004D65A2" w14:paraId="00DBEF62" w14:textId="77777777" w:rsidTr="00252DB1">
              <w:trPr>
                <w:trHeight w:val="255"/>
              </w:trPr>
              <w:tc>
                <w:tcPr>
                  <w:tcW w:w="4126" w:type="dxa"/>
                  <w:tcBorders>
                    <w:top w:val="nil"/>
                    <w:left w:val="nil"/>
                    <w:bottom w:val="nil"/>
                    <w:right w:val="nil"/>
                  </w:tcBorders>
                  <w:noWrap/>
                  <w:vAlign w:val="bottom"/>
                  <w:hideMark/>
                </w:tcPr>
                <w:p w14:paraId="06F44355"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Ostatní dopravní prostředky a zařízení</w:t>
                  </w:r>
                </w:p>
              </w:tc>
              <w:tc>
                <w:tcPr>
                  <w:tcW w:w="700" w:type="dxa"/>
                  <w:tcBorders>
                    <w:top w:val="nil"/>
                    <w:left w:val="nil"/>
                    <w:bottom w:val="nil"/>
                    <w:right w:val="nil"/>
                  </w:tcBorders>
                  <w:noWrap/>
                  <w:vAlign w:val="bottom"/>
                  <w:hideMark/>
                </w:tcPr>
                <w:p w14:paraId="63C7BE49" w14:textId="77777777" w:rsidR="00733628" w:rsidRPr="004D65A2" w:rsidRDefault="00733628" w:rsidP="00252DB1">
                  <w:pPr>
                    <w:spacing w:after="0" w:line="240" w:lineRule="auto"/>
                    <w:jc w:val="right"/>
                    <w:rPr>
                      <w:rFonts w:cs="Arial"/>
                      <w:color w:val="000000"/>
                      <w:sz w:val="16"/>
                      <w:szCs w:val="16"/>
                    </w:rPr>
                  </w:pPr>
                  <w:r w:rsidRPr="004D65A2">
                    <w:rPr>
                      <w:rFonts w:cs="Arial"/>
                      <w:color w:val="000000"/>
                      <w:sz w:val="16"/>
                      <w:szCs w:val="16"/>
                    </w:rPr>
                    <w:t>+2,0</w:t>
                  </w:r>
                </w:p>
              </w:tc>
            </w:tr>
            <w:tr w:rsidR="00733628" w:rsidRPr="004D65A2" w14:paraId="767DECD7" w14:textId="77777777" w:rsidTr="00252DB1">
              <w:trPr>
                <w:trHeight w:val="255"/>
              </w:trPr>
              <w:tc>
                <w:tcPr>
                  <w:tcW w:w="4126" w:type="dxa"/>
                  <w:tcBorders>
                    <w:top w:val="nil"/>
                    <w:left w:val="nil"/>
                    <w:bottom w:val="nil"/>
                    <w:right w:val="nil"/>
                  </w:tcBorders>
                  <w:noWrap/>
                  <w:vAlign w:val="bottom"/>
                  <w:hideMark/>
                </w:tcPr>
                <w:p w14:paraId="107B358E"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Základní farmaceutické výrobky a přípravky</w:t>
                  </w:r>
                </w:p>
              </w:tc>
              <w:tc>
                <w:tcPr>
                  <w:tcW w:w="700" w:type="dxa"/>
                  <w:tcBorders>
                    <w:top w:val="nil"/>
                    <w:left w:val="nil"/>
                    <w:bottom w:val="nil"/>
                    <w:right w:val="nil"/>
                  </w:tcBorders>
                  <w:noWrap/>
                  <w:vAlign w:val="bottom"/>
                  <w:hideMark/>
                </w:tcPr>
                <w:p w14:paraId="61C24FD8" w14:textId="77777777" w:rsidR="00733628" w:rsidRPr="004D65A2" w:rsidRDefault="00733628" w:rsidP="00252DB1">
                  <w:pPr>
                    <w:spacing w:after="0" w:line="240" w:lineRule="auto"/>
                    <w:jc w:val="right"/>
                    <w:rPr>
                      <w:rFonts w:cs="Arial"/>
                      <w:color w:val="000000"/>
                      <w:sz w:val="16"/>
                      <w:szCs w:val="16"/>
                    </w:rPr>
                  </w:pPr>
                  <w:r w:rsidRPr="004D65A2">
                    <w:rPr>
                      <w:rFonts w:cs="Arial"/>
                      <w:color w:val="000000"/>
                      <w:sz w:val="16"/>
                      <w:szCs w:val="16"/>
                    </w:rPr>
                    <w:t>+1,7</w:t>
                  </w:r>
                </w:p>
              </w:tc>
            </w:tr>
            <w:tr w:rsidR="00733628" w:rsidRPr="004D65A2" w14:paraId="790EC35A" w14:textId="77777777" w:rsidTr="00252DB1">
              <w:trPr>
                <w:trHeight w:val="255"/>
              </w:trPr>
              <w:tc>
                <w:tcPr>
                  <w:tcW w:w="4126" w:type="dxa"/>
                  <w:tcBorders>
                    <w:top w:val="nil"/>
                    <w:left w:val="nil"/>
                    <w:bottom w:val="nil"/>
                    <w:right w:val="nil"/>
                  </w:tcBorders>
                  <w:noWrap/>
                  <w:vAlign w:val="bottom"/>
                  <w:hideMark/>
                </w:tcPr>
                <w:p w14:paraId="57F3F4AE"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Papír a výrobky z papíru</w:t>
                  </w:r>
                </w:p>
              </w:tc>
              <w:tc>
                <w:tcPr>
                  <w:tcW w:w="700" w:type="dxa"/>
                  <w:tcBorders>
                    <w:top w:val="nil"/>
                    <w:left w:val="nil"/>
                    <w:bottom w:val="nil"/>
                    <w:right w:val="nil"/>
                  </w:tcBorders>
                  <w:noWrap/>
                  <w:vAlign w:val="bottom"/>
                  <w:hideMark/>
                </w:tcPr>
                <w:p w14:paraId="44FEABB9" w14:textId="77777777" w:rsidR="00733628" w:rsidRPr="004D65A2" w:rsidRDefault="00733628" w:rsidP="00252DB1">
                  <w:pPr>
                    <w:spacing w:after="0" w:line="240" w:lineRule="auto"/>
                    <w:jc w:val="right"/>
                    <w:rPr>
                      <w:rFonts w:cs="Arial"/>
                      <w:color w:val="000000"/>
                      <w:sz w:val="16"/>
                      <w:szCs w:val="16"/>
                    </w:rPr>
                  </w:pPr>
                  <w:r w:rsidRPr="004D65A2">
                    <w:rPr>
                      <w:rFonts w:cs="Arial"/>
                      <w:color w:val="000000"/>
                      <w:sz w:val="16"/>
                      <w:szCs w:val="16"/>
                    </w:rPr>
                    <w:t>+1,6</w:t>
                  </w:r>
                </w:p>
              </w:tc>
            </w:tr>
            <w:tr w:rsidR="00733628" w:rsidRPr="004D65A2" w14:paraId="7853548B" w14:textId="77777777" w:rsidTr="00252DB1">
              <w:trPr>
                <w:trHeight w:val="255"/>
              </w:trPr>
              <w:tc>
                <w:tcPr>
                  <w:tcW w:w="4126" w:type="dxa"/>
                  <w:tcBorders>
                    <w:top w:val="nil"/>
                    <w:left w:val="nil"/>
                    <w:bottom w:val="nil"/>
                    <w:right w:val="nil"/>
                  </w:tcBorders>
                  <w:noWrap/>
                  <w:vAlign w:val="bottom"/>
                  <w:hideMark/>
                </w:tcPr>
                <w:p w14:paraId="46694A28"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Koks a rafinované ropné produkty</w:t>
                  </w:r>
                </w:p>
              </w:tc>
              <w:tc>
                <w:tcPr>
                  <w:tcW w:w="700" w:type="dxa"/>
                  <w:tcBorders>
                    <w:top w:val="nil"/>
                    <w:left w:val="nil"/>
                    <w:bottom w:val="nil"/>
                    <w:right w:val="nil"/>
                  </w:tcBorders>
                  <w:noWrap/>
                  <w:vAlign w:val="bottom"/>
                  <w:hideMark/>
                </w:tcPr>
                <w:p w14:paraId="504EC11D" w14:textId="77777777" w:rsidR="00733628" w:rsidRPr="004D65A2" w:rsidRDefault="00733628" w:rsidP="00252DB1">
                  <w:pPr>
                    <w:spacing w:after="0" w:line="240" w:lineRule="auto"/>
                    <w:jc w:val="right"/>
                    <w:rPr>
                      <w:rFonts w:cs="Arial"/>
                      <w:color w:val="000000"/>
                      <w:sz w:val="16"/>
                      <w:szCs w:val="16"/>
                    </w:rPr>
                  </w:pPr>
                  <w:r w:rsidRPr="004D65A2">
                    <w:rPr>
                      <w:rFonts w:cs="Arial"/>
                      <w:color w:val="000000"/>
                      <w:sz w:val="16"/>
                      <w:szCs w:val="16"/>
                    </w:rPr>
                    <w:t>+1,6</w:t>
                  </w:r>
                </w:p>
              </w:tc>
            </w:tr>
            <w:tr w:rsidR="00733628" w:rsidRPr="004D65A2" w14:paraId="15854657" w14:textId="77777777" w:rsidTr="00252DB1">
              <w:trPr>
                <w:trHeight w:val="255"/>
              </w:trPr>
              <w:tc>
                <w:tcPr>
                  <w:tcW w:w="4126" w:type="dxa"/>
                  <w:tcBorders>
                    <w:top w:val="nil"/>
                    <w:left w:val="nil"/>
                    <w:bottom w:val="nil"/>
                    <w:right w:val="nil"/>
                  </w:tcBorders>
                  <w:noWrap/>
                  <w:vAlign w:val="bottom"/>
                  <w:hideMark/>
                </w:tcPr>
                <w:p w14:paraId="2FDF3EA0"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Pryžové a plastové výrobky</w:t>
                  </w:r>
                </w:p>
              </w:tc>
              <w:tc>
                <w:tcPr>
                  <w:tcW w:w="700" w:type="dxa"/>
                  <w:tcBorders>
                    <w:top w:val="nil"/>
                    <w:left w:val="nil"/>
                    <w:bottom w:val="nil"/>
                    <w:right w:val="nil"/>
                  </w:tcBorders>
                  <w:noWrap/>
                  <w:vAlign w:val="bottom"/>
                  <w:hideMark/>
                </w:tcPr>
                <w:p w14:paraId="227249C8" w14:textId="77777777" w:rsidR="00733628" w:rsidRPr="004D65A2" w:rsidRDefault="00733628" w:rsidP="00252DB1">
                  <w:pPr>
                    <w:spacing w:after="0" w:line="240" w:lineRule="auto"/>
                    <w:jc w:val="right"/>
                    <w:rPr>
                      <w:rFonts w:cs="Arial"/>
                      <w:color w:val="000000"/>
                      <w:sz w:val="16"/>
                      <w:szCs w:val="16"/>
                    </w:rPr>
                  </w:pPr>
                  <w:r w:rsidRPr="004D65A2">
                    <w:rPr>
                      <w:rFonts w:cs="Arial"/>
                      <w:color w:val="000000"/>
                      <w:sz w:val="16"/>
                      <w:szCs w:val="16"/>
                    </w:rPr>
                    <w:t>+1,2</w:t>
                  </w:r>
                </w:p>
              </w:tc>
            </w:tr>
            <w:tr w:rsidR="00733628" w:rsidRPr="004D65A2" w14:paraId="0C8C6AA7" w14:textId="77777777" w:rsidTr="00252DB1">
              <w:trPr>
                <w:trHeight w:val="255"/>
              </w:trPr>
              <w:tc>
                <w:tcPr>
                  <w:tcW w:w="4126" w:type="dxa"/>
                  <w:tcBorders>
                    <w:top w:val="nil"/>
                    <w:left w:val="nil"/>
                    <w:bottom w:val="nil"/>
                    <w:right w:val="nil"/>
                  </w:tcBorders>
                  <w:noWrap/>
                  <w:vAlign w:val="bottom"/>
                  <w:hideMark/>
                </w:tcPr>
                <w:p w14:paraId="34E8326D"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Ostatní nekovové minerální výrobky</w:t>
                  </w:r>
                </w:p>
              </w:tc>
              <w:tc>
                <w:tcPr>
                  <w:tcW w:w="700" w:type="dxa"/>
                  <w:tcBorders>
                    <w:top w:val="nil"/>
                    <w:left w:val="nil"/>
                    <w:bottom w:val="nil"/>
                    <w:right w:val="nil"/>
                  </w:tcBorders>
                  <w:noWrap/>
                  <w:vAlign w:val="bottom"/>
                  <w:hideMark/>
                </w:tcPr>
                <w:p w14:paraId="4AE349A0" w14:textId="77777777" w:rsidR="00733628" w:rsidRPr="004D65A2" w:rsidRDefault="00733628" w:rsidP="00252DB1">
                  <w:pPr>
                    <w:spacing w:after="0" w:line="240" w:lineRule="auto"/>
                    <w:jc w:val="right"/>
                    <w:rPr>
                      <w:rFonts w:cs="Arial"/>
                      <w:color w:val="000000"/>
                      <w:sz w:val="16"/>
                      <w:szCs w:val="16"/>
                    </w:rPr>
                  </w:pPr>
                  <w:r>
                    <w:rPr>
                      <w:rFonts w:cs="Arial"/>
                      <w:color w:val="000000"/>
                      <w:sz w:val="16"/>
                      <w:szCs w:val="16"/>
                    </w:rPr>
                    <w:t>−</w:t>
                  </w:r>
                  <w:r w:rsidRPr="004D65A2">
                    <w:rPr>
                      <w:rFonts w:cs="Arial"/>
                      <w:color w:val="000000"/>
                      <w:sz w:val="16"/>
                      <w:szCs w:val="16"/>
                    </w:rPr>
                    <w:t>1,3</w:t>
                  </w:r>
                </w:p>
              </w:tc>
            </w:tr>
            <w:tr w:rsidR="00733628" w:rsidRPr="004D65A2" w14:paraId="2C5AE048" w14:textId="77777777" w:rsidTr="00252DB1">
              <w:trPr>
                <w:trHeight w:val="255"/>
              </w:trPr>
              <w:tc>
                <w:tcPr>
                  <w:tcW w:w="4126" w:type="dxa"/>
                  <w:tcBorders>
                    <w:top w:val="nil"/>
                    <w:left w:val="nil"/>
                    <w:bottom w:val="nil"/>
                    <w:right w:val="nil"/>
                  </w:tcBorders>
                  <w:noWrap/>
                  <w:vAlign w:val="bottom"/>
                  <w:hideMark/>
                </w:tcPr>
                <w:p w14:paraId="01E42EE3"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Oděvy</w:t>
                  </w:r>
                </w:p>
              </w:tc>
              <w:tc>
                <w:tcPr>
                  <w:tcW w:w="700" w:type="dxa"/>
                  <w:tcBorders>
                    <w:top w:val="nil"/>
                    <w:left w:val="nil"/>
                    <w:bottom w:val="nil"/>
                    <w:right w:val="nil"/>
                  </w:tcBorders>
                  <w:noWrap/>
                  <w:vAlign w:val="bottom"/>
                  <w:hideMark/>
                </w:tcPr>
                <w:p w14:paraId="29E76001" w14:textId="77777777" w:rsidR="00733628" w:rsidRPr="004D65A2" w:rsidRDefault="00733628" w:rsidP="00252DB1">
                  <w:pPr>
                    <w:spacing w:after="0" w:line="240" w:lineRule="auto"/>
                    <w:jc w:val="right"/>
                    <w:rPr>
                      <w:rFonts w:cs="Arial"/>
                      <w:color w:val="000000"/>
                      <w:sz w:val="16"/>
                      <w:szCs w:val="16"/>
                    </w:rPr>
                  </w:pPr>
                  <w:r>
                    <w:rPr>
                      <w:rFonts w:cs="Arial"/>
                      <w:color w:val="000000"/>
                      <w:sz w:val="16"/>
                      <w:szCs w:val="16"/>
                    </w:rPr>
                    <w:t>−</w:t>
                  </w:r>
                  <w:r w:rsidRPr="004D65A2">
                    <w:rPr>
                      <w:rFonts w:cs="Arial"/>
                      <w:color w:val="000000"/>
                      <w:sz w:val="16"/>
                      <w:szCs w:val="16"/>
                    </w:rPr>
                    <w:t>1,4</w:t>
                  </w:r>
                </w:p>
              </w:tc>
            </w:tr>
            <w:tr w:rsidR="00733628" w:rsidRPr="004D65A2" w14:paraId="2FB58941" w14:textId="77777777" w:rsidTr="00252DB1">
              <w:trPr>
                <w:trHeight w:val="255"/>
              </w:trPr>
              <w:tc>
                <w:tcPr>
                  <w:tcW w:w="4126" w:type="dxa"/>
                  <w:tcBorders>
                    <w:top w:val="nil"/>
                    <w:left w:val="nil"/>
                    <w:bottom w:val="nil"/>
                    <w:right w:val="nil"/>
                  </w:tcBorders>
                  <w:noWrap/>
                  <w:vAlign w:val="bottom"/>
                  <w:hideMark/>
                </w:tcPr>
                <w:p w14:paraId="355AF370"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Elektrická zařízení</w:t>
                  </w:r>
                </w:p>
              </w:tc>
              <w:tc>
                <w:tcPr>
                  <w:tcW w:w="700" w:type="dxa"/>
                  <w:tcBorders>
                    <w:top w:val="nil"/>
                    <w:left w:val="nil"/>
                    <w:bottom w:val="nil"/>
                    <w:right w:val="nil"/>
                  </w:tcBorders>
                  <w:noWrap/>
                  <w:vAlign w:val="bottom"/>
                  <w:hideMark/>
                </w:tcPr>
                <w:p w14:paraId="7D39DBE3" w14:textId="77777777" w:rsidR="00733628" w:rsidRPr="004D65A2" w:rsidRDefault="00733628" w:rsidP="00252DB1">
                  <w:pPr>
                    <w:spacing w:after="0" w:line="240" w:lineRule="auto"/>
                    <w:jc w:val="right"/>
                    <w:rPr>
                      <w:rFonts w:cs="Arial"/>
                      <w:color w:val="000000"/>
                      <w:sz w:val="16"/>
                      <w:szCs w:val="16"/>
                    </w:rPr>
                  </w:pPr>
                  <w:r>
                    <w:rPr>
                      <w:rFonts w:cs="Arial"/>
                      <w:color w:val="000000"/>
                      <w:sz w:val="16"/>
                      <w:szCs w:val="16"/>
                    </w:rPr>
                    <w:t>−</w:t>
                  </w:r>
                  <w:r w:rsidRPr="004D65A2">
                    <w:rPr>
                      <w:rFonts w:cs="Arial"/>
                      <w:color w:val="000000"/>
                      <w:sz w:val="16"/>
                      <w:szCs w:val="16"/>
                    </w:rPr>
                    <w:t>1,9</w:t>
                  </w:r>
                </w:p>
              </w:tc>
            </w:tr>
            <w:tr w:rsidR="00733628" w:rsidRPr="004D65A2" w14:paraId="0F9829C2" w14:textId="77777777" w:rsidTr="00252DB1">
              <w:trPr>
                <w:trHeight w:val="255"/>
              </w:trPr>
              <w:tc>
                <w:tcPr>
                  <w:tcW w:w="4126" w:type="dxa"/>
                  <w:tcBorders>
                    <w:top w:val="nil"/>
                    <w:left w:val="nil"/>
                    <w:bottom w:val="nil"/>
                    <w:right w:val="nil"/>
                  </w:tcBorders>
                  <w:noWrap/>
                  <w:vAlign w:val="bottom"/>
                  <w:hideMark/>
                </w:tcPr>
                <w:p w14:paraId="625F4AC4"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Elektřina, plyn, pára a klimatizovaný vzduch</w:t>
                  </w:r>
                </w:p>
              </w:tc>
              <w:tc>
                <w:tcPr>
                  <w:tcW w:w="700" w:type="dxa"/>
                  <w:tcBorders>
                    <w:top w:val="nil"/>
                    <w:left w:val="nil"/>
                    <w:bottom w:val="nil"/>
                    <w:right w:val="nil"/>
                  </w:tcBorders>
                  <w:noWrap/>
                  <w:vAlign w:val="bottom"/>
                  <w:hideMark/>
                </w:tcPr>
                <w:p w14:paraId="7CC43E54" w14:textId="77777777" w:rsidR="00733628" w:rsidRPr="004D65A2" w:rsidRDefault="00733628" w:rsidP="00252DB1">
                  <w:pPr>
                    <w:spacing w:after="0" w:line="240" w:lineRule="auto"/>
                    <w:jc w:val="right"/>
                    <w:rPr>
                      <w:rFonts w:cs="Arial"/>
                      <w:color w:val="000000"/>
                      <w:sz w:val="16"/>
                      <w:szCs w:val="16"/>
                    </w:rPr>
                  </w:pPr>
                  <w:r>
                    <w:rPr>
                      <w:rFonts w:cs="Arial"/>
                      <w:color w:val="000000"/>
                      <w:sz w:val="16"/>
                      <w:szCs w:val="16"/>
                    </w:rPr>
                    <w:t>−</w:t>
                  </w:r>
                  <w:r w:rsidRPr="004D65A2">
                    <w:rPr>
                      <w:rFonts w:cs="Arial"/>
                      <w:color w:val="000000"/>
                      <w:sz w:val="16"/>
                      <w:szCs w:val="16"/>
                    </w:rPr>
                    <w:t>2,5</w:t>
                  </w:r>
                </w:p>
              </w:tc>
            </w:tr>
            <w:tr w:rsidR="00733628" w:rsidRPr="004D65A2" w14:paraId="7262785D" w14:textId="77777777" w:rsidTr="00252DB1">
              <w:trPr>
                <w:trHeight w:val="255"/>
              </w:trPr>
              <w:tc>
                <w:tcPr>
                  <w:tcW w:w="4126" w:type="dxa"/>
                  <w:tcBorders>
                    <w:top w:val="nil"/>
                    <w:left w:val="nil"/>
                    <w:bottom w:val="nil"/>
                    <w:right w:val="nil"/>
                  </w:tcBorders>
                  <w:noWrap/>
                  <w:vAlign w:val="bottom"/>
                  <w:hideMark/>
                </w:tcPr>
                <w:p w14:paraId="5B86BA16"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Produkty zemědělství a myslivosti</w:t>
                  </w:r>
                </w:p>
              </w:tc>
              <w:tc>
                <w:tcPr>
                  <w:tcW w:w="700" w:type="dxa"/>
                  <w:tcBorders>
                    <w:top w:val="nil"/>
                    <w:left w:val="nil"/>
                    <w:bottom w:val="nil"/>
                    <w:right w:val="nil"/>
                  </w:tcBorders>
                  <w:noWrap/>
                  <w:vAlign w:val="bottom"/>
                  <w:hideMark/>
                </w:tcPr>
                <w:p w14:paraId="5A9DCA30" w14:textId="77777777" w:rsidR="00733628" w:rsidRPr="004D65A2" w:rsidRDefault="00733628" w:rsidP="00252DB1">
                  <w:pPr>
                    <w:spacing w:after="0" w:line="240" w:lineRule="auto"/>
                    <w:jc w:val="right"/>
                    <w:rPr>
                      <w:rFonts w:cs="Arial"/>
                      <w:color w:val="000000"/>
                      <w:sz w:val="16"/>
                      <w:szCs w:val="16"/>
                    </w:rPr>
                  </w:pPr>
                  <w:r>
                    <w:rPr>
                      <w:rFonts w:cs="Arial"/>
                      <w:color w:val="000000"/>
                      <w:sz w:val="16"/>
                      <w:szCs w:val="16"/>
                    </w:rPr>
                    <w:t>−</w:t>
                  </w:r>
                  <w:r w:rsidRPr="004D65A2">
                    <w:rPr>
                      <w:rFonts w:cs="Arial"/>
                      <w:color w:val="000000"/>
                      <w:sz w:val="16"/>
                      <w:szCs w:val="16"/>
                    </w:rPr>
                    <w:t>2,6</w:t>
                  </w:r>
                </w:p>
              </w:tc>
            </w:tr>
            <w:tr w:rsidR="00733628" w:rsidRPr="004D65A2" w14:paraId="4521F3BD" w14:textId="77777777" w:rsidTr="00252DB1">
              <w:trPr>
                <w:trHeight w:val="255"/>
              </w:trPr>
              <w:tc>
                <w:tcPr>
                  <w:tcW w:w="4126" w:type="dxa"/>
                  <w:tcBorders>
                    <w:top w:val="nil"/>
                    <w:left w:val="nil"/>
                    <w:bottom w:val="nil"/>
                    <w:right w:val="nil"/>
                  </w:tcBorders>
                  <w:noWrap/>
                  <w:vAlign w:val="bottom"/>
                  <w:hideMark/>
                </w:tcPr>
                <w:p w14:paraId="46B07B53"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 xml:space="preserve">Počítače, elektron. a </w:t>
                  </w:r>
                  <w:proofErr w:type="spellStart"/>
                  <w:r w:rsidRPr="004D65A2">
                    <w:rPr>
                      <w:rFonts w:cs="Arial"/>
                      <w:color w:val="000000"/>
                      <w:sz w:val="16"/>
                      <w:szCs w:val="16"/>
                    </w:rPr>
                    <w:t>opt</w:t>
                  </w:r>
                  <w:proofErr w:type="spellEnd"/>
                  <w:r w:rsidRPr="004D65A2">
                    <w:rPr>
                      <w:rFonts w:cs="Arial"/>
                      <w:color w:val="000000"/>
                      <w:sz w:val="16"/>
                      <w:szCs w:val="16"/>
                    </w:rPr>
                    <w:t>. přístroje a zařízení</w:t>
                  </w:r>
                </w:p>
              </w:tc>
              <w:tc>
                <w:tcPr>
                  <w:tcW w:w="700" w:type="dxa"/>
                  <w:tcBorders>
                    <w:top w:val="nil"/>
                    <w:left w:val="nil"/>
                    <w:bottom w:val="nil"/>
                    <w:right w:val="nil"/>
                  </w:tcBorders>
                  <w:noWrap/>
                  <w:vAlign w:val="bottom"/>
                  <w:hideMark/>
                </w:tcPr>
                <w:p w14:paraId="7B77FC96" w14:textId="77777777" w:rsidR="00733628" w:rsidRPr="004D65A2" w:rsidRDefault="00733628" w:rsidP="00252DB1">
                  <w:pPr>
                    <w:spacing w:after="0" w:line="240" w:lineRule="auto"/>
                    <w:jc w:val="right"/>
                    <w:rPr>
                      <w:rFonts w:cs="Arial"/>
                      <w:color w:val="000000"/>
                      <w:sz w:val="16"/>
                      <w:szCs w:val="16"/>
                    </w:rPr>
                  </w:pPr>
                  <w:r>
                    <w:rPr>
                      <w:rFonts w:cs="Arial"/>
                      <w:color w:val="000000"/>
                      <w:sz w:val="16"/>
                      <w:szCs w:val="16"/>
                    </w:rPr>
                    <w:t>−</w:t>
                  </w:r>
                  <w:r w:rsidRPr="004D65A2">
                    <w:rPr>
                      <w:rFonts w:cs="Arial"/>
                      <w:color w:val="000000"/>
                      <w:sz w:val="16"/>
                      <w:szCs w:val="16"/>
                    </w:rPr>
                    <w:t>3,5</w:t>
                  </w:r>
                </w:p>
              </w:tc>
            </w:tr>
            <w:tr w:rsidR="00733628" w:rsidRPr="004D65A2" w14:paraId="3BE9FD8F" w14:textId="77777777" w:rsidTr="00252DB1">
              <w:trPr>
                <w:trHeight w:val="255"/>
              </w:trPr>
              <w:tc>
                <w:tcPr>
                  <w:tcW w:w="4126" w:type="dxa"/>
                  <w:tcBorders>
                    <w:top w:val="nil"/>
                    <w:left w:val="nil"/>
                    <w:bottom w:val="nil"/>
                    <w:right w:val="nil"/>
                  </w:tcBorders>
                  <w:noWrap/>
                  <w:vAlign w:val="bottom"/>
                  <w:hideMark/>
                </w:tcPr>
                <w:p w14:paraId="42906D35" w14:textId="77777777" w:rsidR="00733628" w:rsidRPr="004D65A2" w:rsidRDefault="00733628" w:rsidP="00252DB1">
                  <w:pPr>
                    <w:spacing w:after="0" w:line="240" w:lineRule="auto"/>
                    <w:jc w:val="left"/>
                    <w:rPr>
                      <w:rFonts w:cs="Arial"/>
                      <w:color w:val="000000"/>
                      <w:sz w:val="16"/>
                      <w:szCs w:val="16"/>
                    </w:rPr>
                  </w:pPr>
                  <w:r w:rsidRPr="004D65A2">
                    <w:rPr>
                      <w:rFonts w:cs="Arial"/>
                      <w:color w:val="000000"/>
                      <w:sz w:val="16"/>
                      <w:szCs w:val="16"/>
                    </w:rPr>
                    <w:t>Kovodělné výrobky</w:t>
                  </w:r>
                </w:p>
              </w:tc>
              <w:tc>
                <w:tcPr>
                  <w:tcW w:w="700" w:type="dxa"/>
                  <w:tcBorders>
                    <w:top w:val="nil"/>
                    <w:left w:val="nil"/>
                    <w:bottom w:val="nil"/>
                    <w:right w:val="nil"/>
                  </w:tcBorders>
                  <w:noWrap/>
                  <w:vAlign w:val="bottom"/>
                  <w:hideMark/>
                </w:tcPr>
                <w:p w14:paraId="39BA5209" w14:textId="77777777" w:rsidR="00733628" w:rsidRPr="004D65A2" w:rsidRDefault="00733628" w:rsidP="00252DB1">
                  <w:pPr>
                    <w:spacing w:after="0" w:line="240" w:lineRule="auto"/>
                    <w:jc w:val="right"/>
                    <w:rPr>
                      <w:rFonts w:cs="Arial"/>
                      <w:color w:val="000000"/>
                      <w:sz w:val="16"/>
                      <w:szCs w:val="16"/>
                    </w:rPr>
                  </w:pPr>
                  <w:r>
                    <w:rPr>
                      <w:rFonts w:cs="Arial"/>
                      <w:color w:val="000000"/>
                      <w:sz w:val="16"/>
                      <w:szCs w:val="16"/>
                    </w:rPr>
                    <w:t>−</w:t>
                  </w:r>
                  <w:r w:rsidRPr="004D65A2">
                    <w:rPr>
                      <w:rFonts w:cs="Arial"/>
                      <w:color w:val="000000"/>
                      <w:sz w:val="16"/>
                      <w:szCs w:val="16"/>
                    </w:rPr>
                    <w:t>8,5</w:t>
                  </w:r>
                </w:p>
              </w:tc>
            </w:tr>
          </w:tbl>
          <w:p w14:paraId="1AB12C12" w14:textId="77777777" w:rsidR="00733628" w:rsidRPr="0010385A" w:rsidRDefault="00733628" w:rsidP="00252DB1">
            <w:pPr>
              <w:spacing w:after="0"/>
              <w:rPr>
                <w:rFonts w:cs="Arial"/>
                <w:spacing w:val="-4"/>
                <w:sz w:val="16"/>
                <w:szCs w:val="16"/>
                <w:lang w:eastAsia="en-US"/>
              </w:rPr>
            </w:pPr>
          </w:p>
        </w:tc>
        <w:tc>
          <w:tcPr>
            <w:tcW w:w="57" w:type="dxa"/>
          </w:tcPr>
          <w:p w14:paraId="19F46F34" w14:textId="77777777" w:rsidR="00733628" w:rsidRPr="0010385A" w:rsidRDefault="00733628" w:rsidP="00252DB1">
            <w:pPr>
              <w:spacing w:after="0"/>
              <w:rPr>
                <w:rFonts w:cs="Arial"/>
                <w:spacing w:val="-4"/>
                <w:sz w:val="16"/>
                <w:szCs w:val="16"/>
                <w:lang w:eastAsia="en-US"/>
              </w:rPr>
            </w:pPr>
          </w:p>
        </w:tc>
        <w:tc>
          <w:tcPr>
            <w:tcW w:w="4809" w:type="dxa"/>
            <w:hideMark/>
          </w:tcPr>
          <w:tbl>
            <w:tblPr>
              <w:tblW w:w="4771" w:type="dxa"/>
              <w:tblLayout w:type="fixed"/>
              <w:tblCellMar>
                <w:left w:w="70" w:type="dxa"/>
                <w:right w:w="70" w:type="dxa"/>
              </w:tblCellMar>
              <w:tblLook w:val="04A0" w:firstRow="1" w:lastRow="0" w:firstColumn="1" w:lastColumn="0" w:noHBand="0" w:noVBand="1"/>
            </w:tblPr>
            <w:tblGrid>
              <w:gridCol w:w="4071"/>
              <w:gridCol w:w="700"/>
            </w:tblGrid>
            <w:tr w:rsidR="00733628" w:rsidRPr="00A93B76" w14:paraId="0249695F" w14:textId="77777777" w:rsidTr="00252DB1">
              <w:trPr>
                <w:trHeight w:val="255"/>
              </w:trPr>
              <w:tc>
                <w:tcPr>
                  <w:tcW w:w="4071" w:type="dxa"/>
                  <w:tcBorders>
                    <w:top w:val="nil"/>
                    <w:left w:val="nil"/>
                    <w:bottom w:val="single" w:sz="4" w:space="0" w:color="auto"/>
                    <w:right w:val="nil"/>
                  </w:tcBorders>
                  <w:noWrap/>
                  <w:vAlign w:val="bottom"/>
                  <w:hideMark/>
                </w:tcPr>
                <w:p w14:paraId="515AEE5D" w14:textId="77777777" w:rsidR="00733628" w:rsidRPr="00A93B76" w:rsidRDefault="00733628" w:rsidP="00252DB1">
                  <w:pPr>
                    <w:spacing w:after="0" w:line="240" w:lineRule="auto"/>
                    <w:jc w:val="left"/>
                    <w:rPr>
                      <w:rFonts w:cs="Arial"/>
                      <w:color w:val="000000"/>
                      <w:sz w:val="16"/>
                      <w:szCs w:val="16"/>
                    </w:rPr>
                  </w:pPr>
                </w:p>
              </w:tc>
              <w:tc>
                <w:tcPr>
                  <w:tcW w:w="700" w:type="dxa"/>
                  <w:tcBorders>
                    <w:top w:val="nil"/>
                    <w:left w:val="nil"/>
                    <w:bottom w:val="single" w:sz="4" w:space="0" w:color="auto"/>
                    <w:right w:val="nil"/>
                  </w:tcBorders>
                  <w:noWrap/>
                  <w:vAlign w:val="bottom"/>
                  <w:hideMark/>
                </w:tcPr>
                <w:p w14:paraId="287742C6" w14:textId="77777777" w:rsidR="00733628" w:rsidRPr="00A93B76" w:rsidRDefault="00733628" w:rsidP="00252DB1">
                  <w:pPr>
                    <w:spacing w:after="0" w:line="240" w:lineRule="auto"/>
                    <w:jc w:val="right"/>
                    <w:rPr>
                      <w:rFonts w:cs="Arial"/>
                      <w:color w:val="000000"/>
                      <w:sz w:val="16"/>
                      <w:szCs w:val="16"/>
                    </w:rPr>
                  </w:pPr>
                  <w:r w:rsidRPr="00A93B76">
                    <w:rPr>
                      <w:rFonts w:cs="Arial"/>
                      <w:color w:val="000000"/>
                      <w:sz w:val="16"/>
                      <w:szCs w:val="16"/>
                    </w:rPr>
                    <w:t>mld. Kč</w:t>
                  </w:r>
                </w:p>
              </w:tc>
            </w:tr>
            <w:tr w:rsidR="00733628" w:rsidRPr="00A93B76" w14:paraId="7EAC0CD2" w14:textId="77777777" w:rsidTr="00252DB1">
              <w:trPr>
                <w:trHeight w:val="255"/>
              </w:trPr>
              <w:tc>
                <w:tcPr>
                  <w:tcW w:w="4071" w:type="dxa"/>
                  <w:tcBorders>
                    <w:top w:val="nil"/>
                    <w:left w:val="nil"/>
                    <w:bottom w:val="nil"/>
                    <w:right w:val="nil"/>
                  </w:tcBorders>
                  <w:noWrap/>
                  <w:vAlign w:val="bottom"/>
                  <w:hideMark/>
                </w:tcPr>
                <w:p w14:paraId="555C00E8"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Rusko</w:t>
                  </w:r>
                </w:p>
              </w:tc>
              <w:tc>
                <w:tcPr>
                  <w:tcW w:w="700" w:type="dxa"/>
                  <w:tcBorders>
                    <w:top w:val="nil"/>
                    <w:left w:val="nil"/>
                    <w:bottom w:val="nil"/>
                    <w:right w:val="nil"/>
                  </w:tcBorders>
                  <w:noWrap/>
                  <w:vAlign w:val="bottom"/>
                  <w:hideMark/>
                </w:tcPr>
                <w:p w14:paraId="459BA23E" w14:textId="77777777" w:rsidR="00733628" w:rsidRPr="00A93B76" w:rsidRDefault="00733628" w:rsidP="00252DB1">
                  <w:pPr>
                    <w:spacing w:after="0" w:line="240" w:lineRule="auto"/>
                    <w:jc w:val="right"/>
                    <w:rPr>
                      <w:rFonts w:cs="Arial"/>
                      <w:color w:val="000000"/>
                      <w:sz w:val="16"/>
                      <w:szCs w:val="16"/>
                    </w:rPr>
                  </w:pPr>
                  <w:r w:rsidRPr="00A93B76">
                    <w:rPr>
                      <w:rFonts w:cs="Arial"/>
                      <w:color w:val="000000"/>
                      <w:sz w:val="16"/>
                      <w:szCs w:val="16"/>
                    </w:rPr>
                    <w:t>+12,5</w:t>
                  </w:r>
                </w:p>
              </w:tc>
            </w:tr>
            <w:tr w:rsidR="00733628" w:rsidRPr="00A93B76" w14:paraId="2D74326C" w14:textId="77777777" w:rsidTr="00252DB1">
              <w:trPr>
                <w:trHeight w:val="255"/>
              </w:trPr>
              <w:tc>
                <w:tcPr>
                  <w:tcW w:w="4071" w:type="dxa"/>
                  <w:tcBorders>
                    <w:top w:val="nil"/>
                    <w:left w:val="nil"/>
                    <w:bottom w:val="nil"/>
                    <w:right w:val="nil"/>
                  </w:tcBorders>
                  <w:noWrap/>
                  <w:vAlign w:val="bottom"/>
                  <w:hideMark/>
                </w:tcPr>
                <w:p w14:paraId="2974CE80"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Polsko</w:t>
                  </w:r>
                </w:p>
              </w:tc>
              <w:tc>
                <w:tcPr>
                  <w:tcW w:w="700" w:type="dxa"/>
                  <w:tcBorders>
                    <w:top w:val="nil"/>
                    <w:left w:val="nil"/>
                    <w:bottom w:val="nil"/>
                    <w:right w:val="nil"/>
                  </w:tcBorders>
                  <w:noWrap/>
                  <w:vAlign w:val="bottom"/>
                  <w:hideMark/>
                </w:tcPr>
                <w:p w14:paraId="0122C1DF" w14:textId="77777777" w:rsidR="00733628" w:rsidRPr="00A93B76" w:rsidRDefault="00733628" w:rsidP="00252DB1">
                  <w:pPr>
                    <w:spacing w:after="0" w:line="240" w:lineRule="auto"/>
                    <w:jc w:val="right"/>
                    <w:rPr>
                      <w:rFonts w:cs="Arial"/>
                      <w:color w:val="000000"/>
                      <w:sz w:val="16"/>
                      <w:szCs w:val="16"/>
                    </w:rPr>
                  </w:pPr>
                  <w:r w:rsidRPr="00A93B76">
                    <w:rPr>
                      <w:rFonts w:cs="Arial"/>
                      <w:color w:val="000000"/>
                      <w:sz w:val="16"/>
                      <w:szCs w:val="16"/>
                    </w:rPr>
                    <w:t>+9,2</w:t>
                  </w:r>
                </w:p>
              </w:tc>
            </w:tr>
            <w:tr w:rsidR="00733628" w:rsidRPr="00A93B76" w14:paraId="5E9A609E" w14:textId="77777777" w:rsidTr="00252DB1">
              <w:trPr>
                <w:trHeight w:val="255"/>
              </w:trPr>
              <w:tc>
                <w:tcPr>
                  <w:tcW w:w="4071" w:type="dxa"/>
                  <w:tcBorders>
                    <w:top w:val="nil"/>
                    <w:left w:val="nil"/>
                    <w:bottom w:val="nil"/>
                    <w:right w:val="nil"/>
                  </w:tcBorders>
                  <w:noWrap/>
                  <w:vAlign w:val="bottom"/>
                  <w:hideMark/>
                </w:tcPr>
                <w:p w14:paraId="5DBF2BBB"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Německo</w:t>
                  </w:r>
                </w:p>
              </w:tc>
              <w:tc>
                <w:tcPr>
                  <w:tcW w:w="700" w:type="dxa"/>
                  <w:tcBorders>
                    <w:top w:val="nil"/>
                    <w:left w:val="nil"/>
                    <w:bottom w:val="nil"/>
                    <w:right w:val="nil"/>
                  </w:tcBorders>
                  <w:noWrap/>
                  <w:vAlign w:val="bottom"/>
                  <w:hideMark/>
                </w:tcPr>
                <w:p w14:paraId="09FD89C1" w14:textId="77777777" w:rsidR="00733628" w:rsidRPr="00A93B76" w:rsidRDefault="00733628" w:rsidP="00252DB1">
                  <w:pPr>
                    <w:spacing w:after="0" w:line="240" w:lineRule="auto"/>
                    <w:jc w:val="right"/>
                    <w:rPr>
                      <w:rFonts w:cs="Arial"/>
                      <w:color w:val="000000"/>
                      <w:sz w:val="16"/>
                      <w:szCs w:val="16"/>
                    </w:rPr>
                  </w:pPr>
                  <w:r w:rsidRPr="00A93B76">
                    <w:rPr>
                      <w:rFonts w:cs="Arial"/>
                      <w:color w:val="000000"/>
                      <w:sz w:val="16"/>
                      <w:szCs w:val="16"/>
                    </w:rPr>
                    <w:t>+6,0</w:t>
                  </w:r>
                </w:p>
              </w:tc>
            </w:tr>
            <w:tr w:rsidR="00733628" w:rsidRPr="00A93B76" w14:paraId="1B6F8FCE" w14:textId="77777777" w:rsidTr="00252DB1">
              <w:trPr>
                <w:trHeight w:val="255"/>
              </w:trPr>
              <w:tc>
                <w:tcPr>
                  <w:tcW w:w="4071" w:type="dxa"/>
                  <w:tcBorders>
                    <w:top w:val="nil"/>
                    <w:left w:val="nil"/>
                    <w:bottom w:val="nil"/>
                    <w:right w:val="nil"/>
                  </w:tcBorders>
                  <w:noWrap/>
                  <w:vAlign w:val="bottom"/>
                  <w:hideMark/>
                </w:tcPr>
                <w:p w14:paraId="63796D61"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Francie</w:t>
                  </w:r>
                </w:p>
              </w:tc>
              <w:tc>
                <w:tcPr>
                  <w:tcW w:w="700" w:type="dxa"/>
                  <w:tcBorders>
                    <w:top w:val="nil"/>
                    <w:left w:val="nil"/>
                    <w:bottom w:val="nil"/>
                    <w:right w:val="nil"/>
                  </w:tcBorders>
                  <w:noWrap/>
                  <w:vAlign w:val="bottom"/>
                  <w:hideMark/>
                </w:tcPr>
                <w:p w14:paraId="4466163A" w14:textId="77777777" w:rsidR="00733628" w:rsidRPr="00A93B76" w:rsidRDefault="00733628" w:rsidP="00252DB1">
                  <w:pPr>
                    <w:spacing w:after="0" w:line="240" w:lineRule="auto"/>
                    <w:jc w:val="right"/>
                    <w:rPr>
                      <w:rFonts w:cs="Arial"/>
                      <w:color w:val="000000"/>
                      <w:sz w:val="16"/>
                      <w:szCs w:val="16"/>
                    </w:rPr>
                  </w:pPr>
                  <w:r w:rsidRPr="00A93B76">
                    <w:rPr>
                      <w:rFonts w:cs="Arial"/>
                      <w:color w:val="000000"/>
                      <w:sz w:val="16"/>
                      <w:szCs w:val="16"/>
                    </w:rPr>
                    <w:t>+4,0</w:t>
                  </w:r>
                </w:p>
              </w:tc>
            </w:tr>
            <w:tr w:rsidR="00733628" w:rsidRPr="00A93B76" w14:paraId="75C8C2CD" w14:textId="77777777" w:rsidTr="00252DB1">
              <w:trPr>
                <w:trHeight w:val="255"/>
              </w:trPr>
              <w:tc>
                <w:tcPr>
                  <w:tcW w:w="4071" w:type="dxa"/>
                  <w:tcBorders>
                    <w:top w:val="nil"/>
                    <w:left w:val="nil"/>
                    <w:bottom w:val="nil"/>
                    <w:right w:val="nil"/>
                  </w:tcBorders>
                  <w:noWrap/>
                  <w:vAlign w:val="bottom"/>
                  <w:hideMark/>
                </w:tcPr>
                <w:p w14:paraId="21EC986C"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Belgie</w:t>
                  </w:r>
                </w:p>
              </w:tc>
              <w:tc>
                <w:tcPr>
                  <w:tcW w:w="700" w:type="dxa"/>
                  <w:tcBorders>
                    <w:top w:val="nil"/>
                    <w:left w:val="nil"/>
                    <w:bottom w:val="nil"/>
                    <w:right w:val="nil"/>
                  </w:tcBorders>
                  <w:noWrap/>
                  <w:vAlign w:val="bottom"/>
                  <w:hideMark/>
                </w:tcPr>
                <w:p w14:paraId="0CA01EC2" w14:textId="77777777" w:rsidR="00733628" w:rsidRPr="00A93B76" w:rsidRDefault="00733628" w:rsidP="00252DB1">
                  <w:pPr>
                    <w:spacing w:after="0" w:line="240" w:lineRule="auto"/>
                    <w:jc w:val="right"/>
                    <w:rPr>
                      <w:rFonts w:cs="Arial"/>
                      <w:color w:val="000000"/>
                      <w:sz w:val="16"/>
                      <w:szCs w:val="16"/>
                    </w:rPr>
                  </w:pPr>
                  <w:r w:rsidRPr="00A93B76">
                    <w:rPr>
                      <w:rFonts w:cs="Arial"/>
                      <w:color w:val="000000"/>
                      <w:sz w:val="16"/>
                      <w:szCs w:val="16"/>
                    </w:rPr>
                    <w:t>+3,6</w:t>
                  </w:r>
                </w:p>
              </w:tc>
            </w:tr>
            <w:tr w:rsidR="00733628" w:rsidRPr="00A93B76" w14:paraId="0179A516" w14:textId="77777777" w:rsidTr="00252DB1">
              <w:trPr>
                <w:trHeight w:val="255"/>
              </w:trPr>
              <w:tc>
                <w:tcPr>
                  <w:tcW w:w="4071" w:type="dxa"/>
                  <w:tcBorders>
                    <w:top w:val="nil"/>
                    <w:left w:val="nil"/>
                    <w:bottom w:val="nil"/>
                    <w:right w:val="nil"/>
                  </w:tcBorders>
                  <w:noWrap/>
                  <w:vAlign w:val="bottom"/>
                  <w:hideMark/>
                </w:tcPr>
                <w:p w14:paraId="31E639DF"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Čína</w:t>
                  </w:r>
                </w:p>
              </w:tc>
              <w:tc>
                <w:tcPr>
                  <w:tcW w:w="700" w:type="dxa"/>
                  <w:tcBorders>
                    <w:top w:val="nil"/>
                    <w:left w:val="nil"/>
                    <w:bottom w:val="nil"/>
                    <w:right w:val="nil"/>
                  </w:tcBorders>
                  <w:noWrap/>
                  <w:vAlign w:val="bottom"/>
                  <w:hideMark/>
                </w:tcPr>
                <w:p w14:paraId="6846DC2D" w14:textId="77777777" w:rsidR="00733628" w:rsidRPr="00A93B76" w:rsidRDefault="00733628" w:rsidP="00252DB1">
                  <w:pPr>
                    <w:spacing w:after="0" w:line="240" w:lineRule="auto"/>
                    <w:jc w:val="right"/>
                    <w:rPr>
                      <w:rFonts w:cs="Arial"/>
                      <w:color w:val="000000"/>
                      <w:sz w:val="16"/>
                      <w:szCs w:val="16"/>
                    </w:rPr>
                  </w:pPr>
                  <w:r w:rsidRPr="00A93B76">
                    <w:rPr>
                      <w:rFonts w:cs="Arial"/>
                      <w:color w:val="000000"/>
                      <w:sz w:val="16"/>
                      <w:szCs w:val="16"/>
                    </w:rPr>
                    <w:t>+2,7</w:t>
                  </w:r>
                </w:p>
              </w:tc>
            </w:tr>
            <w:tr w:rsidR="00733628" w:rsidRPr="00A93B76" w14:paraId="283FE50E" w14:textId="77777777" w:rsidTr="00252DB1">
              <w:trPr>
                <w:trHeight w:val="255"/>
              </w:trPr>
              <w:tc>
                <w:tcPr>
                  <w:tcW w:w="4071" w:type="dxa"/>
                  <w:tcBorders>
                    <w:top w:val="nil"/>
                    <w:left w:val="nil"/>
                    <w:bottom w:val="nil"/>
                    <w:right w:val="nil"/>
                  </w:tcBorders>
                  <w:noWrap/>
                  <w:vAlign w:val="bottom"/>
                  <w:hideMark/>
                </w:tcPr>
                <w:p w14:paraId="32BEDE56"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Bulharsko</w:t>
                  </w:r>
                </w:p>
              </w:tc>
              <w:tc>
                <w:tcPr>
                  <w:tcW w:w="700" w:type="dxa"/>
                  <w:tcBorders>
                    <w:top w:val="nil"/>
                    <w:left w:val="nil"/>
                    <w:bottom w:val="nil"/>
                    <w:right w:val="nil"/>
                  </w:tcBorders>
                  <w:noWrap/>
                  <w:vAlign w:val="bottom"/>
                  <w:hideMark/>
                </w:tcPr>
                <w:p w14:paraId="5F645C90" w14:textId="77777777" w:rsidR="00733628" w:rsidRPr="00A93B76" w:rsidRDefault="00733628" w:rsidP="00252DB1">
                  <w:pPr>
                    <w:spacing w:after="0" w:line="240" w:lineRule="auto"/>
                    <w:jc w:val="right"/>
                    <w:rPr>
                      <w:rFonts w:cs="Arial"/>
                      <w:color w:val="000000"/>
                      <w:sz w:val="16"/>
                      <w:szCs w:val="16"/>
                    </w:rPr>
                  </w:pPr>
                  <w:r w:rsidRPr="00A93B76">
                    <w:rPr>
                      <w:rFonts w:cs="Arial"/>
                      <w:color w:val="000000"/>
                      <w:sz w:val="16"/>
                      <w:szCs w:val="16"/>
                    </w:rPr>
                    <w:t>+2,0</w:t>
                  </w:r>
                </w:p>
              </w:tc>
            </w:tr>
            <w:tr w:rsidR="00733628" w:rsidRPr="00A93B76" w14:paraId="7B02C0CE" w14:textId="77777777" w:rsidTr="00252DB1">
              <w:trPr>
                <w:trHeight w:val="255"/>
              </w:trPr>
              <w:tc>
                <w:tcPr>
                  <w:tcW w:w="4071" w:type="dxa"/>
                  <w:tcBorders>
                    <w:top w:val="nil"/>
                    <w:left w:val="nil"/>
                    <w:bottom w:val="nil"/>
                    <w:right w:val="nil"/>
                  </w:tcBorders>
                  <w:noWrap/>
                  <w:vAlign w:val="bottom"/>
                  <w:hideMark/>
                </w:tcPr>
                <w:p w14:paraId="36431910"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Tchaj-wan</w:t>
                  </w:r>
                </w:p>
              </w:tc>
              <w:tc>
                <w:tcPr>
                  <w:tcW w:w="700" w:type="dxa"/>
                  <w:tcBorders>
                    <w:top w:val="nil"/>
                    <w:left w:val="nil"/>
                    <w:bottom w:val="nil"/>
                    <w:right w:val="nil"/>
                  </w:tcBorders>
                  <w:noWrap/>
                  <w:vAlign w:val="bottom"/>
                  <w:hideMark/>
                </w:tcPr>
                <w:p w14:paraId="47253F86" w14:textId="77777777" w:rsidR="00733628" w:rsidRPr="00A93B76" w:rsidRDefault="00733628" w:rsidP="00252DB1">
                  <w:pPr>
                    <w:spacing w:after="0" w:line="240" w:lineRule="auto"/>
                    <w:jc w:val="right"/>
                    <w:rPr>
                      <w:rFonts w:cs="Arial"/>
                      <w:color w:val="000000"/>
                      <w:sz w:val="16"/>
                      <w:szCs w:val="16"/>
                    </w:rPr>
                  </w:pPr>
                  <w:r w:rsidRPr="00A93B76">
                    <w:rPr>
                      <w:rFonts w:cs="Arial"/>
                      <w:color w:val="000000"/>
                      <w:sz w:val="16"/>
                      <w:szCs w:val="16"/>
                    </w:rPr>
                    <w:t>+1,8</w:t>
                  </w:r>
                </w:p>
              </w:tc>
            </w:tr>
            <w:tr w:rsidR="00733628" w:rsidRPr="00A93B76" w14:paraId="7E133DD9" w14:textId="77777777" w:rsidTr="00252DB1">
              <w:trPr>
                <w:trHeight w:val="255"/>
              </w:trPr>
              <w:tc>
                <w:tcPr>
                  <w:tcW w:w="4071" w:type="dxa"/>
                  <w:tcBorders>
                    <w:top w:val="nil"/>
                    <w:left w:val="nil"/>
                    <w:bottom w:val="nil"/>
                    <w:right w:val="nil"/>
                  </w:tcBorders>
                  <w:noWrap/>
                  <w:vAlign w:val="bottom"/>
                  <w:hideMark/>
                </w:tcPr>
                <w:p w14:paraId="33ABA9D4"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Švédsko</w:t>
                  </w:r>
                </w:p>
              </w:tc>
              <w:tc>
                <w:tcPr>
                  <w:tcW w:w="700" w:type="dxa"/>
                  <w:tcBorders>
                    <w:top w:val="nil"/>
                    <w:left w:val="nil"/>
                    <w:bottom w:val="nil"/>
                    <w:right w:val="nil"/>
                  </w:tcBorders>
                  <w:noWrap/>
                  <w:vAlign w:val="bottom"/>
                  <w:hideMark/>
                </w:tcPr>
                <w:p w14:paraId="5B9F01C1" w14:textId="77777777" w:rsidR="00733628" w:rsidRPr="00A93B76" w:rsidRDefault="00733628" w:rsidP="00252DB1">
                  <w:pPr>
                    <w:spacing w:after="0" w:line="240" w:lineRule="auto"/>
                    <w:jc w:val="right"/>
                    <w:rPr>
                      <w:rFonts w:cs="Arial"/>
                      <w:color w:val="000000"/>
                      <w:sz w:val="16"/>
                      <w:szCs w:val="16"/>
                    </w:rPr>
                  </w:pPr>
                  <w:r>
                    <w:rPr>
                      <w:rFonts w:cs="Arial"/>
                      <w:color w:val="000000"/>
                      <w:sz w:val="16"/>
                      <w:szCs w:val="16"/>
                    </w:rPr>
                    <w:t>−</w:t>
                  </w:r>
                  <w:r w:rsidRPr="00A93B76">
                    <w:rPr>
                      <w:rFonts w:cs="Arial"/>
                      <w:color w:val="000000"/>
                      <w:sz w:val="16"/>
                      <w:szCs w:val="16"/>
                    </w:rPr>
                    <w:t>2,7</w:t>
                  </w:r>
                </w:p>
              </w:tc>
            </w:tr>
            <w:tr w:rsidR="00733628" w:rsidRPr="00A93B76" w14:paraId="1EFEE308" w14:textId="77777777" w:rsidTr="00252DB1">
              <w:trPr>
                <w:trHeight w:val="255"/>
              </w:trPr>
              <w:tc>
                <w:tcPr>
                  <w:tcW w:w="4071" w:type="dxa"/>
                  <w:tcBorders>
                    <w:top w:val="nil"/>
                    <w:left w:val="nil"/>
                    <w:bottom w:val="nil"/>
                    <w:right w:val="nil"/>
                  </w:tcBorders>
                  <w:noWrap/>
                  <w:vAlign w:val="bottom"/>
                  <w:hideMark/>
                </w:tcPr>
                <w:p w14:paraId="4338ADE2"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Itálie</w:t>
                  </w:r>
                </w:p>
              </w:tc>
              <w:tc>
                <w:tcPr>
                  <w:tcW w:w="700" w:type="dxa"/>
                  <w:tcBorders>
                    <w:top w:val="nil"/>
                    <w:left w:val="nil"/>
                    <w:bottom w:val="nil"/>
                    <w:right w:val="nil"/>
                  </w:tcBorders>
                  <w:noWrap/>
                  <w:vAlign w:val="bottom"/>
                  <w:hideMark/>
                </w:tcPr>
                <w:p w14:paraId="7073A146" w14:textId="77777777" w:rsidR="00733628" w:rsidRPr="00A93B76" w:rsidRDefault="00733628" w:rsidP="00252DB1">
                  <w:pPr>
                    <w:spacing w:after="0" w:line="240" w:lineRule="auto"/>
                    <w:jc w:val="right"/>
                    <w:rPr>
                      <w:rFonts w:cs="Arial"/>
                      <w:color w:val="000000"/>
                      <w:sz w:val="16"/>
                      <w:szCs w:val="16"/>
                    </w:rPr>
                  </w:pPr>
                  <w:r>
                    <w:rPr>
                      <w:rFonts w:cs="Arial"/>
                      <w:color w:val="000000"/>
                      <w:sz w:val="16"/>
                      <w:szCs w:val="16"/>
                    </w:rPr>
                    <w:t>−</w:t>
                  </w:r>
                  <w:r w:rsidRPr="00A93B76">
                    <w:rPr>
                      <w:rFonts w:cs="Arial"/>
                      <w:color w:val="000000"/>
                      <w:sz w:val="16"/>
                      <w:szCs w:val="16"/>
                    </w:rPr>
                    <w:t>2,9</w:t>
                  </w:r>
                </w:p>
              </w:tc>
            </w:tr>
            <w:tr w:rsidR="00733628" w:rsidRPr="00A93B76" w14:paraId="419600E5" w14:textId="77777777" w:rsidTr="00252DB1">
              <w:trPr>
                <w:trHeight w:val="255"/>
              </w:trPr>
              <w:tc>
                <w:tcPr>
                  <w:tcW w:w="4071" w:type="dxa"/>
                  <w:tcBorders>
                    <w:top w:val="nil"/>
                    <w:left w:val="nil"/>
                    <w:bottom w:val="nil"/>
                    <w:right w:val="nil"/>
                  </w:tcBorders>
                  <w:noWrap/>
                  <w:vAlign w:val="bottom"/>
                  <w:hideMark/>
                </w:tcPr>
                <w:p w14:paraId="33587343"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Spojené státy</w:t>
                  </w:r>
                  <w:r>
                    <w:rPr>
                      <w:rFonts w:cs="Arial"/>
                      <w:color w:val="000000"/>
                      <w:sz w:val="16"/>
                      <w:szCs w:val="16"/>
                    </w:rPr>
                    <w:t xml:space="preserve"> americké</w:t>
                  </w:r>
                </w:p>
              </w:tc>
              <w:tc>
                <w:tcPr>
                  <w:tcW w:w="700" w:type="dxa"/>
                  <w:tcBorders>
                    <w:top w:val="nil"/>
                    <w:left w:val="nil"/>
                    <w:bottom w:val="nil"/>
                    <w:right w:val="nil"/>
                  </w:tcBorders>
                  <w:noWrap/>
                  <w:vAlign w:val="bottom"/>
                  <w:hideMark/>
                </w:tcPr>
                <w:p w14:paraId="634AA482" w14:textId="77777777" w:rsidR="00733628" w:rsidRPr="00A93B76" w:rsidRDefault="00733628" w:rsidP="00252DB1">
                  <w:pPr>
                    <w:spacing w:after="0" w:line="240" w:lineRule="auto"/>
                    <w:jc w:val="right"/>
                    <w:rPr>
                      <w:rFonts w:cs="Arial"/>
                      <w:color w:val="000000"/>
                      <w:sz w:val="16"/>
                      <w:szCs w:val="16"/>
                    </w:rPr>
                  </w:pPr>
                  <w:r>
                    <w:rPr>
                      <w:rFonts w:cs="Arial"/>
                      <w:color w:val="000000"/>
                      <w:sz w:val="16"/>
                      <w:szCs w:val="16"/>
                    </w:rPr>
                    <w:t>−</w:t>
                  </w:r>
                  <w:r w:rsidRPr="00A93B76">
                    <w:rPr>
                      <w:rFonts w:cs="Arial"/>
                      <w:color w:val="000000"/>
                      <w:sz w:val="16"/>
                      <w:szCs w:val="16"/>
                    </w:rPr>
                    <w:t>3,1</w:t>
                  </w:r>
                </w:p>
              </w:tc>
            </w:tr>
            <w:tr w:rsidR="00733628" w:rsidRPr="00A93B76" w14:paraId="39FEB16A" w14:textId="77777777" w:rsidTr="00252DB1">
              <w:trPr>
                <w:trHeight w:val="255"/>
              </w:trPr>
              <w:tc>
                <w:tcPr>
                  <w:tcW w:w="4071" w:type="dxa"/>
                  <w:tcBorders>
                    <w:top w:val="nil"/>
                    <w:left w:val="nil"/>
                    <w:bottom w:val="nil"/>
                    <w:right w:val="nil"/>
                  </w:tcBorders>
                  <w:noWrap/>
                  <w:vAlign w:val="bottom"/>
                  <w:hideMark/>
                </w:tcPr>
                <w:p w14:paraId="32AD19B9"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Singapur</w:t>
                  </w:r>
                </w:p>
              </w:tc>
              <w:tc>
                <w:tcPr>
                  <w:tcW w:w="700" w:type="dxa"/>
                  <w:tcBorders>
                    <w:top w:val="nil"/>
                    <w:left w:val="nil"/>
                    <w:bottom w:val="nil"/>
                    <w:right w:val="nil"/>
                  </w:tcBorders>
                  <w:noWrap/>
                  <w:vAlign w:val="bottom"/>
                  <w:hideMark/>
                </w:tcPr>
                <w:p w14:paraId="35C0A174" w14:textId="77777777" w:rsidR="00733628" w:rsidRPr="00A93B76" w:rsidRDefault="00733628" w:rsidP="00252DB1">
                  <w:pPr>
                    <w:spacing w:after="0" w:line="240" w:lineRule="auto"/>
                    <w:jc w:val="right"/>
                    <w:rPr>
                      <w:rFonts w:cs="Arial"/>
                      <w:color w:val="000000"/>
                      <w:sz w:val="16"/>
                      <w:szCs w:val="16"/>
                    </w:rPr>
                  </w:pPr>
                  <w:r>
                    <w:rPr>
                      <w:rFonts w:cs="Arial"/>
                      <w:color w:val="000000"/>
                      <w:sz w:val="16"/>
                      <w:szCs w:val="16"/>
                    </w:rPr>
                    <w:t>−</w:t>
                  </w:r>
                  <w:r w:rsidRPr="00A93B76">
                    <w:rPr>
                      <w:rFonts w:cs="Arial"/>
                      <w:color w:val="000000"/>
                      <w:sz w:val="16"/>
                      <w:szCs w:val="16"/>
                    </w:rPr>
                    <w:t>3,1</w:t>
                  </w:r>
                </w:p>
              </w:tc>
            </w:tr>
            <w:tr w:rsidR="00733628" w:rsidRPr="00A93B76" w14:paraId="66704C05" w14:textId="77777777" w:rsidTr="00252DB1">
              <w:trPr>
                <w:trHeight w:val="255"/>
              </w:trPr>
              <w:tc>
                <w:tcPr>
                  <w:tcW w:w="4071" w:type="dxa"/>
                  <w:tcBorders>
                    <w:top w:val="nil"/>
                    <w:left w:val="nil"/>
                    <w:bottom w:val="nil"/>
                    <w:right w:val="nil"/>
                  </w:tcBorders>
                  <w:noWrap/>
                  <w:vAlign w:val="bottom"/>
                  <w:hideMark/>
                </w:tcPr>
                <w:p w14:paraId="7AE8F3EA"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Maďarsko</w:t>
                  </w:r>
                </w:p>
              </w:tc>
              <w:tc>
                <w:tcPr>
                  <w:tcW w:w="700" w:type="dxa"/>
                  <w:tcBorders>
                    <w:top w:val="nil"/>
                    <w:left w:val="nil"/>
                    <w:bottom w:val="nil"/>
                    <w:right w:val="nil"/>
                  </w:tcBorders>
                  <w:noWrap/>
                  <w:vAlign w:val="bottom"/>
                  <w:hideMark/>
                </w:tcPr>
                <w:p w14:paraId="55E251FD" w14:textId="77777777" w:rsidR="00733628" w:rsidRPr="00A93B76" w:rsidRDefault="00733628" w:rsidP="00252DB1">
                  <w:pPr>
                    <w:spacing w:after="0" w:line="240" w:lineRule="auto"/>
                    <w:jc w:val="right"/>
                    <w:rPr>
                      <w:rFonts w:cs="Arial"/>
                      <w:color w:val="000000"/>
                      <w:sz w:val="16"/>
                      <w:szCs w:val="16"/>
                    </w:rPr>
                  </w:pPr>
                  <w:r>
                    <w:rPr>
                      <w:rFonts w:cs="Arial"/>
                      <w:color w:val="000000"/>
                      <w:sz w:val="16"/>
                      <w:szCs w:val="16"/>
                    </w:rPr>
                    <w:t>−</w:t>
                  </w:r>
                  <w:r w:rsidRPr="00A93B76">
                    <w:rPr>
                      <w:rFonts w:cs="Arial"/>
                      <w:color w:val="000000"/>
                      <w:sz w:val="16"/>
                      <w:szCs w:val="16"/>
                    </w:rPr>
                    <w:t>4,1</w:t>
                  </w:r>
                </w:p>
              </w:tc>
            </w:tr>
            <w:tr w:rsidR="00733628" w:rsidRPr="00A93B76" w14:paraId="5B36393B" w14:textId="77777777" w:rsidTr="00252DB1">
              <w:trPr>
                <w:trHeight w:val="255"/>
              </w:trPr>
              <w:tc>
                <w:tcPr>
                  <w:tcW w:w="4071" w:type="dxa"/>
                  <w:tcBorders>
                    <w:top w:val="nil"/>
                    <w:left w:val="nil"/>
                    <w:bottom w:val="nil"/>
                    <w:right w:val="nil"/>
                  </w:tcBorders>
                  <w:noWrap/>
                  <w:vAlign w:val="bottom"/>
                  <w:hideMark/>
                </w:tcPr>
                <w:p w14:paraId="7D215858"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Velká Británie</w:t>
                  </w:r>
                </w:p>
              </w:tc>
              <w:tc>
                <w:tcPr>
                  <w:tcW w:w="700" w:type="dxa"/>
                  <w:tcBorders>
                    <w:top w:val="nil"/>
                    <w:left w:val="nil"/>
                    <w:bottom w:val="nil"/>
                    <w:right w:val="nil"/>
                  </w:tcBorders>
                  <w:noWrap/>
                  <w:vAlign w:val="bottom"/>
                  <w:hideMark/>
                </w:tcPr>
                <w:p w14:paraId="034723D4" w14:textId="77777777" w:rsidR="00733628" w:rsidRPr="00A93B76" w:rsidRDefault="00733628" w:rsidP="00252DB1">
                  <w:pPr>
                    <w:spacing w:after="0" w:line="240" w:lineRule="auto"/>
                    <w:jc w:val="right"/>
                    <w:rPr>
                      <w:rFonts w:cs="Arial"/>
                      <w:color w:val="000000"/>
                      <w:sz w:val="16"/>
                      <w:szCs w:val="16"/>
                    </w:rPr>
                  </w:pPr>
                  <w:r>
                    <w:rPr>
                      <w:rFonts w:cs="Arial"/>
                      <w:color w:val="000000"/>
                      <w:sz w:val="16"/>
                      <w:szCs w:val="16"/>
                    </w:rPr>
                    <w:t>−</w:t>
                  </w:r>
                  <w:r w:rsidRPr="00A93B76">
                    <w:rPr>
                      <w:rFonts w:cs="Arial"/>
                      <w:color w:val="000000"/>
                      <w:sz w:val="16"/>
                      <w:szCs w:val="16"/>
                    </w:rPr>
                    <w:t>6,0</w:t>
                  </w:r>
                </w:p>
              </w:tc>
            </w:tr>
            <w:tr w:rsidR="00733628" w:rsidRPr="00A93B76" w14:paraId="3063CBB8" w14:textId="77777777" w:rsidTr="00252DB1">
              <w:trPr>
                <w:trHeight w:val="255"/>
              </w:trPr>
              <w:tc>
                <w:tcPr>
                  <w:tcW w:w="4071" w:type="dxa"/>
                  <w:tcBorders>
                    <w:top w:val="nil"/>
                    <w:left w:val="nil"/>
                    <w:bottom w:val="nil"/>
                    <w:right w:val="nil"/>
                  </w:tcBorders>
                  <w:noWrap/>
                  <w:vAlign w:val="bottom"/>
                  <w:hideMark/>
                </w:tcPr>
                <w:p w14:paraId="4A3E75A3" w14:textId="77777777" w:rsidR="00733628" w:rsidRPr="00A93B76" w:rsidRDefault="00733628" w:rsidP="00252DB1">
                  <w:pPr>
                    <w:spacing w:after="0" w:line="240" w:lineRule="auto"/>
                    <w:jc w:val="left"/>
                    <w:rPr>
                      <w:rFonts w:cs="Arial"/>
                      <w:color w:val="000000"/>
                      <w:sz w:val="16"/>
                      <w:szCs w:val="16"/>
                    </w:rPr>
                  </w:pPr>
                  <w:r w:rsidRPr="00A93B76">
                    <w:rPr>
                      <w:rFonts w:cs="Arial"/>
                      <w:color w:val="000000"/>
                      <w:sz w:val="16"/>
                      <w:szCs w:val="16"/>
                    </w:rPr>
                    <w:t>Norsko</w:t>
                  </w:r>
                </w:p>
              </w:tc>
              <w:tc>
                <w:tcPr>
                  <w:tcW w:w="700" w:type="dxa"/>
                  <w:tcBorders>
                    <w:top w:val="nil"/>
                    <w:left w:val="nil"/>
                    <w:bottom w:val="nil"/>
                    <w:right w:val="nil"/>
                  </w:tcBorders>
                  <w:noWrap/>
                  <w:vAlign w:val="bottom"/>
                  <w:hideMark/>
                </w:tcPr>
                <w:p w14:paraId="5933B997" w14:textId="77777777" w:rsidR="00733628" w:rsidRPr="00A93B76" w:rsidRDefault="00733628" w:rsidP="00252DB1">
                  <w:pPr>
                    <w:spacing w:after="0" w:line="240" w:lineRule="auto"/>
                    <w:jc w:val="right"/>
                    <w:rPr>
                      <w:rFonts w:cs="Arial"/>
                      <w:color w:val="000000"/>
                      <w:sz w:val="16"/>
                      <w:szCs w:val="16"/>
                    </w:rPr>
                  </w:pPr>
                  <w:r>
                    <w:rPr>
                      <w:rFonts w:cs="Arial"/>
                      <w:color w:val="000000"/>
                      <w:sz w:val="16"/>
                      <w:szCs w:val="16"/>
                    </w:rPr>
                    <w:t>−</w:t>
                  </w:r>
                  <w:r w:rsidRPr="00A93B76">
                    <w:rPr>
                      <w:rFonts w:cs="Arial"/>
                      <w:color w:val="000000"/>
                      <w:sz w:val="16"/>
                      <w:szCs w:val="16"/>
                    </w:rPr>
                    <w:t>6,9</w:t>
                  </w:r>
                </w:p>
              </w:tc>
            </w:tr>
          </w:tbl>
          <w:p w14:paraId="7F8B20F7" w14:textId="77777777" w:rsidR="00733628" w:rsidRPr="0010385A" w:rsidRDefault="00733628" w:rsidP="00252DB1">
            <w:pPr>
              <w:spacing w:after="0"/>
              <w:rPr>
                <w:rFonts w:cs="Arial"/>
                <w:spacing w:val="-4"/>
                <w:sz w:val="16"/>
                <w:szCs w:val="16"/>
                <w:lang w:eastAsia="en-US"/>
              </w:rPr>
            </w:pPr>
          </w:p>
        </w:tc>
      </w:tr>
      <w:tr w:rsidR="00733628" w14:paraId="5766DAAC" w14:textId="77777777" w:rsidTr="00252DB1">
        <w:trPr>
          <w:trHeight w:val="170"/>
        </w:trPr>
        <w:tc>
          <w:tcPr>
            <w:tcW w:w="4811" w:type="dxa"/>
            <w:gridSpan w:val="3"/>
            <w:hideMark/>
          </w:tcPr>
          <w:p w14:paraId="2295E5FD" w14:textId="77777777" w:rsidR="00733628" w:rsidRDefault="00733628" w:rsidP="00252DB1">
            <w:pPr>
              <w:jc w:val="left"/>
              <w:rPr>
                <w:spacing w:val="-4"/>
                <w:sz w:val="16"/>
                <w:szCs w:val="16"/>
                <w:lang w:eastAsia="en-US"/>
              </w:rPr>
            </w:pPr>
            <w:r>
              <w:rPr>
                <w:spacing w:val="-4"/>
                <w:sz w:val="16"/>
                <w:szCs w:val="16"/>
                <w:lang w:eastAsia="en-US"/>
              </w:rPr>
              <w:t>Zdroj: ČSÚ</w:t>
            </w:r>
          </w:p>
        </w:tc>
        <w:tc>
          <w:tcPr>
            <w:tcW w:w="57" w:type="dxa"/>
          </w:tcPr>
          <w:p w14:paraId="6BA4E0E4" w14:textId="77777777" w:rsidR="00733628" w:rsidRDefault="00733628" w:rsidP="00252DB1">
            <w:pPr>
              <w:spacing w:after="0"/>
              <w:rPr>
                <w:spacing w:val="-4"/>
                <w:lang w:eastAsia="en-US"/>
              </w:rPr>
            </w:pPr>
          </w:p>
        </w:tc>
        <w:tc>
          <w:tcPr>
            <w:tcW w:w="4809" w:type="dxa"/>
            <w:hideMark/>
          </w:tcPr>
          <w:p w14:paraId="2F547DB2" w14:textId="77777777" w:rsidR="00733628" w:rsidRDefault="00733628" w:rsidP="00252DB1">
            <w:pPr>
              <w:spacing w:after="0"/>
              <w:ind w:right="21"/>
              <w:jc w:val="left"/>
              <w:rPr>
                <w:spacing w:val="-4"/>
                <w:lang w:eastAsia="en-US"/>
              </w:rPr>
            </w:pPr>
            <w:r>
              <w:rPr>
                <w:spacing w:val="-4"/>
                <w:sz w:val="16"/>
                <w:szCs w:val="16"/>
                <w:lang w:eastAsia="en-US"/>
              </w:rPr>
              <w:t>Zdroj: ČSÚ</w:t>
            </w:r>
          </w:p>
        </w:tc>
      </w:tr>
      <w:tr w:rsidR="00733628" w14:paraId="7BB0DD6E" w14:textId="77777777" w:rsidTr="00252DB1">
        <w:trPr>
          <w:trHeight w:val="170"/>
        </w:trPr>
        <w:tc>
          <w:tcPr>
            <w:tcW w:w="1748" w:type="dxa"/>
          </w:tcPr>
          <w:p w14:paraId="1FDFDD7D" w14:textId="77777777" w:rsidR="00733628" w:rsidRDefault="00733628" w:rsidP="00252DB1">
            <w:pPr>
              <w:pStyle w:val="Marginlie"/>
              <w:rPr>
                <w:lang w:eastAsia="en-US"/>
              </w:rPr>
            </w:pPr>
            <w:r>
              <w:rPr>
                <w:lang w:eastAsia="en-US"/>
              </w:rPr>
              <w:t>Zlepšovala se bilance obchodu se zeměmi EU.</w:t>
            </w:r>
          </w:p>
        </w:tc>
        <w:tc>
          <w:tcPr>
            <w:tcW w:w="252" w:type="dxa"/>
          </w:tcPr>
          <w:p w14:paraId="6A40D88D" w14:textId="77777777" w:rsidR="00733628" w:rsidRDefault="00733628" w:rsidP="00252DB1">
            <w:pPr>
              <w:pStyle w:val="Textpoznpodarou"/>
              <w:jc w:val="both"/>
              <w:rPr>
                <w:spacing w:val="-4"/>
                <w:lang w:eastAsia="en-US"/>
              </w:rPr>
            </w:pPr>
          </w:p>
        </w:tc>
        <w:tc>
          <w:tcPr>
            <w:tcW w:w="7677" w:type="dxa"/>
            <w:gridSpan w:val="3"/>
          </w:tcPr>
          <w:p w14:paraId="54C098C0" w14:textId="77BDF83B" w:rsidR="00733628" w:rsidRPr="009A2AD3" w:rsidRDefault="00733628" w:rsidP="00252DB1">
            <w:pPr>
              <w:rPr>
                <w:rFonts w:cs="Arial"/>
                <w:color w:val="000000"/>
                <w:szCs w:val="20"/>
                <w:lang w:eastAsia="en-US"/>
              </w:rPr>
            </w:pPr>
            <w:r>
              <w:rPr>
                <w:spacing w:val="-4"/>
                <w:szCs w:val="20"/>
                <w:lang w:eastAsia="en-US"/>
              </w:rPr>
              <w:t>V kumulaci za 1. až 3. čtvrtletí se zlepšovala bilance obchodu se zeměmi EU (+15,9 mld. korun) a naopak deficit obchodu s mimounijními zeměmi se prohloubil o 8,2 mld.</w:t>
            </w:r>
            <w:r>
              <w:rPr>
                <w:rStyle w:val="Znakapoznpodarou"/>
                <w:spacing w:val="-4"/>
                <w:szCs w:val="20"/>
                <w:lang w:eastAsia="en-US"/>
              </w:rPr>
              <w:footnoteReference w:id="7"/>
            </w:r>
            <w:r>
              <w:rPr>
                <w:spacing w:val="-4"/>
                <w:szCs w:val="20"/>
                <w:lang w:eastAsia="en-US"/>
              </w:rPr>
              <w:t xml:space="preserve"> Celkem od začátku roku nejvíce ve směru meziročního zlepšení bilance zahraničního obchodu se zbožím působil obchod s Ruskem (+28,5 mld. korun), Německem (+22,9 mld.), Spojenými státy americkými (+9,9 mld.), Tchaj-wanem (+9,6 mld.), Belgií (+7,8 mld.) a Ukrajinou (+7,3 mld.). Naopak se propadal deficit obchodu s Čínou (−30,1 mld. korun) a Norskem (−19,4 mld.). V samotném 3. čtvrtletí roku se bilance zahraničního obchodu se zeměmi EU meziročně zlepšila o 15,1 mld. korun, u mimounijních zemí se schodek téměř nezměnil </w:t>
            </w:r>
            <w:r>
              <w:rPr>
                <w:spacing w:val="-4"/>
                <w:szCs w:val="20"/>
                <w:lang w:eastAsia="en-US"/>
              </w:rPr>
              <w:br/>
            </w:r>
            <w:r>
              <w:rPr>
                <w:spacing w:val="-4"/>
                <w:szCs w:val="20"/>
                <w:lang w:eastAsia="en-US"/>
              </w:rPr>
              <w:lastRenderedPageBreak/>
              <w:t>(−0,1 mld.).</w:t>
            </w:r>
            <w:r>
              <w:rPr>
                <w:rStyle w:val="Znakapoznpodarou"/>
                <w:spacing w:val="-4"/>
                <w:szCs w:val="20"/>
                <w:lang w:eastAsia="en-US"/>
              </w:rPr>
              <w:footnoteReference w:id="8"/>
            </w:r>
            <w:r>
              <w:rPr>
                <w:spacing w:val="-4"/>
                <w:szCs w:val="20"/>
                <w:lang w:eastAsia="en-US"/>
              </w:rPr>
              <w:t xml:space="preserve"> Značně se zlepšoval výsledek obchodu s Ruskem (viz Tabulka č. 6) a Polskem a meziroční zlepšení bylo zaznamenáno také u Německa, Francie, Belgie nebo Číny. Naopak se prohluboval schodek obchodu s Norskem a zhoršení bylo zachyceno také </w:t>
            </w:r>
            <w:r>
              <w:rPr>
                <w:spacing w:val="-4"/>
                <w:szCs w:val="20"/>
                <w:lang w:eastAsia="en-US"/>
              </w:rPr>
              <w:br/>
              <w:t>u Velké Británie, Maďarska, Spojených států amerických nebo Singapuru.</w:t>
            </w:r>
          </w:p>
        </w:tc>
      </w:tr>
      <w:tr w:rsidR="00733628" w14:paraId="2DD3B0C2" w14:textId="77777777" w:rsidTr="00252DB1">
        <w:trPr>
          <w:trHeight w:val="170"/>
        </w:trPr>
        <w:tc>
          <w:tcPr>
            <w:tcW w:w="1748" w:type="dxa"/>
          </w:tcPr>
          <w:p w14:paraId="4B2BC371" w14:textId="77777777" w:rsidR="00733628" w:rsidRDefault="00733628" w:rsidP="00252DB1">
            <w:pPr>
              <w:pStyle w:val="Marginlie"/>
              <w:rPr>
                <w:lang w:eastAsia="en-US"/>
              </w:rPr>
            </w:pPr>
            <w:r>
              <w:rPr>
                <w:lang w:eastAsia="en-US"/>
              </w:rPr>
              <w:lastRenderedPageBreak/>
              <w:t>Obchod s motorovými vozidly byl rozhodujícím faktorem pro zlepšení bilance.</w:t>
            </w:r>
          </w:p>
        </w:tc>
        <w:tc>
          <w:tcPr>
            <w:tcW w:w="252" w:type="dxa"/>
          </w:tcPr>
          <w:p w14:paraId="68F590E7" w14:textId="77777777" w:rsidR="00733628" w:rsidRDefault="00733628" w:rsidP="00252DB1">
            <w:pPr>
              <w:pStyle w:val="Textpoznpodarou"/>
              <w:jc w:val="both"/>
              <w:rPr>
                <w:spacing w:val="-4"/>
                <w:lang w:eastAsia="en-US"/>
              </w:rPr>
            </w:pPr>
          </w:p>
        </w:tc>
        <w:tc>
          <w:tcPr>
            <w:tcW w:w="7677" w:type="dxa"/>
            <w:gridSpan w:val="3"/>
          </w:tcPr>
          <w:p w14:paraId="2FC4D95E" w14:textId="77777777" w:rsidR="00733628" w:rsidRPr="009A2AD3" w:rsidRDefault="00733628" w:rsidP="00252DB1">
            <w:pPr>
              <w:rPr>
                <w:rFonts w:cs="Arial"/>
                <w:color w:val="000000"/>
                <w:szCs w:val="20"/>
                <w:lang w:eastAsia="en-US"/>
              </w:rPr>
            </w:pPr>
            <w:r w:rsidRPr="009A2AD3">
              <w:rPr>
                <w:rFonts w:cs="Arial"/>
                <w:color w:val="000000"/>
                <w:szCs w:val="20"/>
                <w:lang w:eastAsia="en-US"/>
              </w:rPr>
              <w:t>Celkové</w:t>
            </w:r>
            <w:r>
              <w:rPr>
                <w:rFonts w:cs="Arial"/>
                <w:color w:val="000000"/>
                <w:szCs w:val="20"/>
                <w:lang w:eastAsia="en-US"/>
              </w:rPr>
              <w:t xml:space="preserve"> meziroční</w:t>
            </w:r>
            <w:r w:rsidRPr="009A2AD3">
              <w:rPr>
                <w:rFonts w:cs="Arial"/>
                <w:color w:val="000000"/>
                <w:szCs w:val="20"/>
                <w:lang w:eastAsia="en-US"/>
              </w:rPr>
              <w:t xml:space="preserve"> zhoršení bilance zahraničního obchodu se zbožím </w:t>
            </w:r>
            <w:r>
              <w:rPr>
                <w:rFonts w:cs="Arial"/>
                <w:color w:val="000000"/>
                <w:szCs w:val="20"/>
                <w:lang w:eastAsia="en-US"/>
              </w:rPr>
              <w:t xml:space="preserve">v kumulaci za 1. až 3. čtvrtletí </w:t>
            </w:r>
            <w:r w:rsidRPr="009A2AD3">
              <w:rPr>
                <w:rFonts w:cs="Arial"/>
                <w:color w:val="000000"/>
                <w:szCs w:val="20"/>
                <w:lang w:eastAsia="en-US"/>
              </w:rPr>
              <w:t>nejvíce ovlivnilo zhoršení salda obchodu</w:t>
            </w:r>
            <w:r>
              <w:rPr>
                <w:rFonts w:cs="Arial"/>
                <w:color w:val="000000"/>
                <w:szCs w:val="20"/>
                <w:lang w:eastAsia="en-US"/>
              </w:rPr>
              <w:t xml:space="preserve"> s kovodělnými výrobky (−34,0 mld. korun) a elektrickými zařízeními (−24,9 mld.). Výrazné zhoršení bilance bylo zachyceno také u produktů zemědělství a myslivosti (−8,5 mld. korun) a u ropy a zemního plynu (−8,0 mld.). Naopak výrazně ve směru zlepšení bilance zahraničního obchodu se zbožím od začátku roku působil obchod s motorovými vozidly (+43,0 mld. korun). S odstupem pak vykázal významné zlepšení obchod s koksem a rafinovanými ropnými produkty (+11,0 mld. korun), stroji a zařízeními (+8,0 mld.) a ostatními dopravními prostředky a zařízeními (+6,3 mld.). Meziroční zlepšení bilance, ke kterému došlo ve 3. čtvrtletí, lze přičíst hlavně obchodu s motorovými vozidly (viz Tabulka č. 5), dále výraznému navýšení přebytku u strojů a zařízení i chemických látek a přípravků. Další výrazné meziroční zhoršení bilance v řadě přidal obchod s kovodělnými výrobky a produkty zemědělství a myslivosti. Ve směru poklesu celkového přebytku bilance působil i obchod s počítači, elektronickými a optickými přístroji a zařízeními, elektřinou, plynem, párou a klimatizovaným vzduchem nebo elektrickými zařízeními.</w:t>
            </w:r>
          </w:p>
        </w:tc>
      </w:tr>
      <w:tr w:rsidR="00733628" w14:paraId="16F6C69F" w14:textId="77777777" w:rsidTr="00252DB1">
        <w:trPr>
          <w:trHeight w:val="170"/>
        </w:trPr>
        <w:tc>
          <w:tcPr>
            <w:tcW w:w="1748" w:type="dxa"/>
          </w:tcPr>
          <w:p w14:paraId="2D30D280" w14:textId="77777777" w:rsidR="00733628" w:rsidRDefault="00733628" w:rsidP="00252DB1">
            <w:pPr>
              <w:pStyle w:val="Marginlie"/>
              <w:rPr>
                <w:lang w:eastAsia="en-US"/>
              </w:rPr>
            </w:pPr>
          </w:p>
        </w:tc>
        <w:tc>
          <w:tcPr>
            <w:tcW w:w="252" w:type="dxa"/>
          </w:tcPr>
          <w:p w14:paraId="4508520A" w14:textId="77777777" w:rsidR="00733628" w:rsidRDefault="00733628" w:rsidP="00252DB1">
            <w:pPr>
              <w:pStyle w:val="Textpoznpodarou"/>
              <w:jc w:val="both"/>
              <w:rPr>
                <w:spacing w:val="-4"/>
                <w:lang w:eastAsia="en-US"/>
              </w:rPr>
            </w:pPr>
          </w:p>
        </w:tc>
        <w:tc>
          <w:tcPr>
            <w:tcW w:w="7677" w:type="dxa"/>
            <w:gridSpan w:val="3"/>
          </w:tcPr>
          <w:p w14:paraId="6B4025CB" w14:textId="77777777" w:rsidR="00733628" w:rsidRDefault="00733628" w:rsidP="00252DB1">
            <w:pPr>
              <w:spacing w:after="0"/>
              <w:rPr>
                <w:spacing w:val="-4"/>
                <w:lang w:eastAsia="en-US"/>
              </w:rPr>
            </w:pPr>
            <w:r>
              <w:rPr>
                <w:rFonts w:cs="Arial"/>
                <w:b/>
                <w:bCs/>
                <w:color w:val="000000"/>
                <w:szCs w:val="20"/>
                <w:lang w:eastAsia="en-US"/>
              </w:rPr>
              <w:t xml:space="preserve">Graf č. 9 Vývoz a dovoz zboží </w:t>
            </w:r>
            <w:r>
              <w:rPr>
                <w:rFonts w:cs="Arial"/>
                <w:bCs/>
                <w:color w:val="000000"/>
                <w:szCs w:val="20"/>
                <w:lang w:eastAsia="en-US"/>
              </w:rPr>
              <w:t>(meziročně v %)</w:t>
            </w:r>
            <w:r>
              <w:rPr>
                <w:rFonts w:cs="Arial"/>
                <w:b/>
                <w:bCs/>
                <w:color w:val="000000"/>
                <w:szCs w:val="20"/>
                <w:lang w:eastAsia="en-US"/>
              </w:rPr>
              <w:t xml:space="preserve"> a bilance zahraničního obchodu se zbožím </w:t>
            </w:r>
            <w:r>
              <w:rPr>
                <w:rFonts w:cs="Arial"/>
                <w:bCs/>
                <w:color w:val="000000"/>
                <w:szCs w:val="20"/>
                <w:lang w:eastAsia="en-US"/>
              </w:rPr>
              <w:t>(v mld. korun, pravá osa)</w:t>
            </w:r>
            <w:r>
              <w:rPr>
                <w:rFonts w:cs="Arial"/>
                <w:b/>
                <w:bCs/>
                <w:color w:val="000000"/>
                <w:szCs w:val="20"/>
                <w:lang w:eastAsia="en-US"/>
              </w:rPr>
              <w:t xml:space="preserve"> </w:t>
            </w:r>
          </w:p>
        </w:tc>
      </w:tr>
      <w:tr w:rsidR="00733628" w14:paraId="5EB61253" w14:textId="77777777" w:rsidTr="00252DB1">
        <w:tblPrEx>
          <w:tblCellMar>
            <w:left w:w="70" w:type="dxa"/>
            <w:right w:w="70" w:type="dxa"/>
          </w:tblCellMar>
        </w:tblPrEx>
        <w:trPr>
          <w:trHeight w:val="170"/>
        </w:trPr>
        <w:tc>
          <w:tcPr>
            <w:tcW w:w="1748" w:type="dxa"/>
            <w:vMerge w:val="restart"/>
          </w:tcPr>
          <w:p w14:paraId="142E8E91" w14:textId="77777777" w:rsidR="00733628" w:rsidRDefault="00733628" w:rsidP="00252DB1">
            <w:pPr>
              <w:pStyle w:val="Marginlie"/>
              <w:rPr>
                <w:lang w:eastAsia="en-US"/>
              </w:rPr>
            </w:pPr>
          </w:p>
        </w:tc>
        <w:tc>
          <w:tcPr>
            <w:tcW w:w="252" w:type="dxa"/>
            <w:vMerge w:val="restart"/>
          </w:tcPr>
          <w:p w14:paraId="59200B1E" w14:textId="77777777" w:rsidR="00733628" w:rsidRDefault="00733628" w:rsidP="00252DB1">
            <w:pPr>
              <w:pStyle w:val="Textpoznpodarou"/>
              <w:jc w:val="both"/>
              <w:rPr>
                <w:spacing w:val="-4"/>
                <w:lang w:eastAsia="en-US"/>
              </w:rPr>
            </w:pPr>
          </w:p>
        </w:tc>
        <w:tc>
          <w:tcPr>
            <w:tcW w:w="7677" w:type="dxa"/>
            <w:gridSpan w:val="3"/>
          </w:tcPr>
          <w:p w14:paraId="3D5771D0" w14:textId="77777777" w:rsidR="00733628" w:rsidRDefault="00733628" w:rsidP="00252DB1">
            <w:pPr>
              <w:spacing w:after="0"/>
              <w:rPr>
                <w:spacing w:val="-4"/>
                <w:lang w:eastAsia="en-US"/>
              </w:rPr>
            </w:pPr>
            <w:r>
              <w:rPr>
                <w:noProof/>
              </w:rPr>
              <w:drawing>
                <wp:inline distT="0" distB="0" distL="0" distR="0" wp14:anchorId="6B2630C5" wp14:editId="3329EF67">
                  <wp:extent cx="4752000" cy="3492000"/>
                  <wp:effectExtent l="0" t="0" r="0" b="0"/>
                  <wp:docPr id="1797838792" name="Graf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733628" w14:paraId="561FEE7E" w14:textId="77777777" w:rsidTr="00252DB1">
        <w:trPr>
          <w:trHeight w:val="170"/>
        </w:trPr>
        <w:tc>
          <w:tcPr>
            <w:tcW w:w="1748" w:type="dxa"/>
            <w:vMerge/>
          </w:tcPr>
          <w:p w14:paraId="09E9EB39" w14:textId="77777777" w:rsidR="00733628" w:rsidRDefault="00733628" w:rsidP="00252DB1">
            <w:pPr>
              <w:pStyle w:val="Marginlie"/>
              <w:rPr>
                <w:lang w:eastAsia="en-US"/>
              </w:rPr>
            </w:pPr>
          </w:p>
        </w:tc>
        <w:tc>
          <w:tcPr>
            <w:tcW w:w="252" w:type="dxa"/>
            <w:vMerge/>
          </w:tcPr>
          <w:p w14:paraId="6DF1A0DA" w14:textId="77777777" w:rsidR="00733628" w:rsidRDefault="00733628" w:rsidP="00252DB1">
            <w:pPr>
              <w:pStyle w:val="Textpoznpodarou"/>
              <w:jc w:val="both"/>
              <w:rPr>
                <w:spacing w:val="-4"/>
                <w:lang w:eastAsia="en-US"/>
              </w:rPr>
            </w:pPr>
          </w:p>
        </w:tc>
        <w:tc>
          <w:tcPr>
            <w:tcW w:w="7677" w:type="dxa"/>
            <w:gridSpan w:val="3"/>
          </w:tcPr>
          <w:p w14:paraId="69B4BF68" w14:textId="77777777" w:rsidR="00733628" w:rsidRDefault="00733628" w:rsidP="00252DB1">
            <w:pPr>
              <w:rPr>
                <w:spacing w:val="-4"/>
                <w:lang w:eastAsia="en-US"/>
              </w:rPr>
            </w:pPr>
            <w:r>
              <w:rPr>
                <w:sz w:val="16"/>
                <w:szCs w:val="16"/>
                <w:lang w:eastAsia="en-US"/>
              </w:rPr>
              <w:t>Zdroj: ČSÚ</w:t>
            </w:r>
          </w:p>
        </w:tc>
      </w:tr>
      <w:bookmarkEnd w:id="3"/>
      <w:bookmarkEnd w:id="4"/>
      <w:bookmarkEnd w:id="5"/>
    </w:tbl>
    <w:p w14:paraId="220D3F54" w14:textId="77777777" w:rsidR="00733628" w:rsidRDefault="00733628" w:rsidP="00733628">
      <w:pPr>
        <w:spacing w:after="0" w:line="240" w:lineRule="auto"/>
        <w:jc w:val="left"/>
        <w:rPr>
          <w:rFonts w:eastAsia="MS Gothic"/>
          <w:bCs/>
          <w:color w:val="71818C"/>
          <w:sz w:val="2"/>
          <w:szCs w:val="2"/>
        </w:rPr>
      </w:pPr>
    </w:p>
    <w:p w14:paraId="71432E0A" w14:textId="77777777" w:rsidR="00733628" w:rsidRDefault="00733628" w:rsidP="00733628">
      <w:pPr>
        <w:spacing w:after="0" w:line="240" w:lineRule="auto"/>
        <w:jc w:val="left"/>
        <w:rPr>
          <w:rFonts w:eastAsia="MS Gothic"/>
          <w:b/>
          <w:bCs/>
          <w:color w:val="86BF5E"/>
          <w:sz w:val="32"/>
          <w:szCs w:val="28"/>
        </w:rPr>
      </w:pPr>
    </w:p>
    <w:p w14:paraId="394A1C23" w14:textId="77777777" w:rsidR="00733628" w:rsidRDefault="00733628" w:rsidP="00733628">
      <w:pPr>
        <w:spacing w:after="0" w:line="240" w:lineRule="auto"/>
        <w:jc w:val="left"/>
        <w:rPr>
          <w:rFonts w:eastAsia="MS Gothic"/>
          <w:bCs/>
          <w:color w:val="71818C"/>
          <w:sz w:val="2"/>
          <w:szCs w:val="2"/>
        </w:rPr>
      </w:pPr>
    </w:p>
    <w:p w14:paraId="2F6C3FCC" w14:textId="3BA0CEA5" w:rsidR="004C6092" w:rsidRPr="00C5418A" w:rsidRDefault="004C6092">
      <w:pPr>
        <w:spacing w:after="0" w:line="240" w:lineRule="auto"/>
        <w:jc w:val="left"/>
        <w:rPr>
          <w:rFonts w:eastAsia="MS Gothic"/>
          <w:b/>
          <w:bCs/>
          <w:color w:val="86BF5E"/>
          <w:sz w:val="32"/>
          <w:szCs w:val="28"/>
          <w:highlight w:val="yellow"/>
        </w:rPr>
      </w:pPr>
    </w:p>
    <w:bookmarkEnd w:id="0"/>
    <w:sectPr w:rsidR="004C6092" w:rsidRPr="00C5418A" w:rsidSect="00246F80">
      <w:headerReference w:type="even" r:id="rId12"/>
      <w:headerReference w:type="default" r:id="rId13"/>
      <w:footerReference w:type="even" r:id="rId14"/>
      <w:footerReference w:type="default" r:id="rId15"/>
      <w:pgSz w:w="11906" w:h="16838" w:code="9"/>
      <w:pgMar w:top="1134" w:right="1134" w:bottom="1418" w:left="1134" w:header="680" w:footer="680" w:gutter="0"/>
      <w:pgNumType w:start="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50931" w14:textId="77777777" w:rsidR="00C54141" w:rsidRDefault="00C54141" w:rsidP="00E71A58">
      <w:r>
        <w:separator/>
      </w:r>
    </w:p>
  </w:endnote>
  <w:endnote w:type="continuationSeparator" w:id="0">
    <w:p w14:paraId="53C7081B" w14:textId="77777777" w:rsidR="00C54141" w:rsidRDefault="00C54141"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62E7" w14:textId="3B3F7B37" w:rsidR="004C456F" w:rsidRPr="00932443" w:rsidRDefault="004C456F" w:rsidP="00A418BC">
    <w:pPr>
      <w:pStyle w:val="Zpat"/>
      <w:rPr>
        <w:szCs w:val="16"/>
      </w:rPr>
    </w:pPr>
    <w:r>
      <w:rPr>
        <w:szCs w:val="16"/>
        <w:lang w:eastAsia="cs-CZ"/>
      </w:rPr>
      <w:drawing>
        <wp:anchor distT="0" distB="0" distL="114300" distR="114300" simplePos="0" relativeHeight="251658240"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233D05">
      <w:rPr>
        <w:szCs w:val="16"/>
      </w:rPr>
      <w:t>50</w:t>
    </w:r>
    <w:r w:rsidRPr="00932443">
      <w:rPr>
        <w:szCs w:val="16"/>
      </w:rPr>
      <w:fldChar w:fldCharType="end"/>
    </w:r>
    <w:r w:rsidRPr="00932443">
      <w:rPr>
        <w:szCs w:val="16"/>
      </w:rPr>
      <w:tab/>
    </w:r>
    <w:r w:rsidR="00C5418A">
      <w:rPr>
        <w:szCs w:val="16"/>
      </w:rPr>
      <w:t>1. až 3. čtvrtletí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15E32B36" w:rsidR="004C456F" w:rsidRPr="00932443" w:rsidRDefault="004C456F" w:rsidP="00A418BC">
    <w:pPr>
      <w:pStyle w:val="Zpat"/>
      <w:rPr>
        <w:szCs w:val="16"/>
      </w:rPr>
    </w:pPr>
    <w:r>
      <w:rPr>
        <w:szCs w:val="16"/>
        <w:lang w:eastAsia="cs-CZ"/>
      </w:rPr>
      <w:drawing>
        <wp:anchor distT="0" distB="0" distL="114300" distR="114300" simplePos="0" relativeHeight="251657216" behindDoc="0" locked="0" layoutInCell="1" allowOverlap="1" wp14:anchorId="2143298C" wp14:editId="2143298D">
          <wp:simplePos x="0" y="0"/>
          <wp:positionH relativeFrom="column">
            <wp:align>left</wp:align>
          </wp:positionH>
          <wp:positionV relativeFrom="paragraph">
            <wp:posOffset>-122555</wp:posOffset>
          </wp:positionV>
          <wp:extent cx="510540" cy="272415"/>
          <wp:effectExtent l="0" t="0" r="0" b="6985"/>
          <wp:wrapNone/>
          <wp:docPr id="22" name="Picture 16"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 xml:space="preserve">1. </w:t>
    </w:r>
    <w:r w:rsidR="00C5418A">
      <w:rPr>
        <w:szCs w:val="16"/>
      </w:rPr>
      <w:t>až 3. čtvrt</w:t>
    </w:r>
    <w:r>
      <w:rPr>
        <w:szCs w:val="16"/>
      </w:rPr>
      <w:t>letí 2025</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233D05">
      <w:rPr>
        <w:rStyle w:val="ZpatChar"/>
        <w:szCs w:val="16"/>
      </w:rPr>
      <w:t>49</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EC961" w14:textId="77777777" w:rsidR="00C54141" w:rsidRDefault="00C54141" w:rsidP="00EA4302">
      <w:pPr>
        <w:spacing w:after="0"/>
      </w:pPr>
      <w:r>
        <w:separator/>
      </w:r>
    </w:p>
  </w:footnote>
  <w:footnote w:type="continuationSeparator" w:id="0">
    <w:p w14:paraId="76A7A74E" w14:textId="77777777" w:rsidR="00C54141" w:rsidRDefault="00C54141" w:rsidP="00E71A58">
      <w:r>
        <w:continuationSeparator/>
      </w:r>
    </w:p>
  </w:footnote>
  <w:footnote w:id="1">
    <w:p w14:paraId="6AD20361" w14:textId="77777777" w:rsidR="00733628" w:rsidRPr="001F1881" w:rsidRDefault="00733628" w:rsidP="00733628">
      <w:pPr>
        <w:pStyle w:val="Textpoznpodarou"/>
        <w:rPr>
          <w:rFonts w:cs="Arial"/>
          <w:iCs/>
          <w:sz w:val="16"/>
          <w:szCs w:val="16"/>
        </w:rPr>
      </w:pPr>
      <w:r w:rsidRPr="00B6522D">
        <w:rPr>
          <w:rStyle w:val="Znakapoznpodarou"/>
          <w:rFonts w:cs="Arial"/>
          <w:i/>
          <w:sz w:val="16"/>
          <w:szCs w:val="16"/>
        </w:rPr>
        <w:footnoteRef/>
      </w:r>
      <w:r w:rsidRPr="00B6522D">
        <w:rPr>
          <w:rFonts w:cs="Arial"/>
          <w:i/>
          <w:iCs/>
          <w:sz w:val="16"/>
          <w:szCs w:val="16"/>
        </w:rPr>
        <w:t xml:space="preserve"> </w:t>
      </w:r>
      <w:r w:rsidRPr="00B6522D">
        <w:rPr>
          <w:rStyle w:val="Zdraznn"/>
          <w:rFonts w:cs="Arial"/>
          <w:i w:val="0"/>
          <w:sz w:val="16"/>
          <w:szCs w:val="16"/>
          <w:bdr w:val="none" w:sz="0" w:space="0" w:color="auto" w:frame="1"/>
          <w:shd w:val="clear" w:color="auto" w:fill="FFFFFF"/>
        </w:rPr>
        <w:t>Údaje za zahraniční obchod se zbožím jsou od roku 2020 přepočítávány aktualizovanou metodou založenou na vyšší míře detailu, viz </w:t>
      </w:r>
      <w:hyperlink r:id="rId1" w:history="1">
        <w:r w:rsidRPr="005F1049">
          <w:rPr>
            <w:rStyle w:val="Hypertextovodkaz"/>
            <w:rFonts w:cs="Arial"/>
            <w:i/>
            <w:sz w:val="16"/>
            <w:szCs w:val="16"/>
            <w:bdr w:val="none" w:sz="0" w:space="0" w:color="auto" w:frame="1"/>
            <w:shd w:val="clear" w:color="auto" w:fill="FFFFFF"/>
          </w:rPr>
          <w:t>https://www.czso.cz/csu/czso/aktualizace-metody-propoctu-zahranicni-obchod-se-zbozim</w:t>
        </w:r>
      </w:hyperlink>
      <w:r>
        <w:rPr>
          <w:rFonts w:cs="Arial"/>
          <w:i/>
          <w:sz w:val="16"/>
          <w:szCs w:val="16"/>
          <w:bdr w:val="none" w:sz="0" w:space="0" w:color="auto" w:frame="1"/>
          <w:shd w:val="clear" w:color="auto" w:fill="FFFFFF"/>
        </w:rPr>
        <w:t>.</w:t>
      </w:r>
      <w:r>
        <w:rPr>
          <w:sz w:val="16"/>
          <w:szCs w:val="16"/>
        </w:rPr>
        <w:t xml:space="preserve"> N</w:t>
      </w:r>
      <w:r w:rsidRPr="00B6522D">
        <w:rPr>
          <w:sz w:val="16"/>
          <w:szCs w:val="16"/>
        </w:rPr>
        <w:t>ení-li uvedeno jinak, jsou všechny údaje</w:t>
      </w:r>
      <w:r w:rsidRPr="001F1881">
        <w:rPr>
          <w:sz w:val="16"/>
          <w:szCs w:val="16"/>
        </w:rPr>
        <w:t xml:space="preserve"> sezónně neočištěné a v běžných cenách.</w:t>
      </w:r>
    </w:p>
  </w:footnote>
  <w:footnote w:id="2">
    <w:p w14:paraId="15D88C96" w14:textId="77777777" w:rsidR="00733628" w:rsidRPr="007B30CA" w:rsidRDefault="00733628" w:rsidP="00733628">
      <w:pPr>
        <w:pStyle w:val="Textpoznpodarou"/>
        <w:rPr>
          <w:sz w:val="16"/>
          <w:szCs w:val="16"/>
        </w:rPr>
      </w:pPr>
      <w:r w:rsidRPr="00DF3884">
        <w:rPr>
          <w:rStyle w:val="Znakapoznpodarou"/>
          <w:sz w:val="16"/>
          <w:szCs w:val="16"/>
        </w:rPr>
        <w:footnoteRef/>
      </w:r>
      <w:r w:rsidRPr="00DF3884">
        <w:rPr>
          <w:sz w:val="16"/>
          <w:szCs w:val="16"/>
        </w:rPr>
        <w:t xml:space="preserve"> Ceny vývozu zboží za </w:t>
      </w:r>
      <w:r>
        <w:rPr>
          <w:sz w:val="16"/>
          <w:szCs w:val="16"/>
        </w:rPr>
        <w:t>3</w:t>
      </w:r>
      <w:r w:rsidRPr="00DF3884">
        <w:rPr>
          <w:sz w:val="16"/>
          <w:szCs w:val="16"/>
        </w:rPr>
        <w:t xml:space="preserve">. čtvrtletí 2025 meziročně klesly o </w:t>
      </w:r>
      <w:r>
        <w:rPr>
          <w:sz w:val="16"/>
          <w:szCs w:val="16"/>
        </w:rPr>
        <w:t>2,7</w:t>
      </w:r>
      <w:r w:rsidRPr="00DF3884">
        <w:rPr>
          <w:sz w:val="16"/>
          <w:szCs w:val="16"/>
        </w:rPr>
        <w:t xml:space="preserve"> % a mezičtvrtletně o 1,</w:t>
      </w:r>
      <w:r>
        <w:rPr>
          <w:sz w:val="16"/>
          <w:szCs w:val="16"/>
        </w:rPr>
        <w:t>8</w:t>
      </w:r>
      <w:r w:rsidRPr="00DF3884">
        <w:rPr>
          <w:sz w:val="16"/>
          <w:szCs w:val="16"/>
        </w:rPr>
        <w:t xml:space="preserve"> %.</w:t>
      </w:r>
      <w:r w:rsidRPr="007B30CA">
        <w:rPr>
          <w:sz w:val="16"/>
          <w:szCs w:val="16"/>
        </w:rPr>
        <w:t xml:space="preserve"> </w:t>
      </w:r>
    </w:p>
  </w:footnote>
  <w:footnote w:id="3">
    <w:p w14:paraId="2F962325" w14:textId="77777777" w:rsidR="00733628" w:rsidRDefault="00733628" w:rsidP="00733628">
      <w:pPr>
        <w:pStyle w:val="Textpoznpodarou"/>
      </w:pPr>
      <w:r w:rsidRPr="007B30CA">
        <w:rPr>
          <w:rStyle w:val="Znakapoznpodarou"/>
          <w:sz w:val="16"/>
          <w:szCs w:val="16"/>
        </w:rPr>
        <w:footnoteRef/>
      </w:r>
      <w:r w:rsidRPr="007B30CA">
        <w:rPr>
          <w:sz w:val="16"/>
          <w:szCs w:val="16"/>
        </w:rPr>
        <w:t xml:space="preserve"> </w:t>
      </w:r>
      <w:r>
        <w:rPr>
          <w:sz w:val="16"/>
          <w:szCs w:val="16"/>
        </w:rPr>
        <w:t xml:space="preserve">Efekt předzásobení v souvislosti s očekávaným zavedením cel na dovoz do USA se v českém kontextu </w:t>
      </w:r>
      <w:r w:rsidRPr="007B30CA">
        <w:rPr>
          <w:sz w:val="16"/>
          <w:szCs w:val="16"/>
        </w:rPr>
        <w:t>v letošním 1. kvartálu</w:t>
      </w:r>
      <w:r>
        <w:rPr>
          <w:sz w:val="16"/>
          <w:szCs w:val="16"/>
        </w:rPr>
        <w:t xml:space="preserve"> projevoval zejména na výrazném z</w:t>
      </w:r>
      <w:r w:rsidRPr="007B30CA">
        <w:rPr>
          <w:sz w:val="16"/>
          <w:szCs w:val="16"/>
        </w:rPr>
        <w:t xml:space="preserve">rychlení </w:t>
      </w:r>
      <w:r>
        <w:rPr>
          <w:sz w:val="16"/>
          <w:szCs w:val="16"/>
        </w:rPr>
        <w:t xml:space="preserve">meziročního </w:t>
      </w:r>
      <w:r w:rsidRPr="007B30CA">
        <w:rPr>
          <w:sz w:val="16"/>
          <w:szCs w:val="16"/>
        </w:rPr>
        <w:t xml:space="preserve">přírůstku </w:t>
      </w:r>
      <w:r>
        <w:rPr>
          <w:sz w:val="16"/>
          <w:szCs w:val="16"/>
        </w:rPr>
        <w:t>exportu zboží do Německa, které je největším evropským exportérem do USA a Česko je pro něj subdodavatelem. Ve 2. čtvrtletí se ale přírůstek českého vývozu do Německa prudce snížil. Samotný v</w:t>
      </w:r>
      <w:r w:rsidRPr="00D9672F">
        <w:rPr>
          <w:sz w:val="16"/>
          <w:szCs w:val="16"/>
        </w:rPr>
        <w:t xml:space="preserve">ývoz </w:t>
      </w:r>
      <w:r>
        <w:rPr>
          <w:sz w:val="16"/>
          <w:szCs w:val="16"/>
        </w:rPr>
        <w:br/>
      </w:r>
      <w:r w:rsidRPr="00D9672F">
        <w:rPr>
          <w:sz w:val="16"/>
          <w:szCs w:val="16"/>
        </w:rPr>
        <w:t xml:space="preserve">z Česka do USA </w:t>
      </w:r>
      <w:r>
        <w:rPr>
          <w:sz w:val="16"/>
          <w:szCs w:val="16"/>
        </w:rPr>
        <w:t xml:space="preserve">v roce 2024 </w:t>
      </w:r>
      <w:r w:rsidRPr="00D9672F">
        <w:rPr>
          <w:sz w:val="16"/>
          <w:szCs w:val="16"/>
        </w:rPr>
        <w:t>značně posiloval a letošní 1. kvartál na tento trend navázal.</w:t>
      </w:r>
      <w:r>
        <w:rPr>
          <w:sz w:val="16"/>
          <w:szCs w:val="16"/>
        </w:rPr>
        <w:t xml:space="preserve"> I zde došlo ke zvolnění dynamiky v dalších čtvrtletích.</w:t>
      </w:r>
    </w:p>
  </w:footnote>
  <w:footnote w:id="4">
    <w:p w14:paraId="2DCF1550" w14:textId="77777777" w:rsidR="00733628" w:rsidRPr="000A5229" w:rsidRDefault="00733628" w:rsidP="00733628">
      <w:pPr>
        <w:pStyle w:val="Textpoznpodarou"/>
        <w:rPr>
          <w:sz w:val="16"/>
          <w:szCs w:val="16"/>
        </w:rPr>
      </w:pPr>
      <w:r w:rsidRPr="00880676">
        <w:rPr>
          <w:rStyle w:val="Znakapoznpodarou"/>
          <w:sz w:val="16"/>
          <w:szCs w:val="16"/>
        </w:rPr>
        <w:footnoteRef/>
      </w:r>
      <w:r w:rsidRPr="00880676">
        <w:rPr>
          <w:sz w:val="16"/>
          <w:szCs w:val="16"/>
        </w:rPr>
        <w:t xml:space="preserve"> Ceny dovozu ve 2. čtvrtletí meziročně klesly o </w:t>
      </w:r>
      <w:r>
        <w:rPr>
          <w:sz w:val="16"/>
          <w:szCs w:val="16"/>
        </w:rPr>
        <w:t>3,2</w:t>
      </w:r>
      <w:r w:rsidRPr="00880676">
        <w:rPr>
          <w:sz w:val="16"/>
          <w:szCs w:val="16"/>
        </w:rPr>
        <w:t xml:space="preserve"> % a mezičtvrtletně se snížily o </w:t>
      </w:r>
      <w:r>
        <w:rPr>
          <w:sz w:val="16"/>
          <w:szCs w:val="16"/>
        </w:rPr>
        <w:t>1,8</w:t>
      </w:r>
      <w:r w:rsidRPr="00880676">
        <w:rPr>
          <w:sz w:val="16"/>
          <w:szCs w:val="16"/>
        </w:rPr>
        <w:t xml:space="preserve"> %.</w:t>
      </w:r>
    </w:p>
  </w:footnote>
  <w:footnote w:id="5">
    <w:p w14:paraId="7C7173DA" w14:textId="77777777" w:rsidR="00733628" w:rsidRPr="00E65EF8" w:rsidRDefault="00733628" w:rsidP="00733628">
      <w:pPr>
        <w:pStyle w:val="Textpoznpodarou"/>
        <w:rPr>
          <w:sz w:val="16"/>
          <w:szCs w:val="16"/>
        </w:rPr>
      </w:pPr>
      <w:r w:rsidRPr="00E65EF8">
        <w:rPr>
          <w:rStyle w:val="Znakapoznpodarou"/>
          <w:sz w:val="16"/>
          <w:szCs w:val="16"/>
        </w:rPr>
        <w:footnoteRef/>
      </w:r>
      <w:r w:rsidRPr="00E65EF8">
        <w:rPr>
          <w:sz w:val="16"/>
          <w:szCs w:val="16"/>
        </w:rPr>
        <w:t xml:space="preserve"> Zahrnuje zbraně a střelivo.</w:t>
      </w:r>
    </w:p>
  </w:footnote>
  <w:footnote w:id="6">
    <w:p w14:paraId="27767193" w14:textId="77777777" w:rsidR="00733628" w:rsidRPr="00370717" w:rsidRDefault="00733628" w:rsidP="00733628">
      <w:pPr>
        <w:pStyle w:val="Textpoznpodarou"/>
        <w:rPr>
          <w:sz w:val="16"/>
          <w:szCs w:val="16"/>
        </w:rPr>
      </w:pPr>
      <w:r w:rsidRPr="00370717">
        <w:rPr>
          <w:rStyle w:val="Znakapoznpodarou"/>
          <w:sz w:val="16"/>
          <w:szCs w:val="16"/>
        </w:rPr>
        <w:footnoteRef/>
      </w:r>
      <w:r w:rsidRPr="00370717">
        <w:rPr>
          <w:sz w:val="16"/>
          <w:szCs w:val="16"/>
        </w:rPr>
        <w:t xml:space="preserve"> </w:t>
      </w:r>
      <w:r>
        <w:rPr>
          <w:sz w:val="16"/>
          <w:szCs w:val="16"/>
        </w:rPr>
        <w:t>Ve zvýšené míře se dovážely baterie, zejména do elektromobilů.</w:t>
      </w:r>
    </w:p>
  </w:footnote>
  <w:footnote w:id="7">
    <w:p w14:paraId="05EFE627" w14:textId="77777777" w:rsidR="00733628" w:rsidRPr="00624E14" w:rsidRDefault="00733628" w:rsidP="00733628">
      <w:pPr>
        <w:pStyle w:val="Textpoznpodarou"/>
        <w:rPr>
          <w:sz w:val="16"/>
          <w:szCs w:val="16"/>
        </w:rPr>
      </w:pPr>
      <w:r w:rsidRPr="00624E14">
        <w:rPr>
          <w:rStyle w:val="Znakapoznpodarou"/>
          <w:sz w:val="16"/>
          <w:szCs w:val="16"/>
        </w:rPr>
        <w:footnoteRef/>
      </w:r>
      <w:r w:rsidRPr="00624E14">
        <w:rPr>
          <w:sz w:val="16"/>
          <w:szCs w:val="16"/>
        </w:rPr>
        <w:t xml:space="preserve"> </w:t>
      </w:r>
      <w:r>
        <w:rPr>
          <w:sz w:val="16"/>
          <w:szCs w:val="16"/>
        </w:rPr>
        <w:t xml:space="preserve">Od začátku roku </w:t>
      </w:r>
      <w:r w:rsidRPr="00624E14">
        <w:rPr>
          <w:sz w:val="16"/>
          <w:szCs w:val="16"/>
        </w:rPr>
        <w:t xml:space="preserve">se také </w:t>
      </w:r>
      <w:r>
        <w:rPr>
          <w:sz w:val="16"/>
          <w:szCs w:val="16"/>
        </w:rPr>
        <w:t xml:space="preserve">výrazně </w:t>
      </w:r>
      <w:r w:rsidRPr="00624E14">
        <w:rPr>
          <w:sz w:val="16"/>
          <w:szCs w:val="16"/>
        </w:rPr>
        <w:t xml:space="preserve">zvýšil vliv na bilanci u kategorie „nespecifikováno“. Zde byl zachycen zejména obchod s ropou </w:t>
      </w:r>
      <w:r>
        <w:rPr>
          <w:sz w:val="16"/>
          <w:szCs w:val="16"/>
        </w:rPr>
        <w:br/>
      </w:r>
      <w:r w:rsidRPr="00624E14">
        <w:rPr>
          <w:sz w:val="16"/>
          <w:szCs w:val="16"/>
        </w:rPr>
        <w:t xml:space="preserve">a zemním plynem, který nebylo možné teritoriálně zařadit. Bilance obchodu v rámci této kategorie se </w:t>
      </w:r>
      <w:r>
        <w:rPr>
          <w:sz w:val="16"/>
          <w:szCs w:val="16"/>
        </w:rPr>
        <w:t xml:space="preserve">v 1. až 3. čtvrtletí </w:t>
      </w:r>
      <w:r w:rsidRPr="00624E14">
        <w:rPr>
          <w:sz w:val="16"/>
          <w:szCs w:val="16"/>
        </w:rPr>
        <w:t xml:space="preserve">meziročně zhoršila o </w:t>
      </w:r>
      <w:r>
        <w:rPr>
          <w:sz w:val="16"/>
          <w:szCs w:val="16"/>
        </w:rPr>
        <w:t>18,7</w:t>
      </w:r>
      <w:r w:rsidRPr="00624E14">
        <w:rPr>
          <w:sz w:val="16"/>
          <w:szCs w:val="16"/>
        </w:rPr>
        <w:t xml:space="preserve"> mld.</w:t>
      </w:r>
      <w:r>
        <w:rPr>
          <w:sz w:val="16"/>
          <w:szCs w:val="16"/>
        </w:rPr>
        <w:t xml:space="preserve"> korun.</w:t>
      </w:r>
    </w:p>
  </w:footnote>
  <w:footnote w:id="8">
    <w:p w14:paraId="5F5D2029" w14:textId="77777777" w:rsidR="00733628" w:rsidRPr="00196047" w:rsidRDefault="00733628" w:rsidP="00733628">
      <w:pPr>
        <w:pStyle w:val="Textpoznpodarou"/>
        <w:rPr>
          <w:sz w:val="16"/>
          <w:szCs w:val="16"/>
        </w:rPr>
      </w:pPr>
      <w:r w:rsidRPr="00196047">
        <w:rPr>
          <w:rStyle w:val="Znakapoznpodarou"/>
          <w:sz w:val="16"/>
          <w:szCs w:val="16"/>
        </w:rPr>
        <w:footnoteRef/>
      </w:r>
      <w:r w:rsidRPr="00196047">
        <w:rPr>
          <w:sz w:val="16"/>
          <w:szCs w:val="16"/>
        </w:rPr>
        <w:t xml:space="preserve"> V případě nespecifikovaného původu zboží došlo ke zhoršení bilance o 8,</w:t>
      </w:r>
      <w:r>
        <w:rPr>
          <w:sz w:val="16"/>
          <w:szCs w:val="16"/>
        </w:rPr>
        <w:t>4</w:t>
      </w:r>
      <w:r w:rsidRPr="00196047">
        <w:rPr>
          <w:sz w:val="16"/>
          <w:szCs w:val="16"/>
        </w:rPr>
        <w:t xml:space="preserve"> mld. korun.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3C11EE3B" w:rsidR="004C456F" w:rsidRPr="00C27E4F" w:rsidRDefault="004C456F" w:rsidP="00C27E4F">
    <w:pPr>
      <w:pStyle w:val="Zhlav"/>
    </w:pPr>
    <w:r>
      <w:t>Vývoj ekonomiky České republiky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4F78F164" w:rsidR="004C456F" w:rsidRPr="006F5416" w:rsidRDefault="004C456F" w:rsidP="00937AE2">
    <w:pPr>
      <w:pStyle w:val="Zhlav"/>
    </w:pPr>
    <w:r>
      <w:t>Vývoj ekonomiky České republiky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858498FC"/>
    <w:lvl w:ilvl="0" w:tplc="B4A838D0">
      <w:start w:val="1"/>
      <w:numFmt w:val="bullet"/>
      <w:pStyle w:val="Normalodrka"/>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94960533">
    <w:abstractNumId w:val="31"/>
  </w:num>
  <w:num w:numId="2" w16cid:durableId="997685702">
    <w:abstractNumId w:val="8"/>
  </w:num>
  <w:num w:numId="3" w16cid:durableId="2038313518">
    <w:abstractNumId w:val="3"/>
  </w:num>
  <w:num w:numId="4" w16cid:durableId="331031531">
    <w:abstractNumId w:val="2"/>
  </w:num>
  <w:num w:numId="5" w16cid:durableId="1757743337">
    <w:abstractNumId w:val="1"/>
  </w:num>
  <w:num w:numId="6" w16cid:durableId="409816451">
    <w:abstractNumId w:val="0"/>
  </w:num>
  <w:num w:numId="7" w16cid:durableId="1318534121">
    <w:abstractNumId w:val="9"/>
  </w:num>
  <w:num w:numId="8" w16cid:durableId="262305282">
    <w:abstractNumId w:val="7"/>
  </w:num>
  <w:num w:numId="9" w16cid:durableId="136917715">
    <w:abstractNumId w:val="6"/>
  </w:num>
  <w:num w:numId="10" w16cid:durableId="2045862263">
    <w:abstractNumId w:val="5"/>
  </w:num>
  <w:num w:numId="11" w16cid:durableId="191305307">
    <w:abstractNumId w:val="4"/>
  </w:num>
  <w:num w:numId="12" w16cid:durableId="333654438">
    <w:abstractNumId w:val="18"/>
  </w:num>
  <w:num w:numId="13" w16cid:durableId="969557016">
    <w:abstractNumId w:val="34"/>
  </w:num>
  <w:num w:numId="14" w16cid:durableId="607392429">
    <w:abstractNumId w:val="15"/>
  </w:num>
  <w:num w:numId="15" w16cid:durableId="1953782534">
    <w:abstractNumId w:val="24"/>
  </w:num>
  <w:num w:numId="16" w16cid:durableId="2048219208">
    <w:abstractNumId w:val="19"/>
  </w:num>
  <w:num w:numId="17" w16cid:durableId="684745295">
    <w:abstractNumId w:val="35"/>
  </w:num>
  <w:num w:numId="18" w16cid:durableId="1764376373">
    <w:abstractNumId w:val="25"/>
  </w:num>
  <w:num w:numId="19" w16cid:durableId="807280038">
    <w:abstractNumId w:val="38"/>
  </w:num>
  <w:num w:numId="20" w16cid:durableId="1692685976">
    <w:abstractNumId w:val="43"/>
  </w:num>
  <w:num w:numId="21" w16cid:durableId="1978029892">
    <w:abstractNumId w:val="33"/>
  </w:num>
  <w:num w:numId="22" w16cid:durableId="718896653">
    <w:abstractNumId w:val="23"/>
  </w:num>
  <w:num w:numId="23" w16cid:durableId="159078720">
    <w:abstractNumId w:val="21"/>
  </w:num>
  <w:num w:numId="24" w16cid:durableId="1135441192">
    <w:abstractNumId w:val="22"/>
  </w:num>
  <w:num w:numId="25" w16cid:durableId="1815366340">
    <w:abstractNumId w:val="41"/>
  </w:num>
  <w:num w:numId="26" w16cid:durableId="1577863405">
    <w:abstractNumId w:val="42"/>
  </w:num>
  <w:num w:numId="27" w16cid:durableId="223610688">
    <w:abstractNumId w:val="43"/>
  </w:num>
  <w:num w:numId="28" w16cid:durableId="1207061094">
    <w:abstractNumId w:val="13"/>
  </w:num>
  <w:num w:numId="29" w16cid:durableId="1693920833">
    <w:abstractNumId w:val="27"/>
  </w:num>
  <w:num w:numId="30" w16cid:durableId="1876775477">
    <w:abstractNumId w:val="26"/>
  </w:num>
  <w:num w:numId="31" w16cid:durableId="179972127">
    <w:abstractNumId w:val="10"/>
  </w:num>
  <w:num w:numId="32" w16cid:durableId="970136012">
    <w:abstractNumId w:val="28"/>
  </w:num>
  <w:num w:numId="33" w16cid:durableId="1617836376">
    <w:abstractNumId w:val="12"/>
  </w:num>
  <w:num w:numId="34" w16cid:durableId="357007340">
    <w:abstractNumId w:val="45"/>
  </w:num>
  <w:num w:numId="35" w16cid:durableId="2131776467">
    <w:abstractNumId w:val="11"/>
  </w:num>
  <w:num w:numId="36" w16cid:durableId="1776095800">
    <w:abstractNumId w:val="37"/>
  </w:num>
  <w:num w:numId="37" w16cid:durableId="862209000">
    <w:abstractNumId w:val="30"/>
  </w:num>
  <w:num w:numId="38" w16cid:durableId="322010878">
    <w:abstractNumId w:val="29"/>
  </w:num>
  <w:num w:numId="39" w16cid:durableId="1458373311">
    <w:abstractNumId w:val="39"/>
  </w:num>
  <w:num w:numId="40" w16cid:durableId="288441997">
    <w:abstractNumId w:val="44"/>
  </w:num>
  <w:num w:numId="41" w16cid:durableId="952595072">
    <w:abstractNumId w:val="40"/>
  </w:num>
  <w:num w:numId="42" w16cid:durableId="1427652868">
    <w:abstractNumId w:val="32"/>
  </w:num>
  <w:num w:numId="43" w16cid:durableId="1024401835">
    <w:abstractNumId w:val="20"/>
  </w:num>
  <w:num w:numId="44" w16cid:durableId="428089243">
    <w:abstractNumId w:val="14"/>
  </w:num>
  <w:num w:numId="45" w16cid:durableId="82647767">
    <w:abstractNumId w:val="36"/>
  </w:num>
  <w:num w:numId="46" w16cid:durableId="215163427">
    <w:abstractNumId w:val="16"/>
  </w:num>
  <w:num w:numId="47" w16cid:durableId="222064403">
    <w:abstractNumId w:val="43"/>
  </w:num>
  <w:num w:numId="48" w16cid:durableId="1639922006">
    <w:abstractNumId w:val="43"/>
    <w:lvlOverride w:ilvl="0">
      <w:startOverride w:val="1"/>
    </w:lvlOverride>
  </w:num>
  <w:num w:numId="49" w16cid:durableId="1509101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4097">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209D"/>
    <w:rsid w:val="00004D5A"/>
    <w:rsid w:val="000056D5"/>
    <w:rsid w:val="00006ABD"/>
    <w:rsid w:val="0000767A"/>
    <w:rsid w:val="00010256"/>
    <w:rsid w:val="00010702"/>
    <w:rsid w:val="00011912"/>
    <w:rsid w:val="0002195D"/>
    <w:rsid w:val="000234D6"/>
    <w:rsid w:val="00023D29"/>
    <w:rsid w:val="00026389"/>
    <w:rsid w:val="00031AE0"/>
    <w:rsid w:val="000322EF"/>
    <w:rsid w:val="00033FCD"/>
    <w:rsid w:val="00040D10"/>
    <w:rsid w:val="00041CEC"/>
    <w:rsid w:val="0004694F"/>
    <w:rsid w:val="000522E4"/>
    <w:rsid w:val="00054EA4"/>
    <w:rsid w:val="00055507"/>
    <w:rsid w:val="000610E1"/>
    <w:rsid w:val="00062EC5"/>
    <w:rsid w:val="00062F22"/>
    <w:rsid w:val="000673C2"/>
    <w:rsid w:val="000712B3"/>
    <w:rsid w:val="0008263E"/>
    <w:rsid w:val="000829B1"/>
    <w:rsid w:val="00082C19"/>
    <w:rsid w:val="00085395"/>
    <w:rsid w:val="00087634"/>
    <w:rsid w:val="00087F2B"/>
    <w:rsid w:val="000912CC"/>
    <w:rsid w:val="00092201"/>
    <w:rsid w:val="00095135"/>
    <w:rsid w:val="000974D1"/>
    <w:rsid w:val="0009799E"/>
    <w:rsid w:val="000A1183"/>
    <w:rsid w:val="000A256D"/>
    <w:rsid w:val="000A3A2C"/>
    <w:rsid w:val="000A5265"/>
    <w:rsid w:val="000A57D4"/>
    <w:rsid w:val="000B7C8D"/>
    <w:rsid w:val="000C004E"/>
    <w:rsid w:val="000C2CF1"/>
    <w:rsid w:val="000C3408"/>
    <w:rsid w:val="000C6AFD"/>
    <w:rsid w:val="000D1B52"/>
    <w:rsid w:val="000D5637"/>
    <w:rsid w:val="000E15EA"/>
    <w:rsid w:val="000E6FBD"/>
    <w:rsid w:val="000F49A9"/>
    <w:rsid w:val="00100F5C"/>
    <w:rsid w:val="00101CDA"/>
    <w:rsid w:val="00102C41"/>
    <w:rsid w:val="00104C4C"/>
    <w:rsid w:val="00107F50"/>
    <w:rsid w:val="00117623"/>
    <w:rsid w:val="0012096D"/>
    <w:rsid w:val="0012192F"/>
    <w:rsid w:val="001224E5"/>
    <w:rsid w:val="00124940"/>
    <w:rsid w:val="00125D69"/>
    <w:rsid w:val="001405FA"/>
    <w:rsid w:val="00142254"/>
    <w:rsid w:val="001425C3"/>
    <w:rsid w:val="001476BD"/>
    <w:rsid w:val="00153D91"/>
    <w:rsid w:val="001612F4"/>
    <w:rsid w:val="00161AB8"/>
    <w:rsid w:val="0016256B"/>
    <w:rsid w:val="001625B5"/>
    <w:rsid w:val="00163793"/>
    <w:rsid w:val="0016649F"/>
    <w:rsid w:val="00170621"/>
    <w:rsid w:val="001706D6"/>
    <w:rsid w:val="001714F2"/>
    <w:rsid w:val="00175B9F"/>
    <w:rsid w:val="00175C9E"/>
    <w:rsid w:val="00181BBC"/>
    <w:rsid w:val="00184B08"/>
    <w:rsid w:val="00185010"/>
    <w:rsid w:val="0019143B"/>
    <w:rsid w:val="001A0487"/>
    <w:rsid w:val="001A4CA3"/>
    <w:rsid w:val="001A552F"/>
    <w:rsid w:val="001A5B6F"/>
    <w:rsid w:val="001A6170"/>
    <w:rsid w:val="001A7280"/>
    <w:rsid w:val="001B2CA9"/>
    <w:rsid w:val="001B3110"/>
    <w:rsid w:val="001B4729"/>
    <w:rsid w:val="001B6310"/>
    <w:rsid w:val="001B6C09"/>
    <w:rsid w:val="001B73E6"/>
    <w:rsid w:val="001C05CD"/>
    <w:rsid w:val="001C3924"/>
    <w:rsid w:val="001D1815"/>
    <w:rsid w:val="001D40D7"/>
    <w:rsid w:val="001D48D4"/>
    <w:rsid w:val="001D68B2"/>
    <w:rsid w:val="001E1C2E"/>
    <w:rsid w:val="001E504C"/>
    <w:rsid w:val="001E5850"/>
    <w:rsid w:val="001E6062"/>
    <w:rsid w:val="001E6753"/>
    <w:rsid w:val="001F4597"/>
    <w:rsid w:val="00203DA4"/>
    <w:rsid w:val="002118B9"/>
    <w:rsid w:val="00213E46"/>
    <w:rsid w:val="00214CF7"/>
    <w:rsid w:val="00216286"/>
    <w:rsid w:val="00216A01"/>
    <w:rsid w:val="002175EA"/>
    <w:rsid w:val="00217C5B"/>
    <w:rsid w:val="0022139E"/>
    <w:rsid w:val="00222729"/>
    <w:rsid w:val="002252E0"/>
    <w:rsid w:val="002255F6"/>
    <w:rsid w:val="00227850"/>
    <w:rsid w:val="00227A53"/>
    <w:rsid w:val="00230682"/>
    <w:rsid w:val="00230C6E"/>
    <w:rsid w:val="00233546"/>
    <w:rsid w:val="00233CD7"/>
    <w:rsid w:val="00233D05"/>
    <w:rsid w:val="00236443"/>
    <w:rsid w:val="00241B06"/>
    <w:rsid w:val="00242119"/>
    <w:rsid w:val="002421C4"/>
    <w:rsid w:val="00242C10"/>
    <w:rsid w:val="002436BA"/>
    <w:rsid w:val="00244A15"/>
    <w:rsid w:val="0024661A"/>
    <w:rsid w:val="00246F80"/>
    <w:rsid w:val="00247319"/>
    <w:rsid w:val="0024799E"/>
    <w:rsid w:val="00247EE7"/>
    <w:rsid w:val="00252D48"/>
    <w:rsid w:val="00253C0F"/>
    <w:rsid w:val="002558C1"/>
    <w:rsid w:val="00255B30"/>
    <w:rsid w:val="00261A17"/>
    <w:rsid w:val="0027099B"/>
    <w:rsid w:val="00271465"/>
    <w:rsid w:val="00275385"/>
    <w:rsid w:val="0028207A"/>
    <w:rsid w:val="00282918"/>
    <w:rsid w:val="00285412"/>
    <w:rsid w:val="00291407"/>
    <w:rsid w:val="00291640"/>
    <w:rsid w:val="00295A5D"/>
    <w:rsid w:val="002A1407"/>
    <w:rsid w:val="002A16D4"/>
    <w:rsid w:val="002A230C"/>
    <w:rsid w:val="002A66B0"/>
    <w:rsid w:val="002B2299"/>
    <w:rsid w:val="002B4845"/>
    <w:rsid w:val="002B48B4"/>
    <w:rsid w:val="002C2FE9"/>
    <w:rsid w:val="002C43BD"/>
    <w:rsid w:val="002C5568"/>
    <w:rsid w:val="002D0E59"/>
    <w:rsid w:val="002E02A1"/>
    <w:rsid w:val="002E42AC"/>
    <w:rsid w:val="002E4E4C"/>
    <w:rsid w:val="002F3E4F"/>
    <w:rsid w:val="00302ADD"/>
    <w:rsid w:val="00304771"/>
    <w:rsid w:val="0030495D"/>
    <w:rsid w:val="003052D4"/>
    <w:rsid w:val="00306C5B"/>
    <w:rsid w:val="00307B34"/>
    <w:rsid w:val="003103E0"/>
    <w:rsid w:val="00314F9F"/>
    <w:rsid w:val="003209D6"/>
    <w:rsid w:val="00321205"/>
    <w:rsid w:val="00321924"/>
    <w:rsid w:val="0032656E"/>
    <w:rsid w:val="00327D4E"/>
    <w:rsid w:val="00332190"/>
    <w:rsid w:val="003421E1"/>
    <w:rsid w:val="00343182"/>
    <w:rsid w:val="0034335E"/>
    <w:rsid w:val="00344668"/>
    <w:rsid w:val="003462D9"/>
    <w:rsid w:val="00360C86"/>
    <w:rsid w:val="00360FBC"/>
    <w:rsid w:val="00362E90"/>
    <w:rsid w:val="00364FA0"/>
    <w:rsid w:val="003657F3"/>
    <w:rsid w:val="00366591"/>
    <w:rsid w:val="00371826"/>
    <w:rsid w:val="00373504"/>
    <w:rsid w:val="0038123E"/>
    <w:rsid w:val="003818DC"/>
    <w:rsid w:val="00382C5B"/>
    <w:rsid w:val="00384327"/>
    <w:rsid w:val="00385D98"/>
    <w:rsid w:val="003A2B4D"/>
    <w:rsid w:val="003A2B5E"/>
    <w:rsid w:val="003A2D12"/>
    <w:rsid w:val="003A478C"/>
    <w:rsid w:val="003A5525"/>
    <w:rsid w:val="003A6B38"/>
    <w:rsid w:val="003B461F"/>
    <w:rsid w:val="003B5A32"/>
    <w:rsid w:val="003B6B31"/>
    <w:rsid w:val="003B7AFA"/>
    <w:rsid w:val="003C3490"/>
    <w:rsid w:val="003C6550"/>
    <w:rsid w:val="003C7E62"/>
    <w:rsid w:val="003D6920"/>
    <w:rsid w:val="003E3F1E"/>
    <w:rsid w:val="003E48F2"/>
    <w:rsid w:val="003E4C91"/>
    <w:rsid w:val="003E5DB7"/>
    <w:rsid w:val="003E62A5"/>
    <w:rsid w:val="003F313C"/>
    <w:rsid w:val="003F37FC"/>
    <w:rsid w:val="003F4B2C"/>
    <w:rsid w:val="003F551C"/>
    <w:rsid w:val="003F62B0"/>
    <w:rsid w:val="003F72ED"/>
    <w:rsid w:val="003F7D23"/>
    <w:rsid w:val="00400DF4"/>
    <w:rsid w:val="0040550D"/>
    <w:rsid w:val="004069FF"/>
    <w:rsid w:val="00407510"/>
    <w:rsid w:val="00407C13"/>
    <w:rsid w:val="0041041D"/>
    <w:rsid w:val="00410638"/>
    <w:rsid w:val="00410694"/>
    <w:rsid w:val="0041501E"/>
    <w:rsid w:val="004159C3"/>
    <w:rsid w:val="00416EB7"/>
    <w:rsid w:val="00432A58"/>
    <w:rsid w:val="00434617"/>
    <w:rsid w:val="00440900"/>
    <w:rsid w:val="00441BF6"/>
    <w:rsid w:val="00443556"/>
    <w:rsid w:val="004441A0"/>
    <w:rsid w:val="004455BA"/>
    <w:rsid w:val="00446D77"/>
    <w:rsid w:val="0045078A"/>
    <w:rsid w:val="0045086D"/>
    <w:rsid w:val="00451504"/>
    <w:rsid w:val="004557A9"/>
    <w:rsid w:val="00456339"/>
    <w:rsid w:val="004607BF"/>
    <w:rsid w:val="00460FB3"/>
    <w:rsid w:val="0046627E"/>
    <w:rsid w:val="00476240"/>
    <w:rsid w:val="00476439"/>
    <w:rsid w:val="0047735C"/>
    <w:rsid w:val="004776BC"/>
    <w:rsid w:val="0048139F"/>
    <w:rsid w:val="00481E40"/>
    <w:rsid w:val="00484ECE"/>
    <w:rsid w:val="00485567"/>
    <w:rsid w:val="004915CB"/>
    <w:rsid w:val="004924DC"/>
    <w:rsid w:val="004963C7"/>
    <w:rsid w:val="004976EF"/>
    <w:rsid w:val="004A14E4"/>
    <w:rsid w:val="004A3212"/>
    <w:rsid w:val="004A5494"/>
    <w:rsid w:val="004A61C5"/>
    <w:rsid w:val="004A77DF"/>
    <w:rsid w:val="004B1417"/>
    <w:rsid w:val="004B55B7"/>
    <w:rsid w:val="004B5A60"/>
    <w:rsid w:val="004B6468"/>
    <w:rsid w:val="004B7125"/>
    <w:rsid w:val="004C384C"/>
    <w:rsid w:val="004C3867"/>
    <w:rsid w:val="004C456F"/>
    <w:rsid w:val="004C4CD0"/>
    <w:rsid w:val="004C5B81"/>
    <w:rsid w:val="004C6092"/>
    <w:rsid w:val="004C70DC"/>
    <w:rsid w:val="004D0211"/>
    <w:rsid w:val="004D0794"/>
    <w:rsid w:val="004D5C93"/>
    <w:rsid w:val="004E1288"/>
    <w:rsid w:val="004E7C6B"/>
    <w:rsid w:val="004F06F5"/>
    <w:rsid w:val="004F16B2"/>
    <w:rsid w:val="004F2C1B"/>
    <w:rsid w:val="004F33A0"/>
    <w:rsid w:val="005040A8"/>
    <w:rsid w:val="00504EE1"/>
    <w:rsid w:val="0050689D"/>
    <w:rsid w:val="005108C0"/>
    <w:rsid w:val="00511873"/>
    <w:rsid w:val="00511DE3"/>
    <w:rsid w:val="00512A2F"/>
    <w:rsid w:val="00513B7E"/>
    <w:rsid w:val="00515684"/>
    <w:rsid w:val="00515C74"/>
    <w:rsid w:val="00516086"/>
    <w:rsid w:val="0051713B"/>
    <w:rsid w:val="0052007E"/>
    <w:rsid w:val="0052337A"/>
    <w:rsid w:val="00525137"/>
    <w:rsid w:val="005251DD"/>
    <w:rsid w:val="00532CE7"/>
    <w:rsid w:val="00532E62"/>
    <w:rsid w:val="0053324C"/>
    <w:rsid w:val="00534A28"/>
    <w:rsid w:val="00541508"/>
    <w:rsid w:val="00543498"/>
    <w:rsid w:val="00545512"/>
    <w:rsid w:val="00553016"/>
    <w:rsid w:val="0055599F"/>
    <w:rsid w:val="00556995"/>
    <w:rsid w:val="00556D68"/>
    <w:rsid w:val="00563EB8"/>
    <w:rsid w:val="005647BF"/>
    <w:rsid w:val="0056486D"/>
    <w:rsid w:val="00564AF1"/>
    <w:rsid w:val="0057364B"/>
    <w:rsid w:val="00574773"/>
    <w:rsid w:val="0058308D"/>
    <w:rsid w:val="00583FFD"/>
    <w:rsid w:val="00591099"/>
    <w:rsid w:val="005911BE"/>
    <w:rsid w:val="00593152"/>
    <w:rsid w:val="00596010"/>
    <w:rsid w:val="005A10F2"/>
    <w:rsid w:val="005A21E0"/>
    <w:rsid w:val="005A28FF"/>
    <w:rsid w:val="005A3DF8"/>
    <w:rsid w:val="005A5113"/>
    <w:rsid w:val="005A5549"/>
    <w:rsid w:val="005A7038"/>
    <w:rsid w:val="005B121D"/>
    <w:rsid w:val="005B3361"/>
    <w:rsid w:val="005C06ED"/>
    <w:rsid w:val="005C2609"/>
    <w:rsid w:val="005C6CF0"/>
    <w:rsid w:val="005D0D46"/>
    <w:rsid w:val="005D5802"/>
    <w:rsid w:val="005D7119"/>
    <w:rsid w:val="005D7890"/>
    <w:rsid w:val="005E705E"/>
    <w:rsid w:val="005E7C78"/>
    <w:rsid w:val="005F18C5"/>
    <w:rsid w:val="005F3EB1"/>
    <w:rsid w:val="005F46D8"/>
    <w:rsid w:val="005F5469"/>
    <w:rsid w:val="00603FF5"/>
    <w:rsid w:val="00604307"/>
    <w:rsid w:val="0060487F"/>
    <w:rsid w:val="00604EAD"/>
    <w:rsid w:val="006104FB"/>
    <w:rsid w:val="00612A2F"/>
    <w:rsid w:val="006165E5"/>
    <w:rsid w:val="00616E05"/>
    <w:rsid w:val="00622275"/>
    <w:rsid w:val="00624093"/>
    <w:rsid w:val="00625F8F"/>
    <w:rsid w:val="006350D5"/>
    <w:rsid w:val="006404A7"/>
    <w:rsid w:val="006451E4"/>
    <w:rsid w:val="00645B33"/>
    <w:rsid w:val="006516CB"/>
    <w:rsid w:val="00656FC8"/>
    <w:rsid w:val="00657E87"/>
    <w:rsid w:val="00664803"/>
    <w:rsid w:val="0066504F"/>
    <w:rsid w:val="00665BA4"/>
    <w:rsid w:val="00667AF2"/>
    <w:rsid w:val="006710C9"/>
    <w:rsid w:val="006712EC"/>
    <w:rsid w:val="0067229E"/>
    <w:rsid w:val="006741AC"/>
    <w:rsid w:val="00674D89"/>
    <w:rsid w:val="00675E37"/>
    <w:rsid w:val="0068174E"/>
    <w:rsid w:val="00681DCE"/>
    <w:rsid w:val="0068260E"/>
    <w:rsid w:val="0068697A"/>
    <w:rsid w:val="00693FEC"/>
    <w:rsid w:val="00695BEF"/>
    <w:rsid w:val="006977F6"/>
    <w:rsid w:val="00697A13"/>
    <w:rsid w:val="006A109C"/>
    <w:rsid w:val="006A2056"/>
    <w:rsid w:val="006B0F92"/>
    <w:rsid w:val="006B173A"/>
    <w:rsid w:val="006B344A"/>
    <w:rsid w:val="006B759B"/>
    <w:rsid w:val="006B78D8"/>
    <w:rsid w:val="006C113F"/>
    <w:rsid w:val="006C123E"/>
    <w:rsid w:val="006C1752"/>
    <w:rsid w:val="006C4460"/>
    <w:rsid w:val="006C4ED6"/>
    <w:rsid w:val="006C56D4"/>
    <w:rsid w:val="006C6924"/>
    <w:rsid w:val="006C7CA6"/>
    <w:rsid w:val="006D3E8A"/>
    <w:rsid w:val="006D61F6"/>
    <w:rsid w:val="006E279A"/>
    <w:rsid w:val="006E313B"/>
    <w:rsid w:val="006E4254"/>
    <w:rsid w:val="006E7227"/>
    <w:rsid w:val="006F438E"/>
    <w:rsid w:val="006F5416"/>
    <w:rsid w:val="006F7076"/>
    <w:rsid w:val="00705242"/>
    <w:rsid w:val="00706099"/>
    <w:rsid w:val="00706AD4"/>
    <w:rsid w:val="00707150"/>
    <w:rsid w:val="00710078"/>
    <w:rsid w:val="007140BE"/>
    <w:rsid w:val="007143B4"/>
    <w:rsid w:val="007211F5"/>
    <w:rsid w:val="00723946"/>
    <w:rsid w:val="007240E2"/>
    <w:rsid w:val="00725BB5"/>
    <w:rsid w:val="00730517"/>
    <w:rsid w:val="00730AE8"/>
    <w:rsid w:val="00730F1B"/>
    <w:rsid w:val="00733628"/>
    <w:rsid w:val="007342AC"/>
    <w:rsid w:val="00741493"/>
    <w:rsid w:val="00743C34"/>
    <w:rsid w:val="007457F6"/>
    <w:rsid w:val="00752180"/>
    <w:rsid w:val="00753CAB"/>
    <w:rsid w:val="00755202"/>
    <w:rsid w:val="00755D3A"/>
    <w:rsid w:val="007578D3"/>
    <w:rsid w:val="007609C6"/>
    <w:rsid w:val="00760EA4"/>
    <w:rsid w:val="0076175D"/>
    <w:rsid w:val="00763B85"/>
    <w:rsid w:val="00764744"/>
    <w:rsid w:val="0076521E"/>
    <w:rsid w:val="00765C12"/>
    <w:rsid w:val="007661E9"/>
    <w:rsid w:val="00773220"/>
    <w:rsid w:val="00776169"/>
    <w:rsid w:val="00776527"/>
    <w:rsid w:val="00776EAB"/>
    <w:rsid w:val="00780EF1"/>
    <w:rsid w:val="00782AD8"/>
    <w:rsid w:val="00790711"/>
    <w:rsid w:val="00790764"/>
    <w:rsid w:val="0079124F"/>
    <w:rsid w:val="0079453C"/>
    <w:rsid w:val="00794677"/>
    <w:rsid w:val="00795928"/>
    <w:rsid w:val="00797445"/>
    <w:rsid w:val="007A3861"/>
    <w:rsid w:val="007A4577"/>
    <w:rsid w:val="007A516D"/>
    <w:rsid w:val="007B6689"/>
    <w:rsid w:val="007C6BBD"/>
    <w:rsid w:val="007D293C"/>
    <w:rsid w:val="007D40DF"/>
    <w:rsid w:val="007E29B4"/>
    <w:rsid w:val="007E435A"/>
    <w:rsid w:val="007E7E61"/>
    <w:rsid w:val="007E7FCE"/>
    <w:rsid w:val="007F0845"/>
    <w:rsid w:val="007F708D"/>
    <w:rsid w:val="00800216"/>
    <w:rsid w:val="00801E13"/>
    <w:rsid w:val="00807365"/>
    <w:rsid w:val="00807C82"/>
    <w:rsid w:val="00810C82"/>
    <w:rsid w:val="00811E1D"/>
    <w:rsid w:val="00814B15"/>
    <w:rsid w:val="00816905"/>
    <w:rsid w:val="00821777"/>
    <w:rsid w:val="00821C44"/>
    <w:rsid w:val="00821FF6"/>
    <w:rsid w:val="00822574"/>
    <w:rsid w:val="00825C4D"/>
    <w:rsid w:val="008304D1"/>
    <w:rsid w:val="0083143E"/>
    <w:rsid w:val="00831CDE"/>
    <w:rsid w:val="00834304"/>
    <w:rsid w:val="00834FAA"/>
    <w:rsid w:val="0083516C"/>
    <w:rsid w:val="00836086"/>
    <w:rsid w:val="00846121"/>
    <w:rsid w:val="008462A8"/>
    <w:rsid w:val="0084708F"/>
    <w:rsid w:val="008477C8"/>
    <w:rsid w:val="00847963"/>
    <w:rsid w:val="00850815"/>
    <w:rsid w:val="0085114D"/>
    <w:rsid w:val="00852217"/>
    <w:rsid w:val="00853B8D"/>
    <w:rsid w:val="00854F24"/>
    <w:rsid w:val="00855408"/>
    <w:rsid w:val="00855712"/>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542E"/>
    <w:rsid w:val="008B5CF6"/>
    <w:rsid w:val="008B76AB"/>
    <w:rsid w:val="008B7C02"/>
    <w:rsid w:val="008B7D2B"/>
    <w:rsid w:val="008C0049"/>
    <w:rsid w:val="008C0E88"/>
    <w:rsid w:val="008C1968"/>
    <w:rsid w:val="008C53CB"/>
    <w:rsid w:val="008C6FD4"/>
    <w:rsid w:val="008D1BA1"/>
    <w:rsid w:val="008D1E6A"/>
    <w:rsid w:val="008D2A16"/>
    <w:rsid w:val="008D6B35"/>
    <w:rsid w:val="008E163D"/>
    <w:rsid w:val="008E2C57"/>
    <w:rsid w:val="008E31FF"/>
    <w:rsid w:val="008E57BE"/>
    <w:rsid w:val="008E6F06"/>
    <w:rsid w:val="008E7FC9"/>
    <w:rsid w:val="008F029B"/>
    <w:rsid w:val="008F3FC9"/>
    <w:rsid w:val="008F585B"/>
    <w:rsid w:val="009003A8"/>
    <w:rsid w:val="00901518"/>
    <w:rsid w:val="00902500"/>
    <w:rsid w:val="00902EFF"/>
    <w:rsid w:val="00906401"/>
    <w:rsid w:val="0091155E"/>
    <w:rsid w:val="00912A92"/>
    <w:rsid w:val="0091728D"/>
    <w:rsid w:val="0092180B"/>
    <w:rsid w:val="00921F14"/>
    <w:rsid w:val="009231A3"/>
    <w:rsid w:val="00924AC8"/>
    <w:rsid w:val="0092597A"/>
    <w:rsid w:val="00925E75"/>
    <w:rsid w:val="00930FB1"/>
    <w:rsid w:val="0093139F"/>
    <w:rsid w:val="00932443"/>
    <w:rsid w:val="00937AE2"/>
    <w:rsid w:val="00943853"/>
    <w:rsid w:val="0094427A"/>
    <w:rsid w:val="00945245"/>
    <w:rsid w:val="009452D0"/>
    <w:rsid w:val="00956572"/>
    <w:rsid w:val="00957309"/>
    <w:rsid w:val="0095759C"/>
    <w:rsid w:val="00961532"/>
    <w:rsid w:val="0096774F"/>
    <w:rsid w:val="00967E76"/>
    <w:rsid w:val="009721DB"/>
    <w:rsid w:val="0097239B"/>
    <w:rsid w:val="00974923"/>
    <w:rsid w:val="009808F7"/>
    <w:rsid w:val="00980D3D"/>
    <w:rsid w:val="00981FFA"/>
    <w:rsid w:val="009855E1"/>
    <w:rsid w:val="00987A30"/>
    <w:rsid w:val="00992CF3"/>
    <w:rsid w:val="00994868"/>
    <w:rsid w:val="0099574A"/>
    <w:rsid w:val="009968D6"/>
    <w:rsid w:val="009A1CAB"/>
    <w:rsid w:val="009A60D1"/>
    <w:rsid w:val="009B6FD3"/>
    <w:rsid w:val="009C1750"/>
    <w:rsid w:val="009C2E29"/>
    <w:rsid w:val="009C554B"/>
    <w:rsid w:val="009C719E"/>
    <w:rsid w:val="009C7A10"/>
    <w:rsid w:val="009D1120"/>
    <w:rsid w:val="009D3ACD"/>
    <w:rsid w:val="009E5273"/>
    <w:rsid w:val="009E5DDB"/>
    <w:rsid w:val="009E7F05"/>
    <w:rsid w:val="009F46B7"/>
    <w:rsid w:val="009F4CA7"/>
    <w:rsid w:val="009F791A"/>
    <w:rsid w:val="00A04CEF"/>
    <w:rsid w:val="00A10D66"/>
    <w:rsid w:val="00A14114"/>
    <w:rsid w:val="00A1537C"/>
    <w:rsid w:val="00A16413"/>
    <w:rsid w:val="00A16E1D"/>
    <w:rsid w:val="00A17D5B"/>
    <w:rsid w:val="00A17EB2"/>
    <w:rsid w:val="00A206E5"/>
    <w:rsid w:val="00A20CC0"/>
    <w:rsid w:val="00A23447"/>
    <w:rsid w:val="00A23E43"/>
    <w:rsid w:val="00A25216"/>
    <w:rsid w:val="00A30F65"/>
    <w:rsid w:val="00A33549"/>
    <w:rsid w:val="00A33A89"/>
    <w:rsid w:val="00A40EAC"/>
    <w:rsid w:val="00A40EDD"/>
    <w:rsid w:val="00A418BC"/>
    <w:rsid w:val="00A4206C"/>
    <w:rsid w:val="00A46DE0"/>
    <w:rsid w:val="00A472EB"/>
    <w:rsid w:val="00A47FCA"/>
    <w:rsid w:val="00A50D73"/>
    <w:rsid w:val="00A52CAD"/>
    <w:rsid w:val="00A53FC7"/>
    <w:rsid w:val="00A62CE1"/>
    <w:rsid w:val="00A668A3"/>
    <w:rsid w:val="00A6741E"/>
    <w:rsid w:val="00A754EA"/>
    <w:rsid w:val="00A75E40"/>
    <w:rsid w:val="00A770F4"/>
    <w:rsid w:val="00A77D1D"/>
    <w:rsid w:val="00A84A6A"/>
    <w:rsid w:val="00A857C0"/>
    <w:rsid w:val="00A90FED"/>
    <w:rsid w:val="00AA2996"/>
    <w:rsid w:val="00AA2A70"/>
    <w:rsid w:val="00AA2DA1"/>
    <w:rsid w:val="00AA4B30"/>
    <w:rsid w:val="00AA52BF"/>
    <w:rsid w:val="00AA559A"/>
    <w:rsid w:val="00AB2AF1"/>
    <w:rsid w:val="00AB535B"/>
    <w:rsid w:val="00AC45BD"/>
    <w:rsid w:val="00AC5791"/>
    <w:rsid w:val="00AD168E"/>
    <w:rsid w:val="00AD306C"/>
    <w:rsid w:val="00AD4F16"/>
    <w:rsid w:val="00AD5323"/>
    <w:rsid w:val="00AD68C4"/>
    <w:rsid w:val="00AE09B3"/>
    <w:rsid w:val="00AE0ED3"/>
    <w:rsid w:val="00AE1A2E"/>
    <w:rsid w:val="00AE1A83"/>
    <w:rsid w:val="00AE31A7"/>
    <w:rsid w:val="00AF1DE9"/>
    <w:rsid w:val="00AF6128"/>
    <w:rsid w:val="00B00913"/>
    <w:rsid w:val="00B01593"/>
    <w:rsid w:val="00B01CF3"/>
    <w:rsid w:val="00B023F2"/>
    <w:rsid w:val="00B04705"/>
    <w:rsid w:val="00B04E70"/>
    <w:rsid w:val="00B07BBB"/>
    <w:rsid w:val="00B10A4D"/>
    <w:rsid w:val="00B14BC1"/>
    <w:rsid w:val="00B17E71"/>
    <w:rsid w:val="00B17FDE"/>
    <w:rsid w:val="00B2379C"/>
    <w:rsid w:val="00B25189"/>
    <w:rsid w:val="00B2687D"/>
    <w:rsid w:val="00B26897"/>
    <w:rsid w:val="00B32DDB"/>
    <w:rsid w:val="00B34528"/>
    <w:rsid w:val="00B34CC9"/>
    <w:rsid w:val="00B402FC"/>
    <w:rsid w:val="00B439DA"/>
    <w:rsid w:val="00B46604"/>
    <w:rsid w:val="00B50624"/>
    <w:rsid w:val="00B530CD"/>
    <w:rsid w:val="00B55F5E"/>
    <w:rsid w:val="00B5752E"/>
    <w:rsid w:val="00B63A11"/>
    <w:rsid w:val="00B63B6A"/>
    <w:rsid w:val="00B64C24"/>
    <w:rsid w:val="00B6608F"/>
    <w:rsid w:val="00B67768"/>
    <w:rsid w:val="00B679FB"/>
    <w:rsid w:val="00B71EF7"/>
    <w:rsid w:val="00B7665A"/>
    <w:rsid w:val="00B76D1E"/>
    <w:rsid w:val="00B8028A"/>
    <w:rsid w:val="00B80EC6"/>
    <w:rsid w:val="00B84CF6"/>
    <w:rsid w:val="00B92D1D"/>
    <w:rsid w:val="00B938C5"/>
    <w:rsid w:val="00B95940"/>
    <w:rsid w:val="00BA37EA"/>
    <w:rsid w:val="00BA5256"/>
    <w:rsid w:val="00BA6C2B"/>
    <w:rsid w:val="00BB22F6"/>
    <w:rsid w:val="00BB46F3"/>
    <w:rsid w:val="00BB4CB1"/>
    <w:rsid w:val="00BB4F98"/>
    <w:rsid w:val="00BB73ED"/>
    <w:rsid w:val="00BC5C12"/>
    <w:rsid w:val="00BC7154"/>
    <w:rsid w:val="00BC731E"/>
    <w:rsid w:val="00BD366B"/>
    <w:rsid w:val="00BD6D50"/>
    <w:rsid w:val="00BE18B9"/>
    <w:rsid w:val="00BE2495"/>
    <w:rsid w:val="00BF1578"/>
    <w:rsid w:val="00BF3B1D"/>
    <w:rsid w:val="00BF71A0"/>
    <w:rsid w:val="00BF723F"/>
    <w:rsid w:val="00C21F94"/>
    <w:rsid w:val="00C27913"/>
    <w:rsid w:val="00C27E4F"/>
    <w:rsid w:val="00C325AE"/>
    <w:rsid w:val="00C32964"/>
    <w:rsid w:val="00C33B68"/>
    <w:rsid w:val="00C36A79"/>
    <w:rsid w:val="00C401D2"/>
    <w:rsid w:val="00C405D4"/>
    <w:rsid w:val="00C4431F"/>
    <w:rsid w:val="00C4513B"/>
    <w:rsid w:val="00C5390B"/>
    <w:rsid w:val="00C53E5D"/>
    <w:rsid w:val="00C54141"/>
    <w:rsid w:val="00C5418A"/>
    <w:rsid w:val="00C54697"/>
    <w:rsid w:val="00C65535"/>
    <w:rsid w:val="00C66B0D"/>
    <w:rsid w:val="00C71E85"/>
    <w:rsid w:val="00C72884"/>
    <w:rsid w:val="00C73885"/>
    <w:rsid w:val="00C747B1"/>
    <w:rsid w:val="00C82191"/>
    <w:rsid w:val="00C83134"/>
    <w:rsid w:val="00C85545"/>
    <w:rsid w:val="00C9003C"/>
    <w:rsid w:val="00C90CF4"/>
    <w:rsid w:val="00C92EB6"/>
    <w:rsid w:val="00C93389"/>
    <w:rsid w:val="00C96040"/>
    <w:rsid w:val="00CA0914"/>
    <w:rsid w:val="00CA6AB4"/>
    <w:rsid w:val="00CA7BE7"/>
    <w:rsid w:val="00CB4930"/>
    <w:rsid w:val="00CC0E87"/>
    <w:rsid w:val="00CC2E7D"/>
    <w:rsid w:val="00CD10A5"/>
    <w:rsid w:val="00CD2076"/>
    <w:rsid w:val="00CD29B5"/>
    <w:rsid w:val="00CD6331"/>
    <w:rsid w:val="00CD7AFB"/>
    <w:rsid w:val="00CE670B"/>
    <w:rsid w:val="00CF322D"/>
    <w:rsid w:val="00CF39C9"/>
    <w:rsid w:val="00CF4908"/>
    <w:rsid w:val="00CF51EC"/>
    <w:rsid w:val="00CF59E5"/>
    <w:rsid w:val="00CF73AE"/>
    <w:rsid w:val="00D040DD"/>
    <w:rsid w:val="00D075BE"/>
    <w:rsid w:val="00D13986"/>
    <w:rsid w:val="00D21D83"/>
    <w:rsid w:val="00D235B7"/>
    <w:rsid w:val="00D23C02"/>
    <w:rsid w:val="00D25F28"/>
    <w:rsid w:val="00D26071"/>
    <w:rsid w:val="00D27973"/>
    <w:rsid w:val="00D35E1A"/>
    <w:rsid w:val="00D37C1E"/>
    <w:rsid w:val="00D40B2B"/>
    <w:rsid w:val="00D40F7C"/>
    <w:rsid w:val="00D417B7"/>
    <w:rsid w:val="00D42211"/>
    <w:rsid w:val="00D42756"/>
    <w:rsid w:val="00D50F46"/>
    <w:rsid w:val="00D567C6"/>
    <w:rsid w:val="00D57677"/>
    <w:rsid w:val="00D61DF8"/>
    <w:rsid w:val="00D66223"/>
    <w:rsid w:val="00D674D7"/>
    <w:rsid w:val="00D71625"/>
    <w:rsid w:val="00D751DA"/>
    <w:rsid w:val="00D8084C"/>
    <w:rsid w:val="00D915EA"/>
    <w:rsid w:val="00D96855"/>
    <w:rsid w:val="00DA47A8"/>
    <w:rsid w:val="00DA48C1"/>
    <w:rsid w:val="00DA7C0C"/>
    <w:rsid w:val="00DB08A9"/>
    <w:rsid w:val="00DB2EC8"/>
    <w:rsid w:val="00DB5AF8"/>
    <w:rsid w:val="00DB5FC0"/>
    <w:rsid w:val="00DB6566"/>
    <w:rsid w:val="00DC1B9B"/>
    <w:rsid w:val="00DC1E84"/>
    <w:rsid w:val="00DC40D2"/>
    <w:rsid w:val="00DC48F1"/>
    <w:rsid w:val="00DC5B3B"/>
    <w:rsid w:val="00DD129F"/>
    <w:rsid w:val="00DD4EFE"/>
    <w:rsid w:val="00DE02BD"/>
    <w:rsid w:val="00DE5DBA"/>
    <w:rsid w:val="00DF42FF"/>
    <w:rsid w:val="00DF5908"/>
    <w:rsid w:val="00E01C0E"/>
    <w:rsid w:val="00E03F9A"/>
    <w:rsid w:val="00E0465E"/>
    <w:rsid w:val="00E04694"/>
    <w:rsid w:val="00E063CE"/>
    <w:rsid w:val="00E12B1E"/>
    <w:rsid w:val="00E17262"/>
    <w:rsid w:val="00E253A2"/>
    <w:rsid w:val="00E314B9"/>
    <w:rsid w:val="00E329EF"/>
    <w:rsid w:val="00E3309D"/>
    <w:rsid w:val="00E409C2"/>
    <w:rsid w:val="00E43C1C"/>
    <w:rsid w:val="00E45931"/>
    <w:rsid w:val="00E47EBA"/>
    <w:rsid w:val="00E50156"/>
    <w:rsid w:val="00E51643"/>
    <w:rsid w:val="00E53470"/>
    <w:rsid w:val="00E53874"/>
    <w:rsid w:val="00E539F6"/>
    <w:rsid w:val="00E54E39"/>
    <w:rsid w:val="00E55091"/>
    <w:rsid w:val="00E6519D"/>
    <w:rsid w:val="00E67696"/>
    <w:rsid w:val="00E71654"/>
    <w:rsid w:val="00E71A58"/>
    <w:rsid w:val="00E72A7A"/>
    <w:rsid w:val="00E75C94"/>
    <w:rsid w:val="00E849A6"/>
    <w:rsid w:val="00E91024"/>
    <w:rsid w:val="00E920F4"/>
    <w:rsid w:val="00E93820"/>
    <w:rsid w:val="00E94A86"/>
    <w:rsid w:val="00E96143"/>
    <w:rsid w:val="00EA038B"/>
    <w:rsid w:val="00EA0987"/>
    <w:rsid w:val="00EA0C68"/>
    <w:rsid w:val="00EA32BC"/>
    <w:rsid w:val="00EA4302"/>
    <w:rsid w:val="00EA6C97"/>
    <w:rsid w:val="00EA7407"/>
    <w:rsid w:val="00EB39C7"/>
    <w:rsid w:val="00EB3D8F"/>
    <w:rsid w:val="00EB4511"/>
    <w:rsid w:val="00EC03D7"/>
    <w:rsid w:val="00ED62C6"/>
    <w:rsid w:val="00ED64C1"/>
    <w:rsid w:val="00EE0E68"/>
    <w:rsid w:val="00EE3446"/>
    <w:rsid w:val="00EE3E78"/>
    <w:rsid w:val="00EE4B1B"/>
    <w:rsid w:val="00EE7F19"/>
    <w:rsid w:val="00EF150D"/>
    <w:rsid w:val="00EF1F5A"/>
    <w:rsid w:val="00EF47BF"/>
    <w:rsid w:val="00EF6DB3"/>
    <w:rsid w:val="00F04811"/>
    <w:rsid w:val="00F0488C"/>
    <w:rsid w:val="00F10F11"/>
    <w:rsid w:val="00F15AAA"/>
    <w:rsid w:val="00F15BEF"/>
    <w:rsid w:val="00F17E83"/>
    <w:rsid w:val="00F24407"/>
    <w:rsid w:val="00F24931"/>
    <w:rsid w:val="00F24FAA"/>
    <w:rsid w:val="00F252A0"/>
    <w:rsid w:val="00F3364D"/>
    <w:rsid w:val="00F437CC"/>
    <w:rsid w:val="00F43E29"/>
    <w:rsid w:val="00F44537"/>
    <w:rsid w:val="00F44B6A"/>
    <w:rsid w:val="00F47067"/>
    <w:rsid w:val="00F50FC3"/>
    <w:rsid w:val="00F5188A"/>
    <w:rsid w:val="00F52106"/>
    <w:rsid w:val="00F525EB"/>
    <w:rsid w:val="00F63DDE"/>
    <w:rsid w:val="00F63FB7"/>
    <w:rsid w:val="00F6421B"/>
    <w:rsid w:val="00F649D2"/>
    <w:rsid w:val="00F6602B"/>
    <w:rsid w:val="00F66643"/>
    <w:rsid w:val="00F66FD9"/>
    <w:rsid w:val="00F67C4E"/>
    <w:rsid w:val="00F70D20"/>
    <w:rsid w:val="00F73A0C"/>
    <w:rsid w:val="00F756DB"/>
    <w:rsid w:val="00F84E7D"/>
    <w:rsid w:val="00F85066"/>
    <w:rsid w:val="00F87A4D"/>
    <w:rsid w:val="00F90035"/>
    <w:rsid w:val="00F9785E"/>
    <w:rsid w:val="00FA5D4D"/>
    <w:rsid w:val="00FA60AD"/>
    <w:rsid w:val="00FA7115"/>
    <w:rsid w:val="00FB0EE2"/>
    <w:rsid w:val="00FB4423"/>
    <w:rsid w:val="00FB542E"/>
    <w:rsid w:val="00FB6631"/>
    <w:rsid w:val="00FC0E5F"/>
    <w:rsid w:val="00FC1A95"/>
    <w:rsid w:val="00FC56DE"/>
    <w:rsid w:val="00FC6700"/>
    <w:rsid w:val="00FC684B"/>
    <w:rsid w:val="00FD3265"/>
    <w:rsid w:val="00FD5F92"/>
    <w:rsid w:val="00FD66F9"/>
    <w:rsid w:val="00FD78F8"/>
    <w:rsid w:val="00FE2F78"/>
    <w:rsid w:val="00FF4082"/>
    <w:rsid w:val="00FF7090"/>
    <w:rsid w:val="00FF7B96"/>
    <w:rsid w:val="010E6CF6"/>
    <w:rsid w:val="0274CEEB"/>
    <w:rsid w:val="11D0C0D9"/>
    <w:rsid w:val="1C7F89FF"/>
    <w:rsid w:val="304DB734"/>
    <w:rsid w:val="30D0B3BE"/>
    <w:rsid w:val="52CC52E2"/>
    <w:rsid w:val="55C2456F"/>
    <w:rsid w:val="614CA75B"/>
    <w:rsid w:val="6B2670A5"/>
    <w:rsid w:val="6E1EAC99"/>
    <w:rsid w:val="7BDB84E4"/>
    <w:rsid w:val="7DB22EB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ecf4dd,#eaecee,#fcec0a,#fcecdb,#f1daf5"/>
    </o:shapedefaults>
    <o:shapelayout v:ext="edit">
      <o:idmap v:ext="edit" data="2"/>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tabs>
        <w:tab w:val="num" w:pos="360"/>
      </w:tabs>
      <w:spacing w:before="200" w:after="0"/>
      <w:ind w:left="0" w:firstLine="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tabs>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tabs>
        <w:tab w:val="num" w:pos="360"/>
      </w:tabs>
      <w:spacing w:before="200" w:after="0"/>
      <w:ind w:left="0" w:firstLine="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tabs>
        <w:tab w:val="num" w:pos="360"/>
      </w:tabs>
      <w:spacing w:before="240" w:after="60"/>
      <w:ind w:left="0" w:firstLine="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link w:val="OdstavecseseznamemChar"/>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styleId="Odkaznakoment">
    <w:name w:val="annotation reference"/>
    <w:basedOn w:val="Standardnpsmoodstavce"/>
    <w:uiPriority w:val="99"/>
    <w:semiHidden/>
    <w:unhideWhenUsed/>
    <w:rsid w:val="00545512"/>
    <w:rPr>
      <w:sz w:val="16"/>
      <w:szCs w:val="16"/>
    </w:rPr>
  </w:style>
  <w:style w:type="paragraph" w:styleId="Textkomente">
    <w:name w:val="annotation text"/>
    <w:basedOn w:val="Normln"/>
    <w:link w:val="TextkomenteChar"/>
    <w:uiPriority w:val="99"/>
    <w:unhideWhenUsed/>
    <w:rsid w:val="00545512"/>
    <w:pPr>
      <w:spacing w:line="240" w:lineRule="auto"/>
    </w:pPr>
    <w:rPr>
      <w:szCs w:val="20"/>
    </w:rPr>
  </w:style>
  <w:style w:type="character" w:customStyle="1" w:styleId="TextkomenteChar">
    <w:name w:val="Text komentáře Char"/>
    <w:basedOn w:val="Standardnpsmoodstavce"/>
    <w:link w:val="Textkomente"/>
    <w:uiPriority w:val="99"/>
    <w:rsid w:val="00545512"/>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545512"/>
    <w:rPr>
      <w:b/>
      <w:bCs/>
    </w:rPr>
  </w:style>
  <w:style w:type="character" w:customStyle="1" w:styleId="PedmtkomenteChar">
    <w:name w:val="Předmět komentáře Char"/>
    <w:basedOn w:val="TextkomenteChar"/>
    <w:link w:val="Pedmtkomente"/>
    <w:uiPriority w:val="99"/>
    <w:semiHidden/>
    <w:rsid w:val="00545512"/>
    <w:rPr>
      <w:rFonts w:ascii="Arial" w:eastAsia="Times New Roman" w:hAnsi="Arial"/>
      <w:b/>
      <w:bCs/>
      <w:lang w:eastAsia="cs-CZ"/>
    </w:rPr>
  </w:style>
  <w:style w:type="paragraph" w:styleId="Rozloendokumentu">
    <w:name w:val="Document Map"/>
    <w:basedOn w:val="Normln"/>
    <w:link w:val="RozloendokumentuChar"/>
    <w:uiPriority w:val="99"/>
    <w:semiHidden/>
    <w:rsid w:val="00545512"/>
    <w:pPr>
      <w:spacing w:after="0" w:line="288" w:lineRule="auto"/>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545512"/>
    <w:rPr>
      <w:rFonts w:ascii="Tahoma" w:hAnsi="Tahoma" w:cs="Tahoma"/>
      <w:sz w:val="16"/>
      <w:szCs w:val="16"/>
      <w:lang w:eastAsia="cs-CZ"/>
    </w:rPr>
  </w:style>
  <w:style w:type="paragraph" w:customStyle="1" w:styleId="Nadpis12">
    <w:name w:val="Nadpis 12"/>
    <w:basedOn w:val="Normln"/>
    <w:uiPriority w:val="9"/>
    <w:qFormat/>
    <w:rsid w:val="00545512"/>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545512"/>
  </w:style>
  <w:style w:type="paragraph" w:styleId="Revize">
    <w:name w:val="Revision"/>
    <w:hidden/>
    <w:uiPriority w:val="99"/>
    <w:semiHidden/>
    <w:rsid w:val="00545512"/>
    <w:rPr>
      <w:rFonts w:ascii="Arial" w:eastAsia="Times New Roman" w:hAnsi="Arial"/>
      <w:szCs w:val="24"/>
      <w:lang w:eastAsia="cs-CZ"/>
    </w:rPr>
  </w:style>
  <w:style w:type="character" w:customStyle="1" w:styleId="odkaz-style-wrapper">
    <w:name w:val="odkaz-style-wrapper"/>
    <w:basedOn w:val="Standardnpsmoodstavce"/>
    <w:rsid w:val="00545512"/>
  </w:style>
  <w:style w:type="character" w:customStyle="1" w:styleId="tabulka">
    <w:name w:val="tabulka"/>
    <w:basedOn w:val="Standardnpsmoodstavce"/>
    <w:rsid w:val="00545512"/>
  </w:style>
  <w:style w:type="paragraph" w:customStyle="1" w:styleId="Default">
    <w:name w:val="Default"/>
    <w:rsid w:val="00545512"/>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545512"/>
    <w:pPr>
      <w:spacing w:before="100" w:beforeAutospacing="1" w:after="100" w:afterAutospacing="1" w:line="240" w:lineRule="auto"/>
      <w:jc w:val="left"/>
    </w:pPr>
    <w:rPr>
      <w:rFonts w:ascii="Times New Roman" w:hAnsi="Times New Roman"/>
      <w:sz w:val="24"/>
    </w:rPr>
  </w:style>
  <w:style w:type="paragraph" w:styleId="FormtovanvHTML">
    <w:name w:val="HTML Preformatted"/>
    <w:basedOn w:val="Normln"/>
    <w:link w:val="FormtovanvHTMLChar"/>
    <w:uiPriority w:val="99"/>
    <w:semiHidden/>
    <w:unhideWhenUsed/>
    <w:rsid w:val="0054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545512"/>
    <w:rPr>
      <w:rFonts w:ascii="Courier New" w:eastAsia="Times New Roman" w:hAnsi="Courier New" w:cs="Courier New"/>
      <w:lang w:eastAsia="cs-CZ"/>
    </w:rPr>
  </w:style>
  <w:style w:type="paragraph" w:customStyle="1" w:styleId="cay">
    <w:name w:val="c_ay"/>
    <w:basedOn w:val="Normln"/>
    <w:rsid w:val="00545512"/>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545512"/>
  </w:style>
  <w:style w:type="character" w:styleId="Sledovanodkaz">
    <w:name w:val="FollowedHyperlink"/>
    <w:basedOn w:val="Standardnpsmoodstavce"/>
    <w:uiPriority w:val="99"/>
    <w:semiHidden/>
    <w:unhideWhenUsed/>
    <w:rsid w:val="00545512"/>
    <w:rPr>
      <w:color w:val="800080" w:themeColor="followedHyperlink"/>
      <w:u w:val="single"/>
    </w:rPr>
  </w:style>
  <w:style w:type="character" w:customStyle="1" w:styleId="cfu">
    <w:name w:val="c_fu"/>
    <w:basedOn w:val="Standardnpsmoodstavce"/>
    <w:rsid w:val="00BF3B1D"/>
  </w:style>
  <w:style w:type="character" w:customStyle="1" w:styleId="OdstavecseseznamemChar">
    <w:name w:val="Odstavec se seznamem Char"/>
    <w:basedOn w:val="Standardnpsmoodstavce"/>
    <w:link w:val="Odstavecseseznamem"/>
    <w:uiPriority w:val="34"/>
    <w:rsid w:val="00CF59E5"/>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6344914">
      <w:bodyDiv w:val="1"/>
      <w:marLeft w:val="0"/>
      <w:marRight w:val="0"/>
      <w:marTop w:val="0"/>
      <w:marBottom w:val="0"/>
      <w:divBdr>
        <w:top w:val="none" w:sz="0" w:space="0" w:color="auto"/>
        <w:left w:val="none" w:sz="0" w:space="0" w:color="auto"/>
        <w:bottom w:val="none" w:sz="0" w:space="0" w:color="auto"/>
        <w:right w:val="none" w:sz="0" w:space="0" w:color="auto"/>
      </w:divBdr>
    </w:div>
    <w:div w:id="11051791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370128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66721734">
      <w:bodyDiv w:val="1"/>
      <w:marLeft w:val="0"/>
      <w:marRight w:val="0"/>
      <w:marTop w:val="0"/>
      <w:marBottom w:val="0"/>
      <w:divBdr>
        <w:top w:val="none" w:sz="0" w:space="0" w:color="auto"/>
        <w:left w:val="none" w:sz="0" w:space="0" w:color="auto"/>
        <w:bottom w:val="none" w:sz="0" w:space="0" w:color="auto"/>
        <w:right w:val="none" w:sz="0" w:space="0" w:color="auto"/>
      </w:divBdr>
    </w:div>
    <w:div w:id="1639457441">
      <w:bodyDiv w:val="1"/>
      <w:marLeft w:val="0"/>
      <w:marRight w:val="0"/>
      <w:marTop w:val="0"/>
      <w:marBottom w:val="0"/>
      <w:divBdr>
        <w:top w:val="none" w:sz="0" w:space="0" w:color="auto"/>
        <w:left w:val="none" w:sz="0" w:space="0" w:color="auto"/>
        <w:bottom w:val="none" w:sz="0" w:space="0" w:color="auto"/>
        <w:right w:val="none" w:sz="0" w:space="0" w:color="auto"/>
      </w:divBdr>
    </w:div>
    <w:div w:id="1716924412">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06206753">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zso.cz/csu/czso/aktualizace-metody-propoctu-zahranicni-obchod-se-zbozi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5Q3/Makroanal&#253;za%20graf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24074074074073E-2"/>
          <c:y val="4.0005727376861394E-2"/>
          <c:w val="0.88059911616161612"/>
          <c:h val="0.76044243986254301"/>
        </c:manualLayout>
      </c:layout>
      <c:barChart>
        <c:barDir val="col"/>
        <c:grouping val="clustered"/>
        <c:varyColors val="0"/>
        <c:ser>
          <c:idx val="2"/>
          <c:order val="2"/>
          <c:tx>
            <c:strRef>
              <c:f>'Vnější vztahy'!$E$6</c:f>
              <c:strCache>
                <c:ptCount val="1"/>
                <c:pt idx="0">
                  <c:v>Bilance</c:v>
                </c:pt>
              </c:strCache>
            </c:strRef>
          </c:tx>
          <c:spPr>
            <a:solidFill>
              <a:srgbClr val="85898E"/>
            </a:solidFill>
            <a:ln>
              <a:noFill/>
            </a:ln>
            <a:effectLst/>
          </c:spPr>
          <c:invertIfNegative val="0"/>
          <c:cat>
            <c:multiLvlStrRef>
              <c:f>'Vnější vztahy'!$A$11:$B$33</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'Vnější vztahy'!$E$11:$E$33</c:f>
              <c:numCache>
                <c:formatCode>0.0</c:formatCode>
                <c:ptCount val="23"/>
                <c:pt idx="0">
                  <c:v>36.182428658999996</c:v>
                </c:pt>
                <c:pt idx="1">
                  <c:v>9.2911503559999993</c:v>
                </c:pt>
                <c:pt idx="2">
                  <c:v>55.286836668000007</c:v>
                </c:pt>
                <c:pt idx="3">
                  <c:v>78.879761297999991</c:v>
                </c:pt>
                <c:pt idx="4">
                  <c:v>60.916821217999995</c:v>
                </c:pt>
                <c:pt idx="5">
                  <c:v>13.848192235000001</c:v>
                </c:pt>
                <c:pt idx="6">
                  <c:v>-54.700282055000002</c:v>
                </c:pt>
                <c:pt idx="7">
                  <c:v>-29.269374235000001</c:v>
                </c:pt>
                <c:pt idx="8">
                  <c:v>-12.635912592</c:v>
                </c:pt>
                <c:pt idx="9">
                  <c:v>-73.225200095999995</c:v>
                </c:pt>
                <c:pt idx="10">
                  <c:v>-64.314002961</c:v>
                </c:pt>
                <c:pt idx="11">
                  <c:v>-54.639469009000003</c:v>
                </c:pt>
                <c:pt idx="12">
                  <c:v>40.885161205999999</c:v>
                </c:pt>
                <c:pt idx="13">
                  <c:v>36.180839551999995</c:v>
                </c:pt>
                <c:pt idx="14">
                  <c:v>-1.2235418870000001</c:v>
                </c:pt>
                <c:pt idx="15">
                  <c:v>46.660049057999998</c:v>
                </c:pt>
                <c:pt idx="16">
                  <c:v>82.282917839000007</c:v>
                </c:pt>
                <c:pt idx="17">
                  <c:v>70.988541018000006</c:v>
                </c:pt>
                <c:pt idx="18">
                  <c:v>27.293198606000001</c:v>
                </c:pt>
                <c:pt idx="19">
                  <c:v>39.924275514999998</c:v>
                </c:pt>
                <c:pt idx="20">
                  <c:v>77.363918248999994</c:v>
                </c:pt>
                <c:pt idx="21">
                  <c:v>58.356692861000006</c:v>
                </c:pt>
                <c:pt idx="22">
                  <c:v>33.916331454000002</c:v>
                </c:pt>
              </c:numCache>
            </c:numRef>
          </c:val>
          <c:extLst>
            <c:ext xmlns:c16="http://schemas.microsoft.com/office/drawing/2014/chart" uri="{C3380CC4-5D6E-409C-BE32-E72D297353CC}">
              <c16:uniqueId val="{00000000-1697-4C31-B6EB-50F81B915270}"/>
            </c:ext>
          </c:extLst>
        </c:ser>
        <c:dLbls>
          <c:showLegendKey val="0"/>
          <c:showVal val="0"/>
          <c:showCatName val="0"/>
          <c:showSerName val="0"/>
          <c:showPercent val="0"/>
          <c:showBubbleSize val="0"/>
        </c:dLbls>
        <c:gapWidth val="90"/>
        <c:axId val="1842150016"/>
        <c:axId val="1842137120"/>
      </c:barChart>
      <c:lineChart>
        <c:grouping val="standard"/>
        <c:varyColors val="0"/>
        <c:ser>
          <c:idx val="0"/>
          <c:order val="0"/>
          <c:tx>
            <c:strRef>
              <c:f>'Vnější vztahy'!$C$6</c:f>
              <c:strCache>
                <c:ptCount val="1"/>
                <c:pt idx="0">
                  <c:v>Vývoz</c:v>
                </c:pt>
              </c:strCache>
            </c:strRef>
          </c:tx>
          <c:spPr>
            <a:ln w="28575" cap="rnd">
              <a:noFill/>
              <a:round/>
            </a:ln>
            <a:effectLst/>
          </c:spPr>
          <c:marker>
            <c:symbol val="dash"/>
            <c:size val="9"/>
            <c:spPr>
              <a:solidFill>
                <a:srgbClr val="174F70"/>
              </a:solidFill>
              <a:ln w="9525">
                <a:noFill/>
              </a:ln>
              <a:effectLst/>
            </c:spPr>
          </c:marker>
          <c:cat>
            <c:multiLvlStrRef>
              <c:f>'Vnější vztahy'!$A$11:$B$33</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'Vnější vztahy'!$C$11:$C$33</c:f>
              <c:numCache>
                <c:formatCode>#\ ##0.0</c:formatCode>
                <c:ptCount val="23"/>
                <c:pt idx="0">
                  <c:v>-6.4135636115999972</c:v>
                </c:pt>
                <c:pt idx="1">
                  <c:v>-25.037497579399997</c:v>
                </c:pt>
                <c:pt idx="2">
                  <c:v>-3.5785611728999953</c:v>
                </c:pt>
                <c:pt idx="3">
                  <c:v>7.411852265899995</c:v>
                </c:pt>
                <c:pt idx="4">
                  <c:v>10.962313304399999</c:v>
                </c:pt>
                <c:pt idx="5">
                  <c:v>41.981094956100009</c:v>
                </c:pt>
                <c:pt idx="6">
                  <c:v>3.4515742189000065</c:v>
                </c:pt>
                <c:pt idx="7">
                  <c:v>2.749198525500006</c:v>
                </c:pt>
                <c:pt idx="8">
                  <c:v>8.0064988441999958</c:v>
                </c:pt>
                <c:pt idx="9">
                  <c:v>11.287163968300007</c:v>
                </c:pt>
                <c:pt idx="10">
                  <c:v>22.470879917399998</c:v>
                </c:pt>
                <c:pt idx="11">
                  <c:v>13.234980039600003</c:v>
                </c:pt>
                <c:pt idx="12">
                  <c:v>10.691327997000002</c:v>
                </c:pt>
                <c:pt idx="13">
                  <c:v>0.90534101039999371</c:v>
                </c:pt>
                <c:pt idx="14">
                  <c:v>-6.7264620790000009</c:v>
                </c:pt>
                <c:pt idx="15">
                  <c:v>-1.1504207308999952</c:v>
                </c:pt>
                <c:pt idx="16">
                  <c:v>-8.6901433099995984E-2</c:v>
                </c:pt>
                <c:pt idx="17">
                  <c:v>4.7005744015000062</c:v>
                </c:pt>
                <c:pt idx="18">
                  <c:v>10.984825847799996</c:v>
                </c:pt>
                <c:pt idx="19">
                  <c:v>4.9824641242999945</c:v>
                </c:pt>
                <c:pt idx="20">
                  <c:v>6.1245863240999938</c:v>
                </c:pt>
                <c:pt idx="21">
                  <c:v>3.0597973499999966</c:v>
                </c:pt>
                <c:pt idx="22">
                  <c:v>1.2744279246000048</c:v>
                </c:pt>
              </c:numCache>
            </c:numRef>
          </c:val>
          <c:smooth val="0"/>
          <c:extLst>
            <c:ext xmlns:c16="http://schemas.microsoft.com/office/drawing/2014/chart" uri="{C3380CC4-5D6E-409C-BE32-E72D297353CC}">
              <c16:uniqueId val="{00000001-1697-4C31-B6EB-50F81B915270}"/>
            </c:ext>
          </c:extLst>
        </c:ser>
        <c:ser>
          <c:idx val="1"/>
          <c:order val="1"/>
          <c:tx>
            <c:strRef>
              <c:f>'Vnější vztahy'!$D$6</c:f>
              <c:strCache>
                <c:ptCount val="1"/>
                <c:pt idx="0">
                  <c:v>Dovoz</c:v>
                </c:pt>
              </c:strCache>
            </c:strRef>
          </c:tx>
          <c:spPr>
            <a:ln w="28575" cap="rnd">
              <a:noFill/>
              <a:round/>
            </a:ln>
            <a:effectLst/>
          </c:spPr>
          <c:marker>
            <c:symbol val="dash"/>
            <c:size val="9"/>
            <c:spPr>
              <a:solidFill>
                <a:srgbClr val="BC5B80"/>
              </a:solidFill>
              <a:ln w="9525">
                <a:noFill/>
              </a:ln>
              <a:effectLst/>
            </c:spPr>
          </c:marker>
          <c:cat>
            <c:multiLvlStrRef>
              <c:f>'Vnější vztahy'!$A$11:$B$33</c:f>
              <c:multiLvlStrCache>
                <c:ptCount val="2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lvl>
                <c:lvl>
                  <c:pt idx="0">
                    <c:v>2020</c:v>
                  </c:pt>
                  <c:pt idx="4">
                    <c:v>2021</c:v>
                  </c:pt>
                  <c:pt idx="8">
                    <c:v>2022</c:v>
                  </c:pt>
                  <c:pt idx="12">
                    <c:v>2023</c:v>
                  </c:pt>
                  <c:pt idx="16">
                    <c:v>2024</c:v>
                  </c:pt>
                  <c:pt idx="20">
                    <c:v>2025</c:v>
                  </c:pt>
                </c:lvl>
              </c:multiLvlStrCache>
            </c:multiLvlStrRef>
          </c:cat>
          <c:val>
            <c:numRef>
              <c:f>'Vnější vztahy'!$D$11:$D$33</c:f>
              <c:numCache>
                <c:formatCode>#\ ##0.0</c:formatCode>
                <c:ptCount val="23"/>
                <c:pt idx="0">
                  <c:v>-5.3981676209999989</c:v>
                </c:pt>
                <c:pt idx="1">
                  <c:v>-21.285728278400001</c:v>
                </c:pt>
                <c:pt idx="2">
                  <c:v>-6.8912364523999941</c:v>
                </c:pt>
                <c:pt idx="3">
                  <c:v>0.22314936540000474</c:v>
                </c:pt>
                <c:pt idx="4">
                  <c:v>8.4767312925000056</c:v>
                </c:pt>
                <c:pt idx="5">
                  <c:v>41.887499316600014</c:v>
                </c:pt>
                <c:pt idx="6">
                  <c:v>17.303793961099998</c:v>
                </c:pt>
                <c:pt idx="7">
                  <c:v>14.923030300799994</c:v>
                </c:pt>
                <c:pt idx="8">
                  <c:v>16.659765110899997</c:v>
                </c:pt>
                <c:pt idx="9">
                  <c:v>20.193090002000005</c:v>
                </c:pt>
                <c:pt idx="10">
                  <c:v>22.188267180799997</c:v>
                </c:pt>
                <c:pt idx="11">
                  <c:v>15.2991180633</c:v>
                </c:pt>
                <c:pt idx="12">
                  <c:v>5.5018043466999984</c:v>
                </c:pt>
                <c:pt idx="13">
                  <c:v>-8.2960208406999953</c:v>
                </c:pt>
                <c:pt idx="14">
                  <c:v>-11.801975368499996</c:v>
                </c:pt>
                <c:pt idx="15">
                  <c:v>-9.5344571271999996</c:v>
                </c:pt>
                <c:pt idx="16">
                  <c:v>-3.8011078601000037</c:v>
                </c:pt>
                <c:pt idx="17">
                  <c:v>1.682577773999995</c:v>
                </c:pt>
                <c:pt idx="18">
                  <c:v>8.1790772874000055</c:v>
                </c:pt>
                <c:pt idx="19">
                  <c:v>5.8165725733999949</c:v>
                </c:pt>
                <c:pt idx="20">
                  <c:v>7.0525692494999959</c:v>
                </c:pt>
                <c:pt idx="21">
                  <c:v>4.3869783841000043</c:v>
                </c:pt>
                <c:pt idx="22">
                  <c:v>0.70636290989999395</c:v>
                </c:pt>
              </c:numCache>
            </c:numRef>
          </c:val>
          <c:smooth val="0"/>
          <c:extLst>
            <c:ext xmlns:c16="http://schemas.microsoft.com/office/drawing/2014/chart" uri="{C3380CC4-5D6E-409C-BE32-E72D297353CC}">
              <c16:uniqueId val="{00000002-1697-4C31-B6EB-50F81B915270}"/>
            </c:ext>
          </c:extLst>
        </c:ser>
        <c:dLbls>
          <c:showLegendKey val="0"/>
          <c:showVal val="0"/>
          <c:showCatName val="0"/>
          <c:showSerName val="0"/>
          <c:showPercent val="0"/>
          <c:showBubbleSize val="0"/>
        </c:dLbls>
        <c:marker val="1"/>
        <c:smooth val="0"/>
        <c:axId val="1621653648"/>
        <c:axId val="1621653232"/>
      </c:lineChart>
      <c:catAx>
        <c:axId val="162165364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621653232"/>
        <c:crosses val="autoZero"/>
        <c:auto val="1"/>
        <c:lblAlgn val="ctr"/>
        <c:lblOffset val="100"/>
        <c:noMultiLvlLbl val="0"/>
      </c:catAx>
      <c:valAx>
        <c:axId val="1621653232"/>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621653648"/>
        <c:crosses val="autoZero"/>
        <c:crossBetween val="between"/>
      </c:valAx>
      <c:valAx>
        <c:axId val="1842137120"/>
        <c:scaling>
          <c:orientation val="minMax"/>
          <c:min val="-8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842150016"/>
        <c:crosses val="max"/>
        <c:crossBetween val="between"/>
      </c:valAx>
      <c:catAx>
        <c:axId val="1842150016"/>
        <c:scaling>
          <c:orientation val="minMax"/>
        </c:scaling>
        <c:delete val="1"/>
        <c:axPos val="b"/>
        <c:numFmt formatCode="General" sourceLinked="1"/>
        <c:majorTickMark val="out"/>
        <c:minorTickMark val="none"/>
        <c:tickLblPos val="nextTo"/>
        <c:crossAx val="1842137120"/>
        <c:crosses val="autoZero"/>
        <c:auto val="1"/>
        <c:lblAlgn val="ctr"/>
        <c:lblOffset val="100"/>
        <c:noMultiLvlLbl val="0"/>
      </c:catAx>
      <c:spPr>
        <a:noFill/>
        <a:ln>
          <a:noFill/>
        </a:ln>
        <a:effectLst/>
      </c:spPr>
    </c:plotArea>
    <c:legend>
      <c:legendPos val="b"/>
      <c:layout>
        <c:manualLayout>
          <c:xMode val="edge"/>
          <c:yMode val="edge"/>
          <c:x val="6.7334595959595941E-2"/>
          <c:y val="0.9241869988545246"/>
          <c:w val="0.85464057239057234"/>
          <c:h val="5.399169530355097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baseline="0">
          <a:latin typeface="Arial" panose="020B060402020202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08513-78FC-4939-82F8-E0A4971F101B}">
  <ds:schemaRefs>
    <ds:schemaRef ds:uri="http://schemas.openxmlformats.org/officeDocument/2006/bibliography"/>
  </ds:schemaRefs>
</ds:datastoreItem>
</file>

<file path=customXml/itemProps2.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3.xml><?xml version="1.0" encoding="utf-8"?>
<ds:datastoreItem xmlns:ds="http://schemas.openxmlformats.org/officeDocument/2006/customXml" ds:itemID="{1E7681AD-41B0-431A-9D34-CF6700A12F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BC6B78-CD4F-4CCE-9179-CFFE2F383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4</Pages>
  <Words>1815</Words>
  <Characters>10709</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120</cp:revision>
  <cp:lastPrinted>2014-07-17T14:07:00Z</cp:lastPrinted>
  <dcterms:created xsi:type="dcterms:W3CDTF">2025-09-16T11:02:00Z</dcterms:created>
  <dcterms:modified xsi:type="dcterms:W3CDTF">2025-12-16T10:47:00Z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