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308A" w14:textId="31B2AA9F" w:rsidR="00F53917" w:rsidRPr="00134FFF" w:rsidRDefault="00F53917" w:rsidP="00F53917">
      <w:pPr>
        <w:pStyle w:val="Nadpis11"/>
        <w:rPr>
          <w:sz w:val="2"/>
          <w:szCs w:val="2"/>
        </w:rPr>
      </w:pPr>
      <w:bookmarkStart w:id="0" w:name="_Toc114134048"/>
      <w:bookmarkStart w:id="1" w:name="_Toc97736119"/>
      <w:bookmarkStart w:id="2" w:name="_Toc74643859"/>
      <w:bookmarkStart w:id="3" w:name="_Toc90395915"/>
      <w:bookmarkStart w:id="4" w:name="_Toc98245446"/>
      <w:bookmarkStart w:id="5" w:name="_Toc74643860"/>
      <w:bookmarkStart w:id="6" w:name="_Toc130286019"/>
      <w:r>
        <w:t>4</w:t>
      </w:r>
      <w:bookmarkStart w:id="7" w:name="_Toc511215218"/>
      <w:bookmarkStart w:id="8" w:name="_Toc19090679"/>
      <w:bookmarkStart w:id="9" w:name="_Toc74643856"/>
      <w:bookmarkStart w:id="10" w:name="_Toc42852411"/>
      <w:bookmarkStart w:id="11" w:name="_Toc74643857"/>
      <w:bookmarkEnd w:id="7"/>
      <w:bookmarkEnd w:id="8"/>
      <w:r w:rsidRPr="009110F7">
        <w:t>.</w:t>
      </w:r>
      <w:r>
        <w:t> </w:t>
      </w:r>
      <w:r w:rsidRPr="009110F7">
        <w:t>Vnější vztahy</w:t>
      </w:r>
      <w:bookmarkEnd w:id="6"/>
    </w:p>
    <w:tbl>
      <w:tblPr>
        <w:tblW w:w="9639" w:type="dxa"/>
        <w:tblInd w:w="-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8"/>
        <w:gridCol w:w="221"/>
        <w:gridCol w:w="7670"/>
      </w:tblGrid>
      <w:tr w:rsidR="00F53917" w:rsidRPr="009110F7" w14:paraId="1CD6B7E9" w14:textId="77777777" w:rsidTr="52944939">
        <w:trPr>
          <w:trHeight w:val="145"/>
        </w:trPr>
        <w:tc>
          <w:tcPr>
            <w:tcW w:w="1748" w:type="dxa"/>
            <w:shd w:val="clear" w:color="auto" w:fill="auto"/>
            <w:tcMar>
              <w:left w:w="0" w:type="dxa"/>
            </w:tcMar>
          </w:tcPr>
          <w:p w14:paraId="50AA1438" w14:textId="77777777" w:rsidR="00F53917" w:rsidRDefault="00F53917" w:rsidP="00163868">
            <w:pPr>
              <w:pStyle w:val="Marginlie"/>
            </w:pPr>
            <w:r>
              <w:t>Hodnota vývozu zboží loni vzrostla především kvůli silnému zvýšení cen.</w:t>
            </w:r>
          </w:p>
        </w:tc>
        <w:tc>
          <w:tcPr>
            <w:tcW w:w="221" w:type="dxa"/>
            <w:shd w:val="clear" w:color="auto" w:fill="auto"/>
            <w:tcMar>
              <w:left w:w="0" w:type="dxa"/>
            </w:tcMar>
          </w:tcPr>
          <w:p w14:paraId="27D68C60" w14:textId="77777777" w:rsidR="00F53917" w:rsidRDefault="00F53917" w:rsidP="001638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6CD40528" w14:textId="77777777" w:rsidR="00F53917" w:rsidRPr="00AF6F98" w:rsidRDefault="00F53917" w:rsidP="00163868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>Celková hodnota vývozu zboží</w:t>
            </w:r>
            <w:r>
              <w:rPr>
                <w:rStyle w:val="Znakapoznpodarou"/>
                <w:spacing w:val="-4"/>
              </w:rPr>
              <w:footnoteReference w:id="1"/>
            </w:r>
            <w:r>
              <w:rPr>
                <w:spacing w:val="-4"/>
              </w:rPr>
              <w:t xml:space="preserve"> v roce 2022 dosáhla 4 413,8 mld. korun</w:t>
            </w:r>
            <w:r>
              <w:rPr>
                <w:rStyle w:val="Znakapoznpodarou"/>
                <w:spacing w:val="-4"/>
              </w:rPr>
              <w:footnoteReference w:id="2"/>
            </w:r>
            <w:r>
              <w:rPr>
                <w:spacing w:val="-4"/>
              </w:rPr>
              <w:t xml:space="preserve"> a nominálně tak vzrostla o 532,4 mld. (13,7 %). Na poměrně silném přírůstku se ale podílel růst cenové hladiny – nejvíce u surovin a energií, ceny se ale významně zvyšovaly u většiny druhů zboží</w:t>
            </w:r>
            <w:r>
              <w:rPr>
                <w:rStyle w:val="Znakapoznpodarou"/>
                <w:spacing w:val="-4"/>
              </w:rPr>
              <w:footnoteReference w:id="3"/>
            </w:r>
            <w:r>
              <w:rPr>
                <w:spacing w:val="-4"/>
              </w:rPr>
              <w:t xml:space="preserve">. V jednotlivých čtvrtletích se meziroční dynamika exportu držela na silné úrovni s vrcholem ve 3. kvartálu (8,3 %, 11,6 % a 22,3 % v jednotlivých kvartálech). Ve 4. čtvrtletí hodnota vývozu vyšplhala na 1 148,4 mld. korun a meziročně se zvýšila o 136,2 mld. (13,5 %). Cenový růst představoval v průběhu celého roku významný stimul meziroční dynamiky. Podle sezónně očištěných dat byl export mezičtvrtletně nižší o 1,0 %.     </w:t>
            </w:r>
          </w:p>
        </w:tc>
      </w:tr>
      <w:tr w:rsidR="00F53917" w:rsidRPr="009110F7" w14:paraId="5649540B" w14:textId="77777777" w:rsidTr="52944939">
        <w:trPr>
          <w:trHeight w:val="145"/>
        </w:trPr>
        <w:tc>
          <w:tcPr>
            <w:tcW w:w="1748" w:type="dxa"/>
            <w:shd w:val="clear" w:color="auto" w:fill="auto"/>
            <w:tcMar>
              <w:left w:w="0" w:type="dxa"/>
            </w:tcMar>
          </w:tcPr>
          <w:p w14:paraId="745A1A2B" w14:textId="77777777" w:rsidR="00F53917" w:rsidRDefault="00F53917" w:rsidP="00163868">
            <w:pPr>
              <w:pStyle w:val="Marginlie"/>
            </w:pPr>
            <w:r>
              <w:t>Výrazněji rostl export do zemí EU.</w:t>
            </w:r>
          </w:p>
        </w:tc>
        <w:tc>
          <w:tcPr>
            <w:tcW w:w="221" w:type="dxa"/>
            <w:shd w:val="clear" w:color="auto" w:fill="auto"/>
            <w:tcMar>
              <w:left w:w="0" w:type="dxa"/>
            </w:tcMar>
          </w:tcPr>
          <w:p w14:paraId="3FAACA20" w14:textId="77777777" w:rsidR="00F53917" w:rsidRDefault="00F53917" w:rsidP="001638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1618F3B0" w14:textId="1A9A7D60" w:rsidR="00F53917" w:rsidRDefault="00F53917" w:rsidP="00163868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 xml:space="preserve">Loňské navýšení vývozu zboží z většiny připadlo na růst exportu do zemí EU </w:t>
            </w:r>
            <w:r>
              <w:rPr>
                <w:spacing w:val="-4"/>
              </w:rPr>
              <w:br/>
              <w:t>(+472,3 mld. korun, 15,</w:t>
            </w:r>
            <w:r w:rsidR="00ED2525">
              <w:rPr>
                <w:spacing w:val="-4"/>
              </w:rPr>
              <w:t>4</w:t>
            </w:r>
            <w:r>
              <w:rPr>
                <w:spacing w:val="-4"/>
              </w:rPr>
              <w:t xml:space="preserve"> %). Vývoz mimo EU se zvyšoval výrazně mírněji </w:t>
            </w:r>
            <w:r>
              <w:rPr>
                <w:spacing w:val="-4"/>
              </w:rPr>
              <w:br/>
              <w:t>(+60,2 mld. korun, 7,5 %). Největší přírůstek měl export do Německa (+170,6 mld. korun, 14,7 %), na Slovensko (+70,2 mld., 18,7 %) a do Polska (+38,3 mld., 14,1 %). V navýšení u Německa a Slovenska hrál výraznou roli vývoz elektřiny</w:t>
            </w:r>
            <w:r>
              <w:rPr>
                <w:rStyle w:val="Znakapoznpodarou"/>
                <w:spacing w:val="-4"/>
              </w:rPr>
              <w:footnoteReference w:id="4"/>
            </w:r>
            <w:r>
              <w:rPr>
                <w:spacing w:val="-4"/>
              </w:rPr>
              <w:t>. U Polska nejvíce rostl export motorových vozidel. Silně se zvýšil také export do Itálie (+35,8 mld. korun, 23,7</w:t>
            </w:r>
            <w:r w:rsidR="00992B49">
              <w:rPr>
                <w:spacing w:val="-4"/>
              </w:rPr>
              <w:t> </w:t>
            </w:r>
            <w:r>
              <w:rPr>
                <w:spacing w:val="-4"/>
              </w:rPr>
              <w:t xml:space="preserve">%), Francie (+26,0 mld., 13,9 %), Rakouska (+27,2 mld., 15,7 %), Spojených států (+22,9 mld., 24,6 %) a Španělska (+20,6 mld., 19,8 %). Výrazný procentní nárůst měl vývoz u některých destinací, kde je hodnota vývozu relativně </w:t>
            </w:r>
            <w:r w:rsidR="00ED2525">
              <w:rPr>
                <w:spacing w:val="-4"/>
              </w:rPr>
              <w:t>nízká</w:t>
            </w:r>
            <w:r>
              <w:rPr>
                <w:spacing w:val="-4"/>
              </w:rPr>
              <w:t xml:space="preserve"> jako například Kazachstán (170,2 %), Spojené arabské emiráty (58,9 %), Ázerbájdžán (73,2 %) nebo Mexiko (39,7 %). Vývoz do většiny sledovaných zemí loni rostl. Výraznou výjimkou bylo Rusko (−48,3 mld. korun, −59,9 %)</w:t>
            </w:r>
            <w:r>
              <w:rPr>
                <w:rStyle w:val="Znakapoznpodarou"/>
                <w:spacing w:val="-4"/>
              </w:rPr>
              <w:footnoteReference w:id="5"/>
            </w:r>
            <w:r>
              <w:rPr>
                <w:spacing w:val="-4"/>
              </w:rPr>
              <w:t xml:space="preserve">, kde se po sérii hlubokých propadů dostala hodnota vývozu (32,3 mld.) na nejnižší úroveň od roku 2005. </w:t>
            </w:r>
          </w:p>
        </w:tc>
      </w:tr>
      <w:tr w:rsidR="00F53917" w:rsidRPr="009110F7" w14:paraId="547042DF" w14:textId="77777777" w:rsidTr="52944939">
        <w:trPr>
          <w:trHeight w:val="145"/>
        </w:trPr>
        <w:tc>
          <w:tcPr>
            <w:tcW w:w="1748" w:type="dxa"/>
            <w:shd w:val="clear" w:color="auto" w:fill="auto"/>
            <w:tcMar>
              <w:left w:w="0" w:type="dxa"/>
            </w:tcMar>
          </w:tcPr>
          <w:p w14:paraId="562A112C" w14:textId="77777777" w:rsidR="00F53917" w:rsidRDefault="00F53917" w:rsidP="00163868">
            <w:pPr>
              <w:pStyle w:val="Marginlie"/>
            </w:pPr>
            <w:r>
              <w:t>V závěru roku se oživil stagnující vývoz do zemí mimo EU.</w:t>
            </w:r>
          </w:p>
        </w:tc>
        <w:tc>
          <w:tcPr>
            <w:tcW w:w="221" w:type="dxa"/>
            <w:shd w:val="clear" w:color="auto" w:fill="auto"/>
            <w:tcMar>
              <w:left w:w="0" w:type="dxa"/>
            </w:tcMar>
          </w:tcPr>
          <w:p w14:paraId="26E1A365" w14:textId="77777777" w:rsidR="00F53917" w:rsidRDefault="00F53917" w:rsidP="001638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39462E70" w14:textId="33C879F5" w:rsidR="00F53917" w:rsidRDefault="00F53917" w:rsidP="00163868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 xml:space="preserve">V samotném 4. čtvrtletí se vývoz do EU meziročně zvýšil o 109,5 mld. korun (13,7 %) a mimo EU o 26,9 mld. (12,8 %). Ve zpětném pohledu je také patrné silné oživení exportu do zemí mimo EU ve druhé polovině roku (meziroční změna −1,0 %, 0,3 % a 18,7 % v 1. až 3. kvartálu). Nejvíce meziročně rostl vývoz do Německa (+41,7 mld. korun, </w:t>
            </w:r>
            <w:r>
              <w:rPr>
                <w:spacing w:val="-4"/>
              </w:rPr>
              <w:br/>
              <w:t>13,9 %), Polska (+9,8 mld., 13,8 %), Francie (+9,5 mld., 21,0 %), Španělska (+9,4 mld., 39,1</w:t>
            </w:r>
            <w:r w:rsidR="00992B49">
              <w:rPr>
                <w:spacing w:val="-4"/>
              </w:rPr>
              <w:t> </w:t>
            </w:r>
            <w:r>
              <w:rPr>
                <w:spacing w:val="-4"/>
              </w:rPr>
              <w:t xml:space="preserve">%), Itálie (+8,7 mld., 21,8 %) a Belgie (+5,4 mld., 25,8 %). Hluboce se meziročně propadl export do Ruska (−11,9 mld. korun, </w:t>
            </w:r>
            <w:r w:rsidR="00ED2525">
              <w:rPr>
                <w:spacing w:val="-4"/>
              </w:rPr>
              <w:t>−</w:t>
            </w:r>
            <w:r>
              <w:rPr>
                <w:spacing w:val="-4"/>
              </w:rPr>
              <w:t>66,5 %).</w:t>
            </w:r>
          </w:p>
        </w:tc>
      </w:tr>
      <w:tr w:rsidR="00F53917" w:rsidRPr="009110F7" w14:paraId="4477C446" w14:textId="77777777" w:rsidTr="52944939">
        <w:trPr>
          <w:trHeight w:val="170"/>
        </w:trPr>
        <w:tc>
          <w:tcPr>
            <w:tcW w:w="1748" w:type="dxa"/>
            <w:shd w:val="clear" w:color="auto" w:fill="auto"/>
            <w:tcMar>
              <w:left w:w="0" w:type="dxa"/>
            </w:tcMar>
          </w:tcPr>
          <w:p w14:paraId="71C24A16" w14:textId="77777777" w:rsidR="00F53917" w:rsidRDefault="00F53917" w:rsidP="00163868">
            <w:pPr>
              <w:pStyle w:val="Marginlie"/>
            </w:pPr>
            <w:r>
              <w:t>Růst vývozu loni nejvíce stimuloval export motorových vozidel.</w:t>
            </w:r>
          </w:p>
        </w:tc>
        <w:tc>
          <w:tcPr>
            <w:tcW w:w="221" w:type="dxa"/>
            <w:shd w:val="clear" w:color="auto" w:fill="auto"/>
            <w:tcMar>
              <w:left w:w="0" w:type="dxa"/>
            </w:tcMar>
          </w:tcPr>
          <w:p w14:paraId="45A12F78" w14:textId="77777777" w:rsidR="00F53917" w:rsidRDefault="00F53917" w:rsidP="001638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53A6E3A3" w14:textId="77777777" w:rsidR="00F53917" w:rsidRPr="00AF6F98" w:rsidRDefault="00F53917" w:rsidP="00163868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 xml:space="preserve">Z pohledu zbožové struktury se loni nejvíce zvyšoval vývoz motorových vozidel </w:t>
            </w:r>
            <w:r>
              <w:rPr>
                <w:spacing w:val="-4"/>
              </w:rPr>
              <w:br/>
              <w:t xml:space="preserve">(+101,4 mld. korun, 10,8 %), elektrických zařízení (+66,7 mld., 19,1 %) a elektřiny, plynu, páry a klimatizovaného vzduchu (+58,9 mld., 97,5 %). Výrazný přírůstek měl také export strojů a zařízení (+36,4 mld. korun, 7,9 %), chemických látek a přípravků (+34,6 mld., </w:t>
            </w:r>
            <w:r>
              <w:rPr>
                <w:spacing w:val="-4"/>
              </w:rPr>
              <w:br/>
              <w:t xml:space="preserve">17,2 %), kovodělných výrobků (+32,1 mld., 13,3 %), potravinářských výrobků (+29,5 mld., 24,9 %), základních kovů (+27,5 mld., 16,4 %), pryžových a plastových výrobků </w:t>
            </w:r>
            <w:r>
              <w:rPr>
                <w:spacing w:val="-4"/>
              </w:rPr>
              <w:br/>
              <w:t xml:space="preserve">(+19,2 mld., 10,0 %), papíru a výrobků z něj (+18,9 mld., 28,9 %), počítačů, elektronických a optických přístrojů a zařízení (+16,9 mld., 4,1 %) a koksu a rafinovaných ropných výrobků (+15,4 mld., 36,1 %). </w:t>
            </w:r>
          </w:p>
        </w:tc>
      </w:tr>
      <w:tr w:rsidR="00F53917" w:rsidRPr="009110F7" w14:paraId="7273EDC0" w14:textId="77777777" w:rsidTr="52944939">
        <w:trPr>
          <w:trHeight w:val="170"/>
        </w:trPr>
        <w:tc>
          <w:tcPr>
            <w:tcW w:w="1748" w:type="dxa"/>
            <w:shd w:val="clear" w:color="auto" w:fill="auto"/>
            <w:tcMar>
              <w:left w:w="0" w:type="dxa"/>
            </w:tcMar>
          </w:tcPr>
          <w:p w14:paraId="41B18606" w14:textId="77777777" w:rsidR="00F53917" w:rsidRDefault="00F53917" w:rsidP="00163868">
            <w:pPr>
              <w:pStyle w:val="Marginlie"/>
            </w:pPr>
            <w:r>
              <w:t>Motorová vozidla dominovala růstu exportu ve 2. pololetí.</w:t>
            </w:r>
          </w:p>
        </w:tc>
        <w:tc>
          <w:tcPr>
            <w:tcW w:w="221" w:type="dxa"/>
            <w:shd w:val="clear" w:color="auto" w:fill="auto"/>
            <w:tcMar>
              <w:left w:w="0" w:type="dxa"/>
            </w:tcMar>
          </w:tcPr>
          <w:p w14:paraId="526F70CA" w14:textId="77777777" w:rsidR="00F53917" w:rsidRDefault="00F53917" w:rsidP="001638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1846E2B5" w14:textId="77777777" w:rsidR="00F53917" w:rsidRDefault="00F53917" w:rsidP="00163868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 xml:space="preserve">V samotném 4. kvartálu nejvíce meziročně rostl vývoz motorových vozidel (+45,1 mld. korun, 19,3 %). Výrazný celoroční přírůstek u motorových vozidel lze přičíst z většiny vývoji ve 2. pololetí. Dál se ve 4. čtvrtletí silně meziročně zvyšoval export elektrických zařízení </w:t>
            </w:r>
            <w:r>
              <w:rPr>
                <w:spacing w:val="-4"/>
              </w:rPr>
              <w:lastRenderedPageBreak/>
              <w:t>(+29,6 mld. korun, 33,8 %), strojů a zařízení (+19,0 mld., 16,8 %), počítačů, elektronických a optických přístrojů a zařízení (+13,3 mld., 12,5 %) a potravinářských výrobků (+9,2 mld., 28,4 %). Vývoz většiny artiklů meziročně rostl, ve 4. čtvrtletí se ale po delší době změnil růstový trend u elektřiny, plynu, páry a klimatizovaného vzduchu, kde po šesti kvartálech vývoz klesl meziročně o 4,0 mld. korun (−11,8 %). Poprvé od 3. čtvrtletí 2020 se také meziročně snížil vývoz základních kovů (−2,4 mld. korun, −5,4 %).</w:t>
            </w:r>
          </w:p>
        </w:tc>
      </w:tr>
      <w:tr w:rsidR="00F53917" w:rsidRPr="009110F7" w14:paraId="1EF80657" w14:textId="77777777" w:rsidTr="52944939">
        <w:trPr>
          <w:trHeight w:val="126"/>
        </w:trPr>
        <w:tc>
          <w:tcPr>
            <w:tcW w:w="1748" w:type="dxa"/>
            <w:vMerge w:val="restart"/>
            <w:shd w:val="clear" w:color="auto" w:fill="auto"/>
            <w:tcMar>
              <w:left w:w="0" w:type="dxa"/>
            </w:tcMar>
          </w:tcPr>
          <w:p w14:paraId="6474E133" w14:textId="77777777" w:rsidR="00F53917" w:rsidRDefault="00F53917" w:rsidP="00163868">
            <w:pPr>
              <w:pStyle w:val="Marginlie"/>
            </w:pPr>
          </w:p>
        </w:tc>
        <w:tc>
          <w:tcPr>
            <w:tcW w:w="221" w:type="dxa"/>
            <w:vMerge w:val="restart"/>
            <w:shd w:val="clear" w:color="auto" w:fill="auto"/>
            <w:tcMar>
              <w:left w:w="0" w:type="dxa"/>
            </w:tcMar>
          </w:tcPr>
          <w:p w14:paraId="72F04481" w14:textId="77777777" w:rsidR="00F53917" w:rsidRDefault="00F53917" w:rsidP="001638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0681070C" w14:textId="77777777" w:rsidR="00F53917" w:rsidRDefault="00F53917" w:rsidP="00163868">
            <w:pPr>
              <w:spacing w:after="0"/>
              <w:rPr>
                <w:spacing w:val="-4"/>
              </w:rPr>
            </w:pPr>
            <w:r>
              <w:rPr>
                <w:b/>
                <w:bCs/>
                <w:spacing w:val="-4"/>
              </w:rPr>
              <w:t xml:space="preserve">Graf č. 9 </w:t>
            </w:r>
            <w:r w:rsidRPr="00804097">
              <w:rPr>
                <w:b/>
                <w:bCs/>
                <w:spacing w:val="-4"/>
              </w:rPr>
              <w:t>Vývoz a</w:t>
            </w:r>
            <w:r>
              <w:rPr>
                <w:b/>
                <w:bCs/>
                <w:spacing w:val="-4"/>
              </w:rPr>
              <w:t> </w:t>
            </w:r>
            <w:r w:rsidRPr="00804097">
              <w:rPr>
                <w:b/>
                <w:bCs/>
                <w:spacing w:val="-4"/>
              </w:rPr>
              <w:t xml:space="preserve">dovoz zboží </w:t>
            </w:r>
            <w:r w:rsidRPr="00804097">
              <w:rPr>
                <w:spacing w:val="-4"/>
              </w:rPr>
              <w:t>(meziročn</w:t>
            </w:r>
            <w:r>
              <w:rPr>
                <w:spacing w:val="-4"/>
              </w:rPr>
              <w:t>í změna,</w:t>
            </w:r>
            <w:r w:rsidRPr="00804097">
              <w:rPr>
                <w:spacing w:val="-4"/>
              </w:rPr>
              <w:t xml:space="preserve"> v</w:t>
            </w:r>
            <w:r>
              <w:rPr>
                <w:spacing w:val="-4"/>
              </w:rPr>
              <w:t> %</w:t>
            </w:r>
            <w:r w:rsidRPr="00804097">
              <w:rPr>
                <w:spacing w:val="-4"/>
              </w:rPr>
              <w:t>)</w:t>
            </w:r>
            <w:r w:rsidRPr="00804097">
              <w:rPr>
                <w:b/>
                <w:bCs/>
                <w:spacing w:val="-4"/>
              </w:rPr>
              <w:t xml:space="preserve"> a</w:t>
            </w:r>
            <w:r>
              <w:rPr>
                <w:b/>
                <w:bCs/>
                <w:spacing w:val="-4"/>
              </w:rPr>
              <w:t> </w:t>
            </w:r>
            <w:r w:rsidRPr="00804097">
              <w:rPr>
                <w:b/>
                <w:bCs/>
                <w:spacing w:val="-4"/>
              </w:rPr>
              <w:t xml:space="preserve">bilance zahraničního obchodu se zbožím </w:t>
            </w:r>
            <w:r w:rsidRPr="00804097">
              <w:rPr>
                <w:spacing w:val="-4"/>
              </w:rPr>
              <w:t>(v</w:t>
            </w:r>
            <w:r>
              <w:rPr>
                <w:spacing w:val="-4"/>
              </w:rPr>
              <w:t> mld</w:t>
            </w:r>
            <w:r w:rsidRPr="00804097">
              <w:rPr>
                <w:spacing w:val="-4"/>
              </w:rPr>
              <w:t>. korun, pravá osa)</w:t>
            </w:r>
          </w:p>
        </w:tc>
      </w:tr>
      <w:tr w:rsidR="00F53917" w:rsidRPr="009110F7" w14:paraId="7D3EC744" w14:textId="77777777" w:rsidTr="52944939">
        <w:tblPrEx>
          <w:tblCellMar>
            <w:left w:w="70" w:type="dxa"/>
            <w:right w:w="70" w:type="dxa"/>
          </w:tblCellMar>
        </w:tblPrEx>
        <w:trPr>
          <w:trHeight w:val="125"/>
        </w:trPr>
        <w:tc>
          <w:tcPr>
            <w:tcW w:w="1748" w:type="dxa"/>
            <w:vMerge/>
          </w:tcPr>
          <w:p w14:paraId="2C180D2D" w14:textId="77777777" w:rsidR="00F53917" w:rsidRDefault="00F53917" w:rsidP="00163868">
            <w:pPr>
              <w:pStyle w:val="Marginlie"/>
            </w:pPr>
          </w:p>
        </w:tc>
        <w:tc>
          <w:tcPr>
            <w:tcW w:w="221" w:type="dxa"/>
            <w:vMerge/>
          </w:tcPr>
          <w:p w14:paraId="31BE3B75" w14:textId="77777777" w:rsidR="00F53917" w:rsidRDefault="00F53917" w:rsidP="001638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</w:tcPr>
          <w:p w14:paraId="69FBD59D" w14:textId="77777777" w:rsidR="00F53917" w:rsidRDefault="00F53917" w:rsidP="0016386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5E56B0E" wp14:editId="7D48F06B">
                  <wp:extent cx="4773175" cy="3372350"/>
                  <wp:effectExtent l="0" t="0" r="8890" b="0"/>
                  <wp:docPr id="3" name="Graf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34A376-5955-451A-B8E8-536A257FF3C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F53917" w:rsidRPr="009110F7" w14:paraId="065DFCCC" w14:textId="77777777" w:rsidTr="52944939">
        <w:trPr>
          <w:trHeight w:val="125"/>
        </w:trPr>
        <w:tc>
          <w:tcPr>
            <w:tcW w:w="1748" w:type="dxa"/>
            <w:vMerge/>
            <w:tcMar>
              <w:left w:w="0" w:type="dxa"/>
            </w:tcMar>
          </w:tcPr>
          <w:p w14:paraId="6C6F76BC" w14:textId="77777777" w:rsidR="00F53917" w:rsidRDefault="00F53917" w:rsidP="00163868">
            <w:pPr>
              <w:pStyle w:val="Marginlie"/>
            </w:pPr>
          </w:p>
        </w:tc>
        <w:tc>
          <w:tcPr>
            <w:tcW w:w="221" w:type="dxa"/>
            <w:vMerge/>
            <w:tcMar>
              <w:left w:w="0" w:type="dxa"/>
            </w:tcMar>
          </w:tcPr>
          <w:p w14:paraId="0B2AEE08" w14:textId="77777777" w:rsidR="00F53917" w:rsidRDefault="00F53917" w:rsidP="001638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08FA5365" w14:textId="77777777" w:rsidR="00F53917" w:rsidRDefault="00F53917" w:rsidP="00163868">
            <w:pPr>
              <w:spacing w:after="180"/>
              <w:rPr>
                <w:spacing w:val="-4"/>
              </w:rPr>
            </w:pPr>
            <w:r>
              <w:rPr>
                <w:sz w:val="14"/>
                <w:szCs w:val="14"/>
              </w:rPr>
              <w:t>Zdroj: ČSÚ</w:t>
            </w:r>
          </w:p>
        </w:tc>
      </w:tr>
      <w:tr w:rsidR="00F53917" w:rsidRPr="009110F7" w14:paraId="45A816F5" w14:textId="77777777" w:rsidTr="52944939">
        <w:trPr>
          <w:trHeight w:val="145"/>
        </w:trPr>
        <w:tc>
          <w:tcPr>
            <w:tcW w:w="1748" w:type="dxa"/>
            <w:shd w:val="clear" w:color="auto" w:fill="auto"/>
            <w:tcMar>
              <w:left w:w="0" w:type="dxa"/>
            </w:tcMar>
          </w:tcPr>
          <w:p w14:paraId="5EB7CCF0" w14:textId="77777777" w:rsidR="00F53917" w:rsidRDefault="00F53917" w:rsidP="00163868">
            <w:pPr>
              <w:pStyle w:val="Marginlie"/>
            </w:pPr>
            <w:r>
              <w:t>Import loni rostl silněji než export.</w:t>
            </w:r>
          </w:p>
        </w:tc>
        <w:tc>
          <w:tcPr>
            <w:tcW w:w="221" w:type="dxa"/>
            <w:shd w:val="clear" w:color="auto" w:fill="auto"/>
            <w:tcMar>
              <w:left w:w="0" w:type="dxa"/>
            </w:tcMar>
          </w:tcPr>
          <w:p w14:paraId="4C3E012F" w14:textId="77777777" w:rsidR="00F53917" w:rsidRDefault="00F53917" w:rsidP="001638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01C0346E" w14:textId="4C762B27" w:rsidR="00F53917" w:rsidRDefault="00F53917" w:rsidP="00163868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 xml:space="preserve">Dovoz zboží za celý rok 2022 dosáhl hodnoty 4 613,5 mld. korun a byl vyšší </w:t>
            </w:r>
            <w:r>
              <w:rPr>
                <w:spacing w:val="-4"/>
              </w:rPr>
              <w:br/>
              <w:t>o 723,0 mld. (18,6 %). Dynamika dovozu tak loni značně překonala vývoz, na čemž mělo hlavní podíl prudké zdražení importovaných surovin</w:t>
            </w:r>
            <w:r>
              <w:rPr>
                <w:rStyle w:val="Znakapoznpodarou"/>
                <w:spacing w:val="-4"/>
              </w:rPr>
              <w:footnoteReference w:id="6"/>
            </w:r>
            <w:r>
              <w:rPr>
                <w:spacing w:val="-4"/>
              </w:rPr>
              <w:t>. Meziroční přírůstky dovozu převyšovaly export ve všech čtvrtletích roku. Postupně se dovoz meziročně zvýšil o 16,9 %, 20,3 % a 22,3 % v 1. až 3. kvartálu. Ve 4. čtvrtletí 2022 hodnota dovozu dosáhla 1 198,8</w:t>
            </w:r>
            <w:r w:rsidR="00992B49">
              <w:rPr>
                <w:spacing w:val="-4"/>
              </w:rPr>
              <w:t> </w:t>
            </w:r>
            <w:r>
              <w:rPr>
                <w:spacing w:val="-4"/>
              </w:rPr>
              <w:t xml:space="preserve">mld. korun a meziročně vzrostla o 157,3 mld. (15,1 %). Mezičtvrtletně se (sezónně očištěný) dovoz snížil o 1,9 %.       </w:t>
            </w:r>
          </w:p>
        </w:tc>
      </w:tr>
      <w:tr w:rsidR="00F53917" w:rsidRPr="009110F7" w14:paraId="3A56C3EA" w14:textId="77777777" w:rsidTr="52944939">
        <w:trPr>
          <w:trHeight w:val="145"/>
        </w:trPr>
        <w:tc>
          <w:tcPr>
            <w:tcW w:w="1748" w:type="dxa"/>
            <w:shd w:val="clear" w:color="auto" w:fill="auto"/>
            <w:tcMar>
              <w:left w:w="0" w:type="dxa"/>
            </w:tcMar>
          </w:tcPr>
          <w:p w14:paraId="5C859B48" w14:textId="77777777" w:rsidR="00F53917" w:rsidRDefault="00F53917" w:rsidP="00163868">
            <w:pPr>
              <w:pStyle w:val="Marginlie"/>
            </w:pPr>
            <w:r>
              <w:t>Přírůstek dovozu ze zemí mimo EU překonal navýšení ze zemí EU.</w:t>
            </w:r>
          </w:p>
        </w:tc>
        <w:tc>
          <w:tcPr>
            <w:tcW w:w="221" w:type="dxa"/>
            <w:shd w:val="clear" w:color="auto" w:fill="auto"/>
            <w:tcMar>
              <w:left w:w="0" w:type="dxa"/>
            </w:tcMar>
          </w:tcPr>
          <w:p w14:paraId="0CA307AE" w14:textId="77777777" w:rsidR="00F53917" w:rsidRDefault="00F53917" w:rsidP="001638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656A4E9D" w14:textId="558A21E6" w:rsidR="00F53917" w:rsidRDefault="00F53917" w:rsidP="00163868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 xml:space="preserve">Vliv rostoucích cen surovin je patrný na rozdílu mezi procentním přírůstkem dovozu z EU (+303,9 mld. korun, 12,5 %) a ze zemí mimo EU (+415,7 mld., 29,2 %), odkud pochází hlavní porce importované ropy a zemního plynu. Nejvíce vzrostl dovoz z Číny </w:t>
            </w:r>
            <w:r>
              <w:rPr>
                <w:spacing w:val="-4"/>
              </w:rPr>
              <w:br/>
              <w:t>(+125,0 mld. korun, 2</w:t>
            </w:r>
            <w:r w:rsidR="00ED2525">
              <w:rPr>
                <w:spacing w:val="-4"/>
              </w:rPr>
              <w:t>6,6</w:t>
            </w:r>
            <w:r>
              <w:rPr>
                <w:spacing w:val="-4"/>
              </w:rPr>
              <w:t xml:space="preserve"> %), druhý největší přírůstek měl vlivem zásobování zemním plynem import Ruska (+113,8 mld. korun, 74,9 %) a na třetí pozici bylo Německo </w:t>
            </w:r>
            <w:r>
              <w:rPr>
                <w:spacing w:val="-4"/>
              </w:rPr>
              <w:br/>
              <w:t xml:space="preserve">(+89,4 mld., 9,9 %). Silně rostl také import z Polska (+66,2 mld. korun, 19,4 %). Snaha </w:t>
            </w:r>
            <w:r>
              <w:rPr>
                <w:spacing w:val="-4"/>
              </w:rPr>
              <w:br/>
              <w:t xml:space="preserve">o snížení závislosti na Rusku u dovozu zemního plynu je patrná na prudkém růstu hodnoty dovozu z Norska (+38,3 mld. korun, dovoz se zvýšil pětinásobně) a Ázerbájdžánu </w:t>
            </w:r>
            <w:r>
              <w:rPr>
                <w:spacing w:val="-4"/>
              </w:rPr>
              <w:br/>
              <w:t>(+21,2 mld., 160,5 %)</w:t>
            </w:r>
            <w:r>
              <w:rPr>
                <w:rStyle w:val="Znakapoznpodarou"/>
                <w:spacing w:val="-4"/>
              </w:rPr>
              <w:footnoteReference w:id="7"/>
            </w:r>
            <w:r>
              <w:rPr>
                <w:spacing w:val="-4"/>
              </w:rPr>
              <w:t xml:space="preserve">. Výraznější pokles byl zaznamenán jen u dovozu z Kazachstánu (−3,5 mld. korun, −20,4 %) a Ukrajiny (−2,4 mld., −6,4 %). Výrazné procentní nárůsty byly </w:t>
            </w:r>
            <w:r>
              <w:rPr>
                <w:spacing w:val="-4"/>
              </w:rPr>
              <w:lastRenderedPageBreak/>
              <w:t xml:space="preserve">loni zaznamenány také u dovozu ze Spojených arabských emirátů (87,7 %), Řecka (43,2 %), Bulharska (+40,8 %), Indie (40,7 %), Indonésie (40,5 %) nebo Izraele (30,0 %). V samotném 4. čtvrtletí se import zboží z EU zvýšil meziročně o 55,6 mld. korun (8,8 %) a dovoz mimo EU o 101,7 mld. (25,1 %). K největšímu meziročnímu navýšení došlo u importu z Číny (+46,0 mld. korun, 33,2 %) a Norska (+37,1 mld., hodnota dovozu se navýšila více než </w:t>
            </w:r>
            <w:r w:rsidR="00ED2525">
              <w:rPr>
                <w:spacing w:val="-4"/>
              </w:rPr>
              <w:t>jedenáctkrát</w:t>
            </w:r>
            <w:r>
              <w:rPr>
                <w:spacing w:val="-4"/>
              </w:rPr>
              <w:t>). Přírůstek dovozu z Norska byl zároveň doprovázen meziročním propadem u Ruska (−25,6 mld. korun, −48,0 %). Silně rostl také dovoz z Německa (+21,9 mld. korun, 9,8 %), Spojených států (+10,0 mld., 36,3 %), Polska (+9,3 mld., 10,2 %), Ázerbájdžánu (+6,2 mld., 139,2 %) a Velké Británie (+6,1 mld., 38,0 %).</w:t>
            </w:r>
          </w:p>
        </w:tc>
      </w:tr>
      <w:tr w:rsidR="00F53917" w:rsidRPr="009110F7" w14:paraId="72061DED" w14:textId="77777777" w:rsidTr="52944939">
        <w:trPr>
          <w:trHeight w:val="145"/>
        </w:trPr>
        <w:tc>
          <w:tcPr>
            <w:tcW w:w="1748" w:type="dxa"/>
            <w:shd w:val="clear" w:color="auto" w:fill="auto"/>
            <w:tcMar>
              <w:left w:w="0" w:type="dxa"/>
            </w:tcMar>
          </w:tcPr>
          <w:p w14:paraId="2DA6AA8C" w14:textId="77777777" w:rsidR="00F53917" w:rsidRDefault="00F53917" w:rsidP="00163868">
            <w:pPr>
              <w:pStyle w:val="Marginlie"/>
            </w:pPr>
            <w:r>
              <w:lastRenderedPageBreak/>
              <w:t xml:space="preserve">Dovoz zboží se zvyšoval zejména vlivem ropy </w:t>
            </w:r>
            <w:r>
              <w:br/>
              <w:t>a zemního plynu. Ve druhé polovině roku prudce posílil import elektrických zařízení.</w:t>
            </w:r>
          </w:p>
        </w:tc>
        <w:tc>
          <w:tcPr>
            <w:tcW w:w="221" w:type="dxa"/>
            <w:shd w:val="clear" w:color="auto" w:fill="auto"/>
            <w:tcMar>
              <w:left w:w="0" w:type="dxa"/>
            </w:tcMar>
          </w:tcPr>
          <w:p w14:paraId="6DE97BB9" w14:textId="77777777" w:rsidR="00F53917" w:rsidRDefault="00F53917" w:rsidP="001638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313C5142" w14:textId="43B8EF26" w:rsidR="00F53917" w:rsidRDefault="00F53917" w:rsidP="00163868">
            <w:pPr>
              <w:spacing w:after="180"/>
            </w:pPr>
            <w:r>
              <w:rPr>
                <w:spacing w:val="-4"/>
              </w:rPr>
              <w:t>V roce 202</w:t>
            </w:r>
            <w:r w:rsidR="12650F4E">
              <w:rPr>
                <w:spacing w:val="-4"/>
              </w:rPr>
              <w:t>2</w:t>
            </w:r>
            <w:r>
              <w:rPr>
                <w:spacing w:val="-4"/>
              </w:rPr>
              <w:t xml:space="preserve"> nejvíce rostla hodnota dovozu ropy a zemního plynu (+190,0 mld. korun, 123,1 %). Zejména pod vlivem oživení ve druhé polovině roku se silně zvýšil také import elektrických zařízení (+8</w:t>
            </w:r>
            <w:r w:rsidR="00ED2525">
              <w:rPr>
                <w:spacing w:val="-4"/>
              </w:rPr>
              <w:t>9</w:t>
            </w:r>
            <w:r>
              <w:rPr>
                <w:spacing w:val="-4"/>
              </w:rPr>
              <w:t xml:space="preserve">,7 mld. korun, 26,0 %). Výrazné přírůstky byly zaznamenány také u dovozu základních kovů (+57,1 mld. korun, 17,7 %), chemických látek a přípravků (+52,1 mld., 15,2 %), motorových vozidel (+66,0 mld., 12,8 %), koksu a rafinovaných ropných výrobků (+38,2 mld., 55,2 %), potravinářských výrobků (+35,8 mld., 20,7 %), strojů a zařízení (+32,5 mld., 8,9 %) nebo kovodělných výrobků (+22,1 mld., 12,6 %). </w:t>
            </w:r>
            <w:r>
              <w:rPr>
                <w:spacing w:val="-4"/>
              </w:rPr>
              <w:br/>
              <w:t xml:space="preserve">U většiny z vyjmenovaných položek stimulovala přírůstky hlavně změna cen. Společně s obnovením poptávky po fosilních palivech v souvislosti s energetickou krizí to byl i případ oživení importu černého a hnědého uhlí a lignitu (+17,2 mld. korun, 117,2 %) a elektřiny, plynu, páry a klimatizovaného vzduchu (+12,3 mld., 50,2 %). Ve 4. čtvrtletí se nejvíce meziročně zvyšoval import elektrických zařízení (+44,8 mld. korun, 50,9 %), motorových vozidel (+31,1 mld., 25,0 %) a ropy a zemního plynu (+28,7 mld., 52,4 %), u kterého ale pokračoval útlum dynamiky (šlo o nejnižší přírůstek od 3. kvartálu 2021). Výrazný byl také nárůst u strojů a zařízení (+12,4 mld. korun, 13,1 %), potravinářských výrobků (+8,9 mld., 18,3 %), koksu a rafinovaných ropných výrobků (+6,1 mld., 29,5 %), kovodělných výrobků (+5,7 mld., 12,6 %) a chemických látek a přípravků (+5,3 mld., 6,0 %). Nejvíce meziročně klesl dovoz základních kovů (−5,3 mld., −6,0 %) a elektřiny, plynu, páry a klimatizovaného vzduchu (−1,4 mld., −14,5 %).       </w:t>
            </w:r>
          </w:p>
        </w:tc>
      </w:tr>
      <w:tr w:rsidR="00F53917" w:rsidRPr="009110F7" w14:paraId="75B65A82" w14:textId="77777777" w:rsidTr="52944939">
        <w:trPr>
          <w:trHeight w:val="145"/>
        </w:trPr>
        <w:tc>
          <w:tcPr>
            <w:tcW w:w="1748" w:type="dxa"/>
            <w:shd w:val="clear" w:color="auto" w:fill="auto"/>
            <w:tcMar>
              <w:left w:w="0" w:type="dxa"/>
            </w:tcMar>
          </w:tcPr>
          <w:p w14:paraId="6FB6FBD7" w14:textId="77777777" w:rsidR="00F53917" w:rsidRDefault="00F53917" w:rsidP="00163868">
            <w:pPr>
              <w:pStyle w:val="Marginlie"/>
            </w:pPr>
            <w:r>
              <w:t>Celková bilance zahraničního obchodu se zbožím loni skončila v hlubokém deficitu.</w:t>
            </w:r>
          </w:p>
        </w:tc>
        <w:tc>
          <w:tcPr>
            <w:tcW w:w="221" w:type="dxa"/>
            <w:shd w:val="clear" w:color="auto" w:fill="auto"/>
            <w:tcMar>
              <w:left w:w="0" w:type="dxa"/>
            </w:tcMar>
          </w:tcPr>
          <w:p w14:paraId="59E852ED" w14:textId="77777777" w:rsidR="00F53917" w:rsidRDefault="00F53917" w:rsidP="001638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40C2369F" w14:textId="77777777" w:rsidR="00F53917" w:rsidRPr="00AF6F98" w:rsidRDefault="00F53917" w:rsidP="00163868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 xml:space="preserve">Bilance zahraničního obchodu se zbožím skončila loni v deficitu 199,7 mld. korun. Šlo o druhý celoroční schodek v řadě a deficit se zhoršil o 190,5 mld. korun. Bilance byla záporná ve všech loňských čtvrtletích a ve 4. kvartálu dosáhla šestého schodku v řadě, tentokrát ve výši 50,4 mld. korun. Schodek byl meziročně horší o 21,1 mld. korun. Sezónně očištěné údaje ale ukazují, že se bilance druhý kvartál v řadě mezičtvrtletně zlepšovala. </w:t>
            </w:r>
          </w:p>
        </w:tc>
      </w:tr>
      <w:tr w:rsidR="00F53917" w:rsidRPr="009110F7" w14:paraId="5823B1B1" w14:textId="77777777" w:rsidTr="52944939">
        <w:trPr>
          <w:trHeight w:val="145"/>
        </w:trPr>
        <w:tc>
          <w:tcPr>
            <w:tcW w:w="1748" w:type="dxa"/>
            <w:shd w:val="clear" w:color="auto" w:fill="auto"/>
            <w:tcMar>
              <w:left w:w="0" w:type="dxa"/>
            </w:tcMar>
          </w:tcPr>
          <w:p w14:paraId="6FBB2AE1" w14:textId="77777777" w:rsidR="00F53917" w:rsidRDefault="00F53917" w:rsidP="00163868">
            <w:pPr>
              <w:pStyle w:val="Marginlie"/>
            </w:pPr>
            <w:r>
              <w:t>Na zhoršení bilance měl vliv růst cen surovin. To také souviselo s prohloubením schodku obchodu se zeměmi mimo EU.</w:t>
            </w:r>
          </w:p>
        </w:tc>
        <w:tc>
          <w:tcPr>
            <w:tcW w:w="221" w:type="dxa"/>
            <w:shd w:val="clear" w:color="auto" w:fill="auto"/>
            <w:tcMar>
              <w:left w:w="0" w:type="dxa"/>
            </w:tcMar>
          </w:tcPr>
          <w:p w14:paraId="7A68EB1A" w14:textId="77777777" w:rsidR="00F53917" w:rsidRDefault="00F53917" w:rsidP="001638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26103DE8" w14:textId="77777777" w:rsidR="00F53917" w:rsidRDefault="00F53917" w:rsidP="00163868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 xml:space="preserve">Zhoršení bilance zahraničního obchodu se zbožím šlo loni zcela na vrub obchodu se zeměmi mimo EU (prohloubení deficitu o 355,5 mld. korun). Ani rekordní zlepšení bilance obchodu s EU o 168,4 mld. korun tak nestačilo k udržení celkového přebytku. Ve směru zhoršení bilance loni nejvíce působil obchod s Ruskem (−162,1 mld. korun), Čínou (−127,2 mld.), Norskem (−34,0 mld.), Polskem (−27,9 mld.) a Ázerbájdžánem (−19,9 mld.). Naopak se zlepšovalo saldo v případě obchodu s Německem (+81,2 mld. korun), Slovenskem (+46,4 mld.), Itálií (+15,5 mld.), Španělskem (+11,2 mld.), Maďarskem (+11,1 mld.) nebo Kazachstánem (+10,9 mld.). V samotném 4. čtvrtletí se nejvíce meziročně zhoršila bilance obchodu s Čínou (−46,8 mld. korun) a Norskem (−35,5 mld.). Menší propady pak byly zaznamenány u obchodu se Spojenými státy (−6,3 mld. korun), Ázerbájdžánem (−5,7 mld.) nebo Jižní Koreou (−4,9 mld.). Výrazně lepší byl výsledek zahraničního obchodu v případě Německa (+19,8 mld. korun) a Ruska (13,7 mld.). Ve směru přebytku působil také obchod s Itálií (+6,5 mld. korun), Španělskem (+6,3 mld.), Slovenskem (+5,1 mld.), Kazachstánem (+5,1 mld.), Švýcarskem (+5,1 mld.), Rakouskem (+4,5 mld.) nebo Francií (+4,3 mld.).    </w:t>
            </w:r>
          </w:p>
        </w:tc>
      </w:tr>
      <w:tr w:rsidR="00F53917" w:rsidRPr="009110F7" w14:paraId="6E599C6B" w14:textId="77777777" w:rsidTr="52944939">
        <w:trPr>
          <w:trHeight w:val="145"/>
        </w:trPr>
        <w:tc>
          <w:tcPr>
            <w:tcW w:w="1748" w:type="dxa"/>
            <w:shd w:val="clear" w:color="auto" w:fill="auto"/>
            <w:tcMar>
              <w:left w:w="0" w:type="dxa"/>
            </w:tcMar>
          </w:tcPr>
          <w:p w14:paraId="6C64A6EB" w14:textId="77777777" w:rsidR="00F53917" w:rsidRDefault="00F53917" w:rsidP="00163868">
            <w:pPr>
              <w:pStyle w:val="Marginlie"/>
            </w:pPr>
            <w:r>
              <w:t xml:space="preserve">Obchod s ropou </w:t>
            </w:r>
            <w:r>
              <w:br/>
              <w:t xml:space="preserve">a zemním plynem byl hlavním důvodem zhoršení salda </w:t>
            </w:r>
            <w:r>
              <w:lastRenderedPageBreak/>
              <w:t>zahraničního obchodu se zbožím.</w:t>
            </w:r>
          </w:p>
        </w:tc>
        <w:tc>
          <w:tcPr>
            <w:tcW w:w="221" w:type="dxa"/>
            <w:shd w:val="clear" w:color="auto" w:fill="auto"/>
            <w:tcMar>
              <w:left w:w="0" w:type="dxa"/>
            </w:tcMar>
          </w:tcPr>
          <w:p w14:paraId="6C647A7B" w14:textId="77777777" w:rsidR="00F53917" w:rsidRDefault="00F53917" w:rsidP="001638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65BBBD4A" w14:textId="77777777" w:rsidR="00F53917" w:rsidRDefault="00F53917" w:rsidP="00163868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 xml:space="preserve">Loni se nejvíce zhoršila bilance obchodu s ropou a zemním plynem (−177,0 mld. korun) a dále se základními kovy (−29,6 mld.), elektrickými zařízeními (−23,0 mld.), koksem a rafinovanými ropnými výrobky (−22,8 mld.) a chemickými látkami a přípravky (−17,6 mld.). </w:t>
            </w:r>
            <w:r>
              <w:rPr>
                <w:spacing w:val="-4"/>
              </w:rPr>
              <w:lastRenderedPageBreak/>
              <w:t xml:space="preserve">Negativní vliv na celkovou bilanci měly i obchod s černým a hnědým uhlím </w:t>
            </w:r>
            <w:r>
              <w:rPr>
                <w:spacing w:val="-4"/>
              </w:rPr>
              <w:br/>
              <w:t xml:space="preserve">a lignitem (−14,0 mld. korun), oděvy (−9,8 mld.), potravinářskými výrobky (−6,3 mld.), ostatními výrobky zpracovatelského průmyslu (−4,7 mld.), ostatními dopravními prostředky (−4,6 mld.) nebo usněmi a souvisejícími výrobky (−4,5 mld.). Zlepšení bilance se naopak událo v případě obchodu s elektřinou, plynem, párou a klimatizovaným vzduchem (+46,6 mld. korun), motorovými vozidly (+35,4 mld.), kovodělnými výrobky (+10,0 mld.) nebo produkty zemědělství a myslivosti (+7,9 mld.). </w:t>
            </w:r>
          </w:p>
        </w:tc>
      </w:tr>
      <w:tr w:rsidR="00F53917" w:rsidRPr="009110F7" w14:paraId="7B223ABE" w14:textId="77777777" w:rsidTr="52944939">
        <w:trPr>
          <w:trHeight w:val="145"/>
        </w:trPr>
        <w:tc>
          <w:tcPr>
            <w:tcW w:w="1748" w:type="dxa"/>
            <w:shd w:val="clear" w:color="auto" w:fill="auto"/>
            <w:tcMar>
              <w:left w:w="0" w:type="dxa"/>
            </w:tcMar>
          </w:tcPr>
          <w:p w14:paraId="7ED29B38" w14:textId="77777777" w:rsidR="00F53917" w:rsidRDefault="00F53917" w:rsidP="00163868">
            <w:pPr>
              <w:pStyle w:val="Marginlie"/>
            </w:pPr>
            <w:r>
              <w:lastRenderedPageBreak/>
              <w:t>Na konci roku bilanci zhoršoval obchod s ropou a zemním plynem a elektrickými zařízeními.</w:t>
            </w:r>
          </w:p>
        </w:tc>
        <w:tc>
          <w:tcPr>
            <w:tcW w:w="221" w:type="dxa"/>
            <w:shd w:val="clear" w:color="auto" w:fill="auto"/>
            <w:tcMar>
              <w:left w:w="0" w:type="dxa"/>
            </w:tcMar>
          </w:tcPr>
          <w:p w14:paraId="7099B857" w14:textId="77777777" w:rsidR="00F53917" w:rsidRDefault="00F53917" w:rsidP="001638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5441CB54" w14:textId="77777777" w:rsidR="00F53917" w:rsidRDefault="00F53917" w:rsidP="00163868">
            <w:pPr>
              <w:spacing w:after="180"/>
              <w:rPr>
                <w:spacing w:val="-4"/>
              </w:rPr>
            </w:pPr>
            <w:r>
              <w:rPr>
                <w:spacing w:val="-4"/>
              </w:rPr>
              <w:t xml:space="preserve">Ve 4. čtvrtletí se meziročně nejvíce zhoršilo saldo obchodu s ropou a zemním plynem (−24,6 mld. korun) a elektrickými zařízeními (−15,2 mld.). Prohloubil se i schodek u koksu a rafinovaných ropných výrobků (−3,9 mld. korun), chemických látek a přípravků </w:t>
            </w:r>
            <w:r>
              <w:rPr>
                <w:spacing w:val="-4"/>
              </w:rPr>
              <w:br/>
              <w:t xml:space="preserve">(−2,8 mld.) nebo oděvů (−2,2 mld.). Zmírnil se i přebytek obchodu s elektřinou, plynem, párou a klimatizovaným vzduchem (−2,5 mld. korun). Bilance se zlepšovala u menšiny výrobků. Výrazné meziroční posílení bilance bylo ve 4. čtvrtletí zaznamenáno u obchodu s motorovými vozidly (+14,0 mld. korun) a počítači, elektronickými a optickými přístroji a zařízeními (+10,4 mld. korun). Ve směru zlepšení celkové bilance působil také obchod se stroji a zařízeními (+6,7 mld. korun) nebo základními kovy (+2,9 mld.).    </w:t>
            </w:r>
          </w:p>
        </w:tc>
      </w:tr>
      <w:tr w:rsidR="00F53917" w:rsidRPr="009110F7" w14:paraId="553A28BB" w14:textId="77777777" w:rsidTr="52944939">
        <w:trPr>
          <w:trHeight w:val="106"/>
        </w:trPr>
        <w:tc>
          <w:tcPr>
            <w:tcW w:w="1748" w:type="dxa"/>
            <w:vMerge w:val="restart"/>
            <w:shd w:val="clear" w:color="auto" w:fill="auto"/>
            <w:tcMar>
              <w:left w:w="0" w:type="dxa"/>
            </w:tcMar>
          </w:tcPr>
          <w:p w14:paraId="6B347412" w14:textId="77777777" w:rsidR="00F53917" w:rsidRDefault="00F53917" w:rsidP="00163868">
            <w:pPr>
              <w:pStyle w:val="Marginlie"/>
            </w:pPr>
          </w:p>
        </w:tc>
        <w:tc>
          <w:tcPr>
            <w:tcW w:w="221" w:type="dxa"/>
            <w:vMerge w:val="restart"/>
            <w:shd w:val="clear" w:color="auto" w:fill="auto"/>
            <w:tcMar>
              <w:left w:w="0" w:type="dxa"/>
            </w:tcMar>
          </w:tcPr>
          <w:p w14:paraId="5655C9DA" w14:textId="77777777" w:rsidR="00F53917" w:rsidRDefault="00F53917" w:rsidP="001638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342D9F04" w14:textId="77777777" w:rsidR="00F53917" w:rsidRPr="00D75AC1" w:rsidRDefault="00F53917" w:rsidP="00163868">
            <w:pPr>
              <w:spacing w:after="0"/>
              <w:rPr>
                <w:spacing w:val="-4"/>
                <w:szCs w:val="20"/>
              </w:rPr>
            </w:pPr>
            <w:r w:rsidRPr="00D75AC1">
              <w:rPr>
                <w:rFonts w:cs="Arial"/>
                <w:b/>
                <w:bCs/>
                <w:color w:val="000000"/>
                <w:szCs w:val="20"/>
              </w:rPr>
              <w:t>Graf č.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 10 </w:t>
            </w:r>
            <w:r w:rsidRPr="00D75AC1">
              <w:rPr>
                <w:b/>
                <w:spacing w:val="-4"/>
                <w:szCs w:val="20"/>
              </w:rPr>
              <w:t xml:space="preserve">Bilance zahraničního obchodu </w:t>
            </w:r>
            <w:r>
              <w:rPr>
                <w:b/>
                <w:spacing w:val="-4"/>
                <w:szCs w:val="20"/>
              </w:rPr>
              <w:t xml:space="preserve">se zbožím </w:t>
            </w:r>
            <w:r w:rsidRPr="00D75AC1">
              <w:rPr>
                <w:b/>
                <w:spacing w:val="-4"/>
                <w:szCs w:val="20"/>
              </w:rPr>
              <w:t xml:space="preserve">ve statistice zahraničního obchodu </w:t>
            </w:r>
            <w:r w:rsidRPr="00D75AC1">
              <w:rPr>
                <w:spacing w:val="-4"/>
                <w:szCs w:val="20"/>
              </w:rPr>
              <w:t xml:space="preserve">(kumulace </w:t>
            </w:r>
            <w:r>
              <w:rPr>
                <w:spacing w:val="-4"/>
                <w:szCs w:val="20"/>
              </w:rPr>
              <w:t>celého roku</w:t>
            </w:r>
            <w:r w:rsidRPr="00D75AC1">
              <w:rPr>
                <w:spacing w:val="-4"/>
                <w:szCs w:val="20"/>
              </w:rPr>
              <w:t>, v mld.</w:t>
            </w:r>
            <w:r>
              <w:rPr>
                <w:spacing w:val="-4"/>
                <w:szCs w:val="20"/>
              </w:rPr>
              <w:t xml:space="preserve"> </w:t>
            </w:r>
            <w:r w:rsidRPr="00D75AC1">
              <w:rPr>
                <w:spacing w:val="-4"/>
                <w:szCs w:val="20"/>
              </w:rPr>
              <w:t>korun, vybrané oddíly klasifikace CPA)</w:t>
            </w:r>
          </w:p>
        </w:tc>
      </w:tr>
      <w:tr w:rsidR="00F53917" w:rsidRPr="009110F7" w14:paraId="67DA8923" w14:textId="77777777" w:rsidTr="52944939">
        <w:tblPrEx>
          <w:tblCellMar>
            <w:left w:w="70" w:type="dxa"/>
            <w:right w:w="70" w:type="dxa"/>
          </w:tblCellMar>
        </w:tblPrEx>
        <w:trPr>
          <w:trHeight w:val="106"/>
        </w:trPr>
        <w:tc>
          <w:tcPr>
            <w:tcW w:w="1748" w:type="dxa"/>
            <w:vMerge/>
          </w:tcPr>
          <w:p w14:paraId="33396454" w14:textId="77777777" w:rsidR="00F53917" w:rsidRDefault="00F53917" w:rsidP="00163868">
            <w:pPr>
              <w:pStyle w:val="Marginlie"/>
            </w:pPr>
          </w:p>
        </w:tc>
        <w:tc>
          <w:tcPr>
            <w:tcW w:w="221" w:type="dxa"/>
            <w:vMerge/>
          </w:tcPr>
          <w:p w14:paraId="3BCAAE8D" w14:textId="77777777" w:rsidR="00F53917" w:rsidRDefault="00F53917" w:rsidP="001638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</w:tcPr>
          <w:p w14:paraId="69972E5D" w14:textId="77777777" w:rsidR="00F53917" w:rsidRPr="00AF6F98" w:rsidRDefault="00F53917" w:rsidP="00163868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723C2E48" wp14:editId="09C87247">
                  <wp:extent cx="4771467" cy="3301500"/>
                  <wp:effectExtent l="0" t="0" r="0" b="0"/>
                  <wp:docPr id="20" name="Graf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F53917" w:rsidRPr="009110F7" w14:paraId="60DAB82F" w14:textId="77777777" w:rsidTr="52944939">
        <w:trPr>
          <w:trHeight w:val="106"/>
        </w:trPr>
        <w:tc>
          <w:tcPr>
            <w:tcW w:w="1748" w:type="dxa"/>
            <w:vMerge/>
            <w:tcMar>
              <w:left w:w="0" w:type="dxa"/>
            </w:tcMar>
          </w:tcPr>
          <w:p w14:paraId="45CBFE5F" w14:textId="77777777" w:rsidR="00F53917" w:rsidRDefault="00F53917" w:rsidP="00163868">
            <w:pPr>
              <w:pStyle w:val="Marginlie"/>
            </w:pPr>
          </w:p>
        </w:tc>
        <w:tc>
          <w:tcPr>
            <w:tcW w:w="221" w:type="dxa"/>
            <w:vMerge/>
            <w:tcMar>
              <w:left w:w="0" w:type="dxa"/>
            </w:tcMar>
          </w:tcPr>
          <w:p w14:paraId="3DEA699D" w14:textId="77777777" w:rsidR="00F53917" w:rsidRDefault="00F53917" w:rsidP="00163868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670" w:type="dxa"/>
            <w:shd w:val="clear" w:color="auto" w:fill="auto"/>
            <w:tcMar>
              <w:left w:w="0" w:type="dxa"/>
            </w:tcMar>
          </w:tcPr>
          <w:p w14:paraId="64E28379" w14:textId="77777777" w:rsidR="00F53917" w:rsidRPr="00AF6F98" w:rsidRDefault="00F53917" w:rsidP="00163868">
            <w:pPr>
              <w:spacing w:after="0"/>
              <w:rPr>
                <w:spacing w:val="-4"/>
              </w:rPr>
            </w:pPr>
            <w:r>
              <w:rPr>
                <w:sz w:val="14"/>
                <w:szCs w:val="14"/>
              </w:rPr>
              <w:t>Zdroj: ČSÚ</w:t>
            </w:r>
          </w:p>
        </w:tc>
      </w:tr>
      <w:bookmarkEnd w:id="9"/>
      <w:bookmarkEnd w:id="10"/>
      <w:bookmarkEnd w:id="11"/>
    </w:tbl>
    <w:p w14:paraId="41D8CD3F" w14:textId="77777777" w:rsidR="00F53917" w:rsidRPr="00E42054" w:rsidRDefault="00F53917" w:rsidP="00F53917">
      <w:pPr>
        <w:pStyle w:val="Nadpis11"/>
        <w:rPr>
          <w:b w:val="0"/>
          <w:sz w:val="2"/>
          <w:szCs w:val="2"/>
        </w:rPr>
      </w:pPr>
    </w:p>
    <w:p w14:paraId="3546D27D" w14:textId="77777777" w:rsidR="00F53917" w:rsidRPr="000F45E7" w:rsidRDefault="00F53917" w:rsidP="00F53917">
      <w:pPr>
        <w:pStyle w:val="Nadpis11"/>
        <w:spacing w:after="0"/>
        <w:rPr>
          <w:b w:val="0"/>
          <w:sz w:val="2"/>
          <w:szCs w:val="2"/>
        </w:rPr>
      </w:pPr>
    </w:p>
    <w:p w14:paraId="7905CEC3" w14:textId="77777777" w:rsidR="00F53917" w:rsidRPr="00E42054" w:rsidRDefault="00F53917" w:rsidP="00F53917">
      <w:pPr>
        <w:pStyle w:val="Nadpis11"/>
        <w:rPr>
          <w:b w:val="0"/>
          <w:sz w:val="2"/>
          <w:szCs w:val="2"/>
        </w:rPr>
      </w:pPr>
    </w:p>
    <w:p w14:paraId="6EDA085F" w14:textId="77777777" w:rsidR="00F53917" w:rsidRPr="00E42054" w:rsidRDefault="00F53917" w:rsidP="00F53917">
      <w:pPr>
        <w:pStyle w:val="Nadpis11"/>
        <w:rPr>
          <w:b w:val="0"/>
          <w:sz w:val="2"/>
          <w:szCs w:val="2"/>
        </w:rPr>
      </w:pPr>
    </w:p>
    <w:p w14:paraId="3D801654" w14:textId="77777777" w:rsidR="00F53917" w:rsidRPr="00E42054" w:rsidRDefault="00F53917" w:rsidP="00F53917">
      <w:pPr>
        <w:spacing w:after="0" w:line="240" w:lineRule="auto"/>
        <w:jc w:val="left"/>
        <w:rPr>
          <w:b/>
          <w:sz w:val="2"/>
          <w:szCs w:val="2"/>
        </w:rPr>
      </w:pPr>
    </w:p>
    <w:bookmarkEnd w:id="0"/>
    <w:bookmarkEnd w:id="1"/>
    <w:bookmarkEnd w:id="2"/>
    <w:bookmarkEnd w:id="3"/>
    <w:bookmarkEnd w:id="4"/>
    <w:bookmarkEnd w:id="5"/>
    <w:p w14:paraId="6D687C14" w14:textId="31BFB2FA" w:rsidR="001C3855" w:rsidRPr="001C3855" w:rsidRDefault="001C3855" w:rsidP="00C15537">
      <w:pPr>
        <w:pStyle w:val="Nadpis11"/>
        <w:rPr>
          <w:sz w:val="2"/>
          <w:szCs w:val="2"/>
        </w:rPr>
      </w:pPr>
    </w:p>
    <w:sectPr w:rsidR="001C3855" w:rsidRPr="001C3855" w:rsidSect="009377A2">
      <w:headerReference w:type="even" r:id="rId14"/>
      <w:headerReference w:type="default" r:id="rId15"/>
      <w:footerReference w:type="even" r:id="rId16"/>
      <w:footerReference w:type="default" r:id="rId17"/>
      <w:pgSz w:w="11906" w:h="16838" w:code="9"/>
      <w:pgMar w:top="1134" w:right="1134" w:bottom="1418" w:left="1134" w:header="680" w:footer="737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BFBA8" w14:textId="77777777" w:rsidR="00C8019E" w:rsidRDefault="00C8019E" w:rsidP="00E71A58">
      <w:r>
        <w:separator/>
      </w:r>
    </w:p>
  </w:endnote>
  <w:endnote w:type="continuationSeparator" w:id="0">
    <w:p w14:paraId="3BF26E2A" w14:textId="77777777" w:rsidR="00C8019E" w:rsidRDefault="00C8019E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B6C8" w14:textId="60535B1F" w:rsidR="00C8019E" w:rsidRPr="00932443" w:rsidRDefault="00C8019E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7E3627">
      <w:rPr>
        <w:szCs w:val="16"/>
      </w:rPr>
      <w:t>26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rok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AFAF" w14:textId="2720A469" w:rsidR="00C8019E" w:rsidRPr="00932443" w:rsidRDefault="00C8019E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rok 202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Cs w:val="16"/>
      </w:rPr>
      <w:t>2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7E3627">
      <w:rPr>
        <w:rStyle w:val="ZpatChar"/>
        <w:szCs w:val="16"/>
      </w:rPr>
      <w:t>25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19C3" w14:textId="77777777" w:rsidR="00C8019E" w:rsidRDefault="00C8019E" w:rsidP="00A21B4D">
      <w:pPr>
        <w:spacing w:after="0"/>
      </w:pPr>
      <w:r>
        <w:separator/>
      </w:r>
    </w:p>
  </w:footnote>
  <w:footnote w:type="continuationSeparator" w:id="0">
    <w:p w14:paraId="4094B28B" w14:textId="77777777" w:rsidR="00C8019E" w:rsidRDefault="00C8019E" w:rsidP="00E71A58">
      <w:r>
        <w:continuationSeparator/>
      </w:r>
    </w:p>
  </w:footnote>
  <w:footnote w:id="1">
    <w:p w14:paraId="69D4B37B" w14:textId="77777777" w:rsidR="00C8019E" w:rsidRPr="00441515" w:rsidRDefault="00C8019E" w:rsidP="00F53917">
      <w:pPr>
        <w:pStyle w:val="Textpoznpodarou"/>
        <w:rPr>
          <w:rFonts w:cs="Arial"/>
          <w:i/>
          <w:iCs/>
          <w:sz w:val="16"/>
          <w:szCs w:val="16"/>
        </w:rPr>
      </w:pPr>
      <w:r w:rsidRPr="00441515">
        <w:rPr>
          <w:rStyle w:val="Znakapoznpodarou"/>
          <w:rFonts w:cs="Arial"/>
          <w:sz w:val="16"/>
          <w:szCs w:val="16"/>
        </w:rPr>
        <w:footnoteRef/>
      </w:r>
      <w:r w:rsidRPr="00441515">
        <w:rPr>
          <w:rFonts w:cs="Arial"/>
          <w:i/>
          <w:iCs/>
          <w:sz w:val="16"/>
          <w:szCs w:val="16"/>
        </w:rPr>
        <w:t xml:space="preserve"> </w:t>
      </w:r>
      <w:r w:rsidRPr="00441515">
        <w:rPr>
          <w:rStyle w:val="Zdraznn"/>
          <w:rFonts w:cs="Arial"/>
          <w:i w:val="0"/>
          <w:iCs w:val="0"/>
          <w:color w:val="333333"/>
          <w:sz w:val="16"/>
          <w:szCs w:val="16"/>
          <w:bdr w:val="none" w:sz="0" w:space="0" w:color="auto" w:frame="1"/>
          <w:shd w:val="clear" w:color="auto" w:fill="FFFFFF"/>
        </w:rPr>
        <w:t>Údaje za zahraniční obchod se zbožím od roku 2020 jsou přepočítávány aktualizovanou metodou založenou na vyšší míře detailu, viz </w:t>
      </w:r>
      <w:hyperlink r:id="rId1" w:history="1">
        <w:r w:rsidRPr="00C80FF3">
          <w:rPr>
            <w:rStyle w:val="Hypertextovodkaz"/>
            <w:rFonts w:cs="Arial"/>
            <w:sz w:val="16"/>
            <w:szCs w:val="16"/>
            <w:bdr w:val="none" w:sz="0" w:space="0" w:color="auto" w:frame="1"/>
            <w:shd w:val="clear" w:color="auto" w:fill="FFFFFF"/>
          </w:rPr>
          <w:t>https://www.czso.cz/csu/czso/aktualizace-metody-propoctu-zahranicni-obchod-se-zbozim</w:t>
        </w:r>
      </w:hyperlink>
    </w:p>
  </w:footnote>
  <w:footnote w:id="2">
    <w:p w14:paraId="1FF65D89" w14:textId="77777777" w:rsidR="00C8019E" w:rsidRPr="004E0CF8" w:rsidRDefault="00C8019E" w:rsidP="00F53917">
      <w:pPr>
        <w:pStyle w:val="Textpoznpodarou"/>
        <w:rPr>
          <w:sz w:val="16"/>
          <w:szCs w:val="16"/>
        </w:rPr>
      </w:pPr>
      <w:r w:rsidRPr="004E0CF8">
        <w:rPr>
          <w:rStyle w:val="Znakapoznpodarou"/>
          <w:sz w:val="16"/>
          <w:szCs w:val="16"/>
        </w:rPr>
        <w:footnoteRef/>
      </w:r>
      <w:r w:rsidRPr="004E0CF8">
        <w:rPr>
          <w:sz w:val="16"/>
          <w:szCs w:val="16"/>
        </w:rPr>
        <w:t xml:space="preserve"> Není-li uvedeno jinak, jsou všechny údaje sezónně neočištěné a v běžných cenách.</w:t>
      </w:r>
    </w:p>
  </w:footnote>
  <w:footnote w:id="3">
    <w:p w14:paraId="496F212B" w14:textId="77777777" w:rsidR="00C8019E" w:rsidRPr="00FC5C85" w:rsidRDefault="00C8019E" w:rsidP="00F53917">
      <w:pPr>
        <w:pStyle w:val="Textpoznpodarou"/>
        <w:rPr>
          <w:sz w:val="16"/>
          <w:szCs w:val="16"/>
        </w:rPr>
      </w:pPr>
      <w:r w:rsidRPr="00FC5C85">
        <w:rPr>
          <w:rStyle w:val="Znakapoznpodarou"/>
          <w:sz w:val="16"/>
          <w:szCs w:val="16"/>
        </w:rPr>
        <w:footnoteRef/>
      </w:r>
      <w:r w:rsidRPr="00FC5C85">
        <w:rPr>
          <w:sz w:val="16"/>
          <w:szCs w:val="16"/>
        </w:rPr>
        <w:t xml:space="preserve"> Ceny vývozu zboží se</w:t>
      </w:r>
      <w:r>
        <w:rPr>
          <w:sz w:val="16"/>
          <w:szCs w:val="16"/>
        </w:rPr>
        <w:t xml:space="preserve"> za celý rok zvýšily o 12,7 % a</w:t>
      </w:r>
      <w:r w:rsidRPr="00FC5C85">
        <w:rPr>
          <w:sz w:val="16"/>
          <w:szCs w:val="16"/>
        </w:rPr>
        <w:t xml:space="preserve"> v jednotlivých čtvrtletí</w:t>
      </w:r>
      <w:r>
        <w:rPr>
          <w:sz w:val="16"/>
          <w:szCs w:val="16"/>
        </w:rPr>
        <w:t xml:space="preserve">ch </w:t>
      </w:r>
      <w:r w:rsidRPr="00FC5C85">
        <w:rPr>
          <w:sz w:val="16"/>
          <w:szCs w:val="16"/>
        </w:rPr>
        <w:t xml:space="preserve">meziročně </w:t>
      </w:r>
      <w:r>
        <w:rPr>
          <w:sz w:val="16"/>
          <w:szCs w:val="16"/>
        </w:rPr>
        <w:t>rostly</w:t>
      </w:r>
      <w:r w:rsidRPr="00FC5C85">
        <w:rPr>
          <w:sz w:val="16"/>
          <w:szCs w:val="16"/>
        </w:rPr>
        <w:t xml:space="preserve"> o</w:t>
      </w:r>
      <w:r>
        <w:rPr>
          <w:sz w:val="16"/>
          <w:szCs w:val="16"/>
        </w:rPr>
        <w:t xml:space="preserve"> 11,2 %, 15,1 %, 14,9 % a 9,8 %.</w:t>
      </w:r>
      <w:r w:rsidRPr="00FC5C85">
        <w:rPr>
          <w:sz w:val="16"/>
          <w:szCs w:val="16"/>
        </w:rPr>
        <w:t xml:space="preserve"> </w:t>
      </w:r>
    </w:p>
  </w:footnote>
  <w:footnote w:id="4">
    <w:p w14:paraId="475844A3" w14:textId="77777777" w:rsidR="00C8019E" w:rsidRPr="00DE472F" w:rsidRDefault="00C8019E" w:rsidP="00F53917">
      <w:pPr>
        <w:pStyle w:val="Textpoznpodarou"/>
        <w:rPr>
          <w:sz w:val="16"/>
          <w:szCs w:val="16"/>
        </w:rPr>
      </w:pPr>
      <w:r w:rsidRPr="00DE472F">
        <w:rPr>
          <w:rStyle w:val="Znakapoznpodarou"/>
          <w:sz w:val="16"/>
          <w:szCs w:val="16"/>
        </w:rPr>
        <w:footnoteRef/>
      </w:r>
      <w:r w:rsidRPr="00DE472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U všech našich sousedů bylo zaznamenáno posílení exportu </w:t>
      </w:r>
      <w:r w:rsidRPr="00DE472F">
        <w:rPr>
          <w:sz w:val="16"/>
          <w:szCs w:val="16"/>
        </w:rPr>
        <w:t>elektřiny, plynu, páry a klimatizovaného vzduchu</w:t>
      </w:r>
      <w:r>
        <w:rPr>
          <w:sz w:val="16"/>
          <w:szCs w:val="16"/>
        </w:rPr>
        <w:t>. Přírůstek vývozu do Německa dosáhl 38,7</w:t>
      </w:r>
      <w:r w:rsidRPr="00DE472F">
        <w:rPr>
          <w:sz w:val="16"/>
          <w:szCs w:val="16"/>
        </w:rPr>
        <w:t xml:space="preserve"> mld. korun a </w:t>
      </w:r>
      <w:r>
        <w:rPr>
          <w:sz w:val="16"/>
          <w:szCs w:val="16"/>
        </w:rPr>
        <w:t>na Slovensko 15,6</w:t>
      </w:r>
      <w:r w:rsidRPr="00DE472F">
        <w:rPr>
          <w:sz w:val="16"/>
          <w:szCs w:val="16"/>
        </w:rPr>
        <w:t xml:space="preserve"> mld.</w:t>
      </w:r>
      <w:r>
        <w:rPr>
          <w:sz w:val="16"/>
          <w:szCs w:val="16"/>
        </w:rPr>
        <w:t xml:space="preserve"> Kromě toho byl výrazný i nárůst v případě Rakouska (+8,9 mld. korun) a do jisté míry i Polska (+3,4 mld.).</w:t>
      </w:r>
      <w:r w:rsidRPr="00DE472F">
        <w:rPr>
          <w:sz w:val="16"/>
          <w:szCs w:val="16"/>
        </w:rPr>
        <w:t xml:space="preserve">    </w:t>
      </w:r>
    </w:p>
  </w:footnote>
  <w:footnote w:id="5">
    <w:p w14:paraId="204E0F23" w14:textId="77777777" w:rsidR="00C8019E" w:rsidRPr="0008472D" w:rsidRDefault="00C8019E" w:rsidP="00F53917">
      <w:pPr>
        <w:pStyle w:val="Textpoznpodarou"/>
        <w:rPr>
          <w:sz w:val="16"/>
          <w:szCs w:val="16"/>
        </w:rPr>
      </w:pPr>
      <w:r w:rsidRPr="0008472D">
        <w:rPr>
          <w:rStyle w:val="Znakapoznpodarou"/>
          <w:sz w:val="16"/>
          <w:szCs w:val="16"/>
        </w:rPr>
        <w:footnoteRef/>
      </w:r>
      <w:r w:rsidRPr="0008472D">
        <w:rPr>
          <w:sz w:val="16"/>
          <w:szCs w:val="16"/>
        </w:rPr>
        <w:t xml:space="preserve"> Export </w:t>
      </w:r>
      <w:r>
        <w:rPr>
          <w:sz w:val="16"/>
          <w:szCs w:val="16"/>
        </w:rPr>
        <w:t xml:space="preserve">do Ruska </w:t>
      </w:r>
      <w:r w:rsidRPr="0008472D">
        <w:rPr>
          <w:sz w:val="16"/>
          <w:szCs w:val="16"/>
        </w:rPr>
        <w:t>se propadl zejména u motorových vozidel (</w:t>
      </w:r>
      <w:r>
        <w:rPr>
          <w:sz w:val="16"/>
          <w:szCs w:val="16"/>
        </w:rPr>
        <w:t>−</w:t>
      </w:r>
      <w:r w:rsidRPr="0008472D">
        <w:rPr>
          <w:sz w:val="16"/>
          <w:szCs w:val="16"/>
        </w:rPr>
        <w:t>1</w:t>
      </w:r>
      <w:r>
        <w:rPr>
          <w:sz w:val="16"/>
          <w:szCs w:val="16"/>
        </w:rPr>
        <w:t>6,4</w:t>
      </w:r>
      <w:r w:rsidRPr="0008472D">
        <w:rPr>
          <w:sz w:val="16"/>
          <w:szCs w:val="16"/>
        </w:rPr>
        <w:t xml:space="preserve"> mld. korun), počítačů, elektronických a optických přístrojů a zařízení (</w:t>
      </w:r>
      <w:r>
        <w:rPr>
          <w:sz w:val="16"/>
          <w:szCs w:val="16"/>
        </w:rPr>
        <w:t>−9,5</w:t>
      </w:r>
      <w:r w:rsidRPr="0008472D">
        <w:rPr>
          <w:sz w:val="16"/>
          <w:szCs w:val="16"/>
        </w:rPr>
        <w:t xml:space="preserve"> mld.), elektrických zařízení (</w:t>
      </w:r>
      <w:r>
        <w:rPr>
          <w:sz w:val="16"/>
          <w:szCs w:val="16"/>
        </w:rPr>
        <w:t>−</w:t>
      </w:r>
      <w:r w:rsidRPr="0008472D">
        <w:rPr>
          <w:sz w:val="16"/>
          <w:szCs w:val="16"/>
        </w:rPr>
        <w:t>5,4 mld.) a strojů a zařízení (</w:t>
      </w:r>
      <w:r>
        <w:rPr>
          <w:sz w:val="16"/>
          <w:szCs w:val="16"/>
        </w:rPr>
        <w:t>−</w:t>
      </w:r>
      <w:r w:rsidRPr="0008472D">
        <w:rPr>
          <w:sz w:val="16"/>
          <w:szCs w:val="16"/>
        </w:rPr>
        <w:t>5,1 mld.).</w:t>
      </w:r>
      <w:r>
        <w:rPr>
          <w:sz w:val="16"/>
          <w:szCs w:val="16"/>
        </w:rPr>
        <w:t xml:space="preserve"> Zároveň je patrné posílení vývozu do některých bývalých sovětských republik, nejvíce do Kazachstánu (+7,4 mld. korun, naprostá většina z tohoto nárůstu se udála ve druhé polovině roku). Vyšší zde byl hlavně export počítačů a elektronických a optických přístrojů a motorových vozidel (včetně dílů).  </w:t>
      </w:r>
      <w:r w:rsidRPr="0008472D">
        <w:rPr>
          <w:sz w:val="16"/>
          <w:szCs w:val="16"/>
        </w:rPr>
        <w:t xml:space="preserve">  </w:t>
      </w:r>
    </w:p>
  </w:footnote>
  <w:footnote w:id="6">
    <w:p w14:paraId="6DA77719" w14:textId="77777777" w:rsidR="00C8019E" w:rsidRPr="00063A81" w:rsidRDefault="00C8019E" w:rsidP="00F53917">
      <w:pPr>
        <w:pStyle w:val="Textpoznpodarou"/>
        <w:rPr>
          <w:sz w:val="16"/>
          <w:szCs w:val="16"/>
        </w:rPr>
      </w:pPr>
      <w:r w:rsidRPr="00063A81">
        <w:rPr>
          <w:rStyle w:val="Znakapoznpodarou"/>
          <w:sz w:val="16"/>
          <w:szCs w:val="16"/>
        </w:rPr>
        <w:footnoteRef/>
      </w:r>
      <w:r w:rsidRPr="00063A81">
        <w:rPr>
          <w:sz w:val="16"/>
          <w:szCs w:val="16"/>
        </w:rPr>
        <w:t xml:space="preserve"> Ceny dovozu zboží loni vzrostly o 17,2 %.</w:t>
      </w:r>
    </w:p>
  </w:footnote>
  <w:footnote w:id="7">
    <w:p w14:paraId="4C90DB90" w14:textId="77777777" w:rsidR="00C8019E" w:rsidRPr="00FA373B" w:rsidRDefault="00C8019E" w:rsidP="00F53917">
      <w:pPr>
        <w:pStyle w:val="Textpoznpodarou"/>
        <w:rPr>
          <w:sz w:val="16"/>
          <w:szCs w:val="16"/>
        </w:rPr>
      </w:pPr>
      <w:r w:rsidRPr="00FA373B">
        <w:rPr>
          <w:rStyle w:val="Znakapoznpodarou"/>
          <w:sz w:val="16"/>
          <w:szCs w:val="16"/>
        </w:rPr>
        <w:footnoteRef/>
      </w:r>
      <w:r w:rsidRPr="00FA373B">
        <w:rPr>
          <w:sz w:val="16"/>
          <w:szCs w:val="16"/>
        </w:rPr>
        <w:t xml:space="preserve"> Podle rozkladu dovozu ropy a zemního plynu na jednotlivé importéry v loňském roce</w:t>
      </w:r>
      <w:r>
        <w:rPr>
          <w:sz w:val="16"/>
          <w:szCs w:val="16"/>
        </w:rPr>
        <w:t xml:space="preserve"> přibylo mezi „nové zdroje“ zejména Norsko (z 1,2 mld. korun v roce 2021 na 38,3 mld. loni). Dovoz této komodity ze Spojených států (+7,3 mld. korun, 79,2 %) výrazně narostl prostřednictvím tankerů se zkapalněným plynem a posílily se existující vazby na Ázerbájdžán (+21,2 mld., 161,7 %). Naopak se snížila hodnota dovozu ropy a zemního plynu z Kazachstánu (−3,8 mld. korun, −26,6 %). K těmto změnám docházelo hlavně ve druhé polovině roku. Rusko celkově loni odpovídalo za 68,7 % hodnoty dovozu ropy a zemního plynu (73,7 % v roce 2021). </w:t>
      </w:r>
      <w:r w:rsidRPr="00FA373B">
        <w:rPr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4A67" w14:textId="77777777" w:rsidR="00C8019E" w:rsidRDefault="00C8019E" w:rsidP="00937AE2">
    <w:pPr>
      <w:pStyle w:val="Zhlav"/>
    </w:pPr>
    <w:r>
      <w:t>Vývoj ekonomiky České republiky</w:t>
    </w:r>
  </w:p>
  <w:p w14:paraId="3E881AB3" w14:textId="77777777" w:rsidR="00C8019E" w:rsidRPr="006F5416" w:rsidRDefault="00C8019E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D3DB" w14:textId="77777777" w:rsidR="00C8019E" w:rsidRDefault="00C8019E" w:rsidP="00937AE2">
    <w:pPr>
      <w:pStyle w:val="Zhlav"/>
    </w:pPr>
    <w:r>
      <w:t>Vývoj ekonomiky České republiky</w:t>
    </w:r>
  </w:p>
  <w:p w14:paraId="57266714" w14:textId="77777777" w:rsidR="00C8019E" w:rsidRPr="006F5416" w:rsidRDefault="00C8019E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5764B"/>
    <w:multiLevelType w:val="hybridMultilevel"/>
    <w:tmpl w:val="84788BC8"/>
    <w:lvl w:ilvl="0" w:tplc="1B96A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3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9675651">
    <w:abstractNumId w:val="25"/>
  </w:num>
  <w:num w:numId="2" w16cid:durableId="42993069">
    <w:abstractNumId w:val="8"/>
  </w:num>
  <w:num w:numId="3" w16cid:durableId="1188448633">
    <w:abstractNumId w:val="3"/>
  </w:num>
  <w:num w:numId="4" w16cid:durableId="178853939">
    <w:abstractNumId w:val="2"/>
  </w:num>
  <w:num w:numId="5" w16cid:durableId="467431360">
    <w:abstractNumId w:val="1"/>
  </w:num>
  <w:num w:numId="6" w16cid:durableId="1323971648">
    <w:abstractNumId w:val="0"/>
  </w:num>
  <w:num w:numId="7" w16cid:durableId="1319113600">
    <w:abstractNumId w:val="9"/>
  </w:num>
  <w:num w:numId="8" w16cid:durableId="1380520353">
    <w:abstractNumId w:val="7"/>
  </w:num>
  <w:num w:numId="9" w16cid:durableId="1491631085">
    <w:abstractNumId w:val="6"/>
  </w:num>
  <w:num w:numId="10" w16cid:durableId="1311446643">
    <w:abstractNumId w:val="5"/>
  </w:num>
  <w:num w:numId="11" w16cid:durableId="1993364951">
    <w:abstractNumId w:val="4"/>
  </w:num>
  <w:num w:numId="12" w16cid:durableId="231276771">
    <w:abstractNumId w:val="15"/>
  </w:num>
  <w:num w:numId="13" w16cid:durableId="207644179">
    <w:abstractNumId w:val="27"/>
  </w:num>
  <w:num w:numId="14" w16cid:durableId="1218779089">
    <w:abstractNumId w:val="14"/>
  </w:num>
  <w:num w:numId="15" w16cid:durableId="1609242427">
    <w:abstractNumId w:val="20"/>
  </w:num>
  <w:num w:numId="16" w16cid:durableId="375545102">
    <w:abstractNumId w:val="16"/>
  </w:num>
  <w:num w:numId="17" w16cid:durableId="1211458968">
    <w:abstractNumId w:val="28"/>
  </w:num>
  <w:num w:numId="18" w16cid:durableId="482963397">
    <w:abstractNumId w:val="21"/>
  </w:num>
  <w:num w:numId="19" w16cid:durableId="836001720">
    <w:abstractNumId w:val="29"/>
  </w:num>
  <w:num w:numId="20" w16cid:durableId="979767753">
    <w:abstractNumId w:val="30"/>
  </w:num>
  <w:num w:numId="21" w16cid:durableId="862285838">
    <w:abstractNumId w:val="26"/>
  </w:num>
  <w:num w:numId="22" w16cid:durableId="582881778">
    <w:abstractNumId w:val="19"/>
  </w:num>
  <w:num w:numId="23" w16cid:durableId="526522376">
    <w:abstractNumId w:val="17"/>
  </w:num>
  <w:num w:numId="24" w16cid:durableId="386228362">
    <w:abstractNumId w:val="18"/>
  </w:num>
  <w:num w:numId="25" w16cid:durableId="1287664625">
    <w:abstractNumId w:val="13"/>
  </w:num>
  <w:num w:numId="26" w16cid:durableId="907227532">
    <w:abstractNumId w:val="23"/>
  </w:num>
  <w:num w:numId="27" w16cid:durableId="1723559017">
    <w:abstractNumId w:val="22"/>
  </w:num>
  <w:num w:numId="28" w16cid:durableId="1931085482">
    <w:abstractNumId w:val="10"/>
  </w:num>
  <w:num w:numId="29" w16cid:durableId="612982388">
    <w:abstractNumId w:val="30"/>
  </w:num>
  <w:num w:numId="30" w16cid:durableId="189496072">
    <w:abstractNumId w:val="24"/>
  </w:num>
  <w:num w:numId="31" w16cid:durableId="611744734">
    <w:abstractNumId w:val="12"/>
  </w:num>
  <w:num w:numId="32" w16cid:durableId="1852186949">
    <w:abstractNumId w:val="31"/>
  </w:num>
  <w:num w:numId="33" w16cid:durableId="698824509">
    <w:abstractNumId w:val="30"/>
  </w:num>
  <w:num w:numId="34" w16cid:durableId="6997447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28"/>
    <w:rsid w:val="000005AF"/>
    <w:rsid w:val="00000994"/>
    <w:rsid w:val="00000B55"/>
    <w:rsid w:val="0000209D"/>
    <w:rsid w:val="00002566"/>
    <w:rsid w:val="0000370A"/>
    <w:rsid w:val="00003849"/>
    <w:rsid w:val="00003F5C"/>
    <w:rsid w:val="00004D5A"/>
    <w:rsid w:val="00005219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0A2C"/>
    <w:rsid w:val="0001128E"/>
    <w:rsid w:val="00011912"/>
    <w:rsid w:val="000129B7"/>
    <w:rsid w:val="0001387D"/>
    <w:rsid w:val="00014ED0"/>
    <w:rsid w:val="00016420"/>
    <w:rsid w:val="00016BDB"/>
    <w:rsid w:val="00017B01"/>
    <w:rsid w:val="000200BE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109"/>
    <w:rsid w:val="0002622B"/>
    <w:rsid w:val="00026389"/>
    <w:rsid w:val="0002669F"/>
    <w:rsid w:val="000279E5"/>
    <w:rsid w:val="000305E0"/>
    <w:rsid w:val="00031AE0"/>
    <w:rsid w:val="00031BB2"/>
    <w:rsid w:val="000322EF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2A4A"/>
    <w:rsid w:val="00044183"/>
    <w:rsid w:val="0004431D"/>
    <w:rsid w:val="00044AAC"/>
    <w:rsid w:val="0004694F"/>
    <w:rsid w:val="00046F2F"/>
    <w:rsid w:val="00047AD4"/>
    <w:rsid w:val="00047D54"/>
    <w:rsid w:val="00050541"/>
    <w:rsid w:val="0005054A"/>
    <w:rsid w:val="00050A87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D70"/>
    <w:rsid w:val="00062EC5"/>
    <w:rsid w:val="00062F22"/>
    <w:rsid w:val="00063975"/>
    <w:rsid w:val="00063CEA"/>
    <w:rsid w:val="0006444D"/>
    <w:rsid w:val="000645FC"/>
    <w:rsid w:val="00065296"/>
    <w:rsid w:val="0006533F"/>
    <w:rsid w:val="00065348"/>
    <w:rsid w:val="0006551C"/>
    <w:rsid w:val="0006558D"/>
    <w:rsid w:val="00065A75"/>
    <w:rsid w:val="000663F0"/>
    <w:rsid w:val="00066558"/>
    <w:rsid w:val="000671DB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457"/>
    <w:rsid w:val="000834ED"/>
    <w:rsid w:val="000837CD"/>
    <w:rsid w:val="00083B7F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22C"/>
    <w:rsid w:val="000913B1"/>
    <w:rsid w:val="0009290F"/>
    <w:rsid w:val="00093241"/>
    <w:rsid w:val="00093868"/>
    <w:rsid w:val="00094A84"/>
    <w:rsid w:val="00095025"/>
    <w:rsid w:val="00095135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85C"/>
    <w:rsid w:val="000A3A2C"/>
    <w:rsid w:val="000A3D9E"/>
    <w:rsid w:val="000A4A54"/>
    <w:rsid w:val="000A4ED9"/>
    <w:rsid w:val="000A5DB7"/>
    <w:rsid w:val="000A6753"/>
    <w:rsid w:val="000A6D94"/>
    <w:rsid w:val="000A7377"/>
    <w:rsid w:val="000A74A4"/>
    <w:rsid w:val="000A775A"/>
    <w:rsid w:val="000A7D63"/>
    <w:rsid w:val="000A7FF4"/>
    <w:rsid w:val="000B03CC"/>
    <w:rsid w:val="000B4212"/>
    <w:rsid w:val="000B67B7"/>
    <w:rsid w:val="000B6A0A"/>
    <w:rsid w:val="000C0127"/>
    <w:rsid w:val="000C0CA6"/>
    <w:rsid w:val="000C0EA8"/>
    <w:rsid w:val="000C13A2"/>
    <w:rsid w:val="000C21E7"/>
    <w:rsid w:val="000C23EC"/>
    <w:rsid w:val="000C26A2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C7A79"/>
    <w:rsid w:val="000D0A26"/>
    <w:rsid w:val="000D13CB"/>
    <w:rsid w:val="000D2196"/>
    <w:rsid w:val="000D2C2E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D7AC7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15F7"/>
    <w:rsid w:val="000F1AA2"/>
    <w:rsid w:val="000F378E"/>
    <w:rsid w:val="000F3F3B"/>
    <w:rsid w:val="000F4721"/>
    <w:rsid w:val="000F47E8"/>
    <w:rsid w:val="000F70E4"/>
    <w:rsid w:val="000F76EA"/>
    <w:rsid w:val="00100A8B"/>
    <w:rsid w:val="00100F5C"/>
    <w:rsid w:val="00101B15"/>
    <w:rsid w:val="00101CDA"/>
    <w:rsid w:val="00102037"/>
    <w:rsid w:val="00103DCB"/>
    <w:rsid w:val="00104C4C"/>
    <w:rsid w:val="00105015"/>
    <w:rsid w:val="001055D2"/>
    <w:rsid w:val="001057C2"/>
    <w:rsid w:val="00107124"/>
    <w:rsid w:val="0011038E"/>
    <w:rsid w:val="00111573"/>
    <w:rsid w:val="00112370"/>
    <w:rsid w:val="0011239B"/>
    <w:rsid w:val="001125EF"/>
    <w:rsid w:val="00112CAB"/>
    <w:rsid w:val="0011440C"/>
    <w:rsid w:val="00114C33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BE"/>
    <w:rsid w:val="001257E0"/>
    <w:rsid w:val="00125D69"/>
    <w:rsid w:val="0012799C"/>
    <w:rsid w:val="00127BC2"/>
    <w:rsid w:val="00127E15"/>
    <w:rsid w:val="001308F1"/>
    <w:rsid w:val="00130ADC"/>
    <w:rsid w:val="00130D9F"/>
    <w:rsid w:val="00132C4D"/>
    <w:rsid w:val="00133FC1"/>
    <w:rsid w:val="00134659"/>
    <w:rsid w:val="00135111"/>
    <w:rsid w:val="00136A6F"/>
    <w:rsid w:val="00136C1A"/>
    <w:rsid w:val="00137812"/>
    <w:rsid w:val="001405FA"/>
    <w:rsid w:val="00140D1A"/>
    <w:rsid w:val="00141184"/>
    <w:rsid w:val="00141315"/>
    <w:rsid w:val="00141AA0"/>
    <w:rsid w:val="001425C3"/>
    <w:rsid w:val="0014262D"/>
    <w:rsid w:val="00142B29"/>
    <w:rsid w:val="00144108"/>
    <w:rsid w:val="00144588"/>
    <w:rsid w:val="001447DD"/>
    <w:rsid w:val="00145358"/>
    <w:rsid w:val="001459BC"/>
    <w:rsid w:val="0014779E"/>
    <w:rsid w:val="00150ECA"/>
    <w:rsid w:val="0015108F"/>
    <w:rsid w:val="00151707"/>
    <w:rsid w:val="00152C86"/>
    <w:rsid w:val="00152F4F"/>
    <w:rsid w:val="00153264"/>
    <w:rsid w:val="0015329F"/>
    <w:rsid w:val="001544A1"/>
    <w:rsid w:val="001553B8"/>
    <w:rsid w:val="001554C2"/>
    <w:rsid w:val="00156D04"/>
    <w:rsid w:val="001571C0"/>
    <w:rsid w:val="001574FE"/>
    <w:rsid w:val="0015753D"/>
    <w:rsid w:val="00157984"/>
    <w:rsid w:val="00157CC9"/>
    <w:rsid w:val="00160C21"/>
    <w:rsid w:val="001612F4"/>
    <w:rsid w:val="00161553"/>
    <w:rsid w:val="0016216F"/>
    <w:rsid w:val="0016256B"/>
    <w:rsid w:val="00162F81"/>
    <w:rsid w:val="00163793"/>
    <w:rsid w:val="00163868"/>
    <w:rsid w:val="00164CA1"/>
    <w:rsid w:val="00165313"/>
    <w:rsid w:val="001659C3"/>
    <w:rsid w:val="001665AB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777BA"/>
    <w:rsid w:val="00181029"/>
    <w:rsid w:val="00181BBC"/>
    <w:rsid w:val="0018385F"/>
    <w:rsid w:val="00183BCF"/>
    <w:rsid w:val="00184017"/>
    <w:rsid w:val="001847BB"/>
    <w:rsid w:val="00184B08"/>
    <w:rsid w:val="00185010"/>
    <w:rsid w:val="001854F2"/>
    <w:rsid w:val="00185C22"/>
    <w:rsid w:val="00186BA9"/>
    <w:rsid w:val="00187D50"/>
    <w:rsid w:val="00190B4D"/>
    <w:rsid w:val="0019196C"/>
    <w:rsid w:val="001926A9"/>
    <w:rsid w:val="00192F05"/>
    <w:rsid w:val="00194729"/>
    <w:rsid w:val="00194850"/>
    <w:rsid w:val="00195234"/>
    <w:rsid w:val="00195EA6"/>
    <w:rsid w:val="00196016"/>
    <w:rsid w:val="00196117"/>
    <w:rsid w:val="00197A70"/>
    <w:rsid w:val="00197C0F"/>
    <w:rsid w:val="00197D0E"/>
    <w:rsid w:val="001A0487"/>
    <w:rsid w:val="001A0675"/>
    <w:rsid w:val="001A0A37"/>
    <w:rsid w:val="001A1F68"/>
    <w:rsid w:val="001A21FA"/>
    <w:rsid w:val="001A4D7C"/>
    <w:rsid w:val="001A4EF0"/>
    <w:rsid w:val="001A552F"/>
    <w:rsid w:val="001A70B1"/>
    <w:rsid w:val="001A7672"/>
    <w:rsid w:val="001B0738"/>
    <w:rsid w:val="001B1235"/>
    <w:rsid w:val="001B158D"/>
    <w:rsid w:val="001B1BBB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1A6"/>
    <w:rsid w:val="001C1B24"/>
    <w:rsid w:val="001C1B66"/>
    <w:rsid w:val="001C1BB5"/>
    <w:rsid w:val="001C2732"/>
    <w:rsid w:val="001C31A2"/>
    <w:rsid w:val="001C351D"/>
    <w:rsid w:val="001C3794"/>
    <w:rsid w:val="001C3855"/>
    <w:rsid w:val="001C4B8F"/>
    <w:rsid w:val="001C4BB8"/>
    <w:rsid w:val="001C4D8C"/>
    <w:rsid w:val="001C4FD0"/>
    <w:rsid w:val="001C544D"/>
    <w:rsid w:val="001C5E46"/>
    <w:rsid w:val="001C6B3B"/>
    <w:rsid w:val="001C7A26"/>
    <w:rsid w:val="001C7E3F"/>
    <w:rsid w:val="001D0EF1"/>
    <w:rsid w:val="001D1A44"/>
    <w:rsid w:val="001D22C2"/>
    <w:rsid w:val="001D2C99"/>
    <w:rsid w:val="001D3B75"/>
    <w:rsid w:val="001D452E"/>
    <w:rsid w:val="001D54C1"/>
    <w:rsid w:val="001D556E"/>
    <w:rsid w:val="001D5DF2"/>
    <w:rsid w:val="001D6175"/>
    <w:rsid w:val="001D68B2"/>
    <w:rsid w:val="001D7EFD"/>
    <w:rsid w:val="001D7F60"/>
    <w:rsid w:val="001E085B"/>
    <w:rsid w:val="001E149B"/>
    <w:rsid w:val="001E15CB"/>
    <w:rsid w:val="001E3306"/>
    <w:rsid w:val="001E504C"/>
    <w:rsid w:val="001E56AC"/>
    <w:rsid w:val="001E5A17"/>
    <w:rsid w:val="001E74C5"/>
    <w:rsid w:val="001F1236"/>
    <w:rsid w:val="001F2F90"/>
    <w:rsid w:val="001F4597"/>
    <w:rsid w:val="001F4826"/>
    <w:rsid w:val="001F4933"/>
    <w:rsid w:val="001F59C8"/>
    <w:rsid w:val="001F6483"/>
    <w:rsid w:val="001F6CD3"/>
    <w:rsid w:val="001F75DA"/>
    <w:rsid w:val="001F7931"/>
    <w:rsid w:val="001F7CE0"/>
    <w:rsid w:val="00200085"/>
    <w:rsid w:val="00201633"/>
    <w:rsid w:val="00203332"/>
    <w:rsid w:val="002036E6"/>
    <w:rsid w:val="00203CD5"/>
    <w:rsid w:val="00203D8F"/>
    <w:rsid w:val="00203DA4"/>
    <w:rsid w:val="00204EA6"/>
    <w:rsid w:val="00205186"/>
    <w:rsid w:val="00206516"/>
    <w:rsid w:val="002070CF"/>
    <w:rsid w:val="002071D5"/>
    <w:rsid w:val="002073FD"/>
    <w:rsid w:val="002111E5"/>
    <w:rsid w:val="0021149E"/>
    <w:rsid w:val="002118B9"/>
    <w:rsid w:val="00213691"/>
    <w:rsid w:val="002142C0"/>
    <w:rsid w:val="00217BED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38DC"/>
    <w:rsid w:val="00244652"/>
    <w:rsid w:val="00244A15"/>
    <w:rsid w:val="002452D9"/>
    <w:rsid w:val="00247319"/>
    <w:rsid w:val="0024799E"/>
    <w:rsid w:val="00247E60"/>
    <w:rsid w:val="002512B7"/>
    <w:rsid w:val="00251496"/>
    <w:rsid w:val="00251B08"/>
    <w:rsid w:val="00251C53"/>
    <w:rsid w:val="00252AB9"/>
    <w:rsid w:val="002532B1"/>
    <w:rsid w:val="00253C0F"/>
    <w:rsid w:val="002558C1"/>
    <w:rsid w:val="00256207"/>
    <w:rsid w:val="002575F3"/>
    <w:rsid w:val="002601B4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4B85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9C7"/>
    <w:rsid w:val="00275DEF"/>
    <w:rsid w:val="00275E43"/>
    <w:rsid w:val="002763A2"/>
    <w:rsid w:val="00276B33"/>
    <w:rsid w:val="00277669"/>
    <w:rsid w:val="002803A5"/>
    <w:rsid w:val="00280ACB"/>
    <w:rsid w:val="002812E3"/>
    <w:rsid w:val="00281576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461A"/>
    <w:rsid w:val="0029509B"/>
    <w:rsid w:val="0029588F"/>
    <w:rsid w:val="00295E96"/>
    <w:rsid w:val="00297256"/>
    <w:rsid w:val="00297A5C"/>
    <w:rsid w:val="00297D51"/>
    <w:rsid w:val="002A0122"/>
    <w:rsid w:val="002A016B"/>
    <w:rsid w:val="002A103E"/>
    <w:rsid w:val="002A16D4"/>
    <w:rsid w:val="002A1E4F"/>
    <w:rsid w:val="002A230C"/>
    <w:rsid w:val="002A2AF7"/>
    <w:rsid w:val="002A3209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B75C0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DCE"/>
    <w:rsid w:val="002E4E4C"/>
    <w:rsid w:val="002E4EA7"/>
    <w:rsid w:val="002E5846"/>
    <w:rsid w:val="002E631B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357F"/>
    <w:rsid w:val="002F46D6"/>
    <w:rsid w:val="002F498A"/>
    <w:rsid w:val="002F4AD8"/>
    <w:rsid w:val="002F5285"/>
    <w:rsid w:val="002F5820"/>
    <w:rsid w:val="002F64BB"/>
    <w:rsid w:val="002F7D9B"/>
    <w:rsid w:val="00300C31"/>
    <w:rsid w:val="003017EC"/>
    <w:rsid w:val="00302165"/>
    <w:rsid w:val="00303BB4"/>
    <w:rsid w:val="00304771"/>
    <w:rsid w:val="00304F9C"/>
    <w:rsid w:val="003052D4"/>
    <w:rsid w:val="00305863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2A85"/>
    <w:rsid w:val="00315169"/>
    <w:rsid w:val="003153C8"/>
    <w:rsid w:val="00315524"/>
    <w:rsid w:val="00315561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3A8E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40BF3"/>
    <w:rsid w:val="00341C6C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541BB"/>
    <w:rsid w:val="00354502"/>
    <w:rsid w:val="00354F89"/>
    <w:rsid w:val="0035506D"/>
    <w:rsid w:val="003579A1"/>
    <w:rsid w:val="0036077F"/>
    <w:rsid w:val="00360A35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5F61"/>
    <w:rsid w:val="0036624C"/>
    <w:rsid w:val="00367F84"/>
    <w:rsid w:val="003712BC"/>
    <w:rsid w:val="00372164"/>
    <w:rsid w:val="003738BD"/>
    <w:rsid w:val="00374263"/>
    <w:rsid w:val="003746F0"/>
    <w:rsid w:val="00374A20"/>
    <w:rsid w:val="00374B96"/>
    <w:rsid w:val="00374E21"/>
    <w:rsid w:val="0037537A"/>
    <w:rsid w:val="00377B2E"/>
    <w:rsid w:val="00380C9B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402D"/>
    <w:rsid w:val="00396739"/>
    <w:rsid w:val="003978B1"/>
    <w:rsid w:val="003A04F6"/>
    <w:rsid w:val="003A0837"/>
    <w:rsid w:val="003A2B4D"/>
    <w:rsid w:val="003A2D12"/>
    <w:rsid w:val="003A2EBA"/>
    <w:rsid w:val="003A45E3"/>
    <w:rsid w:val="003A46B8"/>
    <w:rsid w:val="003A478C"/>
    <w:rsid w:val="003A4A38"/>
    <w:rsid w:val="003A5295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87"/>
    <w:rsid w:val="003C3AE8"/>
    <w:rsid w:val="003C3D2C"/>
    <w:rsid w:val="003C4058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05C"/>
    <w:rsid w:val="003E1EF8"/>
    <w:rsid w:val="003E2DFB"/>
    <w:rsid w:val="003E4466"/>
    <w:rsid w:val="003E4C91"/>
    <w:rsid w:val="003E52D8"/>
    <w:rsid w:val="003E62F1"/>
    <w:rsid w:val="003E6F84"/>
    <w:rsid w:val="003F0148"/>
    <w:rsid w:val="003F313C"/>
    <w:rsid w:val="003F33B1"/>
    <w:rsid w:val="003F33B9"/>
    <w:rsid w:val="003F37FC"/>
    <w:rsid w:val="003F3E76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17106"/>
    <w:rsid w:val="00420880"/>
    <w:rsid w:val="00421179"/>
    <w:rsid w:val="004225D7"/>
    <w:rsid w:val="00423623"/>
    <w:rsid w:val="0042470E"/>
    <w:rsid w:val="00425352"/>
    <w:rsid w:val="00426C99"/>
    <w:rsid w:val="004272BE"/>
    <w:rsid w:val="00430C96"/>
    <w:rsid w:val="0043174F"/>
    <w:rsid w:val="00431BFF"/>
    <w:rsid w:val="00432199"/>
    <w:rsid w:val="00432A58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25"/>
    <w:rsid w:val="00451EF1"/>
    <w:rsid w:val="00452E60"/>
    <w:rsid w:val="0045321B"/>
    <w:rsid w:val="00455833"/>
    <w:rsid w:val="00456FB5"/>
    <w:rsid w:val="00456FE5"/>
    <w:rsid w:val="00457490"/>
    <w:rsid w:val="0045778B"/>
    <w:rsid w:val="0045786C"/>
    <w:rsid w:val="00457953"/>
    <w:rsid w:val="004604D8"/>
    <w:rsid w:val="00460656"/>
    <w:rsid w:val="00460FB3"/>
    <w:rsid w:val="00463D3C"/>
    <w:rsid w:val="00464851"/>
    <w:rsid w:val="00464BF5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368C"/>
    <w:rsid w:val="0048372F"/>
    <w:rsid w:val="0048399F"/>
    <w:rsid w:val="00483A0C"/>
    <w:rsid w:val="004841CC"/>
    <w:rsid w:val="00484ECE"/>
    <w:rsid w:val="00485E82"/>
    <w:rsid w:val="00486132"/>
    <w:rsid w:val="0048686D"/>
    <w:rsid w:val="00486A4D"/>
    <w:rsid w:val="004915CB"/>
    <w:rsid w:val="00491A2B"/>
    <w:rsid w:val="004924DC"/>
    <w:rsid w:val="00492879"/>
    <w:rsid w:val="00493E85"/>
    <w:rsid w:val="00495145"/>
    <w:rsid w:val="0049531F"/>
    <w:rsid w:val="004979A5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A7DC0"/>
    <w:rsid w:val="004B1417"/>
    <w:rsid w:val="004B1627"/>
    <w:rsid w:val="004B305C"/>
    <w:rsid w:val="004B31B8"/>
    <w:rsid w:val="004B339A"/>
    <w:rsid w:val="004B4C83"/>
    <w:rsid w:val="004B55B7"/>
    <w:rsid w:val="004B5BFA"/>
    <w:rsid w:val="004B619E"/>
    <w:rsid w:val="004B6468"/>
    <w:rsid w:val="004B6EF8"/>
    <w:rsid w:val="004B7125"/>
    <w:rsid w:val="004B756A"/>
    <w:rsid w:val="004B7FB1"/>
    <w:rsid w:val="004C0970"/>
    <w:rsid w:val="004C0B3F"/>
    <w:rsid w:val="004C0F87"/>
    <w:rsid w:val="004C25F9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D31"/>
    <w:rsid w:val="004D2E03"/>
    <w:rsid w:val="004D3296"/>
    <w:rsid w:val="004D4056"/>
    <w:rsid w:val="004D4CB0"/>
    <w:rsid w:val="004D5B0F"/>
    <w:rsid w:val="004D7626"/>
    <w:rsid w:val="004E085C"/>
    <w:rsid w:val="004E12DF"/>
    <w:rsid w:val="004E186A"/>
    <w:rsid w:val="004E1A40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1BAF"/>
    <w:rsid w:val="00512461"/>
    <w:rsid w:val="00512585"/>
    <w:rsid w:val="00512A2F"/>
    <w:rsid w:val="00513B7E"/>
    <w:rsid w:val="00513E9D"/>
    <w:rsid w:val="0051475D"/>
    <w:rsid w:val="00514B11"/>
    <w:rsid w:val="00514DED"/>
    <w:rsid w:val="00515485"/>
    <w:rsid w:val="00515BE9"/>
    <w:rsid w:val="00515C74"/>
    <w:rsid w:val="00515CEB"/>
    <w:rsid w:val="0051630F"/>
    <w:rsid w:val="00517113"/>
    <w:rsid w:val="0052007E"/>
    <w:rsid w:val="0052032E"/>
    <w:rsid w:val="00521CAD"/>
    <w:rsid w:val="0052200D"/>
    <w:rsid w:val="00522425"/>
    <w:rsid w:val="00522A1B"/>
    <w:rsid w:val="00522E01"/>
    <w:rsid w:val="0052337A"/>
    <w:rsid w:val="00524385"/>
    <w:rsid w:val="005246BE"/>
    <w:rsid w:val="00525137"/>
    <w:rsid w:val="005251DD"/>
    <w:rsid w:val="0052762C"/>
    <w:rsid w:val="0052792D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782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FC7"/>
    <w:rsid w:val="005500F9"/>
    <w:rsid w:val="00550160"/>
    <w:rsid w:val="00550249"/>
    <w:rsid w:val="00550540"/>
    <w:rsid w:val="005519E2"/>
    <w:rsid w:val="00551E16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5F3"/>
    <w:rsid w:val="00560C41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601"/>
    <w:rsid w:val="00570BC3"/>
    <w:rsid w:val="00571766"/>
    <w:rsid w:val="0057182A"/>
    <w:rsid w:val="00571E59"/>
    <w:rsid w:val="00572079"/>
    <w:rsid w:val="00572900"/>
    <w:rsid w:val="00573602"/>
    <w:rsid w:val="0057364B"/>
    <w:rsid w:val="00574773"/>
    <w:rsid w:val="005761EC"/>
    <w:rsid w:val="00576E34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60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7671"/>
    <w:rsid w:val="00597BBF"/>
    <w:rsid w:val="005A040C"/>
    <w:rsid w:val="005A0463"/>
    <w:rsid w:val="005A0948"/>
    <w:rsid w:val="005A0A03"/>
    <w:rsid w:val="005A10F2"/>
    <w:rsid w:val="005A16C0"/>
    <w:rsid w:val="005A2156"/>
    <w:rsid w:val="005A21E0"/>
    <w:rsid w:val="005A2401"/>
    <w:rsid w:val="005A28FF"/>
    <w:rsid w:val="005A2C09"/>
    <w:rsid w:val="005A3778"/>
    <w:rsid w:val="005A37B0"/>
    <w:rsid w:val="005A3DF8"/>
    <w:rsid w:val="005A5549"/>
    <w:rsid w:val="005A566A"/>
    <w:rsid w:val="005A56E0"/>
    <w:rsid w:val="005A70CA"/>
    <w:rsid w:val="005A7ABD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0CE1"/>
    <w:rsid w:val="005C11B8"/>
    <w:rsid w:val="005C216C"/>
    <w:rsid w:val="005C2609"/>
    <w:rsid w:val="005C2B30"/>
    <w:rsid w:val="005C412B"/>
    <w:rsid w:val="005C43EC"/>
    <w:rsid w:val="005C45DD"/>
    <w:rsid w:val="005C4704"/>
    <w:rsid w:val="005C4CB1"/>
    <w:rsid w:val="005C70AB"/>
    <w:rsid w:val="005D015C"/>
    <w:rsid w:val="005D3F06"/>
    <w:rsid w:val="005D4608"/>
    <w:rsid w:val="005D4B73"/>
    <w:rsid w:val="005D533D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7724"/>
    <w:rsid w:val="005E7C78"/>
    <w:rsid w:val="005F04A7"/>
    <w:rsid w:val="005F114F"/>
    <w:rsid w:val="005F18C5"/>
    <w:rsid w:val="005F247B"/>
    <w:rsid w:val="005F2A08"/>
    <w:rsid w:val="005F36CC"/>
    <w:rsid w:val="005F3EB1"/>
    <w:rsid w:val="005F413E"/>
    <w:rsid w:val="005F466B"/>
    <w:rsid w:val="005F46D8"/>
    <w:rsid w:val="005F480F"/>
    <w:rsid w:val="005F5271"/>
    <w:rsid w:val="005F5469"/>
    <w:rsid w:val="005F63F3"/>
    <w:rsid w:val="005F66F0"/>
    <w:rsid w:val="005F6D7F"/>
    <w:rsid w:val="005F6DFE"/>
    <w:rsid w:val="005F7174"/>
    <w:rsid w:val="0060120D"/>
    <w:rsid w:val="006017C1"/>
    <w:rsid w:val="00601ADE"/>
    <w:rsid w:val="00601EEF"/>
    <w:rsid w:val="0060255A"/>
    <w:rsid w:val="00602998"/>
    <w:rsid w:val="00602EB3"/>
    <w:rsid w:val="00604307"/>
    <w:rsid w:val="0060487F"/>
    <w:rsid w:val="00604EAD"/>
    <w:rsid w:val="0060513F"/>
    <w:rsid w:val="006065E2"/>
    <w:rsid w:val="0060694B"/>
    <w:rsid w:val="006104FB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254"/>
    <w:rsid w:val="0061672A"/>
    <w:rsid w:val="00616E05"/>
    <w:rsid w:val="00617985"/>
    <w:rsid w:val="00620641"/>
    <w:rsid w:val="00620B77"/>
    <w:rsid w:val="00621190"/>
    <w:rsid w:val="0062131B"/>
    <w:rsid w:val="00621E26"/>
    <w:rsid w:val="006224EA"/>
    <w:rsid w:val="0062263A"/>
    <w:rsid w:val="006227DF"/>
    <w:rsid w:val="006234A0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6B3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2E30"/>
    <w:rsid w:val="00653BD0"/>
    <w:rsid w:val="00654110"/>
    <w:rsid w:val="00656C5D"/>
    <w:rsid w:val="00656CFB"/>
    <w:rsid w:val="00656D25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501"/>
    <w:rsid w:val="00665982"/>
    <w:rsid w:val="00665BA4"/>
    <w:rsid w:val="00666BF3"/>
    <w:rsid w:val="00667856"/>
    <w:rsid w:val="00667AF2"/>
    <w:rsid w:val="00670489"/>
    <w:rsid w:val="006710C9"/>
    <w:rsid w:val="00671D85"/>
    <w:rsid w:val="00672586"/>
    <w:rsid w:val="006727BC"/>
    <w:rsid w:val="006741CD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B9B"/>
    <w:rsid w:val="00684D59"/>
    <w:rsid w:val="00684E25"/>
    <w:rsid w:val="006858A4"/>
    <w:rsid w:val="00685C08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4E91"/>
    <w:rsid w:val="006A5F4B"/>
    <w:rsid w:val="006A6114"/>
    <w:rsid w:val="006A6565"/>
    <w:rsid w:val="006A76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981"/>
    <w:rsid w:val="006C7AEC"/>
    <w:rsid w:val="006C7CA6"/>
    <w:rsid w:val="006D18B3"/>
    <w:rsid w:val="006D1E89"/>
    <w:rsid w:val="006D26CE"/>
    <w:rsid w:val="006D317E"/>
    <w:rsid w:val="006D3E8A"/>
    <w:rsid w:val="006D47D9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261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1F2A"/>
    <w:rsid w:val="007434E5"/>
    <w:rsid w:val="0074499B"/>
    <w:rsid w:val="0074501E"/>
    <w:rsid w:val="007450BF"/>
    <w:rsid w:val="0074599A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4A2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67933"/>
    <w:rsid w:val="00770AB9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5E00"/>
    <w:rsid w:val="0077605B"/>
    <w:rsid w:val="00776169"/>
    <w:rsid w:val="00776527"/>
    <w:rsid w:val="00777040"/>
    <w:rsid w:val="00777CE6"/>
    <w:rsid w:val="00777D57"/>
    <w:rsid w:val="00780EF1"/>
    <w:rsid w:val="00781A91"/>
    <w:rsid w:val="00781AD3"/>
    <w:rsid w:val="00781F36"/>
    <w:rsid w:val="0078357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6E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1D1B"/>
    <w:rsid w:val="007B2011"/>
    <w:rsid w:val="007B2CFE"/>
    <w:rsid w:val="007B309B"/>
    <w:rsid w:val="007B3D5E"/>
    <w:rsid w:val="007B3DCB"/>
    <w:rsid w:val="007B54AE"/>
    <w:rsid w:val="007B5725"/>
    <w:rsid w:val="007B5C1F"/>
    <w:rsid w:val="007B6689"/>
    <w:rsid w:val="007B6747"/>
    <w:rsid w:val="007B6F72"/>
    <w:rsid w:val="007B74AA"/>
    <w:rsid w:val="007C10BD"/>
    <w:rsid w:val="007C162D"/>
    <w:rsid w:val="007C1F0C"/>
    <w:rsid w:val="007C1FFB"/>
    <w:rsid w:val="007C2D94"/>
    <w:rsid w:val="007C4A6B"/>
    <w:rsid w:val="007C5F92"/>
    <w:rsid w:val="007C6227"/>
    <w:rsid w:val="007C64F7"/>
    <w:rsid w:val="007C6BBD"/>
    <w:rsid w:val="007C6D89"/>
    <w:rsid w:val="007C6F5E"/>
    <w:rsid w:val="007D0382"/>
    <w:rsid w:val="007D0F6B"/>
    <w:rsid w:val="007D14FE"/>
    <w:rsid w:val="007D1A1F"/>
    <w:rsid w:val="007D213B"/>
    <w:rsid w:val="007D2783"/>
    <w:rsid w:val="007D2E18"/>
    <w:rsid w:val="007D3EF3"/>
    <w:rsid w:val="007D40DF"/>
    <w:rsid w:val="007D42E5"/>
    <w:rsid w:val="007D4458"/>
    <w:rsid w:val="007D6AF9"/>
    <w:rsid w:val="007D7763"/>
    <w:rsid w:val="007E0535"/>
    <w:rsid w:val="007E07F2"/>
    <w:rsid w:val="007E0D4A"/>
    <w:rsid w:val="007E1788"/>
    <w:rsid w:val="007E1EE3"/>
    <w:rsid w:val="007E29B4"/>
    <w:rsid w:val="007E2F12"/>
    <w:rsid w:val="007E3627"/>
    <w:rsid w:val="007E435A"/>
    <w:rsid w:val="007E445C"/>
    <w:rsid w:val="007E49F7"/>
    <w:rsid w:val="007E4C70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3CB6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1B1"/>
    <w:rsid w:val="0080734C"/>
    <w:rsid w:val="00807C82"/>
    <w:rsid w:val="008117CC"/>
    <w:rsid w:val="00811FF8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007"/>
    <w:rsid w:val="00825120"/>
    <w:rsid w:val="00825C4D"/>
    <w:rsid w:val="00826A08"/>
    <w:rsid w:val="00826AC0"/>
    <w:rsid w:val="00826D45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71A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1163"/>
    <w:rsid w:val="008520A8"/>
    <w:rsid w:val="00852217"/>
    <w:rsid w:val="00853282"/>
    <w:rsid w:val="0085334C"/>
    <w:rsid w:val="00854291"/>
    <w:rsid w:val="00855408"/>
    <w:rsid w:val="00855D03"/>
    <w:rsid w:val="00856D65"/>
    <w:rsid w:val="00856FA4"/>
    <w:rsid w:val="00860D79"/>
    <w:rsid w:val="00861B41"/>
    <w:rsid w:val="00861B9F"/>
    <w:rsid w:val="00861BE3"/>
    <w:rsid w:val="00861EB6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5FB"/>
    <w:rsid w:val="00870ECD"/>
    <w:rsid w:val="0087347C"/>
    <w:rsid w:val="008734E7"/>
    <w:rsid w:val="0087368D"/>
    <w:rsid w:val="008740CC"/>
    <w:rsid w:val="0087442A"/>
    <w:rsid w:val="00874578"/>
    <w:rsid w:val="00874FE8"/>
    <w:rsid w:val="00875A32"/>
    <w:rsid w:val="00875CC1"/>
    <w:rsid w:val="00876086"/>
    <w:rsid w:val="00876651"/>
    <w:rsid w:val="00876E83"/>
    <w:rsid w:val="0087722C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5797"/>
    <w:rsid w:val="008967E9"/>
    <w:rsid w:val="00896A5C"/>
    <w:rsid w:val="00897155"/>
    <w:rsid w:val="008972D2"/>
    <w:rsid w:val="0089754C"/>
    <w:rsid w:val="00897CFA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1850"/>
    <w:rsid w:val="008B2639"/>
    <w:rsid w:val="008B3537"/>
    <w:rsid w:val="008B3690"/>
    <w:rsid w:val="008B3A80"/>
    <w:rsid w:val="008B3AEC"/>
    <w:rsid w:val="008B3C07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0EBE"/>
    <w:rsid w:val="008C1717"/>
    <w:rsid w:val="008C17F0"/>
    <w:rsid w:val="008C3A32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6C3A"/>
    <w:rsid w:val="008D70E2"/>
    <w:rsid w:val="008D7F47"/>
    <w:rsid w:val="008E0001"/>
    <w:rsid w:val="008E039E"/>
    <w:rsid w:val="008E292B"/>
    <w:rsid w:val="008E2C57"/>
    <w:rsid w:val="008E31FF"/>
    <w:rsid w:val="008E3287"/>
    <w:rsid w:val="008E38E4"/>
    <w:rsid w:val="008E3DFA"/>
    <w:rsid w:val="008E51EB"/>
    <w:rsid w:val="008E5746"/>
    <w:rsid w:val="008E64D7"/>
    <w:rsid w:val="008E6DCB"/>
    <w:rsid w:val="008E6F06"/>
    <w:rsid w:val="008E7000"/>
    <w:rsid w:val="008E723E"/>
    <w:rsid w:val="008E7B8E"/>
    <w:rsid w:val="008E7FC9"/>
    <w:rsid w:val="008F0107"/>
    <w:rsid w:val="008F029B"/>
    <w:rsid w:val="008F0589"/>
    <w:rsid w:val="008F2A5D"/>
    <w:rsid w:val="008F2BC7"/>
    <w:rsid w:val="008F2E83"/>
    <w:rsid w:val="008F3636"/>
    <w:rsid w:val="008F3FC9"/>
    <w:rsid w:val="008F509F"/>
    <w:rsid w:val="008F525A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3237"/>
    <w:rsid w:val="00913B36"/>
    <w:rsid w:val="0091476D"/>
    <w:rsid w:val="00915D07"/>
    <w:rsid w:val="009162AE"/>
    <w:rsid w:val="00917154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239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48B"/>
    <w:rsid w:val="00937017"/>
    <w:rsid w:val="009373B2"/>
    <w:rsid w:val="009377A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46C4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5BA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3"/>
    <w:rsid w:val="00977C3D"/>
    <w:rsid w:val="00980D3D"/>
    <w:rsid w:val="0098103E"/>
    <w:rsid w:val="0098157D"/>
    <w:rsid w:val="00983101"/>
    <w:rsid w:val="00983E41"/>
    <w:rsid w:val="009845E1"/>
    <w:rsid w:val="00984CE5"/>
    <w:rsid w:val="00984D1B"/>
    <w:rsid w:val="00986246"/>
    <w:rsid w:val="00987A30"/>
    <w:rsid w:val="00990312"/>
    <w:rsid w:val="009908AF"/>
    <w:rsid w:val="0099182E"/>
    <w:rsid w:val="00991D45"/>
    <w:rsid w:val="00992B49"/>
    <w:rsid w:val="00992BB3"/>
    <w:rsid w:val="00992CF3"/>
    <w:rsid w:val="00993194"/>
    <w:rsid w:val="0099321E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2B7"/>
    <w:rsid w:val="009A1CAB"/>
    <w:rsid w:val="009A2359"/>
    <w:rsid w:val="009A24F1"/>
    <w:rsid w:val="009A27E0"/>
    <w:rsid w:val="009A4D57"/>
    <w:rsid w:val="009A51A5"/>
    <w:rsid w:val="009A5309"/>
    <w:rsid w:val="009A5759"/>
    <w:rsid w:val="009A60D1"/>
    <w:rsid w:val="009A6225"/>
    <w:rsid w:val="009A64F5"/>
    <w:rsid w:val="009B00D2"/>
    <w:rsid w:val="009B05B3"/>
    <w:rsid w:val="009B0CAF"/>
    <w:rsid w:val="009B1324"/>
    <w:rsid w:val="009B2558"/>
    <w:rsid w:val="009B284F"/>
    <w:rsid w:val="009B3764"/>
    <w:rsid w:val="009B3840"/>
    <w:rsid w:val="009B52AC"/>
    <w:rsid w:val="009B553D"/>
    <w:rsid w:val="009B59EA"/>
    <w:rsid w:val="009B5B6E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6EA6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032E"/>
    <w:rsid w:val="009F1CA6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187B"/>
    <w:rsid w:val="00A02E8B"/>
    <w:rsid w:val="00A0306F"/>
    <w:rsid w:val="00A03511"/>
    <w:rsid w:val="00A03B10"/>
    <w:rsid w:val="00A03E2E"/>
    <w:rsid w:val="00A04616"/>
    <w:rsid w:val="00A04717"/>
    <w:rsid w:val="00A05D8F"/>
    <w:rsid w:val="00A05EB1"/>
    <w:rsid w:val="00A05EE4"/>
    <w:rsid w:val="00A06F99"/>
    <w:rsid w:val="00A1053B"/>
    <w:rsid w:val="00A10D66"/>
    <w:rsid w:val="00A113A4"/>
    <w:rsid w:val="00A12A8E"/>
    <w:rsid w:val="00A133F9"/>
    <w:rsid w:val="00A14114"/>
    <w:rsid w:val="00A16413"/>
    <w:rsid w:val="00A16545"/>
    <w:rsid w:val="00A16A1A"/>
    <w:rsid w:val="00A16A9F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6777"/>
    <w:rsid w:val="00A269AB"/>
    <w:rsid w:val="00A2731E"/>
    <w:rsid w:val="00A309AC"/>
    <w:rsid w:val="00A30EA4"/>
    <w:rsid w:val="00A30F65"/>
    <w:rsid w:val="00A315D0"/>
    <w:rsid w:val="00A3279E"/>
    <w:rsid w:val="00A33DB1"/>
    <w:rsid w:val="00A33EEB"/>
    <w:rsid w:val="00A351C8"/>
    <w:rsid w:val="00A35900"/>
    <w:rsid w:val="00A35F33"/>
    <w:rsid w:val="00A401A3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240"/>
    <w:rsid w:val="00A478BA"/>
    <w:rsid w:val="00A50D73"/>
    <w:rsid w:val="00A518BB"/>
    <w:rsid w:val="00A52A88"/>
    <w:rsid w:val="00A52CAD"/>
    <w:rsid w:val="00A53340"/>
    <w:rsid w:val="00A53FC7"/>
    <w:rsid w:val="00A55569"/>
    <w:rsid w:val="00A55C36"/>
    <w:rsid w:val="00A5661B"/>
    <w:rsid w:val="00A566A0"/>
    <w:rsid w:val="00A601E7"/>
    <w:rsid w:val="00A60AC1"/>
    <w:rsid w:val="00A62162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77E6B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36F"/>
    <w:rsid w:val="00A9092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C5256"/>
    <w:rsid w:val="00AC78F1"/>
    <w:rsid w:val="00AC7B96"/>
    <w:rsid w:val="00AD0B22"/>
    <w:rsid w:val="00AD0EE7"/>
    <w:rsid w:val="00AD168E"/>
    <w:rsid w:val="00AD306C"/>
    <w:rsid w:val="00AD44CD"/>
    <w:rsid w:val="00AD47A7"/>
    <w:rsid w:val="00AD5AD2"/>
    <w:rsid w:val="00AD6462"/>
    <w:rsid w:val="00AD66C5"/>
    <w:rsid w:val="00AD68C4"/>
    <w:rsid w:val="00AD71F9"/>
    <w:rsid w:val="00AE09B3"/>
    <w:rsid w:val="00AE1A83"/>
    <w:rsid w:val="00AE2A78"/>
    <w:rsid w:val="00AE30BE"/>
    <w:rsid w:val="00AE3E6A"/>
    <w:rsid w:val="00AE417E"/>
    <w:rsid w:val="00AE56EE"/>
    <w:rsid w:val="00AE6414"/>
    <w:rsid w:val="00AE7269"/>
    <w:rsid w:val="00AE797C"/>
    <w:rsid w:val="00AE7CE7"/>
    <w:rsid w:val="00AE7FAB"/>
    <w:rsid w:val="00AF0DE4"/>
    <w:rsid w:val="00AF12A0"/>
    <w:rsid w:val="00AF1E87"/>
    <w:rsid w:val="00AF436B"/>
    <w:rsid w:val="00AF5179"/>
    <w:rsid w:val="00AF5CC2"/>
    <w:rsid w:val="00AF660D"/>
    <w:rsid w:val="00AF6776"/>
    <w:rsid w:val="00AF6F98"/>
    <w:rsid w:val="00AF7277"/>
    <w:rsid w:val="00B00550"/>
    <w:rsid w:val="00B00913"/>
    <w:rsid w:val="00B00D4D"/>
    <w:rsid w:val="00B01593"/>
    <w:rsid w:val="00B01D0F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27EC6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63B"/>
    <w:rsid w:val="00B36BDC"/>
    <w:rsid w:val="00B37D3A"/>
    <w:rsid w:val="00B37D96"/>
    <w:rsid w:val="00B402FC"/>
    <w:rsid w:val="00B422E2"/>
    <w:rsid w:val="00B42517"/>
    <w:rsid w:val="00B42902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311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274C"/>
    <w:rsid w:val="00B63A11"/>
    <w:rsid w:val="00B64425"/>
    <w:rsid w:val="00B64C24"/>
    <w:rsid w:val="00B64E72"/>
    <w:rsid w:val="00B65CEF"/>
    <w:rsid w:val="00B6608F"/>
    <w:rsid w:val="00B674C7"/>
    <w:rsid w:val="00B67749"/>
    <w:rsid w:val="00B679FB"/>
    <w:rsid w:val="00B71FBF"/>
    <w:rsid w:val="00B734A0"/>
    <w:rsid w:val="00B73A14"/>
    <w:rsid w:val="00B748BD"/>
    <w:rsid w:val="00B76100"/>
    <w:rsid w:val="00B7680F"/>
    <w:rsid w:val="00B76B48"/>
    <w:rsid w:val="00B76D1E"/>
    <w:rsid w:val="00B77543"/>
    <w:rsid w:val="00B77584"/>
    <w:rsid w:val="00B77E34"/>
    <w:rsid w:val="00B80D4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871A7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5C12"/>
    <w:rsid w:val="00B96D74"/>
    <w:rsid w:val="00B9720E"/>
    <w:rsid w:val="00B97ACC"/>
    <w:rsid w:val="00B97FE2"/>
    <w:rsid w:val="00BA0E0B"/>
    <w:rsid w:val="00BA201A"/>
    <w:rsid w:val="00BA21DF"/>
    <w:rsid w:val="00BA361D"/>
    <w:rsid w:val="00BA3787"/>
    <w:rsid w:val="00BA403A"/>
    <w:rsid w:val="00BA46E8"/>
    <w:rsid w:val="00BA49DB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0C0"/>
    <w:rsid w:val="00BB5AB2"/>
    <w:rsid w:val="00BB5ABF"/>
    <w:rsid w:val="00BB6EA2"/>
    <w:rsid w:val="00BB7142"/>
    <w:rsid w:val="00BB76F3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C7EFA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4BB"/>
    <w:rsid w:val="00BE386D"/>
    <w:rsid w:val="00BE4DA9"/>
    <w:rsid w:val="00BE54BF"/>
    <w:rsid w:val="00BE557B"/>
    <w:rsid w:val="00BE55EF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65C"/>
    <w:rsid w:val="00BF77FC"/>
    <w:rsid w:val="00C006D6"/>
    <w:rsid w:val="00C00BD7"/>
    <w:rsid w:val="00C01410"/>
    <w:rsid w:val="00C024BB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0805"/>
    <w:rsid w:val="00C11244"/>
    <w:rsid w:val="00C118A9"/>
    <w:rsid w:val="00C11D48"/>
    <w:rsid w:val="00C12304"/>
    <w:rsid w:val="00C12316"/>
    <w:rsid w:val="00C1246C"/>
    <w:rsid w:val="00C1493E"/>
    <w:rsid w:val="00C15537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272B"/>
    <w:rsid w:val="00C234DB"/>
    <w:rsid w:val="00C23C5C"/>
    <w:rsid w:val="00C2479A"/>
    <w:rsid w:val="00C24903"/>
    <w:rsid w:val="00C2590D"/>
    <w:rsid w:val="00C25D9C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35E8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0AE3"/>
    <w:rsid w:val="00C61F47"/>
    <w:rsid w:val="00C62828"/>
    <w:rsid w:val="00C655DA"/>
    <w:rsid w:val="00C672C1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019E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867F9"/>
    <w:rsid w:val="00C872AA"/>
    <w:rsid w:val="00C87C6B"/>
    <w:rsid w:val="00C90357"/>
    <w:rsid w:val="00C90CF4"/>
    <w:rsid w:val="00C91C20"/>
    <w:rsid w:val="00C922DE"/>
    <w:rsid w:val="00C92843"/>
    <w:rsid w:val="00C92EB6"/>
    <w:rsid w:val="00C93389"/>
    <w:rsid w:val="00C948E6"/>
    <w:rsid w:val="00C94CDD"/>
    <w:rsid w:val="00C95123"/>
    <w:rsid w:val="00C97588"/>
    <w:rsid w:val="00CA0346"/>
    <w:rsid w:val="00CA0BD5"/>
    <w:rsid w:val="00CA0DA1"/>
    <w:rsid w:val="00CA1BD6"/>
    <w:rsid w:val="00CA37FF"/>
    <w:rsid w:val="00CA423A"/>
    <w:rsid w:val="00CA47BC"/>
    <w:rsid w:val="00CA5EAD"/>
    <w:rsid w:val="00CA6AB4"/>
    <w:rsid w:val="00CA7255"/>
    <w:rsid w:val="00CA79E2"/>
    <w:rsid w:val="00CB111E"/>
    <w:rsid w:val="00CB1BEE"/>
    <w:rsid w:val="00CB2351"/>
    <w:rsid w:val="00CB4022"/>
    <w:rsid w:val="00CB4930"/>
    <w:rsid w:val="00CB4BA9"/>
    <w:rsid w:val="00CB4C48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469E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8BF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6331"/>
    <w:rsid w:val="00CD7E9E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5E12"/>
    <w:rsid w:val="00CE62FA"/>
    <w:rsid w:val="00CE670B"/>
    <w:rsid w:val="00CE6833"/>
    <w:rsid w:val="00CE7562"/>
    <w:rsid w:val="00CF020B"/>
    <w:rsid w:val="00CF15BF"/>
    <w:rsid w:val="00CF2E4D"/>
    <w:rsid w:val="00CF35A7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3F3E"/>
    <w:rsid w:val="00D14C5B"/>
    <w:rsid w:val="00D15D3A"/>
    <w:rsid w:val="00D15FED"/>
    <w:rsid w:val="00D16712"/>
    <w:rsid w:val="00D174E0"/>
    <w:rsid w:val="00D214EF"/>
    <w:rsid w:val="00D215B0"/>
    <w:rsid w:val="00D21B36"/>
    <w:rsid w:val="00D21D6D"/>
    <w:rsid w:val="00D21D83"/>
    <w:rsid w:val="00D22A47"/>
    <w:rsid w:val="00D235B7"/>
    <w:rsid w:val="00D23A99"/>
    <w:rsid w:val="00D23FAE"/>
    <w:rsid w:val="00D25F28"/>
    <w:rsid w:val="00D26071"/>
    <w:rsid w:val="00D260C7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02A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DAE"/>
    <w:rsid w:val="00D60E3C"/>
    <w:rsid w:val="00D60FA7"/>
    <w:rsid w:val="00D61FAB"/>
    <w:rsid w:val="00D62C4E"/>
    <w:rsid w:val="00D63BE5"/>
    <w:rsid w:val="00D6475F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32B8"/>
    <w:rsid w:val="00D932F0"/>
    <w:rsid w:val="00D95302"/>
    <w:rsid w:val="00D95889"/>
    <w:rsid w:val="00D95C5D"/>
    <w:rsid w:val="00D95CBE"/>
    <w:rsid w:val="00D95E7F"/>
    <w:rsid w:val="00D97D00"/>
    <w:rsid w:val="00DA096C"/>
    <w:rsid w:val="00DA1AB6"/>
    <w:rsid w:val="00DA2E65"/>
    <w:rsid w:val="00DA37DE"/>
    <w:rsid w:val="00DA3ADF"/>
    <w:rsid w:val="00DA4174"/>
    <w:rsid w:val="00DA544C"/>
    <w:rsid w:val="00DA5F8E"/>
    <w:rsid w:val="00DA6364"/>
    <w:rsid w:val="00DA7114"/>
    <w:rsid w:val="00DA7C0C"/>
    <w:rsid w:val="00DA7E2F"/>
    <w:rsid w:val="00DB03DD"/>
    <w:rsid w:val="00DB08A9"/>
    <w:rsid w:val="00DB0B33"/>
    <w:rsid w:val="00DB0FD9"/>
    <w:rsid w:val="00DB13EF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0B4D"/>
    <w:rsid w:val="00DC0CBB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5F11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273F"/>
    <w:rsid w:val="00DE3E22"/>
    <w:rsid w:val="00DE3E5D"/>
    <w:rsid w:val="00DE450F"/>
    <w:rsid w:val="00DE4865"/>
    <w:rsid w:val="00DE5CA6"/>
    <w:rsid w:val="00DE5E55"/>
    <w:rsid w:val="00DE63AE"/>
    <w:rsid w:val="00DE7156"/>
    <w:rsid w:val="00DE7AC8"/>
    <w:rsid w:val="00DF0830"/>
    <w:rsid w:val="00DF2C5D"/>
    <w:rsid w:val="00DF2CD3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05333"/>
    <w:rsid w:val="00E1168B"/>
    <w:rsid w:val="00E12191"/>
    <w:rsid w:val="00E129E7"/>
    <w:rsid w:val="00E12ABE"/>
    <w:rsid w:val="00E12B1E"/>
    <w:rsid w:val="00E135EB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131"/>
    <w:rsid w:val="00E41179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8E2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BE9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47C1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6EE4"/>
    <w:rsid w:val="00E77CC0"/>
    <w:rsid w:val="00E80B3D"/>
    <w:rsid w:val="00E80CA3"/>
    <w:rsid w:val="00E81AAA"/>
    <w:rsid w:val="00E82618"/>
    <w:rsid w:val="00E82A42"/>
    <w:rsid w:val="00E84E09"/>
    <w:rsid w:val="00E87CE2"/>
    <w:rsid w:val="00E87D5B"/>
    <w:rsid w:val="00E90CA8"/>
    <w:rsid w:val="00E911C6"/>
    <w:rsid w:val="00E920DE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222"/>
    <w:rsid w:val="00EA4402"/>
    <w:rsid w:val="00EA4B8D"/>
    <w:rsid w:val="00EA513E"/>
    <w:rsid w:val="00EA7419"/>
    <w:rsid w:val="00EB0E32"/>
    <w:rsid w:val="00EB1CDC"/>
    <w:rsid w:val="00EB1D89"/>
    <w:rsid w:val="00EB3E60"/>
    <w:rsid w:val="00EB4511"/>
    <w:rsid w:val="00EB48D7"/>
    <w:rsid w:val="00EB49F1"/>
    <w:rsid w:val="00EB4A8E"/>
    <w:rsid w:val="00EB4BC5"/>
    <w:rsid w:val="00EB5BF7"/>
    <w:rsid w:val="00EB5E79"/>
    <w:rsid w:val="00EB6DA6"/>
    <w:rsid w:val="00EB6FAC"/>
    <w:rsid w:val="00EB7BAC"/>
    <w:rsid w:val="00EB7CC9"/>
    <w:rsid w:val="00EC03D7"/>
    <w:rsid w:val="00EC13A7"/>
    <w:rsid w:val="00EC2EB6"/>
    <w:rsid w:val="00EC4FFF"/>
    <w:rsid w:val="00EC5517"/>
    <w:rsid w:val="00EC6E8C"/>
    <w:rsid w:val="00ED0962"/>
    <w:rsid w:val="00ED0EF0"/>
    <w:rsid w:val="00ED0F73"/>
    <w:rsid w:val="00ED12B9"/>
    <w:rsid w:val="00ED16B8"/>
    <w:rsid w:val="00ED1959"/>
    <w:rsid w:val="00ED1A00"/>
    <w:rsid w:val="00ED1DF0"/>
    <w:rsid w:val="00ED2386"/>
    <w:rsid w:val="00ED2525"/>
    <w:rsid w:val="00ED2EA1"/>
    <w:rsid w:val="00ED3851"/>
    <w:rsid w:val="00ED3E51"/>
    <w:rsid w:val="00ED3F10"/>
    <w:rsid w:val="00ED3F9B"/>
    <w:rsid w:val="00ED3FB3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01C"/>
    <w:rsid w:val="00EE6E06"/>
    <w:rsid w:val="00EE7179"/>
    <w:rsid w:val="00EF0D90"/>
    <w:rsid w:val="00EF150D"/>
    <w:rsid w:val="00EF1F5A"/>
    <w:rsid w:val="00EF23B5"/>
    <w:rsid w:val="00EF326A"/>
    <w:rsid w:val="00EF3898"/>
    <w:rsid w:val="00EF47BF"/>
    <w:rsid w:val="00EF52F7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4955"/>
    <w:rsid w:val="00F052D2"/>
    <w:rsid w:val="00F0730A"/>
    <w:rsid w:val="00F073ED"/>
    <w:rsid w:val="00F07C4C"/>
    <w:rsid w:val="00F07E45"/>
    <w:rsid w:val="00F10F11"/>
    <w:rsid w:val="00F11159"/>
    <w:rsid w:val="00F115E4"/>
    <w:rsid w:val="00F11AC4"/>
    <w:rsid w:val="00F120A5"/>
    <w:rsid w:val="00F12CFB"/>
    <w:rsid w:val="00F13E60"/>
    <w:rsid w:val="00F13FDB"/>
    <w:rsid w:val="00F15AAA"/>
    <w:rsid w:val="00F15BEF"/>
    <w:rsid w:val="00F17898"/>
    <w:rsid w:val="00F204BF"/>
    <w:rsid w:val="00F207C2"/>
    <w:rsid w:val="00F21337"/>
    <w:rsid w:val="00F219A1"/>
    <w:rsid w:val="00F23E20"/>
    <w:rsid w:val="00F24407"/>
    <w:rsid w:val="00F249CE"/>
    <w:rsid w:val="00F24FAA"/>
    <w:rsid w:val="00F25040"/>
    <w:rsid w:val="00F269D7"/>
    <w:rsid w:val="00F27071"/>
    <w:rsid w:val="00F27331"/>
    <w:rsid w:val="00F276D3"/>
    <w:rsid w:val="00F27EE5"/>
    <w:rsid w:val="00F27FB1"/>
    <w:rsid w:val="00F27FD6"/>
    <w:rsid w:val="00F307CB"/>
    <w:rsid w:val="00F30C0C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917"/>
    <w:rsid w:val="00F53A68"/>
    <w:rsid w:val="00F54934"/>
    <w:rsid w:val="00F55A92"/>
    <w:rsid w:val="00F5615B"/>
    <w:rsid w:val="00F575D3"/>
    <w:rsid w:val="00F57983"/>
    <w:rsid w:val="00F57A76"/>
    <w:rsid w:val="00F57D57"/>
    <w:rsid w:val="00F6178B"/>
    <w:rsid w:val="00F62BFF"/>
    <w:rsid w:val="00F62CCE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77A50"/>
    <w:rsid w:val="00F82D14"/>
    <w:rsid w:val="00F84E7D"/>
    <w:rsid w:val="00F85066"/>
    <w:rsid w:val="00F874F8"/>
    <w:rsid w:val="00F87A4D"/>
    <w:rsid w:val="00F90EEB"/>
    <w:rsid w:val="00F9135C"/>
    <w:rsid w:val="00F91B66"/>
    <w:rsid w:val="00F93688"/>
    <w:rsid w:val="00F939F3"/>
    <w:rsid w:val="00F93C6E"/>
    <w:rsid w:val="00F93F2C"/>
    <w:rsid w:val="00F947E9"/>
    <w:rsid w:val="00F962AD"/>
    <w:rsid w:val="00F9644E"/>
    <w:rsid w:val="00FA0105"/>
    <w:rsid w:val="00FA05A0"/>
    <w:rsid w:val="00FA0AEF"/>
    <w:rsid w:val="00FA17CC"/>
    <w:rsid w:val="00FA1CFE"/>
    <w:rsid w:val="00FA1EE7"/>
    <w:rsid w:val="00FA1F01"/>
    <w:rsid w:val="00FA26DF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2C5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124"/>
    <w:rsid w:val="00FD4916"/>
    <w:rsid w:val="00FD4D12"/>
    <w:rsid w:val="00FD4F73"/>
    <w:rsid w:val="00FD595E"/>
    <w:rsid w:val="00FD7802"/>
    <w:rsid w:val="00FD7D3B"/>
    <w:rsid w:val="00FD7FBE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0989"/>
    <w:rsid w:val="00FF0F79"/>
    <w:rsid w:val="00FF1136"/>
    <w:rsid w:val="00FF3D76"/>
    <w:rsid w:val="00FF5B8C"/>
    <w:rsid w:val="00FF63E6"/>
    <w:rsid w:val="00FF72DC"/>
    <w:rsid w:val="00FF7B96"/>
    <w:rsid w:val="0523CDF2"/>
    <w:rsid w:val="06B1A837"/>
    <w:rsid w:val="12650F4E"/>
    <w:rsid w:val="1394E51D"/>
    <w:rsid w:val="2A0E9F3A"/>
    <w:rsid w:val="2A2A6298"/>
    <w:rsid w:val="38C72AFC"/>
    <w:rsid w:val="3E4A9713"/>
    <w:rsid w:val="48038D4B"/>
    <w:rsid w:val="49E8263C"/>
    <w:rsid w:val="50A35788"/>
    <w:rsid w:val="52944939"/>
    <w:rsid w:val="5CF587E8"/>
    <w:rsid w:val="6AEA4E8B"/>
    <w:rsid w:val="75B5B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77A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aktualizace-metody-propoctu-zahranicni-obchod-se-zbozi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&#253;za\Q\2022Q4\Makroanal&#253;za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&#253;za\Q\2022Q4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069916774474001E-2"/>
          <c:y val="4.1542453145792614E-2"/>
          <c:w val="0.88202003907252524"/>
          <c:h val="0.82832098852603697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'Vnější vztahy_a'!$D$4</c:f>
              <c:strCache>
                <c:ptCount val="1"/>
                <c:pt idx="0">
                  <c:v>Bilance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'Vnější vztahy_a'!$A$7:$A$21</c:f>
              <c:strCache>
                <c:ptCount val="15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 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  <c:pt idx="14">
                  <c:v>2022</c:v>
                </c:pt>
              </c:strCache>
            </c:strRef>
          </c:cat>
          <c:val>
            <c:numRef>
              <c:f>'Vnější vztahy_a'!$D$7:$D$21</c:f>
              <c:numCache>
                <c:formatCode>General</c:formatCode>
                <c:ptCount val="15"/>
                <c:pt idx="0">
                  <c:v>-44.332000000000001</c:v>
                </c:pt>
                <c:pt idx="1">
                  <c:v>31.067</c:v>
                </c:pt>
                <c:pt idx="2">
                  <c:v>-20.579000000000001</c:v>
                </c:pt>
                <c:pt idx="3">
                  <c:v>11.977</c:v>
                </c:pt>
                <c:pt idx="4">
                  <c:v>64.410000000000025</c:v>
                </c:pt>
                <c:pt idx="5">
                  <c:v>106.518</c:v>
                </c:pt>
                <c:pt idx="6">
                  <c:v>146.00899999999999</c:v>
                </c:pt>
                <c:pt idx="7">
                  <c:v>130.97677807700001</c:v>
                </c:pt>
                <c:pt idx="8">
                  <c:v>163.65449183600001</c:v>
                </c:pt>
                <c:pt idx="9">
                  <c:v>163.46634792600005</c:v>
                </c:pt>
                <c:pt idx="10">
                  <c:v>98.465823833000002</c:v>
                </c:pt>
                <c:pt idx="11">
                  <c:v>145.69471741100003</c:v>
                </c:pt>
                <c:pt idx="12">
                  <c:v>179.640176981</c:v>
                </c:pt>
                <c:pt idx="13">
                  <c:v>-9.204642837000014</c:v>
                </c:pt>
                <c:pt idx="14">
                  <c:v>-199.72240354200005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6D-4BC9-824D-3E6B26D36A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97434624"/>
        <c:axId val="97433088"/>
      </c:barChart>
      <c:lineChart>
        <c:grouping val="standard"/>
        <c:varyColors val="0"/>
        <c:ser>
          <c:idx val="0"/>
          <c:order val="0"/>
          <c:tx>
            <c:strRef>
              <c:f>'Vnější vztahy_a'!$B$4</c:f>
              <c:strCache>
                <c:ptCount val="1"/>
                <c:pt idx="0">
                  <c:v>Vývoz</c:v>
                </c:pt>
              </c:strCache>
            </c:strRef>
          </c:tx>
          <c:spPr>
            <a:ln w="6350" cap="rnd">
              <a:noFill/>
              <a:prstDash val="sysDot"/>
              <a:round/>
            </a:ln>
            <a:effectLst/>
          </c:spPr>
          <c:marker>
            <c:symbol val="dash"/>
            <c:size val="10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'Vnější vztahy_a'!$A$7:$A$21</c:f>
              <c:strCache>
                <c:ptCount val="15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 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  <c:pt idx="14">
                  <c:v>2022</c:v>
                </c:pt>
              </c:strCache>
            </c:strRef>
          </c:cat>
          <c:val>
            <c:numRef>
              <c:f>'Vnější vztahy_a'!$B$7:$B$21</c:f>
              <c:numCache>
                <c:formatCode>General</c:formatCode>
                <c:ptCount val="15"/>
                <c:pt idx="0">
                  <c:v>-1.4825262579305296</c:v>
                </c:pt>
                <c:pt idx="1">
                  <c:v>-10.811895519442073</c:v>
                </c:pt>
                <c:pt idx="2">
                  <c:v>14.827022335007909</c:v>
                </c:pt>
                <c:pt idx="3">
                  <c:v>10.112037607700056</c:v>
                </c:pt>
                <c:pt idx="4">
                  <c:v>6.0251090942966021</c:v>
                </c:pt>
                <c:pt idx="5">
                  <c:v>2.2153513610284974</c:v>
                </c:pt>
                <c:pt idx="6">
                  <c:v>13.02720880903586</c:v>
                </c:pt>
                <c:pt idx="7">
                  <c:v>3.6127681635768907</c:v>
                </c:pt>
                <c:pt idx="8">
                  <c:v>1.1074296541764614</c:v>
                </c:pt>
                <c:pt idx="9">
                  <c:v>6.4802705295808369</c:v>
                </c:pt>
                <c:pt idx="10">
                  <c:v>2.9418083571864679</c:v>
                </c:pt>
                <c:pt idx="11">
                  <c:v>2.0884439685547518</c:v>
                </c:pt>
                <c:pt idx="12">
                  <c:v>-7.0747075448299643</c:v>
                </c:pt>
                <c:pt idx="13">
                  <c:v>13.140723420675531</c:v>
                </c:pt>
                <c:pt idx="14">
                  <c:v>13.717728059838299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06D-4BC9-824D-3E6B26D36A1F}"/>
            </c:ext>
          </c:extLst>
        </c:ser>
        <c:ser>
          <c:idx val="1"/>
          <c:order val="1"/>
          <c:tx>
            <c:strRef>
              <c:f>'Vnější vztahy_a'!$C$4</c:f>
              <c:strCache>
                <c:ptCount val="1"/>
                <c:pt idx="0">
                  <c:v>Dovoz</c:v>
                </c:pt>
              </c:strCache>
            </c:strRef>
          </c:tx>
          <c:spPr>
            <a:ln w="6350" cap="rnd">
              <a:noFill/>
              <a:prstDash val="sysDot"/>
              <a:round/>
            </a:ln>
            <a:effectLst/>
          </c:spPr>
          <c:marker>
            <c:symbol val="dash"/>
            <c:size val="10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'Vnější vztahy_a'!$A$7:$A$21</c:f>
              <c:strCache>
                <c:ptCount val="15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 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  <c:pt idx="14">
                  <c:v>2022</c:v>
                </c:pt>
              </c:strCache>
            </c:strRef>
          </c:cat>
          <c:val>
            <c:numRef>
              <c:f>'Vnější vztahy_a'!$C$7:$C$21</c:f>
              <c:numCache>
                <c:formatCode>General</c:formatCode>
                <c:ptCount val="15"/>
                <c:pt idx="0">
                  <c:v>-0.48030336572037596</c:v>
                </c:pt>
                <c:pt idx="1">
                  <c:v>-13.849775964188694</c:v>
                </c:pt>
                <c:pt idx="2">
                  <c:v>17.636423931022904</c:v>
                </c:pt>
                <c:pt idx="3">
                  <c:v>8.6415161627225672</c:v>
                </c:pt>
                <c:pt idx="4">
                  <c:v>4.0042767307394715</c:v>
                </c:pt>
                <c:pt idx="5">
                  <c:v>0.68681070942259681</c:v>
                </c:pt>
                <c:pt idx="6">
                  <c:v>12.071376353644107</c:v>
                </c:pt>
                <c:pt idx="7">
                  <c:v>4.2889556626306211</c:v>
                </c:pt>
                <c:pt idx="8">
                  <c:v>0.11038963287046216</c:v>
                </c:pt>
                <c:pt idx="9">
                  <c:v>6.8245079237178139</c:v>
                </c:pt>
                <c:pt idx="10">
                  <c:v>5.0260247733996906</c:v>
                </c:pt>
                <c:pt idx="11">
                  <c:v>0.80432261722676923</c:v>
                </c:pt>
                <c:pt idx="12">
                  <c:v>-8.3226511448622968</c:v>
                </c:pt>
                <c:pt idx="13">
                  <c:v>19.675778990593603</c:v>
                </c:pt>
                <c:pt idx="14">
                  <c:v>18.582160176921974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06D-4BC9-824D-3E6B26D36A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4003200"/>
        <c:axId val="94427776"/>
      </c:lineChart>
      <c:catAx>
        <c:axId val="94003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94427776"/>
        <c:crosses val="autoZero"/>
        <c:auto val="1"/>
        <c:lblAlgn val="ctr"/>
        <c:lblOffset val="100"/>
        <c:noMultiLvlLbl val="0"/>
      </c:catAx>
      <c:valAx>
        <c:axId val="94427776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94003200"/>
        <c:crosses val="autoZero"/>
        <c:crossBetween val="between"/>
      </c:valAx>
      <c:valAx>
        <c:axId val="97433088"/>
        <c:scaling>
          <c:orientation val="minMax"/>
          <c:min val="-20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97434624"/>
        <c:crosses val="max"/>
        <c:crossBetween val="between"/>
      </c:valAx>
      <c:catAx>
        <c:axId val="974346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974330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1326213683763972E-2"/>
          <c:y val="0.92486185348631955"/>
          <c:w val="0.92928082460835815"/>
          <c:h val="5.606565908127839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511717884667364E-2"/>
          <c:y val="2.3304908251716772E-2"/>
          <c:w val="0.92378402700888473"/>
          <c:h val="0.69508533791523486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'Vnější vztahy 2'!$A$7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cat>
            <c:strRef>
              <c:f>'Vnější vztahy 2'!$B$5:$N$5</c:f>
              <c:strCache>
                <c:ptCount val="13"/>
                <c:pt idx="0">
                  <c:v>Ropa                                                                                           a zemní plyn</c:v>
                </c:pt>
                <c:pt idx="1">
                  <c:v>Potravinářské                                            výrobky</c:v>
                </c:pt>
                <c:pt idx="2">
                  <c:v>Oděvy</c:v>
                </c:pt>
                <c:pt idx="3">
                  <c:v>Koks, rafinované                                                          ropné prod.</c:v>
                </c:pt>
                <c:pt idx="4">
                  <c:v>Chemické látky                                                              a přípravky</c:v>
                </c:pt>
                <c:pt idx="5">
                  <c:v>Farmaceutické                                                                  výrobky</c:v>
                </c:pt>
                <c:pt idx="6">
                  <c:v>Ostat. nekovové                                           minerály</c:v>
                </c:pt>
                <c:pt idx="7">
                  <c:v>Základní kovy</c:v>
                </c:pt>
                <c:pt idx="8">
                  <c:v>Kovodělné                                        výrobky</c:v>
                </c:pt>
                <c:pt idx="9">
                  <c:v>Počítače, opt.                                          a elektron. přístr.</c:v>
                </c:pt>
                <c:pt idx="10">
                  <c:v>Elektrická                                             zařízení</c:v>
                </c:pt>
                <c:pt idx="11">
                  <c:v>Stroje                                                            a zařízení j. n.</c:v>
                </c:pt>
                <c:pt idx="12">
                  <c:v>Motorová                                                             vozidla</c:v>
                </c:pt>
              </c:strCache>
            </c:strRef>
          </c:cat>
          <c:val>
            <c:numRef>
              <c:f>'Vnější vztahy 2'!$B$7:$N$7</c:f>
              <c:numCache>
                <c:formatCode>General</c:formatCode>
                <c:ptCount val="13"/>
                <c:pt idx="0">
                  <c:v>-153.86668029099999</c:v>
                </c:pt>
                <c:pt idx="1">
                  <c:v>-54.645038549000013</c:v>
                </c:pt>
                <c:pt idx="2">
                  <c:v>-36.171383531000004</c:v>
                </c:pt>
                <c:pt idx="3">
                  <c:v>-26.521202938000002</c:v>
                </c:pt>
                <c:pt idx="4">
                  <c:v>-141.32686977700001</c:v>
                </c:pt>
                <c:pt idx="5">
                  <c:v>-74.679230379999936</c:v>
                </c:pt>
                <c:pt idx="6">
                  <c:v>26.090102950000002</c:v>
                </c:pt>
                <c:pt idx="7">
                  <c:v>-155.29868747500001</c:v>
                </c:pt>
                <c:pt idx="8">
                  <c:v>66.780931019999954</c:v>
                </c:pt>
                <c:pt idx="9">
                  <c:v>-64.711664618000057</c:v>
                </c:pt>
                <c:pt idx="10">
                  <c:v>3.5199225899999997</c:v>
                </c:pt>
                <c:pt idx="11">
                  <c:v>91.675185939999935</c:v>
                </c:pt>
                <c:pt idx="12">
                  <c:v>426.56033102399999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83-4C74-9090-15157E820563}"/>
            </c:ext>
          </c:extLst>
        </c:ser>
        <c:ser>
          <c:idx val="2"/>
          <c:order val="2"/>
          <c:tx>
            <c:strRef>
              <c:f>'Vnější vztahy 2'!$A$8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'Vnější vztahy 2'!$B$5:$N$5</c:f>
              <c:strCache>
                <c:ptCount val="13"/>
                <c:pt idx="0">
                  <c:v>Ropa                                                                                           a zemní plyn</c:v>
                </c:pt>
                <c:pt idx="1">
                  <c:v>Potravinářské                                            výrobky</c:v>
                </c:pt>
                <c:pt idx="2">
                  <c:v>Oděvy</c:v>
                </c:pt>
                <c:pt idx="3">
                  <c:v>Koks, rafinované                                                          ropné prod.</c:v>
                </c:pt>
                <c:pt idx="4">
                  <c:v>Chemické látky                                                              a přípravky</c:v>
                </c:pt>
                <c:pt idx="5">
                  <c:v>Farmaceutické                                                                  výrobky</c:v>
                </c:pt>
                <c:pt idx="6">
                  <c:v>Ostat. nekovové                                           minerály</c:v>
                </c:pt>
                <c:pt idx="7">
                  <c:v>Základní kovy</c:v>
                </c:pt>
                <c:pt idx="8">
                  <c:v>Kovodělné                                        výrobky</c:v>
                </c:pt>
                <c:pt idx="9">
                  <c:v>Počítače, opt.                                          a elektron. přístr.</c:v>
                </c:pt>
                <c:pt idx="10">
                  <c:v>Elektrická                                             zařízení</c:v>
                </c:pt>
                <c:pt idx="11">
                  <c:v>Stroje                                                            a zařízení j. n.</c:v>
                </c:pt>
                <c:pt idx="12">
                  <c:v>Motorová                                                             vozidla</c:v>
                </c:pt>
              </c:strCache>
            </c:strRef>
          </c:cat>
          <c:val>
            <c:numRef>
              <c:f>'Vnější vztahy 2'!$B$8:$N$8</c:f>
              <c:numCache>
                <c:formatCode>General</c:formatCode>
                <c:ptCount val="13"/>
                <c:pt idx="0">
                  <c:v>-330.89006094299975</c:v>
                </c:pt>
                <c:pt idx="1">
                  <c:v>-60.951914400999982</c:v>
                </c:pt>
                <c:pt idx="2">
                  <c:v>-45.948661972999993</c:v>
                </c:pt>
                <c:pt idx="3">
                  <c:v>-49.306866260999982</c:v>
                </c:pt>
                <c:pt idx="4">
                  <c:v>-158.90587557899997</c:v>
                </c:pt>
                <c:pt idx="5">
                  <c:v>-72.845484351999971</c:v>
                </c:pt>
                <c:pt idx="6">
                  <c:v>30.168586840999989</c:v>
                </c:pt>
                <c:pt idx="7">
                  <c:v>-184.889162244</c:v>
                </c:pt>
                <c:pt idx="8">
                  <c:v>76.811881745000022</c:v>
                </c:pt>
                <c:pt idx="9">
                  <c:v>-63.673747178000006</c:v>
                </c:pt>
                <c:pt idx="10">
                  <c:v>-19.503311348</c:v>
                </c:pt>
                <c:pt idx="11">
                  <c:v>95.513267457000026</c:v>
                </c:pt>
                <c:pt idx="12">
                  <c:v>461.96911853999984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83-4C74-9090-15157E8205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7"/>
        <c:axId val="97533952"/>
        <c:axId val="9753548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'Vnější vztahy 2'!$A$6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spPr>
                  <a:solidFill>
                    <a:schemeClr val="tx1">
                      <a:lumMod val="50000"/>
                      <a:lumOff val="50000"/>
                    </a:schemeClr>
                  </a:solidFill>
                  <a:ln>
                    <a:noFill/>
                  </a:ln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'Vnější vztahy 2'!$B$5:$N$5</c15:sqref>
                        </c15:formulaRef>
                      </c:ext>
                    </c:extLst>
                    <c:strCache>
                      <c:ptCount val="13"/>
                      <c:pt idx="0">
                        <c:v>Ropa                                                                                           a zemní plyn</c:v>
                      </c:pt>
                      <c:pt idx="1">
                        <c:v>Potravinářské                                            výrobky</c:v>
                      </c:pt>
                      <c:pt idx="2">
                        <c:v>Oděvy</c:v>
                      </c:pt>
                      <c:pt idx="3">
                        <c:v>Koks, rafinované                                                          ropné prod.</c:v>
                      </c:pt>
                      <c:pt idx="4">
                        <c:v>Chemické látky                                                              a přípravky</c:v>
                      </c:pt>
                      <c:pt idx="5">
                        <c:v>Farmaceutické                                                                  výrobky</c:v>
                      </c:pt>
                      <c:pt idx="6">
                        <c:v>Ostat. nekovové                                           minerály</c:v>
                      </c:pt>
                      <c:pt idx="7">
                        <c:v>Základní kovy</c:v>
                      </c:pt>
                      <c:pt idx="8">
                        <c:v>Kovodělné                                        výrobky</c:v>
                      </c:pt>
                      <c:pt idx="9">
                        <c:v>Počítače, opt.                                          a elektron. přístr.</c:v>
                      </c:pt>
                      <c:pt idx="10">
                        <c:v>Elektrická                                             zařízení</c:v>
                      </c:pt>
                      <c:pt idx="11">
                        <c:v>Stroje                                                            a zařízení j. n.</c:v>
                      </c:pt>
                      <c:pt idx="12">
                        <c:v>Motorová                                                             vozidla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'Vnější vztahy 2'!$B$6:$N$6</c15:sqref>
                        </c15:formulaRef>
                      </c:ext>
                    </c:extLst>
                    <c:numCache>
                      <c:formatCode>General</c:formatCode>
                      <c:ptCount val="13"/>
                      <c:pt idx="0">
                        <c:v>-70.386265402999996</c:v>
                      </c:pt>
                      <c:pt idx="1">
                        <c:v>-50.105807295000005</c:v>
                      </c:pt>
                      <c:pt idx="2">
                        <c:v>-32.323161171000002</c:v>
                      </c:pt>
                      <c:pt idx="3">
                        <c:v>-20.265765396000003</c:v>
                      </c:pt>
                      <c:pt idx="4">
                        <c:v>-114.680194199</c:v>
                      </c:pt>
                      <c:pt idx="5">
                        <c:v>-51.845113980999997</c:v>
                      </c:pt>
                      <c:pt idx="6">
                        <c:v>24.656106360000003</c:v>
                      </c:pt>
                      <c:pt idx="7">
                        <c:v>-97.370086494999995</c:v>
                      </c:pt>
                      <c:pt idx="8">
                        <c:v>57.283086318000002</c:v>
                      </c:pt>
                      <c:pt idx="9">
                        <c:v>-70.461907215999986</c:v>
                      </c:pt>
                      <c:pt idx="10">
                        <c:v>22.552357532000002</c:v>
                      </c:pt>
                      <c:pt idx="11">
                        <c:v>96.327399193999995</c:v>
                      </c:pt>
                      <c:pt idx="12">
                        <c:v>422.44969503400006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2B83-4C74-9090-15157E820563}"/>
                  </c:ext>
                </c:extLst>
              </c15:ser>
            </c15:filteredBarSeries>
          </c:ext>
        </c:extLst>
      </c:barChart>
      <c:catAx>
        <c:axId val="97533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97535488"/>
        <c:crosses val="autoZero"/>
        <c:auto val="1"/>
        <c:lblAlgn val="ctr"/>
        <c:lblOffset val="100"/>
        <c:noMultiLvlLbl val="0"/>
      </c:catAx>
      <c:valAx>
        <c:axId val="97535488"/>
        <c:scaling>
          <c:orientation val="minMax"/>
          <c:max val="500"/>
          <c:min val="-35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97533952"/>
        <c:crosses val="autoZero"/>
        <c:crossBetween val="between"/>
        <c:majorUnit val="50"/>
      </c:valAx>
      <c:spPr>
        <a:ln>
          <a:solidFill>
            <a:schemeClr val="tx1"/>
          </a:solidFill>
        </a:ln>
      </c:spPr>
    </c:plotArea>
    <c:legend>
      <c:legendPos val="t"/>
      <c:layout>
        <c:manualLayout>
          <c:xMode val="edge"/>
          <c:yMode val="edge"/>
          <c:x val="0.14065045404275039"/>
          <c:y val="6.1827033218785812E-2"/>
          <c:w val="0.26887915184156158"/>
          <c:h val="5.3991695303550982E-2"/>
        </c:manualLayout>
      </c:layout>
      <c:overlay val="0"/>
      <c:spPr>
        <a:ln w="6350">
          <a:noFill/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BBA9E39CFCF469C5C18733081B222" ma:contentTypeVersion="2" ma:contentTypeDescription="Vytvoří nový dokument" ma:contentTypeScope="" ma:versionID="eb01c1c0223ab0a1c9372071ddfa2e5f">
  <xsd:schema xmlns:xsd="http://www.w3.org/2001/XMLSchema" xmlns:xs="http://www.w3.org/2001/XMLSchema" xmlns:p="http://schemas.microsoft.com/office/2006/metadata/properties" xmlns:ns2="eabc42bd-08fe-4a27-9645-04f6ad96d74a" targetNamespace="http://schemas.microsoft.com/office/2006/metadata/properties" ma:root="true" ma:fieldsID="3d4f44d82d427914eb8ec1afbd279452" ns2:_="">
    <xsd:import namespace="eabc42bd-08fe-4a27-9645-04f6ad96d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c42bd-08fe-4a27-9645-04f6ad96d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926D-EFC2-4F8B-B71C-495191F49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70C5A8-E1D4-45B9-A6FC-B1B245DAB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c42bd-08fe-4a27-9645-04f6ad96d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238702-393C-4E0B-95FC-639749005827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abc42bd-08fe-4a27-9645-04f6ad96d74a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7D090CF-62AF-4131-9322-2E648D49B2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075E46-B04D-41F5-8C6A-84D308B1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</Template>
  <TotalTime>3</TotalTime>
  <Pages>4</Pages>
  <Words>1748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Karolína Zábojníková</cp:lastModifiedBy>
  <cp:revision>4</cp:revision>
  <cp:lastPrinted>2019-04-08T10:52:00Z</cp:lastPrinted>
  <dcterms:created xsi:type="dcterms:W3CDTF">2023-03-21T09:13:00Z</dcterms:created>
  <dcterms:modified xsi:type="dcterms:W3CDTF">2023-03-21T09:21:00Z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0x010100331BBA9E39CFCF469C5C18733081B222</vt:lpwstr>
  </property>
</Properties>
</file>