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622F4" w14:textId="77777777" w:rsidR="007036F2" w:rsidRDefault="007036F2" w:rsidP="002964B2">
      <w:pPr>
        <w:spacing w:before="120"/>
        <w:rPr>
          <w:rFonts w:eastAsia="MS Gothic"/>
          <w:b/>
          <w:bCs/>
          <w:sz w:val="28"/>
          <w:szCs w:val="26"/>
        </w:rPr>
      </w:pPr>
      <w:r w:rsidRPr="007036F2">
        <w:rPr>
          <w:rFonts w:eastAsia="MS Gothic"/>
          <w:b/>
          <w:bCs/>
          <w:sz w:val="28"/>
          <w:szCs w:val="26"/>
        </w:rPr>
        <w:t>Metodické poznámky</w:t>
      </w:r>
    </w:p>
    <w:p w14:paraId="6E87E49F" w14:textId="5C7BF1D2" w:rsidR="00A72838" w:rsidRDefault="00A72838" w:rsidP="00A72838">
      <w:pPr>
        <w:rPr>
          <w:rFonts w:cs="Arial"/>
        </w:rPr>
      </w:pPr>
      <w:r w:rsidRPr="007036F2">
        <w:rPr>
          <w:rFonts w:cs="Arial"/>
        </w:rPr>
        <w:t>Veškeré</w:t>
      </w:r>
      <w:bookmarkStart w:id="0" w:name="_GoBack"/>
      <w:bookmarkEnd w:id="0"/>
      <w:r w:rsidRPr="007036F2">
        <w:rPr>
          <w:rFonts w:cs="Arial"/>
        </w:rPr>
        <w:t xml:space="preserve"> údaje se týkají </w:t>
      </w:r>
      <w:r>
        <w:rPr>
          <w:rFonts w:cs="Arial"/>
        </w:rPr>
        <w:t>občanů Česk</w:t>
      </w:r>
      <w:r w:rsidR="00685594">
        <w:rPr>
          <w:rFonts w:cs="Arial"/>
        </w:rPr>
        <w:t xml:space="preserve">a </w:t>
      </w:r>
      <w:r>
        <w:rPr>
          <w:rFonts w:cs="Arial"/>
        </w:rPr>
        <w:t>a cizinců s trvalým pobytem v </w:t>
      </w:r>
      <w:r w:rsidR="00685594">
        <w:rPr>
          <w:rFonts w:cs="Arial"/>
        </w:rPr>
        <w:t>Česku</w:t>
      </w:r>
      <w:r>
        <w:rPr>
          <w:rFonts w:cs="Arial"/>
        </w:rPr>
        <w:t xml:space="preserve">, občanů třetích zemí s přechodným pobytem na území </w:t>
      </w:r>
      <w:r w:rsidR="00685594">
        <w:rPr>
          <w:rFonts w:cs="Arial"/>
        </w:rPr>
        <w:t xml:space="preserve">Česka </w:t>
      </w:r>
      <w:r>
        <w:rPr>
          <w:rFonts w:cs="Arial"/>
        </w:rPr>
        <w:t xml:space="preserve">na základě dlouhodobého víza (nad 90 dnů) nebo povolení k dlouhodobému pobytu, občanů zemí EU, Norska, Švýcarska, Islandu, Lichtenštejnska a jejich rodinných příslušníků s hlášeným přechodným </w:t>
      </w:r>
      <w:r w:rsidR="007B29D3">
        <w:rPr>
          <w:rFonts w:cs="Arial"/>
        </w:rPr>
        <w:t>pobytem na území Česka</w:t>
      </w:r>
      <w:r>
        <w:rPr>
          <w:rFonts w:cs="Arial"/>
        </w:rPr>
        <w:t xml:space="preserve"> a cizinců s platným azylem v </w:t>
      </w:r>
      <w:r w:rsidR="00685594">
        <w:rPr>
          <w:rFonts w:cs="Arial"/>
        </w:rPr>
        <w:t>Česku</w:t>
      </w:r>
      <w:r>
        <w:rPr>
          <w:rFonts w:cs="Arial"/>
        </w:rPr>
        <w:t>.</w:t>
      </w:r>
      <w:r w:rsidRPr="007036F2">
        <w:rPr>
          <w:rFonts w:cs="Arial"/>
        </w:rPr>
        <w:t xml:space="preserve"> </w:t>
      </w:r>
    </w:p>
    <w:p w14:paraId="6E5A9CDF" w14:textId="77777777" w:rsidR="00D703F1" w:rsidRPr="00D703F1" w:rsidRDefault="00A72838" w:rsidP="00D703F1">
      <w:pPr>
        <w:rPr>
          <w:rFonts w:cs="Arial"/>
        </w:rPr>
      </w:pPr>
      <w:r>
        <w:rPr>
          <w:rFonts w:cs="Arial"/>
        </w:rPr>
        <w:t>Věkem v letech se rozumí dokončený věk</w:t>
      </w:r>
      <w:r w:rsidRPr="007036F2">
        <w:rPr>
          <w:rFonts w:cs="Arial"/>
        </w:rPr>
        <w:t>.</w:t>
      </w:r>
    </w:p>
    <w:p w14:paraId="1DA7A904" w14:textId="0FFDA5E7" w:rsidR="00563F83" w:rsidRDefault="00563F83" w:rsidP="002E739C">
      <w:pPr>
        <w:rPr>
          <w:rFonts w:cs="Arial"/>
        </w:rPr>
      </w:pPr>
      <w:r w:rsidRPr="003341EA">
        <w:rPr>
          <w:rFonts w:cs="Arial"/>
          <w:color w:val="000000" w:themeColor="text1"/>
          <w:szCs w:val="20"/>
        </w:rPr>
        <w:t>Statistika příčin smrti vychází ze zpracování údajů v Listu o prohlídce zemřelého (LPZ), do kterého lékař uvádí onemocnění, stavy a případné další lékařské či jiné charakteristiky související s úmrtím. Z nich pak na základě mezinárodních pravidel ČSÚ vybírá (automatizovaně pomocí programu IRIS) základní příčinu smrti, z které pak vychází statistické třídění. Základní příčina smrti je Světovou zdravotnickou organizací definována jako (a) onemocnění nebo zranění, které iniciovalo řetězec chorobných stavů přímo vedoucích ke smrti, nebo (b) okolnosti nehody či násilí, j</w:t>
      </w:r>
      <w:r>
        <w:rPr>
          <w:rFonts w:cs="Arial"/>
          <w:color w:val="000000" w:themeColor="text1"/>
          <w:szCs w:val="20"/>
        </w:rPr>
        <w:t>ež způsobily smrtelné poranění.</w:t>
      </w:r>
    </w:p>
    <w:p w14:paraId="2541139F" w14:textId="4323B701" w:rsidR="002E739C" w:rsidRPr="002E739C" w:rsidRDefault="002E739C" w:rsidP="002E739C">
      <w:pPr>
        <w:rPr>
          <w:rFonts w:cs="Arial"/>
        </w:rPr>
      </w:pPr>
      <w:r w:rsidRPr="002E739C">
        <w:rPr>
          <w:rFonts w:cs="Arial"/>
        </w:rPr>
        <w:t xml:space="preserve">Příčina smrti je kódována dle Mezinárodní statistické klasifikace nemocí a přidružených zdravotních problémů ve znění 10. decenální revize (MKN-10) a následných aktualizací, vydávaných Světovou zdravotnickou organizací (WHO). Posledními (v ČR) implementovanými aktualizacemi </w:t>
      </w:r>
      <w:r w:rsidR="00910638">
        <w:rPr>
          <w:rFonts w:cs="Arial"/>
        </w:rPr>
        <w:t>(</w:t>
      </w:r>
      <w:r w:rsidR="00730942">
        <w:rPr>
          <w:rFonts w:cs="Arial"/>
        </w:rPr>
        <w:t>spojenými s</w:t>
      </w:r>
      <w:r w:rsidR="00910638">
        <w:rPr>
          <w:rFonts w:cs="Arial"/>
        </w:rPr>
        <w:t xml:space="preserve"> novým knižním </w:t>
      </w:r>
      <w:r w:rsidR="00730942">
        <w:rPr>
          <w:rFonts w:cs="Arial"/>
        </w:rPr>
        <w:t>vydáním MKN-10</w:t>
      </w:r>
      <w:r w:rsidR="00910638">
        <w:rPr>
          <w:rFonts w:cs="Arial"/>
        </w:rPr>
        <w:t>)</w:t>
      </w:r>
      <w:r w:rsidR="00730942">
        <w:rPr>
          <w:rFonts w:cs="Arial"/>
        </w:rPr>
        <w:t xml:space="preserve"> </w:t>
      </w:r>
      <w:r w:rsidRPr="002E739C">
        <w:rPr>
          <w:rFonts w:cs="Arial"/>
        </w:rPr>
        <w:t>jsou ty, které vstoupily v platnost 1. 1. 2018</w:t>
      </w:r>
      <w:r w:rsidR="00730942">
        <w:rPr>
          <w:rFonts w:cs="Arial"/>
        </w:rPr>
        <w:t>.</w:t>
      </w:r>
      <w:r w:rsidRPr="002E739C">
        <w:rPr>
          <w:rFonts w:cs="Arial"/>
        </w:rPr>
        <w:t xml:space="preserve"> </w:t>
      </w:r>
      <w:r w:rsidR="00AE4093">
        <w:rPr>
          <w:rFonts w:cs="Arial"/>
        </w:rPr>
        <w:t>K</w:t>
      </w:r>
      <w:r w:rsidR="00910638">
        <w:rPr>
          <w:rFonts w:cs="Arial"/>
        </w:rPr>
        <w:t xml:space="preserve"> dalším </w:t>
      </w:r>
      <w:r w:rsidR="00AE4093">
        <w:rPr>
          <w:rFonts w:cs="Arial"/>
        </w:rPr>
        <w:t xml:space="preserve">aktualizacím MKN-10 </w:t>
      </w:r>
      <w:r w:rsidR="00910638">
        <w:rPr>
          <w:rFonts w:cs="Arial"/>
        </w:rPr>
        <w:t xml:space="preserve">došlo </w:t>
      </w:r>
      <w:r w:rsidR="00563F83">
        <w:rPr>
          <w:rFonts w:cs="Arial"/>
        </w:rPr>
        <w:t xml:space="preserve">mj. </w:t>
      </w:r>
      <w:r w:rsidR="00910638">
        <w:rPr>
          <w:rFonts w:cs="Arial"/>
        </w:rPr>
        <w:t xml:space="preserve">v souvislosti s výskytem nového onemocnění covid-19 </w:t>
      </w:r>
      <w:r w:rsidR="00910638" w:rsidRPr="002E739C">
        <w:rPr>
          <w:rFonts w:cs="Arial"/>
        </w:rPr>
        <w:t>způsobeného SARS-CoV-2 virem</w:t>
      </w:r>
      <w:r w:rsidR="00910638">
        <w:rPr>
          <w:rFonts w:cs="Arial"/>
        </w:rPr>
        <w:t xml:space="preserve">: </w:t>
      </w:r>
      <w:r w:rsidR="00AE4093">
        <w:rPr>
          <w:rFonts w:cs="Arial"/>
        </w:rPr>
        <w:t>p</w:t>
      </w:r>
      <w:r w:rsidRPr="002E739C">
        <w:rPr>
          <w:rFonts w:cs="Arial"/>
        </w:rPr>
        <w:t>očátkem roku 2020 byl</w:t>
      </w:r>
      <w:r w:rsidR="00910638">
        <w:rPr>
          <w:rFonts w:cs="Arial"/>
        </w:rPr>
        <w:t xml:space="preserve"> tomuto onemocnění</w:t>
      </w:r>
      <w:r w:rsidRPr="002E739C">
        <w:rPr>
          <w:rFonts w:cs="Arial"/>
        </w:rPr>
        <w:t xml:space="preserve"> přiřazen</w:t>
      </w:r>
      <w:r w:rsidR="00D91F45">
        <w:rPr>
          <w:rFonts w:cs="Arial"/>
        </w:rPr>
        <w:t xml:space="preserve"> v klasifikaci</w:t>
      </w:r>
      <w:r w:rsidRPr="002E739C">
        <w:rPr>
          <w:rFonts w:cs="Arial"/>
        </w:rPr>
        <w:t xml:space="preserve"> kód U07 z kapitoly XXII.</w:t>
      </w:r>
      <w:r w:rsidR="008B036E">
        <w:rPr>
          <w:rFonts w:cs="Arial"/>
        </w:rPr>
        <w:t> </w:t>
      </w:r>
      <w:r w:rsidRPr="002E739C">
        <w:rPr>
          <w:rFonts w:cs="Arial"/>
        </w:rPr>
        <w:t>Kódy pro speciální účely</w:t>
      </w:r>
      <w:r w:rsidR="00910638">
        <w:rPr>
          <w:rFonts w:cs="Arial"/>
        </w:rPr>
        <w:t>,</w:t>
      </w:r>
      <w:r w:rsidRPr="002E739C">
        <w:rPr>
          <w:rFonts w:cs="Arial"/>
        </w:rPr>
        <w:t xml:space="preserve"> </w:t>
      </w:r>
      <w:r w:rsidR="003379EB">
        <w:rPr>
          <w:rFonts w:cs="Arial"/>
        </w:rPr>
        <w:t>1. 1. </w:t>
      </w:r>
      <w:r w:rsidR="00AE4093">
        <w:rPr>
          <w:rFonts w:cs="Arial"/>
        </w:rPr>
        <w:t xml:space="preserve">2021 </w:t>
      </w:r>
      <w:r w:rsidR="00D91F45">
        <w:rPr>
          <w:rFonts w:cs="Arial"/>
        </w:rPr>
        <w:t>pak přibyly další stavy</w:t>
      </w:r>
      <w:r w:rsidR="00AE4093">
        <w:rPr>
          <w:rFonts w:cs="Arial"/>
        </w:rPr>
        <w:t xml:space="preserve"> </w:t>
      </w:r>
      <w:r w:rsidR="00D91F45">
        <w:rPr>
          <w:rFonts w:cs="Arial"/>
        </w:rPr>
        <w:t xml:space="preserve">(a jejich kódy) </w:t>
      </w:r>
      <w:r w:rsidR="00AE4093">
        <w:rPr>
          <w:rFonts w:cs="Arial"/>
        </w:rPr>
        <w:t>související s covid</w:t>
      </w:r>
      <w:r w:rsidR="00D91F45">
        <w:rPr>
          <w:rFonts w:cs="Arial"/>
        </w:rPr>
        <w:t>em</w:t>
      </w:r>
      <w:r w:rsidR="00AE4093">
        <w:rPr>
          <w:rFonts w:cs="Arial"/>
        </w:rPr>
        <w:t>-19</w:t>
      </w:r>
      <w:r w:rsidR="00D91F45">
        <w:rPr>
          <w:rFonts w:cs="Arial"/>
        </w:rPr>
        <w:t xml:space="preserve"> (U08-U10)</w:t>
      </w:r>
      <w:r w:rsidR="00AE4093">
        <w:rPr>
          <w:rFonts w:cs="Arial"/>
        </w:rPr>
        <w:t xml:space="preserve">. </w:t>
      </w:r>
    </w:p>
    <w:p w14:paraId="4C9A70EF" w14:textId="14144E3B" w:rsidR="00D703F1" w:rsidRPr="00D703F1" w:rsidRDefault="002E739C" w:rsidP="002E739C">
      <w:pPr>
        <w:rPr>
          <w:rFonts w:cs="Arial"/>
        </w:rPr>
      </w:pPr>
      <w:r w:rsidRPr="007C30BF">
        <w:rPr>
          <w:rFonts w:cs="Arial"/>
          <w:szCs w:val="20"/>
        </w:rPr>
        <w:t>Počet zemřelých na příčiny z XIX. kapitoly MKN</w:t>
      </w:r>
      <w:r>
        <w:rPr>
          <w:rFonts w:cs="Arial"/>
          <w:szCs w:val="20"/>
        </w:rPr>
        <w:t>-</w:t>
      </w:r>
      <w:r w:rsidRPr="007C30BF">
        <w:rPr>
          <w:rFonts w:cs="Arial"/>
          <w:szCs w:val="20"/>
        </w:rPr>
        <w:t>10</w:t>
      </w:r>
      <w:r w:rsidR="002A50B2">
        <w:rPr>
          <w:rFonts w:cs="Arial"/>
          <w:szCs w:val="20"/>
        </w:rPr>
        <w:t xml:space="preserve"> není uveden, neboť</w:t>
      </w:r>
      <w:r w:rsidRPr="007C30BF">
        <w:rPr>
          <w:rFonts w:cs="Arial"/>
          <w:szCs w:val="20"/>
        </w:rPr>
        <w:t xml:space="preserve"> je shodný s počtem zemřelých na příčiny kapitoly XX., jde </w:t>
      </w:r>
      <w:r w:rsidR="002A50B2">
        <w:rPr>
          <w:rFonts w:cs="Arial"/>
          <w:szCs w:val="20"/>
        </w:rPr>
        <w:t xml:space="preserve">totiž </w:t>
      </w:r>
      <w:r w:rsidRPr="007C30BF">
        <w:rPr>
          <w:rFonts w:cs="Arial"/>
          <w:szCs w:val="20"/>
        </w:rPr>
        <w:t>o dvojí třídění zemřelých v důsledku vnějších příčin.</w:t>
      </w:r>
      <w:r>
        <w:rPr>
          <w:rFonts w:cs="Arial"/>
          <w:szCs w:val="20"/>
        </w:rPr>
        <w:t xml:space="preserve"> </w:t>
      </w:r>
      <w:r w:rsidR="00D703F1" w:rsidRPr="00D703F1">
        <w:rPr>
          <w:rFonts w:cs="Arial"/>
        </w:rPr>
        <w:t>Úmrtí na vnější příčiny jsou na List</w:t>
      </w:r>
      <w:r w:rsidR="00D22220">
        <w:rPr>
          <w:rFonts w:cs="Arial"/>
        </w:rPr>
        <w:t>u</w:t>
      </w:r>
      <w:r w:rsidR="00D703F1" w:rsidRPr="00D703F1">
        <w:rPr>
          <w:rFonts w:cs="Arial"/>
        </w:rPr>
        <w:t xml:space="preserve"> o prohlídce zemřelého vyznačeny jednak z hlediska lokalizace </w:t>
      </w:r>
      <w:r w:rsidR="00D22220">
        <w:rPr>
          <w:rFonts w:cs="Arial"/>
        </w:rPr>
        <w:t>poranění</w:t>
      </w:r>
      <w:r w:rsidR="00D22220" w:rsidRPr="00D703F1">
        <w:rPr>
          <w:rFonts w:cs="Arial"/>
        </w:rPr>
        <w:t xml:space="preserve"> </w:t>
      </w:r>
      <w:r w:rsidR="00D703F1" w:rsidRPr="00D703F1">
        <w:rPr>
          <w:rFonts w:cs="Arial"/>
        </w:rPr>
        <w:t xml:space="preserve">na těle, eventuálně poškození životních funkcí (kapitola XIX. Poranění, otravy a některé jiné následky vnějších příčin, kódy S00-T98), </w:t>
      </w:r>
      <w:r w:rsidR="00CF27CE">
        <w:rPr>
          <w:rFonts w:cs="Arial"/>
        </w:rPr>
        <w:t xml:space="preserve">a </w:t>
      </w:r>
      <w:r w:rsidR="00D703F1" w:rsidRPr="00D703F1">
        <w:rPr>
          <w:rFonts w:cs="Arial"/>
        </w:rPr>
        <w:t>jednak z hlediska klasifikace</w:t>
      </w:r>
      <w:r w:rsidR="00260F3F">
        <w:rPr>
          <w:rFonts w:cs="Arial"/>
        </w:rPr>
        <w:t xml:space="preserve"> </w:t>
      </w:r>
      <w:r w:rsidR="00D703F1" w:rsidRPr="00D703F1">
        <w:rPr>
          <w:rFonts w:cs="Arial"/>
        </w:rPr>
        <w:t xml:space="preserve">okolností a stavů jako příčin poranění a otrav event. jiných nepříznivých účinků (kapitola XX. Vnější příčiny nemocnosti a úmrtnosti, kódy V01-Y89). </w:t>
      </w:r>
      <w:r w:rsidR="00E979DB">
        <w:rPr>
          <w:rFonts w:cs="Arial"/>
        </w:rPr>
        <w:t>Druhé třídění (do</w:t>
      </w:r>
      <w:r w:rsidR="007E2D4D">
        <w:rPr>
          <w:rFonts w:cs="Arial"/>
        </w:rPr>
        <w:t> XX. kapitoly</w:t>
      </w:r>
      <w:r w:rsidR="00E979DB">
        <w:rPr>
          <w:rFonts w:cs="Arial"/>
        </w:rPr>
        <w:t>)</w:t>
      </w:r>
      <w:r w:rsidR="007E2D4D">
        <w:rPr>
          <w:rFonts w:cs="Arial"/>
        </w:rPr>
        <w:t xml:space="preserve"> se pro tabelaci </w:t>
      </w:r>
      <w:r w:rsidR="00055CEC">
        <w:rPr>
          <w:rFonts w:cs="Arial"/>
        </w:rPr>
        <w:t xml:space="preserve">zemřelých podle </w:t>
      </w:r>
      <w:r w:rsidR="007E2D4D">
        <w:rPr>
          <w:rFonts w:cs="Arial"/>
        </w:rPr>
        <w:t xml:space="preserve">základní příčiny smrti </w:t>
      </w:r>
      <w:r w:rsidR="00E979DB">
        <w:rPr>
          <w:rFonts w:cs="Arial"/>
        </w:rPr>
        <w:t xml:space="preserve">používá </w:t>
      </w:r>
      <w:r w:rsidR="007E2D4D">
        <w:rPr>
          <w:rFonts w:cs="Arial"/>
        </w:rPr>
        <w:t>přednostně.</w:t>
      </w:r>
    </w:p>
    <w:p w14:paraId="5BEB672D" w14:textId="1102AA1E" w:rsidR="007036F2" w:rsidRPr="007036F2" w:rsidRDefault="007B27A9" w:rsidP="006F5E16">
      <w:pPr>
        <w:rPr>
          <w:rFonts w:cs="Arial"/>
        </w:rPr>
      </w:pPr>
      <w:r>
        <w:rPr>
          <w:rFonts w:cs="Arial"/>
        </w:rPr>
        <w:t>P</w:t>
      </w:r>
      <w:r w:rsidRPr="00007ED0">
        <w:rPr>
          <w:rFonts w:cs="Arial"/>
        </w:rPr>
        <w:t>ublikace obsahuje údaje za</w:t>
      </w:r>
      <w:r w:rsidR="007E2D4D">
        <w:rPr>
          <w:rFonts w:cs="Arial"/>
        </w:rPr>
        <w:t xml:space="preserve"> jednotlivá pololetí</w:t>
      </w:r>
      <w:r w:rsidRPr="00007ED0">
        <w:rPr>
          <w:rFonts w:cs="Arial"/>
        </w:rPr>
        <w:t xml:space="preserve"> </w:t>
      </w:r>
      <w:r w:rsidR="007E2D4D">
        <w:rPr>
          <w:rFonts w:cs="Arial"/>
        </w:rPr>
        <w:t>let</w:t>
      </w:r>
      <w:r w:rsidR="007E2D4D" w:rsidRPr="00007ED0">
        <w:rPr>
          <w:rFonts w:cs="Arial"/>
        </w:rPr>
        <w:t xml:space="preserve"> </w:t>
      </w:r>
      <w:r w:rsidR="00365CF8" w:rsidRPr="00007ED0">
        <w:rPr>
          <w:rFonts w:cs="Arial"/>
        </w:rPr>
        <w:t>20</w:t>
      </w:r>
      <w:r w:rsidR="00365CF8">
        <w:rPr>
          <w:rFonts w:cs="Arial"/>
        </w:rPr>
        <w:t>1</w:t>
      </w:r>
      <w:r w:rsidR="00DB1754">
        <w:rPr>
          <w:rFonts w:cs="Arial"/>
        </w:rPr>
        <w:t>8</w:t>
      </w:r>
      <w:r w:rsidR="00365CF8">
        <w:rPr>
          <w:rFonts w:cs="Arial"/>
        </w:rPr>
        <w:t xml:space="preserve"> </w:t>
      </w:r>
      <w:r w:rsidRPr="00007ED0">
        <w:rPr>
          <w:rFonts w:cs="Arial"/>
        </w:rPr>
        <w:t>až 20</w:t>
      </w:r>
      <w:r>
        <w:rPr>
          <w:rFonts w:cs="Arial"/>
        </w:rPr>
        <w:t>2</w:t>
      </w:r>
      <w:r w:rsidR="00DB1754">
        <w:rPr>
          <w:rFonts w:cs="Arial"/>
        </w:rPr>
        <w:t>2</w:t>
      </w:r>
      <w:r>
        <w:rPr>
          <w:rFonts w:cs="Arial"/>
        </w:rPr>
        <w:t>,</w:t>
      </w:r>
      <w:r w:rsidRPr="00007ED0">
        <w:rPr>
          <w:rFonts w:cs="Arial"/>
        </w:rPr>
        <w:t xml:space="preserve"> za </w:t>
      </w:r>
      <w:r w:rsidR="00685594" w:rsidRPr="00007ED0">
        <w:rPr>
          <w:rFonts w:cs="Arial"/>
        </w:rPr>
        <w:t>Č</w:t>
      </w:r>
      <w:r w:rsidR="00685594">
        <w:rPr>
          <w:rFonts w:cs="Arial"/>
        </w:rPr>
        <w:t>esko a</w:t>
      </w:r>
      <w:r w:rsidRPr="00007ED0">
        <w:rPr>
          <w:rFonts w:cs="Arial"/>
        </w:rPr>
        <w:t xml:space="preserve"> kraje</w:t>
      </w:r>
      <w:r w:rsidR="00260F3F">
        <w:rPr>
          <w:rFonts w:cs="Arial"/>
        </w:rPr>
        <w:t xml:space="preserve">. </w:t>
      </w:r>
      <w:r w:rsidR="00E979DB">
        <w:rPr>
          <w:rFonts w:cs="Arial"/>
        </w:rPr>
        <w:t>Data za roky 201</w:t>
      </w:r>
      <w:r w:rsidR="00DB1754">
        <w:rPr>
          <w:rFonts w:cs="Arial"/>
        </w:rPr>
        <w:t>8</w:t>
      </w:r>
      <w:r w:rsidR="00E979DB">
        <w:rPr>
          <w:rFonts w:cs="Arial"/>
        </w:rPr>
        <w:t xml:space="preserve"> až 202</w:t>
      </w:r>
      <w:r w:rsidR="00DB1754">
        <w:rPr>
          <w:rFonts w:cs="Arial"/>
        </w:rPr>
        <w:t>1</w:t>
      </w:r>
      <w:r w:rsidR="00E979DB">
        <w:rPr>
          <w:rFonts w:cs="Arial"/>
        </w:rPr>
        <w:t xml:space="preserve"> jsou definitivní, </w:t>
      </w:r>
      <w:r w:rsidR="00E979DB" w:rsidRPr="00E979DB">
        <w:rPr>
          <w:rFonts w:cs="Arial"/>
          <w:b/>
        </w:rPr>
        <w:t>pro rok 202</w:t>
      </w:r>
      <w:r w:rsidR="00DB1754">
        <w:rPr>
          <w:rFonts w:cs="Arial"/>
          <w:b/>
        </w:rPr>
        <w:t>2</w:t>
      </w:r>
      <w:r w:rsidR="00E979DB" w:rsidRPr="00E979DB">
        <w:rPr>
          <w:rFonts w:cs="Arial"/>
          <w:b/>
        </w:rPr>
        <w:t xml:space="preserve"> (1. pololetí) se jedná o údaje předběžné</w:t>
      </w:r>
      <w:r w:rsidR="000F1E7A">
        <w:rPr>
          <w:rFonts w:cs="Arial"/>
        </w:rPr>
        <w:t>, a to pokud jde o samotný počet zemřelých, tak i jejich příčiny smrti. Ve druhém případě je p</w:t>
      </w:r>
      <w:r w:rsidR="00E979DB">
        <w:rPr>
          <w:rFonts w:cs="Arial"/>
        </w:rPr>
        <w:t>ředběžnost dána vyšším počtem (podílem) zemřelých bez údaje o příčině smrti (</w:t>
      </w:r>
      <w:r w:rsidR="00055CEC">
        <w:rPr>
          <w:rFonts w:cs="Arial"/>
        </w:rPr>
        <w:t xml:space="preserve">dosud </w:t>
      </w:r>
      <w:r w:rsidR="00E979DB">
        <w:rPr>
          <w:rFonts w:cs="Arial"/>
        </w:rPr>
        <w:t xml:space="preserve">nezaslané údaje) a nekompletní validací vybraných </w:t>
      </w:r>
      <w:r w:rsidR="00910638">
        <w:rPr>
          <w:rFonts w:cs="Arial"/>
        </w:rPr>
        <w:t>skupin příčin smrti (zejm. některých novotvarů, covidu-19; většinu validací ÚZIS ČR provádí pouze 1x ročně, před finalizací ročních dat).</w:t>
      </w:r>
      <w:r w:rsidR="00E979DB">
        <w:rPr>
          <w:rFonts w:cs="Arial"/>
        </w:rPr>
        <w:t xml:space="preserve"> </w:t>
      </w:r>
      <w:r w:rsidR="00260F3F">
        <w:rPr>
          <w:rFonts w:cs="Arial"/>
        </w:rPr>
        <w:t>Data</w:t>
      </w:r>
      <w:r w:rsidR="00D703F1" w:rsidRPr="00D703F1">
        <w:rPr>
          <w:rFonts w:cs="Arial"/>
        </w:rPr>
        <w:t xml:space="preserve"> za </w:t>
      </w:r>
      <w:r w:rsidR="00685594">
        <w:rPr>
          <w:rFonts w:cs="Arial"/>
        </w:rPr>
        <w:t>Česko</w:t>
      </w:r>
      <w:r w:rsidR="00685594" w:rsidRPr="00D703F1">
        <w:rPr>
          <w:rFonts w:cs="Arial"/>
        </w:rPr>
        <w:t xml:space="preserve"> </w:t>
      </w:r>
      <w:r w:rsidR="00D703F1" w:rsidRPr="00D703F1">
        <w:rPr>
          <w:rFonts w:cs="Arial"/>
        </w:rPr>
        <w:t>jsou uveden</w:t>
      </w:r>
      <w:r w:rsidR="007E2D4D">
        <w:rPr>
          <w:rFonts w:cs="Arial"/>
        </w:rPr>
        <w:t>a</w:t>
      </w:r>
      <w:r w:rsidR="00D703F1" w:rsidRPr="00D703F1">
        <w:rPr>
          <w:rFonts w:cs="Arial"/>
        </w:rPr>
        <w:t xml:space="preserve"> </w:t>
      </w:r>
      <w:r w:rsidR="00E979DB">
        <w:rPr>
          <w:rFonts w:cs="Arial"/>
        </w:rPr>
        <w:t xml:space="preserve">v třídění </w:t>
      </w:r>
      <w:r w:rsidR="00D703F1">
        <w:rPr>
          <w:rFonts w:cs="Arial"/>
        </w:rPr>
        <w:t>podle pohlaví a </w:t>
      </w:r>
      <w:r w:rsidR="00D703F1" w:rsidRPr="00D703F1">
        <w:rPr>
          <w:rFonts w:cs="Arial"/>
        </w:rPr>
        <w:t xml:space="preserve">věkových skupin, </w:t>
      </w:r>
      <w:r w:rsidR="007E2D4D">
        <w:rPr>
          <w:rFonts w:cs="Arial"/>
        </w:rPr>
        <w:t xml:space="preserve">za </w:t>
      </w:r>
      <w:r w:rsidR="00717375" w:rsidRPr="00D703F1">
        <w:rPr>
          <w:rFonts w:cs="Arial"/>
        </w:rPr>
        <w:t>kraje</w:t>
      </w:r>
      <w:r w:rsidR="00717375">
        <w:rPr>
          <w:rFonts w:cs="Arial"/>
        </w:rPr>
        <w:t xml:space="preserve"> </w:t>
      </w:r>
      <w:r w:rsidR="00D703F1" w:rsidRPr="00D703F1">
        <w:rPr>
          <w:rFonts w:cs="Arial"/>
        </w:rPr>
        <w:t xml:space="preserve">jsou uvedeny </w:t>
      </w:r>
      <w:r w:rsidR="007E2D4D">
        <w:rPr>
          <w:rFonts w:cs="Arial"/>
        </w:rPr>
        <w:t xml:space="preserve">údaje </w:t>
      </w:r>
      <w:r w:rsidR="00260F3F">
        <w:rPr>
          <w:rFonts w:cs="Arial"/>
        </w:rPr>
        <w:t xml:space="preserve">pouze </w:t>
      </w:r>
      <w:r w:rsidR="00D703F1" w:rsidRPr="00D703F1">
        <w:rPr>
          <w:rFonts w:cs="Arial"/>
        </w:rPr>
        <w:t xml:space="preserve">podle pohlaví. </w:t>
      </w:r>
    </w:p>
    <w:p w14:paraId="70E207D4" w14:textId="77777777" w:rsidR="007036F2" w:rsidRPr="007036F2" w:rsidRDefault="007036F2" w:rsidP="006F5E16">
      <w:pPr>
        <w:rPr>
          <w:rFonts w:cs="Arial"/>
        </w:rPr>
      </w:pPr>
      <w:r w:rsidRPr="007036F2">
        <w:rPr>
          <w:rFonts w:cs="Arial"/>
        </w:rPr>
        <w:t>Použité značky v tabulkách:</w:t>
      </w:r>
    </w:p>
    <w:p w14:paraId="2A535218" w14:textId="77777777" w:rsidR="007036F2" w:rsidRPr="007036F2" w:rsidRDefault="007036F2" w:rsidP="00334E4B">
      <w:pPr>
        <w:ind w:left="357"/>
        <w:contextualSpacing/>
        <w:rPr>
          <w:rFonts w:cs="Arial"/>
        </w:rPr>
      </w:pPr>
      <w:r w:rsidRPr="007036F2">
        <w:rPr>
          <w:rFonts w:cs="Arial"/>
        </w:rPr>
        <w:t>Pomlčka (-)</w:t>
      </w:r>
      <w:r w:rsidRPr="007036F2">
        <w:rPr>
          <w:rFonts w:cs="Arial"/>
        </w:rPr>
        <w:tab/>
      </w:r>
      <w:r w:rsidR="00334E4B">
        <w:rPr>
          <w:rFonts w:cs="Arial"/>
        </w:rPr>
        <w:tab/>
      </w:r>
      <w:r w:rsidRPr="007036F2">
        <w:rPr>
          <w:rFonts w:cs="Arial"/>
        </w:rPr>
        <w:t>na místě čísla značí, že se jev nevyskytoval</w:t>
      </w:r>
    </w:p>
    <w:p w14:paraId="598122C8" w14:textId="77777777" w:rsidR="007036F2" w:rsidRPr="007036F2" w:rsidRDefault="007036F2" w:rsidP="00334E4B">
      <w:pPr>
        <w:ind w:left="357"/>
        <w:contextualSpacing/>
        <w:rPr>
          <w:rFonts w:cs="Arial"/>
        </w:rPr>
      </w:pPr>
      <w:r w:rsidRPr="007036F2">
        <w:rPr>
          <w:rFonts w:cs="Arial"/>
        </w:rPr>
        <w:t>Tečka (.)</w:t>
      </w:r>
      <w:r w:rsidRPr="007036F2">
        <w:rPr>
          <w:rFonts w:cs="Arial"/>
        </w:rPr>
        <w:tab/>
      </w:r>
      <w:r w:rsidR="00334E4B">
        <w:rPr>
          <w:rFonts w:cs="Arial"/>
        </w:rPr>
        <w:tab/>
      </w:r>
      <w:r w:rsidRPr="007036F2">
        <w:rPr>
          <w:rFonts w:cs="Arial"/>
        </w:rPr>
        <w:t>na místě čísla značí, že údaj není k dispozici nebo je nespolehlivý</w:t>
      </w:r>
    </w:p>
    <w:p w14:paraId="4A20381C" w14:textId="77777777" w:rsidR="002964B2" w:rsidRPr="002964B2" w:rsidRDefault="007036F2" w:rsidP="00334E4B">
      <w:pPr>
        <w:ind w:left="357"/>
        <w:contextualSpacing/>
      </w:pPr>
      <w:r w:rsidRPr="007036F2">
        <w:rPr>
          <w:rFonts w:cs="Arial"/>
        </w:rPr>
        <w:t>Písmeno (x)</w:t>
      </w:r>
      <w:r w:rsidRPr="007036F2">
        <w:rPr>
          <w:rFonts w:cs="Arial"/>
        </w:rPr>
        <w:tab/>
        <w:t>ležatý křížek na místě čísla značí, že zápis není možný z logických důvodů</w:t>
      </w:r>
    </w:p>
    <w:sectPr w:rsidR="002964B2" w:rsidRPr="002964B2" w:rsidSect="00DF5A03">
      <w:headerReference w:type="even" r:id="rId8"/>
      <w:headerReference w:type="default" r:id="rId9"/>
      <w:footerReference w:type="even" r:id="rId10"/>
      <w:footerReference w:type="default" r:id="rId11"/>
      <w:pgSz w:w="11906" w:h="16838" w:code="9"/>
      <w:pgMar w:top="1134" w:right="1134" w:bottom="1418" w:left="1134" w:header="510" w:footer="68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DEF89" w14:textId="77777777" w:rsidR="005F3DAB" w:rsidRDefault="005F3DAB" w:rsidP="00E71A58">
      <w:r>
        <w:separator/>
      </w:r>
    </w:p>
  </w:endnote>
  <w:endnote w:type="continuationSeparator" w:id="0">
    <w:p w14:paraId="664DF53C" w14:textId="77777777" w:rsidR="005F3DAB" w:rsidRDefault="005F3DA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838D" w14:textId="359FC52D" w:rsidR="00284876" w:rsidRPr="00F1639F" w:rsidRDefault="00B21224" w:rsidP="00A418BC">
    <w:pPr>
      <w:pStyle w:val="Zpat"/>
      <w:rPr>
        <w:szCs w:val="16"/>
      </w:rPr>
    </w:pPr>
    <w:r>
      <w:rPr>
        <w:lang w:eastAsia="cs-CZ"/>
      </w:rPr>
      <w:drawing>
        <wp:anchor distT="0" distB="0" distL="114300" distR="114300" simplePos="0" relativeHeight="251658240" behindDoc="0" locked="0" layoutInCell="1" allowOverlap="1" wp14:anchorId="372E687B" wp14:editId="0A6AFE65">
          <wp:simplePos x="0" y="0"/>
          <wp:positionH relativeFrom="column">
            <wp:align>right</wp:align>
          </wp:positionH>
          <wp:positionV relativeFrom="paragraph">
            <wp:posOffset>-64770</wp:posOffset>
          </wp:positionV>
          <wp:extent cx="424815" cy="202565"/>
          <wp:effectExtent l="0" t="0" r="0" b="6985"/>
          <wp:wrapNone/>
          <wp:docPr id="13" name="obrázek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pic:spPr>
              </pic:pic>
            </a:graphicData>
          </a:graphic>
          <wp14:sizeRelH relativeFrom="page">
            <wp14:pctWidth>0</wp14:pctWidth>
          </wp14:sizeRelH>
          <wp14:sizeRelV relativeFrom="page">
            <wp14:pctHeight>0</wp14:pctHeight>
          </wp14:sizeRelV>
        </wp:anchor>
      </w:drawing>
    </w:r>
    <w:r w:rsidR="008B036E">
      <w:rPr>
        <w:szCs w:val="16"/>
      </w:rPr>
      <w:t>1</w:t>
    </w:r>
    <w:r w:rsidR="00284876" w:rsidRPr="00F1639F">
      <w:rPr>
        <w:szCs w:val="16"/>
      </w:rPr>
      <w:tab/>
    </w:r>
    <w:r w:rsidR="00DE6C8F">
      <w:rPr>
        <w:rStyle w:val="ZpatChar"/>
        <w:szCs w:val="16"/>
      </w:rPr>
      <w:t>20</w:t>
    </w:r>
    <w:r w:rsidR="003B125C">
      <w:rPr>
        <w:rStyle w:val="ZpatChar"/>
        <w:szCs w:val="16"/>
      </w:rPr>
      <w:t>1</w:t>
    </w:r>
    <w:r w:rsidR="00DB1754">
      <w:rPr>
        <w:rStyle w:val="ZpatChar"/>
        <w:szCs w:val="16"/>
      </w:rPr>
      <w:t>8–</w:t>
    </w:r>
    <w:r w:rsidR="003B125C">
      <w:rPr>
        <w:rStyle w:val="ZpatChar"/>
        <w:szCs w:val="16"/>
      </w:rPr>
      <w:t>20</w:t>
    </w:r>
    <w:r w:rsidR="003C3741">
      <w:rPr>
        <w:rStyle w:val="ZpatChar"/>
        <w:szCs w:val="16"/>
      </w:rPr>
      <w:t>2</w:t>
    </w:r>
    <w:r w:rsidR="00DB1754">
      <w:rPr>
        <w:rStyle w:val="ZpatChar"/>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3446B" w14:textId="77777777" w:rsidR="00284876" w:rsidRPr="00F1639F" w:rsidRDefault="00B21224" w:rsidP="00A418BC">
    <w:pPr>
      <w:pStyle w:val="Zpat"/>
      <w:rPr>
        <w:szCs w:val="16"/>
      </w:rPr>
    </w:pPr>
    <w:r>
      <w:rPr>
        <w:lang w:eastAsia="cs-CZ"/>
      </w:rPr>
      <w:drawing>
        <wp:anchor distT="0" distB="0" distL="114300" distR="114300" simplePos="0" relativeHeight="251657216" behindDoc="0" locked="0" layoutInCell="1" allowOverlap="1" wp14:anchorId="45AE15A6" wp14:editId="42815A8B">
          <wp:simplePos x="0" y="0"/>
          <wp:positionH relativeFrom="column">
            <wp:align>left</wp:align>
          </wp:positionH>
          <wp:positionV relativeFrom="paragraph">
            <wp:posOffset>-122555</wp:posOffset>
          </wp:positionV>
          <wp:extent cx="514350" cy="271780"/>
          <wp:effectExtent l="0" t="0" r="0" b="0"/>
          <wp:wrapNone/>
          <wp:docPr id="12" name="obrázek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pic:spPr>
              </pic:pic>
            </a:graphicData>
          </a:graphic>
          <wp14:sizeRelH relativeFrom="page">
            <wp14:pctWidth>0</wp14:pctWidth>
          </wp14:sizeRelH>
          <wp14:sizeRelV relativeFrom="page">
            <wp14:pctHeight>0</wp14:pctHeight>
          </wp14:sizeRelV>
        </wp:anchor>
      </w:drawing>
    </w:r>
    <w:r w:rsidR="00284876" w:rsidRPr="00F1639F">
      <w:rPr>
        <w:szCs w:val="16"/>
      </w:rPr>
      <w:tab/>
    </w:r>
    <w:r w:rsidR="00DE6C8F">
      <w:rPr>
        <w:rStyle w:val="ZpatChar"/>
        <w:szCs w:val="16"/>
      </w:rPr>
      <w:t xml:space="preserve">2008 – 2017 / </w:t>
    </w:r>
    <w:r w:rsidR="00DE6C8F" w:rsidRPr="00C02F3F">
      <w:rPr>
        <w:rStyle w:val="ZpatChar"/>
        <w:i/>
        <w:szCs w:val="16"/>
      </w:rPr>
      <w:t>2008 – 2017</w:t>
    </w:r>
    <w:r w:rsidR="00284876" w:rsidRPr="00F1639F">
      <w:rPr>
        <w:szCs w:val="16"/>
      </w:rPr>
      <w:tab/>
    </w:r>
    <w:r w:rsidR="00284876" w:rsidRPr="00F1639F">
      <w:rPr>
        <w:rStyle w:val="ZpatChar"/>
        <w:szCs w:val="16"/>
      </w:rPr>
      <w:fldChar w:fldCharType="begin"/>
    </w:r>
    <w:r w:rsidR="00284876" w:rsidRPr="00F1639F">
      <w:rPr>
        <w:rStyle w:val="ZpatChar"/>
        <w:szCs w:val="16"/>
      </w:rPr>
      <w:instrText>PAGE   \* MERGEFORMAT</w:instrText>
    </w:r>
    <w:r w:rsidR="00284876" w:rsidRPr="00F1639F">
      <w:rPr>
        <w:rStyle w:val="ZpatChar"/>
        <w:szCs w:val="16"/>
      </w:rPr>
      <w:fldChar w:fldCharType="separate"/>
    </w:r>
    <w:r w:rsidR="00D703F1">
      <w:rPr>
        <w:rStyle w:val="ZpatChar"/>
        <w:szCs w:val="16"/>
      </w:rPr>
      <w:t>3</w:t>
    </w:r>
    <w:r w:rsidR="00284876"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CDA65" w14:textId="77777777" w:rsidR="005F3DAB" w:rsidRDefault="005F3DAB" w:rsidP="00E71A58">
      <w:r>
        <w:separator/>
      </w:r>
    </w:p>
  </w:footnote>
  <w:footnote w:type="continuationSeparator" w:id="0">
    <w:p w14:paraId="3D718AB4" w14:textId="77777777" w:rsidR="005F3DAB" w:rsidRDefault="005F3DAB"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A767" w14:textId="79AD4451" w:rsidR="00284876" w:rsidRPr="00DE6C8F" w:rsidRDefault="00D703F1" w:rsidP="00DE6C8F">
    <w:pPr>
      <w:pStyle w:val="Zhlav"/>
    </w:pPr>
    <w:r>
      <w:t xml:space="preserve">Zemřelí podle </w:t>
    </w:r>
    <w:r w:rsidR="00685594">
      <w:t xml:space="preserve">zkráceného </w:t>
    </w:r>
    <w:r>
      <w:t>seznamu příčin smrti v Č</w:t>
    </w:r>
    <w:r w:rsidR="00B26594">
      <w:t>R</w:t>
    </w:r>
    <w:r>
      <w:t xml:space="preserve"> </w:t>
    </w:r>
    <w:r w:rsidR="00685594">
      <w:t xml:space="preserve">a </w:t>
    </w:r>
    <w:r>
      <w:t>krajích</w:t>
    </w:r>
    <w:r w:rsidR="002A50B2">
      <w:t>, pololetní data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30F19" w14:textId="77777777" w:rsidR="00284876" w:rsidRPr="00DE6C8F" w:rsidRDefault="00D703F1" w:rsidP="00DE6C8F">
    <w:pPr>
      <w:pStyle w:val="Zhlav"/>
    </w:pPr>
    <w:r>
      <w:t>Zemřelí podle seznamu příčin smrti, pohlaví a věku v ČR, krajích a okresech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30231"/>
    <w:multiLevelType w:val="hybridMultilevel"/>
    <w:tmpl w:val="6C1A9F32"/>
    <w:lvl w:ilvl="0" w:tplc="E8688A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07274E"/>
    <w:multiLevelType w:val="hybridMultilevel"/>
    <w:tmpl w:val="3E5E1636"/>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45199"/>
    <w:multiLevelType w:val="hybridMultilevel"/>
    <w:tmpl w:val="30C8C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F10E85"/>
    <w:multiLevelType w:val="hybridMultilevel"/>
    <w:tmpl w:val="599AF972"/>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2156C7"/>
    <w:multiLevelType w:val="hybridMultilevel"/>
    <w:tmpl w:val="999EB3F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443D1"/>
    <w:multiLevelType w:val="hybridMultilevel"/>
    <w:tmpl w:val="F74A8F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F84519"/>
    <w:multiLevelType w:val="hybridMultilevel"/>
    <w:tmpl w:val="D28A758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A01BFA"/>
    <w:multiLevelType w:val="hybridMultilevel"/>
    <w:tmpl w:val="FDB0F6E8"/>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4D1B9B"/>
    <w:multiLevelType w:val="hybridMultilevel"/>
    <w:tmpl w:val="82BE2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CC7463"/>
    <w:multiLevelType w:val="hybridMultilevel"/>
    <w:tmpl w:val="7B0023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8"/>
  </w:num>
  <w:num w:numId="14">
    <w:abstractNumId w:val="13"/>
  </w:num>
  <w:num w:numId="15">
    <w:abstractNumId w:val="21"/>
  </w:num>
  <w:num w:numId="16">
    <w:abstractNumId w:val="16"/>
  </w:num>
  <w:num w:numId="17">
    <w:abstractNumId w:val="22"/>
  </w:num>
  <w:num w:numId="18">
    <w:abstractNumId w:val="20"/>
  </w:num>
  <w:num w:numId="19">
    <w:abstractNumId w:val="12"/>
  </w:num>
  <w:num w:numId="20">
    <w:abstractNumId w:val="14"/>
  </w:num>
  <w:num w:numId="21">
    <w:abstractNumId w:val="10"/>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1D"/>
    <w:rsid w:val="00000702"/>
    <w:rsid w:val="0000209D"/>
    <w:rsid w:val="00004D5A"/>
    <w:rsid w:val="000056D5"/>
    <w:rsid w:val="0000767A"/>
    <w:rsid w:val="00010702"/>
    <w:rsid w:val="000117E1"/>
    <w:rsid w:val="00011C0E"/>
    <w:rsid w:val="000234D6"/>
    <w:rsid w:val="00023D29"/>
    <w:rsid w:val="00026389"/>
    <w:rsid w:val="00031AE0"/>
    <w:rsid w:val="000322EF"/>
    <w:rsid w:val="00033FCD"/>
    <w:rsid w:val="0003592A"/>
    <w:rsid w:val="00036330"/>
    <w:rsid w:val="00041CEC"/>
    <w:rsid w:val="0004694F"/>
    <w:rsid w:val="00051200"/>
    <w:rsid w:val="000522E4"/>
    <w:rsid w:val="00055CEC"/>
    <w:rsid w:val="00060C89"/>
    <w:rsid w:val="000610E1"/>
    <w:rsid w:val="00062EC5"/>
    <w:rsid w:val="00062F22"/>
    <w:rsid w:val="000712B3"/>
    <w:rsid w:val="00080BC7"/>
    <w:rsid w:val="0008263E"/>
    <w:rsid w:val="00082C19"/>
    <w:rsid w:val="00085395"/>
    <w:rsid w:val="00087634"/>
    <w:rsid w:val="00087F2B"/>
    <w:rsid w:val="000974D1"/>
    <w:rsid w:val="0009799E"/>
    <w:rsid w:val="000A1183"/>
    <w:rsid w:val="000A1318"/>
    <w:rsid w:val="000A256D"/>
    <w:rsid w:val="000A3A2C"/>
    <w:rsid w:val="000A7ED2"/>
    <w:rsid w:val="000C0F8E"/>
    <w:rsid w:val="000C3408"/>
    <w:rsid w:val="000C6AFD"/>
    <w:rsid w:val="000D5637"/>
    <w:rsid w:val="000E6FBD"/>
    <w:rsid w:val="000E7AE9"/>
    <w:rsid w:val="000F1E7A"/>
    <w:rsid w:val="00100F5C"/>
    <w:rsid w:val="00101B1E"/>
    <w:rsid w:val="00104C4C"/>
    <w:rsid w:val="001071AC"/>
    <w:rsid w:val="0011021C"/>
    <w:rsid w:val="0012192F"/>
    <w:rsid w:val="00125D69"/>
    <w:rsid w:val="001405FA"/>
    <w:rsid w:val="001410FA"/>
    <w:rsid w:val="001425C3"/>
    <w:rsid w:val="00155321"/>
    <w:rsid w:val="001574B7"/>
    <w:rsid w:val="0016256B"/>
    <w:rsid w:val="00163793"/>
    <w:rsid w:val="001706D6"/>
    <w:rsid w:val="001714F2"/>
    <w:rsid w:val="00173532"/>
    <w:rsid w:val="00184B08"/>
    <w:rsid w:val="00185010"/>
    <w:rsid w:val="001A552F"/>
    <w:rsid w:val="001A6BC7"/>
    <w:rsid w:val="001B2CA9"/>
    <w:rsid w:val="001B3110"/>
    <w:rsid w:val="001B4729"/>
    <w:rsid w:val="001B6C09"/>
    <w:rsid w:val="001C05CD"/>
    <w:rsid w:val="001D231C"/>
    <w:rsid w:val="001D68B2"/>
    <w:rsid w:val="001E7E48"/>
    <w:rsid w:val="001F4597"/>
    <w:rsid w:val="001F7F59"/>
    <w:rsid w:val="002118B9"/>
    <w:rsid w:val="00212F8B"/>
    <w:rsid w:val="00213C0A"/>
    <w:rsid w:val="00217C5B"/>
    <w:rsid w:val="0022139E"/>
    <w:rsid w:val="002252E0"/>
    <w:rsid w:val="002255F6"/>
    <w:rsid w:val="00227850"/>
    <w:rsid w:val="00230C6E"/>
    <w:rsid w:val="002329DF"/>
    <w:rsid w:val="00236443"/>
    <w:rsid w:val="002436BA"/>
    <w:rsid w:val="00244A15"/>
    <w:rsid w:val="00247319"/>
    <w:rsid w:val="0024799E"/>
    <w:rsid w:val="00253C0F"/>
    <w:rsid w:val="00260F3F"/>
    <w:rsid w:val="00270A33"/>
    <w:rsid w:val="00271465"/>
    <w:rsid w:val="00284876"/>
    <w:rsid w:val="00285412"/>
    <w:rsid w:val="002964B2"/>
    <w:rsid w:val="002A16D4"/>
    <w:rsid w:val="002A230C"/>
    <w:rsid w:val="002A50B2"/>
    <w:rsid w:val="002B5138"/>
    <w:rsid w:val="002C43BD"/>
    <w:rsid w:val="002D0E59"/>
    <w:rsid w:val="002E02A1"/>
    <w:rsid w:val="002E4E4C"/>
    <w:rsid w:val="002E57D3"/>
    <w:rsid w:val="002E6C66"/>
    <w:rsid w:val="002E739C"/>
    <w:rsid w:val="00304771"/>
    <w:rsid w:val="003052D4"/>
    <w:rsid w:val="00306C5B"/>
    <w:rsid w:val="00313BFB"/>
    <w:rsid w:val="003209D6"/>
    <w:rsid w:val="0032656E"/>
    <w:rsid w:val="00327B68"/>
    <w:rsid w:val="0033041D"/>
    <w:rsid w:val="00332190"/>
    <w:rsid w:val="00334E4B"/>
    <w:rsid w:val="003379EB"/>
    <w:rsid w:val="00344668"/>
    <w:rsid w:val="003462D9"/>
    <w:rsid w:val="00347140"/>
    <w:rsid w:val="003527A3"/>
    <w:rsid w:val="003657F3"/>
    <w:rsid w:val="00365CF8"/>
    <w:rsid w:val="0037048C"/>
    <w:rsid w:val="003818DC"/>
    <w:rsid w:val="00385D98"/>
    <w:rsid w:val="003A2B4D"/>
    <w:rsid w:val="003A478C"/>
    <w:rsid w:val="003A5525"/>
    <w:rsid w:val="003A6B38"/>
    <w:rsid w:val="003B125C"/>
    <w:rsid w:val="003B5A32"/>
    <w:rsid w:val="003C3490"/>
    <w:rsid w:val="003C3741"/>
    <w:rsid w:val="003D3BEB"/>
    <w:rsid w:val="003D6920"/>
    <w:rsid w:val="003E4C91"/>
    <w:rsid w:val="003F313C"/>
    <w:rsid w:val="003F551C"/>
    <w:rsid w:val="003F65ED"/>
    <w:rsid w:val="003F76D8"/>
    <w:rsid w:val="00407C13"/>
    <w:rsid w:val="00410638"/>
    <w:rsid w:val="00432A58"/>
    <w:rsid w:val="00434617"/>
    <w:rsid w:val="00440900"/>
    <w:rsid w:val="004441A0"/>
    <w:rsid w:val="00454C74"/>
    <w:rsid w:val="00462C5A"/>
    <w:rsid w:val="00476240"/>
    <w:rsid w:val="00476439"/>
    <w:rsid w:val="00477325"/>
    <w:rsid w:val="0047735C"/>
    <w:rsid w:val="004776BC"/>
    <w:rsid w:val="0048139F"/>
    <w:rsid w:val="00481E40"/>
    <w:rsid w:val="00484ECE"/>
    <w:rsid w:val="004915CB"/>
    <w:rsid w:val="00492BEB"/>
    <w:rsid w:val="00493320"/>
    <w:rsid w:val="004A1719"/>
    <w:rsid w:val="004A3212"/>
    <w:rsid w:val="004A61C5"/>
    <w:rsid w:val="004A77DF"/>
    <w:rsid w:val="004B1417"/>
    <w:rsid w:val="004B55B7"/>
    <w:rsid w:val="004B6468"/>
    <w:rsid w:val="004C384C"/>
    <w:rsid w:val="004C3867"/>
    <w:rsid w:val="004C4CD0"/>
    <w:rsid w:val="004C70DC"/>
    <w:rsid w:val="004D0211"/>
    <w:rsid w:val="004D0794"/>
    <w:rsid w:val="004D4E7A"/>
    <w:rsid w:val="004E3AE3"/>
    <w:rsid w:val="004F06F5"/>
    <w:rsid w:val="004F33A0"/>
    <w:rsid w:val="004F78D0"/>
    <w:rsid w:val="005108C0"/>
    <w:rsid w:val="00510FCD"/>
    <w:rsid w:val="00511873"/>
    <w:rsid w:val="00512A2F"/>
    <w:rsid w:val="00513B7E"/>
    <w:rsid w:val="00515C74"/>
    <w:rsid w:val="0052007E"/>
    <w:rsid w:val="0052337A"/>
    <w:rsid w:val="0052454B"/>
    <w:rsid w:val="00525137"/>
    <w:rsid w:val="005251DD"/>
    <w:rsid w:val="00532CE7"/>
    <w:rsid w:val="0053324C"/>
    <w:rsid w:val="00534715"/>
    <w:rsid w:val="00534A28"/>
    <w:rsid w:val="00541508"/>
    <w:rsid w:val="0055599F"/>
    <w:rsid w:val="00556D68"/>
    <w:rsid w:val="00563F83"/>
    <w:rsid w:val="005647BF"/>
    <w:rsid w:val="00572766"/>
    <w:rsid w:val="0057364B"/>
    <w:rsid w:val="00574773"/>
    <w:rsid w:val="00583FFD"/>
    <w:rsid w:val="005911BE"/>
    <w:rsid w:val="00593152"/>
    <w:rsid w:val="005A10F2"/>
    <w:rsid w:val="005A14A1"/>
    <w:rsid w:val="005A21E0"/>
    <w:rsid w:val="005A28FF"/>
    <w:rsid w:val="005A3DF8"/>
    <w:rsid w:val="005A5549"/>
    <w:rsid w:val="005B121D"/>
    <w:rsid w:val="005C06ED"/>
    <w:rsid w:val="005D0807"/>
    <w:rsid w:val="005D08AF"/>
    <w:rsid w:val="005D1303"/>
    <w:rsid w:val="005D5802"/>
    <w:rsid w:val="005D7890"/>
    <w:rsid w:val="005E0E2D"/>
    <w:rsid w:val="005E34D5"/>
    <w:rsid w:val="005E7C78"/>
    <w:rsid w:val="005F3DAB"/>
    <w:rsid w:val="005F3EB1"/>
    <w:rsid w:val="005F4613"/>
    <w:rsid w:val="00602825"/>
    <w:rsid w:val="00604307"/>
    <w:rsid w:val="0060487F"/>
    <w:rsid w:val="00604EAD"/>
    <w:rsid w:val="006104FB"/>
    <w:rsid w:val="00612A2F"/>
    <w:rsid w:val="00616E05"/>
    <w:rsid w:val="00624093"/>
    <w:rsid w:val="00626AD7"/>
    <w:rsid w:val="006404A7"/>
    <w:rsid w:val="006451E4"/>
    <w:rsid w:val="00645B33"/>
    <w:rsid w:val="00645EA4"/>
    <w:rsid w:val="00650584"/>
    <w:rsid w:val="006516CB"/>
    <w:rsid w:val="006532D6"/>
    <w:rsid w:val="00657E87"/>
    <w:rsid w:val="00664803"/>
    <w:rsid w:val="00665BA4"/>
    <w:rsid w:val="00667AF2"/>
    <w:rsid w:val="00670881"/>
    <w:rsid w:val="006710C9"/>
    <w:rsid w:val="00674D89"/>
    <w:rsid w:val="00675E37"/>
    <w:rsid w:val="0068174E"/>
    <w:rsid w:val="00681DCE"/>
    <w:rsid w:val="0068260E"/>
    <w:rsid w:val="00685594"/>
    <w:rsid w:val="006956DF"/>
    <w:rsid w:val="00695BEF"/>
    <w:rsid w:val="006977F6"/>
    <w:rsid w:val="00697A13"/>
    <w:rsid w:val="006A109C"/>
    <w:rsid w:val="006A2DAB"/>
    <w:rsid w:val="006A6488"/>
    <w:rsid w:val="006B344A"/>
    <w:rsid w:val="006B78D8"/>
    <w:rsid w:val="006C113F"/>
    <w:rsid w:val="006C1EDE"/>
    <w:rsid w:val="006C56D4"/>
    <w:rsid w:val="006C6924"/>
    <w:rsid w:val="006C7CA6"/>
    <w:rsid w:val="006D3E8A"/>
    <w:rsid w:val="006D61F6"/>
    <w:rsid w:val="006E279A"/>
    <w:rsid w:val="006E313B"/>
    <w:rsid w:val="006F5E16"/>
    <w:rsid w:val="007036F2"/>
    <w:rsid w:val="00704A5B"/>
    <w:rsid w:val="00706AD4"/>
    <w:rsid w:val="007140BE"/>
    <w:rsid w:val="00717375"/>
    <w:rsid w:val="007211F5"/>
    <w:rsid w:val="00725BB5"/>
    <w:rsid w:val="00730942"/>
    <w:rsid w:val="00730AE8"/>
    <w:rsid w:val="007329CF"/>
    <w:rsid w:val="0073775E"/>
    <w:rsid w:val="00741493"/>
    <w:rsid w:val="00752180"/>
    <w:rsid w:val="00755202"/>
    <w:rsid w:val="00755D3A"/>
    <w:rsid w:val="007578D3"/>
    <w:rsid w:val="007609C6"/>
    <w:rsid w:val="00763086"/>
    <w:rsid w:val="0076521E"/>
    <w:rsid w:val="007661E9"/>
    <w:rsid w:val="00770863"/>
    <w:rsid w:val="00776169"/>
    <w:rsid w:val="00776527"/>
    <w:rsid w:val="00780EF1"/>
    <w:rsid w:val="00790764"/>
    <w:rsid w:val="0079453C"/>
    <w:rsid w:val="00794677"/>
    <w:rsid w:val="007A7139"/>
    <w:rsid w:val="007B27A9"/>
    <w:rsid w:val="007B29D3"/>
    <w:rsid w:val="007B6689"/>
    <w:rsid w:val="007D14C9"/>
    <w:rsid w:val="007D40DF"/>
    <w:rsid w:val="007E18EC"/>
    <w:rsid w:val="007E2D4D"/>
    <w:rsid w:val="007E7E61"/>
    <w:rsid w:val="007F0845"/>
    <w:rsid w:val="007F163B"/>
    <w:rsid w:val="008027F5"/>
    <w:rsid w:val="00807C82"/>
    <w:rsid w:val="008158BF"/>
    <w:rsid w:val="0081658D"/>
    <w:rsid w:val="00816905"/>
    <w:rsid w:val="00821FF6"/>
    <w:rsid w:val="0083143E"/>
    <w:rsid w:val="00831CDE"/>
    <w:rsid w:val="00834304"/>
    <w:rsid w:val="00834FAA"/>
    <w:rsid w:val="00836086"/>
    <w:rsid w:val="0084708F"/>
    <w:rsid w:val="008477C8"/>
    <w:rsid w:val="0085114D"/>
    <w:rsid w:val="00852217"/>
    <w:rsid w:val="00855408"/>
    <w:rsid w:val="00856B37"/>
    <w:rsid w:val="00856D65"/>
    <w:rsid w:val="00861B41"/>
    <w:rsid w:val="00863434"/>
    <w:rsid w:val="00865E22"/>
    <w:rsid w:val="00865E4C"/>
    <w:rsid w:val="008701E4"/>
    <w:rsid w:val="00875A32"/>
    <w:rsid w:val="00876086"/>
    <w:rsid w:val="00884704"/>
    <w:rsid w:val="008873D4"/>
    <w:rsid w:val="00893E85"/>
    <w:rsid w:val="00894031"/>
    <w:rsid w:val="008A20C0"/>
    <w:rsid w:val="008A32D0"/>
    <w:rsid w:val="008B036E"/>
    <w:rsid w:val="008B7C02"/>
    <w:rsid w:val="008B7D2B"/>
    <w:rsid w:val="008C0049"/>
    <w:rsid w:val="008C0E88"/>
    <w:rsid w:val="008D1E6A"/>
    <w:rsid w:val="008D2A16"/>
    <w:rsid w:val="008E2677"/>
    <w:rsid w:val="008E2C57"/>
    <w:rsid w:val="008E31FF"/>
    <w:rsid w:val="008E6F06"/>
    <w:rsid w:val="008F029B"/>
    <w:rsid w:val="008F3FC9"/>
    <w:rsid w:val="008F585B"/>
    <w:rsid w:val="009003A8"/>
    <w:rsid w:val="00902500"/>
    <w:rsid w:val="00902EFF"/>
    <w:rsid w:val="00910638"/>
    <w:rsid w:val="0091155E"/>
    <w:rsid w:val="00912A92"/>
    <w:rsid w:val="0091728D"/>
    <w:rsid w:val="0092180B"/>
    <w:rsid w:val="00921F14"/>
    <w:rsid w:val="00924AC8"/>
    <w:rsid w:val="0092597A"/>
    <w:rsid w:val="00930CFE"/>
    <w:rsid w:val="00933606"/>
    <w:rsid w:val="00933F28"/>
    <w:rsid w:val="00935A31"/>
    <w:rsid w:val="00937AE2"/>
    <w:rsid w:val="0094427A"/>
    <w:rsid w:val="00956240"/>
    <w:rsid w:val="00962B9D"/>
    <w:rsid w:val="00965A09"/>
    <w:rsid w:val="00974923"/>
    <w:rsid w:val="00980D3D"/>
    <w:rsid w:val="00992CF3"/>
    <w:rsid w:val="009948C0"/>
    <w:rsid w:val="009968D6"/>
    <w:rsid w:val="009A19C9"/>
    <w:rsid w:val="009A1CAB"/>
    <w:rsid w:val="009A60D1"/>
    <w:rsid w:val="009B1B48"/>
    <w:rsid w:val="009B3303"/>
    <w:rsid w:val="009B6FD3"/>
    <w:rsid w:val="009C1750"/>
    <w:rsid w:val="009C2E29"/>
    <w:rsid w:val="009C554B"/>
    <w:rsid w:val="009C719E"/>
    <w:rsid w:val="009D3ACD"/>
    <w:rsid w:val="009E003B"/>
    <w:rsid w:val="009E3739"/>
    <w:rsid w:val="009E5DDB"/>
    <w:rsid w:val="009F4754"/>
    <w:rsid w:val="009F4CA7"/>
    <w:rsid w:val="00A02D97"/>
    <w:rsid w:val="00A10D66"/>
    <w:rsid w:val="00A14114"/>
    <w:rsid w:val="00A23ACE"/>
    <w:rsid w:val="00A23E43"/>
    <w:rsid w:val="00A26D83"/>
    <w:rsid w:val="00A30F65"/>
    <w:rsid w:val="00A32703"/>
    <w:rsid w:val="00A37D36"/>
    <w:rsid w:val="00A418BC"/>
    <w:rsid w:val="00A46DE0"/>
    <w:rsid w:val="00A50D73"/>
    <w:rsid w:val="00A52CAD"/>
    <w:rsid w:val="00A53FC7"/>
    <w:rsid w:val="00A62CE1"/>
    <w:rsid w:val="00A66AEB"/>
    <w:rsid w:val="00A6741E"/>
    <w:rsid w:val="00A722A5"/>
    <w:rsid w:val="00A72838"/>
    <w:rsid w:val="00A75E40"/>
    <w:rsid w:val="00A77D1D"/>
    <w:rsid w:val="00A857C0"/>
    <w:rsid w:val="00AA1F80"/>
    <w:rsid w:val="00AA2996"/>
    <w:rsid w:val="00AA52BF"/>
    <w:rsid w:val="00AA559A"/>
    <w:rsid w:val="00AA5C40"/>
    <w:rsid w:val="00AB2AF1"/>
    <w:rsid w:val="00AC1083"/>
    <w:rsid w:val="00AD306C"/>
    <w:rsid w:val="00AE03C0"/>
    <w:rsid w:val="00AE09B3"/>
    <w:rsid w:val="00AE0AB8"/>
    <w:rsid w:val="00AE1A83"/>
    <w:rsid w:val="00AE4093"/>
    <w:rsid w:val="00AF107E"/>
    <w:rsid w:val="00AF2218"/>
    <w:rsid w:val="00B00913"/>
    <w:rsid w:val="00B01593"/>
    <w:rsid w:val="00B03A98"/>
    <w:rsid w:val="00B10A4D"/>
    <w:rsid w:val="00B17E71"/>
    <w:rsid w:val="00B17FDE"/>
    <w:rsid w:val="00B21224"/>
    <w:rsid w:val="00B2379C"/>
    <w:rsid w:val="00B26594"/>
    <w:rsid w:val="00B2687D"/>
    <w:rsid w:val="00B32DDB"/>
    <w:rsid w:val="00B34528"/>
    <w:rsid w:val="00B402FC"/>
    <w:rsid w:val="00B46604"/>
    <w:rsid w:val="00B55F5E"/>
    <w:rsid w:val="00B5752E"/>
    <w:rsid w:val="00B6362E"/>
    <w:rsid w:val="00B63A11"/>
    <w:rsid w:val="00B64C24"/>
    <w:rsid w:val="00B6608F"/>
    <w:rsid w:val="00B679FB"/>
    <w:rsid w:val="00B76D1E"/>
    <w:rsid w:val="00B80EC6"/>
    <w:rsid w:val="00B813D5"/>
    <w:rsid w:val="00B85736"/>
    <w:rsid w:val="00B92D1D"/>
    <w:rsid w:val="00B938C5"/>
    <w:rsid w:val="00B95940"/>
    <w:rsid w:val="00B974F9"/>
    <w:rsid w:val="00BA39DB"/>
    <w:rsid w:val="00BA547F"/>
    <w:rsid w:val="00BB2376"/>
    <w:rsid w:val="00BB46F3"/>
    <w:rsid w:val="00BB4CB1"/>
    <w:rsid w:val="00BB4F98"/>
    <w:rsid w:val="00BC4555"/>
    <w:rsid w:val="00BC7154"/>
    <w:rsid w:val="00BD366B"/>
    <w:rsid w:val="00BD6D50"/>
    <w:rsid w:val="00BE18B9"/>
    <w:rsid w:val="00BE2495"/>
    <w:rsid w:val="00BE3108"/>
    <w:rsid w:val="00BF1578"/>
    <w:rsid w:val="00C0258A"/>
    <w:rsid w:val="00C02F3F"/>
    <w:rsid w:val="00C040D5"/>
    <w:rsid w:val="00C21F94"/>
    <w:rsid w:val="00C27913"/>
    <w:rsid w:val="00C33B68"/>
    <w:rsid w:val="00C34A33"/>
    <w:rsid w:val="00C36A79"/>
    <w:rsid w:val="00C37FA8"/>
    <w:rsid w:val="00C405D4"/>
    <w:rsid w:val="00C446ED"/>
    <w:rsid w:val="00C4513B"/>
    <w:rsid w:val="00C47C59"/>
    <w:rsid w:val="00C54697"/>
    <w:rsid w:val="00C5513A"/>
    <w:rsid w:val="00C6752D"/>
    <w:rsid w:val="00C73885"/>
    <w:rsid w:val="00C747B1"/>
    <w:rsid w:val="00C82191"/>
    <w:rsid w:val="00C8621D"/>
    <w:rsid w:val="00C90CF4"/>
    <w:rsid w:val="00C92EB6"/>
    <w:rsid w:val="00C93389"/>
    <w:rsid w:val="00C96CCE"/>
    <w:rsid w:val="00CB2C9B"/>
    <w:rsid w:val="00CB4930"/>
    <w:rsid w:val="00CB733E"/>
    <w:rsid w:val="00CC2E7D"/>
    <w:rsid w:val="00CC4F13"/>
    <w:rsid w:val="00CD10A5"/>
    <w:rsid w:val="00CD2076"/>
    <w:rsid w:val="00CE670B"/>
    <w:rsid w:val="00CF27CE"/>
    <w:rsid w:val="00CF3F68"/>
    <w:rsid w:val="00CF51EC"/>
    <w:rsid w:val="00CF73AE"/>
    <w:rsid w:val="00CF7FF0"/>
    <w:rsid w:val="00D040DD"/>
    <w:rsid w:val="00D13986"/>
    <w:rsid w:val="00D22220"/>
    <w:rsid w:val="00D25F28"/>
    <w:rsid w:val="00D27973"/>
    <w:rsid w:val="00D37068"/>
    <w:rsid w:val="00D50F46"/>
    <w:rsid w:val="00D5767C"/>
    <w:rsid w:val="00D66223"/>
    <w:rsid w:val="00D703F1"/>
    <w:rsid w:val="00D8084C"/>
    <w:rsid w:val="00D91F45"/>
    <w:rsid w:val="00DA7C0C"/>
    <w:rsid w:val="00DB1754"/>
    <w:rsid w:val="00DB2EC8"/>
    <w:rsid w:val="00DB5695"/>
    <w:rsid w:val="00DC5B3B"/>
    <w:rsid w:val="00DC75CB"/>
    <w:rsid w:val="00DD129F"/>
    <w:rsid w:val="00DD1FAB"/>
    <w:rsid w:val="00DD685B"/>
    <w:rsid w:val="00DE59A3"/>
    <w:rsid w:val="00DE6C8F"/>
    <w:rsid w:val="00DF42FF"/>
    <w:rsid w:val="00DF5A03"/>
    <w:rsid w:val="00E01C0E"/>
    <w:rsid w:val="00E037DD"/>
    <w:rsid w:val="00E03F9A"/>
    <w:rsid w:val="00E04694"/>
    <w:rsid w:val="00E06437"/>
    <w:rsid w:val="00E12B1E"/>
    <w:rsid w:val="00E17262"/>
    <w:rsid w:val="00E253A2"/>
    <w:rsid w:val="00E3309D"/>
    <w:rsid w:val="00E50156"/>
    <w:rsid w:val="00E53470"/>
    <w:rsid w:val="00E539F6"/>
    <w:rsid w:val="00E53C6B"/>
    <w:rsid w:val="00E6519D"/>
    <w:rsid w:val="00E67696"/>
    <w:rsid w:val="00E71A58"/>
    <w:rsid w:val="00E72A7A"/>
    <w:rsid w:val="00E75C94"/>
    <w:rsid w:val="00E91390"/>
    <w:rsid w:val="00E93820"/>
    <w:rsid w:val="00E96E34"/>
    <w:rsid w:val="00E979DB"/>
    <w:rsid w:val="00EA0C68"/>
    <w:rsid w:val="00EC03D7"/>
    <w:rsid w:val="00EC4A31"/>
    <w:rsid w:val="00ED2F1C"/>
    <w:rsid w:val="00ED62C6"/>
    <w:rsid w:val="00ED64C1"/>
    <w:rsid w:val="00ED675E"/>
    <w:rsid w:val="00EE3446"/>
    <w:rsid w:val="00EE3E78"/>
    <w:rsid w:val="00EE4B1B"/>
    <w:rsid w:val="00EF150D"/>
    <w:rsid w:val="00EF1F5A"/>
    <w:rsid w:val="00F04811"/>
    <w:rsid w:val="00F0488C"/>
    <w:rsid w:val="00F0585C"/>
    <w:rsid w:val="00F107AB"/>
    <w:rsid w:val="00F11F46"/>
    <w:rsid w:val="00F15AAA"/>
    <w:rsid w:val="00F15BEF"/>
    <w:rsid w:val="00F1639F"/>
    <w:rsid w:val="00F16F13"/>
    <w:rsid w:val="00F24407"/>
    <w:rsid w:val="00F24D23"/>
    <w:rsid w:val="00F24FAA"/>
    <w:rsid w:val="00F3364D"/>
    <w:rsid w:val="00F414EE"/>
    <w:rsid w:val="00F42A72"/>
    <w:rsid w:val="00F437CC"/>
    <w:rsid w:val="00F47067"/>
    <w:rsid w:val="00F50974"/>
    <w:rsid w:val="00F510D8"/>
    <w:rsid w:val="00F525EB"/>
    <w:rsid w:val="00F63DDE"/>
    <w:rsid w:val="00F63FB7"/>
    <w:rsid w:val="00F649D2"/>
    <w:rsid w:val="00F64C66"/>
    <w:rsid w:val="00F6602B"/>
    <w:rsid w:val="00F66749"/>
    <w:rsid w:val="00F72E60"/>
    <w:rsid w:val="00F73A0C"/>
    <w:rsid w:val="00F756DB"/>
    <w:rsid w:val="00F85066"/>
    <w:rsid w:val="00FA03C7"/>
    <w:rsid w:val="00FA262A"/>
    <w:rsid w:val="00FA5D4D"/>
    <w:rsid w:val="00FA72B8"/>
    <w:rsid w:val="00FC0E5F"/>
    <w:rsid w:val="00FC1A95"/>
    <w:rsid w:val="00FC405A"/>
    <w:rsid w:val="00FC56DE"/>
    <w:rsid w:val="00FC684B"/>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5171ECC"/>
  <w15:docId w15:val="{44D6AB15-0DF2-443C-A61D-6B12EA0E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rPr>
  </w:style>
  <w:style w:type="paragraph" w:customStyle="1" w:styleId="Box2">
    <w:name w:val="Box 2"/>
    <w:qFormat/>
    <w:rsid w:val="00F0585C"/>
    <w:pPr>
      <w:spacing w:before="240" w:after="240" w:line="288" w:lineRule="auto"/>
      <w:ind w:left="709"/>
      <w:contextualSpacing/>
    </w:pPr>
    <w:rPr>
      <w:rFonts w:ascii="Arial" w:hAnsi="Arial" w:cs="Arial"/>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uiPriority w:val="11"/>
    <w:qFormat/>
    <w:rsid w:val="0012192F"/>
    <w:pPr>
      <w:spacing w:line="288" w:lineRule="auto"/>
    </w:pPr>
    <w:rPr>
      <w:rFonts w:ascii="Arial" w:eastAsia="Times New Roman" w:hAnsi="Arial" w:cs="Arial"/>
      <w:b/>
      <w:sz w:val="28"/>
      <w:szCs w:val="24"/>
    </w:rPr>
  </w:style>
  <w:style w:type="character" w:customStyle="1" w:styleId="PodnadpisChar">
    <w:name w:val="Podnadpis Char"/>
    <w:link w:val="Podnadpis"/>
    <w:uiPriority w:val="11"/>
    <w:rsid w:val="0012192F"/>
    <w:rPr>
      <w:rFonts w:ascii="Arial" w:eastAsia="Times New Roman" w:hAnsi="Arial" w:cs="Arial"/>
      <w:b/>
      <w:sz w:val="28"/>
      <w:szCs w:val="24"/>
    </w:rPr>
  </w:style>
  <w:style w:type="paragraph" w:customStyle="1" w:styleId="TL-identifikace-sted">
    <w:name w:val="TL - identifikace - střed"/>
    <w:basedOn w:val="Normln"/>
    <w:link w:val="TL-identifikace-stedChar"/>
    <w:qFormat/>
    <w:rsid w:val="00C8621D"/>
    <w:pPr>
      <w:spacing w:after="200"/>
    </w:pPr>
    <w:rPr>
      <w:sz w:val="24"/>
    </w:rPr>
  </w:style>
  <w:style w:type="character" w:customStyle="1" w:styleId="TL-identifikace-stedChar">
    <w:name w:val="TL - identifikace - střed Char"/>
    <w:link w:val="TL-identifikace-sted"/>
    <w:rsid w:val="00C8621D"/>
    <w:rPr>
      <w:rFonts w:ascii="Arial" w:eastAsia="Times New Roman" w:hAnsi="Arial"/>
      <w:sz w:val="24"/>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Identifikace-dole">
    <w:name w:val="TL - Identifikace - dole"/>
    <w:basedOn w:val="Normln"/>
    <w:link w:val="TL-Identifikace-doleChar"/>
    <w:qFormat/>
    <w:rsid w:val="00C8621D"/>
    <w:pPr>
      <w:spacing w:after="200"/>
    </w:pPr>
    <w:rPr>
      <w:szCs w:val="20"/>
      <w:lang w:eastAsia="ar-SA"/>
    </w:rPr>
  </w:style>
  <w:style w:type="character" w:customStyle="1" w:styleId="TL-Identifikace-doleChar">
    <w:name w:val="TL - Identifikace - dole Char"/>
    <w:link w:val="TL-Identifikace-dole"/>
    <w:rsid w:val="00C8621D"/>
    <w:rPr>
      <w:rFonts w:ascii="Arial" w:eastAsia="Times New Roman" w:hAnsi="Arial"/>
      <w:lang w:eastAsia="ar-SA"/>
    </w:rPr>
  </w:style>
  <w:style w:type="paragraph" w:styleId="Rejstk4">
    <w:name w:val="index 4"/>
    <w:basedOn w:val="Normln"/>
    <w:next w:val="Normln"/>
    <w:autoRedefine/>
    <w:semiHidden/>
    <w:rsid w:val="00AC1083"/>
    <w:pPr>
      <w:spacing w:after="0" w:line="240" w:lineRule="auto"/>
      <w:ind w:left="800" w:hanging="200"/>
      <w:jc w:val="both"/>
    </w:pPr>
  </w:style>
  <w:style w:type="paragraph" w:styleId="Zkladntext2">
    <w:name w:val="Body Text 2"/>
    <w:basedOn w:val="Normln"/>
    <w:link w:val="Zkladntext2Char"/>
    <w:semiHidden/>
    <w:rsid w:val="00213C0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pPr>
    <w:rPr>
      <w:rFonts w:cs="Arial"/>
      <w:szCs w:val="20"/>
    </w:rPr>
  </w:style>
  <w:style w:type="character" w:customStyle="1" w:styleId="Zkladntext2Char">
    <w:name w:val="Základní text 2 Char"/>
    <w:link w:val="Zkladntext2"/>
    <w:semiHidden/>
    <w:rsid w:val="00213C0A"/>
    <w:rPr>
      <w:rFonts w:ascii="Arial" w:eastAsia="Times New Roman" w:hAnsi="Arial" w:cs="Arial"/>
    </w:rPr>
  </w:style>
  <w:style w:type="paragraph" w:styleId="Zkladntextodsazen">
    <w:name w:val="Body Text Indent"/>
    <w:basedOn w:val="Normln"/>
    <w:link w:val="ZkladntextodsazenChar"/>
    <w:uiPriority w:val="99"/>
    <w:unhideWhenUsed/>
    <w:rsid w:val="00284876"/>
    <w:pPr>
      <w:spacing w:after="120"/>
      <w:ind w:left="283"/>
    </w:pPr>
  </w:style>
  <w:style w:type="character" w:customStyle="1" w:styleId="ZkladntextodsazenChar">
    <w:name w:val="Základní text odsazený Char"/>
    <w:link w:val="Zkladntextodsazen"/>
    <w:uiPriority w:val="99"/>
    <w:rsid w:val="00284876"/>
    <w:rPr>
      <w:rFonts w:ascii="Arial" w:eastAsia="Times New Roman" w:hAnsi="Arial"/>
      <w:szCs w:val="24"/>
    </w:rPr>
  </w:style>
  <w:style w:type="paragraph" w:styleId="Zkladntext">
    <w:name w:val="Body Text"/>
    <w:basedOn w:val="Normln"/>
    <w:link w:val="ZkladntextChar"/>
    <w:uiPriority w:val="99"/>
    <w:semiHidden/>
    <w:unhideWhenUsed/>
    <w:rsid w:val="00270A33"/>
    <w:pPr>
      <w:spacing w:after="120"/>
    </w:pPr>
  </w:style>
  <w:style w:type="character" w:customStyle="1" w:styleId="ZkladntextChar">
    <w:name w:val="Základní text Char"/>
    <w:link w:val="Zkladntext"/>
    <w:uiPriority w:val="99"/>
    <w:semiHidden/>
    <w:rsid w:val="00270A33"/>
    <w:rPr>
      <w:rFonts w:ascii="Arial" w:eastAsia="Times New Roman" w:hAnsi="Arial"/>
      <w:szCs w:val="24"/>
    </w:rPr>
  </w:style>
  <w:style w:type="character" w:styleId="Zstupntext">
    <w:name w:val="Placeholder Text"/>
    <w:basedOn w:val="Standardnpsmoodstavce"/>
    <w:uiPriority w:val="99"/>
    <w:unhideWhenUsed/>
    <w:rsid w:val="00C37FA8"/>
    <w:rPr>
      <w:color w:val="808080"/>
    </w:rPr>
  </w:style>
  <w:style w:type="paragraph" w:styleId="Zkladntextodsazen2">
    <w:name w:val="Body Text Indent 2"/>
    <w:basedOn w:val="Normln"/>
    <w:link w:val="Zkladntextodsazen2Char"/>
    <w:uiPriority w:val="99"/>
    <w:semiHidden/>
    <w:unhideWhenUsed/>
    <w:rsid w:val="002E739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E739C"/>
    <w:rPr>
      <w:rFonts w:ascii="Arial" w:eastAsia="Times New Roman" w:hAnsi="Arial"/>
      <w:szCs w:val="24"/>
    </w:rPr>
  </w:style>
  <w:style w:type="character" w:styleId="Odkaznakoment">
    <w:name w:val="annotation reference"/>
    <w:basedOn w:val="Standardnpsmoodstavce"/>
    <w:uiPriority w:val="99"/>
    <w:semiHidden/>
    <w:unhideWhenUsed/>
    <w:rsid w:val="007B27A9"/>
    <w:rPr>
      <w:sz w:val="16"/>
      <w:szCs w:val="16"/>
    </w:rPr>
  </w:style>
  <w:style w:type="paragraph" w:styleId="Textkomente">
    <w:name w:val="annotation text"/>
    <w:basedOn w:val="Normln"/>
    <w:link w:val="TextkomenteChar"/>
    <w:uiPriority w:val="99"/>
    <w:semiHidden/>
    <w:unhideWhenUsed/>
    <w:rsid w:val="007B27A9"/>
    <w:pPr>
      <w:spacing w:line="240" w:lineRule="auto"/>
    </w:pPr>
    <w:rPr>
      <w:szCs w:val="20"/>
    </w:rPr>
  </w:style>
  <w:style w:type="character" w:customStyle="1" w:styleId="TextkomenteChar">
    <w:name w:val="Text komentáře Char"/>
    <w:basedOn w:val="Standardnpsmoodstavce"/>
    <w:link w:val="Textkomente"/>
    <w:uiPriority w:val="99"/>
    <w:semiHidden/>
    <w:rsid w:val="007B27A9"/>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7B27A9"/>
    <w:rPr>
      <w:b/>
      <w:bCs/>
    </w:rPr>
  </w:style>
  <w:style w:type="character" w:customStyle="1" w:styleId="PedmtkomenteChar">
    <w:name w:val="Předmět komentáře Char"/>
    <w:basedOn w:val="TextkomenteChar"/>
    <w:link w:val="Pedmtkomente"/>
    <w:uiPriority w:val="99"/>
    <w:semiHidden/>
    <w:rsid w:val="007B27A9"/>
    <w:rPr>
      <w:rFonts w:ascii="Arial" w:eastAsia="Times New Roman" w:hAnsi="Arial"/>
      <w:b/>
      <w:bCs/>
    </w:rPr>
  </w:style>
  <w:style w:type="paragraph" w:styleId="Textpoznpodarou">
    <w:name w:val="footnote text"/>
    <w:basedOn w:val="Normln"/>
    <w:link w:val="TextpoznpodarouChar"/>
    <w:uiPriority w:val="99"/>
    <w:semiHidden/>
    <w:unhideWhenUsed/>
    <w:rsid w:val="00260F3F"/>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260F3F"/>
    <w:rPr>
      <w:rFonts w:ascii="Arial" w:eastAsia="Times New Roman" w:hAnsi="Arial"/>
    </w:rPr>
  </w:style>
  <w:style w:type="character" w:styleId="Znakapoznpodarou">
    <w:name w:val="footnote reference"/>
    <w:basedOn w:val="Standardnpsmoodstavce"/>
    <w:uiPriority w:val="99"/>
    <w:semiHidden/>
    <w:unhideWhenUsed/>
    <w:rsid w:val="00260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6\publikace%20&#269;ernob&#237;l&#225;%20dvoujazy&#269;n&#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5824A-0367-4A52-AACC-FF2795B02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dvoujazyčná.dot</Template>
  <TotalTime>123</TotalTime>
  <Pages>1</Pages>
  <Words>488</Words>
  <Characters>2883</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ČSÚ</dc:creator>
  <cp:lastModifiedBy>Bílík Jan</cp:lastModifiedBy>
  <cp:revision>11</cp:revision>
  <cp:lastPrinted>2018-05-11T09:05:00Z</cp:lastPrinted>
  <dcterms:created xsi:type="dcterms:W3CDTF">2022-01-04T12:20:00Z</dcterms:created>
  <dcterms:modified xsi:type="dcterms:W3CDTF">2023-01-03T10:33:00Z</dcterms:modified>
</cp:coreProperties>
</file>