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D6F" w:rsidRPr="00EB4C36" w:rsidRDefault="00A416FB" w:rsidP="00DF524C">
      <w:pPr>
        <w:pStyle w:val="Nadpis3"/>
        <w:spacing w:before="0" w:after="0" w:line="276" w:lineRule="auto"/>
        <w:jc w:val="center"/>
        <w:rPr>
          <w:sz w:val="28"/>
          <w:lang w:val="en-GB"/>
        </w:rPr>
      </w:pPr>
      <w:r>
        <w:rPr>
          <w:sz w:val="28"/>
          <w:lang w:val="en-GB"/>
        </w:rPr>
        <w:t>Commentary</w:t>
      </w:r>
    </w:p>
    <w:p w:rsidR="006353B7" w:rsidRPr="00EB4C36" w:rsidRDefault="006353B7" w:rsidP="00DF524C">
      <w:pPr>
        <w:pStyle w:val="Zkladntext"/>
        <w:spacing w:line="276" w:lineRule="auto"/>
        <w:rPr>
          <w:lang w:val="en-GB"/>
        </w:rPr>
      </w:pPr>
    </w:p>
    <w:p w:rsidR="00A416FB" w:rsidRPr="00A416FB" w:rsidRDefault="00605360" w:rsidP="00DF524C">
      <w:pPr>
        <w:pStyle w:val="Zkladntext"/>
        <w:spacing w:line="276" w:lineRule="auto"/>
        <w:rPr>
          <w:lang w:val="en-GB"/>
        </w:rPr>
      </w:pPr>
      <w:r w:rsidRPr="00B83DC9">
        <w:rPr>
          <w:lang w:val="en-GB"/>
        </w:rPr>
        <w:t>The Vineyard</w:t>
      </w:r>
      <w:r w:rsidR="00376581" w:rsidRPr="00B83DC9">
        <w:rPr>
          <w:lang w:val="en-GB"/>
        </w:rPr>
        <w:t>s</w:t>
      </w:r>
      <w:r w:rsidRPr="00B83DC9">
        <w:rPr>
          <w:lang w:val="en-GB"/>
        </w:rPr>
        <w:t xml:space="preserve"> </w:t>
      </w:r>
      <w:r w:rsidR="00376581" w:rsidRPr="00B83DC9">
        <w:rPr>
          <w:lang w:val="en-GB"/>
        </w:rPr>
        <w:t>2015 s</w:t>
      </w:r>
      <w:r w:rsidRPr="00B83DC9">
        <w:rPr>
          <w:lang w:val="en-GB"/>
        </w:rPr>
        <w:t xml:space="preserve">tructure </w:t>
      </w:r>
      <w:r w:rsidR="00376581" w:rsidRPr="00B83DC9">
        <w:rPr>
          <w:lang w:val="en-GB"/>
        </w:rPr>
        <w:t>s</w:t>
      </w:r>
      <w:r w:rsidRPr="00B83DC9">
        <w:rPr>
          <w:lang w:val="en-GB"/>
        </w:rPr>
        <w:t xml:space="preserve">urvey </w:t>
      </w:r>
      <w:r w:rsidR="00A416FB" w:rsidRPr="00B83DC9">
        <w:rPr>
          <w:lang w:val="en-GB"/>
        </w:rPr>
        <w:t>involves 18 2</w:t>
      </w:r>
      <w:r w:rsidR="00793BDB" w:rsidRPr="00B83DC9">
        <w:rPr>
          <w:lang w:val="en-GB"/>
        </w:rPr>
        <w:t>1</w:t>
      </w:r>
      <w:r w:rsidR="00A416FB" w:rsidRPr="00B83DC9">
        <w:rPr>
          <w:lang w:val="en-GB"/>
        </w:rPr>
        <w:t>6 vine growers registered in the Vineyard Register as at</w:t>
      </w:r>
      <w:r w:rsidR="00A416FB">
        <w:rPr>
          <w:lang w:val="en-GB"/>
        </w:rPr>
        <w:t xml:space="preserve"> 30 July 2015. They utilised 17 688.59</w:t>
      </w:r>
      <w:r w:rsidR="0020357C">
        <w:rPr>
          <w:lang w:val="en-GB"/>
        </w:rPr>
        <w:t xml:space="preserve"> </w:t>
      </w:r>
      <w:r w:rsidR="00A416FB">
        <w:rPr>
          <w:lang w:val="en-GB"/>
        </w:rPr>
        <w:t>ha of vineyards. The average vineyard area per one grower was 0.97 ha.</w:t>
      </w:r>
    </w:p>
    <w:p w:rsidR="00164DA4" w:rsidRDefault="00164DA4" w:rsidP="00DF524C">
      <w:pPr>
        <w:pStyle w:val="Zkladntext"/>
        <w:spacing w:line="276" w:lineRule="auto"/>
        <w:rPr>
          <w:highlight w:val="lightGray"/>
          <w:lang w:val="en-GB"/>
        </w:rPr>
      </w:pPr>
    </w:p>
    <w:p w:rsidR="00A416FB" w:rsidRPr="00A416FB" w:rsidRDefault="00A416FB" w:rsidP="00DF524C">
      <w:pPr>
        <w:pStyle w:val="Zkladntext"/>
        <w:spacing w:line="276" w:lineRule="auto"/>
        <w:rPr>
          <w:lang w:val="en-GB"/>
        </w:rPr>
      </w:pPr>
      <w:r w:rsidRPr="00A416FB">
        <w:rPr>
          <w:lang w:val="en-GB"/>
        </w:rPr>
        <w:t xml:space="preserve">The vast majority of </w:t>
      </w:r>
      <w:r>
        <w:rPr>
          <w:lang w:val="en-GB"/>
        </w:rPr>
        <w:t>the vine growers in the Czech Republic were natural persons (17</w:t>
      </w:r>
      <w:r w:rsidR="0020357C">
        <w:rPr>
          <w:lang w:val="en-GB"/>
        </w:rPr>
        <w:t> </w:t>
      </w:r>
      <w:r>
        <w:rPr>
          <w:lang w:val="en-GB"/>
        </w:rPr>
        <w:t>895</w:t>
      </w:r>
      <w:r w:rsidR="0020357C">
        <w:rPr>
          <w:lang w:val="en-GB"/>
        </w:rPr>
        <w:t xml:space="preserve"> </w:t>
      </w:r>
      <w:r>
        <w:rPr>
          <w:lang w:val="en-GB"/>
        </w:rPr>
        <w:t>vine growers; 98.2% of the subjects). They cultivated 7 840.09 ha of vineyards (44.3%) and their average vineyard area was 0.44</w:t>
      </w:r>
      <w:r w:rsidR="0020357C">
        <w:rPr>
          <w:lang w:val="en-GB"/>
        </w:rPr>
        <w:t xml:space="preserve"> </w:t>
      </w:r>
      <w:r>
        <w:rPr>
          <w:lang w:val="en-GB"/>
        </w:rPr>
        <w:t xml:space="preserve">ha. There were only 321 legal persons, </w:t>
      </w:r>
      <w:r w:rsidR="00183CB5">
        <w:rPr>
          <w:lang w:val="en-GB"/>
        </w:rPr>
        <w:t xml:space="preserve">i.e. </w:t>
      </w:r>
      <w:r>
        <w:rPr>
          <w:lang w:val="en-GB"/>
        </w:rPr>
        <w:t xml:space="preserve">1.8% out of the total number of vine growers; </w:t>
      </w:r>
      <w:r w:rsidR="0020357C">
        <w:rPr>
          <w:lang w:val="en-GB"/>
        </w:rPr>
        <w:t>however</w:t>
      </w:r>
      <w:r>
        <w:rPr>
          <w:lang w:val="en-GB"/>
        </w:rPr>
        <w:t xml:space="preserve">, they utilised more than a half of the total vineyard area </w:t>
      </w:r>
      <w:r w:rsidRPr="00A416FB">
        <w:rPr>
          <w:lang w:val="en-GB"/>
        </w:rPr>
        <w:t>(9 848.50</w:t>
      </w:r>
      <w:r w:rsidR="0020357C">
        <w:rPr>
          <w:lang w:val="en-GB"/>
        </w:rPr>
        <w:t xml:space="preserve"> </w:t>
      </w:r>
      <w:r w:rsidRPr="00A416FB">
        <w:rPr>
          <w:lang w:val="en-GB"/>
        </w:rPr>
        <w:t>ha; 55.7%).</w:t>
      </w:r>
      <w:r>
        <w:rPr>
          <w:lang w:val="en-GB"/>
        </w:rPr>
        <w:t xml:space="preserve"> The average vineyard area of a legal person – 30.68</w:t>
      </w:r>
      <w:r w:rsidR="0020357C">
        <w:rPr>
          <w:lang w:val="en-GB"/>
        </w:rPr>
        <w:t xml:space="preserve"> </w:t>
      </w:r>
      <w:r>
        <w:rPr>
          <w:lang w:val="en-GB"/>
        </w:rPr>
        <w:t xml:space="preserve">ha – was distinctly higher </w:t>
      </w:r>
      <w:r w:rsidR="0020357C">
        <w:rPr>
          <w:lang w:val="en-GB"/>
        </w:rPr>
        <w:t xml:space="preserve">in comparison with the average for a natural person. </w:t>
      </w:r>
    </w:p>
    <w:p w:rsidR="00C62E41" w:rsidRDefault="00C62E41" w:rsidP="00DF524C">
      <w:pPr>
        <w:pStyle w:val="Zkladntext"/>
        <w:spacing w:line="276" w:lineRule="auto"/>
        <w:rPr>
          <w:highlight w:val="lightGray"/>
          <w:lang w:val="en-GB"/>
        </w:rPr>
      </w:pPr>
    </w:p>
    <w:p w:rsidR="0020357C" w:rsidRDefault="0020357C" w:rsidP="00DF524C">
      <w:pPr>
        <w:pStyle w:val="Zkladntext"/>
        <w:spacing w:line="276" w:lineRule="auto"/>
        <w:rPr>
          <w:lang w:val="en-GB"/>
        </w:rPr>
      </w:pPr>
      <w:r w:rsidRPr="0020357C">
        <w:rPr>
          <w:lang w:val="en-GB"/>
        </w:rPr>
        <w:t xml:space="preserve">Small vine growers </w:t>
      </w:r>
      <w:r w:rsidR="00936055">
        <w:rPr>
          <w:lang w:val="en-GB"/>
        </w:rPr>
        <w:t>with their vineyard area up to 1 ha</w:t>
      </w:r>
      <w:r w:rsidR="00936055" w:rsidRPr="0020357C">
        <w:rPr>
          <w:lang w:val="en-GB"/>
        </w:rPr>
        <w:t xml:space="preserve"> </w:t>
      </w:r>
      <w:r w:rsidRPr="0020357C">
        <w:rPr>
          <w:lang w:val="en-GB"/>
        </w:rPr>
        <w:t>prevailed in the Czech Republic (17 023 holdings; 93.5%)</w:t>
      </w:r>
      <w:r>
        <w:rPr>
          <w:lang w:val="en-GB"/>
        </w:rPr>
        <w:t xml:space="preserve">. These growers with their average vineyard area </w:t>
      </w:r>
      <w:r w:rsidR="002F6D5E">
        <w:rPr>
          <w:lang w:val="en-GB"/>
        </w:rPr>
        <w:t xml:space="preserve">of </w:t>
      </w:r>
      <w:r>
        <w:rPr>
          <w:lang w:val="en-GB"/>
        </w:rPr>
        <w:t xml:space="preserve">0.15 ha utilised </w:t>
      </w:r>
      <w:r w:rsidRPr="0020357C">
        <w:rPr>
          <w:lang w:val="en-GB"/>
        </w:rPr>
        <w:t>2 629.03 ha</w:t>
      </w:r>
      <w:r>
        <w:rPr>
          <w:lang w:val="en-GB"/>
        </w:rPr>
        <w:t xml:space="preserve">, i.e. 14.9% of the total vineyard area. The size class above 1 ha to 30 ha </w:t>
      </w:r>
      <w:r w:rsidRPr="0020357C">
        <w:rPr>
          <w:lang w:val="en-GB"/>
        </w:rPr>
        <w:t>involved 1 086 vine growers (6.0%)</w:t>
      </w:r>
      <w:r>
        <w:rPr>
          <w:lang w:val="en-GB"/>
        </w:rPr>
        <w:t xml:space="preserve"> having almost </w:t>
      </w:r>
      <w:proofErr w:type="gramStart"/>
      <w:r>
        <w:rPr>
          <w:lang w:val="en-GB"/>
        </w:rPr>
        <w:t>one</w:t>
      </w:r>
      <w:proofErr w:type="gramEnd"/>
      <w:r>
        <w:rPr>
          <w:lang w:val="en-GB"/>
        </w:rPr>
        <w:t xml:space="preserve"> third of the vineyard area </w:t>
      </w:r>
      <w:r w:rsidRPr="0020357C">
        <w:rPr>
          <w:lang w:val="en-GB"/>
        </w:rPr>
        <w:t>(5 277.78 ha; 29.8%)</w:t>
      </w:r>
      <w:r>
        <w:rPr>
          <w:lang w:val="en-GB"/>
        </w:rPr>
        <w:t xml:space="preserve">; their average vineyard size was 4.86 ha. The largest vine growers </w:t>
      </w:r>
      <w:r w:rsidR="00624B88">
        <w:rPr>
          <w:lang w:val="en-GB"/>
        </w:rPr>
        <w:t>utilising vineyard area above 30 ha (</w:t>
      </w:r>
      <w:r w:rsidR="00624B88" w:rsidRPr="00624B88">
        <w:rPr>
          <w:lang w:val="en-GB"/>
        </w:rPr>
        <w:t>107 holdings; 0.6%)</w:t>
      </w:r>
      <w:r w:rsidR="00624B88">
        <w:rPr>
          <w:lang w:val="en-GB"/>
        </w:rPr>
        <w:t xml:space="preserve"> utilised more than a half of the </w:t>
      </w:r>
      <w:r w:rsidR="00B401FA">
        <w:rPr>
          <w:lang w:val="en-GB"/>
        </w:rPr>
        <w:t xml:space="preserve">total </w:t>
      </w:r>
      <w:r w:rsidR="00624B88">
        <w:rPr>
          <w:lang w:val="en-GB"/>
        </w:rPr>
        <w:t xml:space="preserve">vineyard area </w:t>
      </w:r>
      <w:r w:rsidR="00624B88" w:rsidRPr="00624B88">
        <w:rPr>
          <w:lang w:val="en-GB"/>
        </w:rPr>
        <w:t>(9 781.79 ha; 55.3%)</w:t>
      </w:r>
      <w:r w:rsidR="00624B88">
        <w:rPr>
          <w:lang w:val="en-GB"/>
        </w:rPr>
        <w:t xml:space="preserve"> with </w:t>
      </w:r>
      <w:r w:rsidR="00CC4AAF">
        <w:rPr>
          <w:lang w:val="en-GB"/>
        </w:rPr>
        <w:t xml:space="preserve">the </w:t>
      </w:r>
      <w:r w:rsidR="00624B88">
        <w:rPr>
          <w:lang w:val="en-GB"/>
        </w:rPr>
        <w:t xml:space="preserve">average area </w:t>
      </w:r>
      <w:r w:rsidR="00936055">
        <w:rPr>
          <w:lang w:val="en-GB"/>
        </w:rPr>
        <w:t>reaching</w:t>
      </w:r>
      <w:r w:rsidR="00624B88">
        <w:rPr>
          <w:lang w:val="en-GB"/>
        </w:rPr>
        <w:t xml:space="preserve"> 91.42 ha</w:t>
      </w:r>
      <w:r w:rsidR="00947947">
        <w:rPr>
          <w:lang w:val="en-GB"/>
        </w:rPr>
        <w:t xml:space="preserve"> per holding</w:t>
      </w:r>
      <w:r w:rsidR="00624B88">
        <w:rPr>
          <w:lang w:val="en-GB"/>
        </w:rPr>
        <w:t>.</w:t>
      </w:r>
    </w:p>
    <w:p w:rsidR="0020357C" w:rsidRPr="0020357C" w:rsidRDefault="0020357C" w:rsidP="00DF524C">
      <w:pPr>
        <w:pStyle w:val="Zkladntext"/>
        <w:spacing w:line="276" w:lineRule="auto"/>
        <w:rPr>
          <w:lang w:val="en-GB"/>
        </w:rPr>
      </w:pPr>
    </w:p>
    <w:p w:rsidR="00D81C44" w:rsidRPr="00B401FA" w:rsidRDefault="00B401FA" w:rsidP="00DF524C">
      <w:pPr>
        <w:pStyle w:val="Zkladntext"/>
        <w:spacing w:line="276" w:lineRule="auto"/>
        <w:rPr>
          <w:lang w:val="en-GB"/>
        </w:rPr>
      </w:pPr>
      <w:r w:rsidRPr="00B401FA">
        <w:rPr>
          <w:lang w:val="en-GB"/>
        </w:rPr>
        <w:t xml:space="preserve">As for </w:t>
      </w:r>
      <w:r>
        <w:rPr>
          <w:lang w:val="en-GB"/>
        </w:rPr>
        <w:t xml:space="preserve">production type, </w:t>
      </w:r>
      <w:r>
        <w:rPr>
          <w:rFonts w:cs="Arial"/>
          <w:lang w:val="en-GB"/>
        </w:rPr>
        <w:t>vineyards</w:t>
      </w:r>
      <w:r w:rsidRPr="00E9788C">
        <w:rPr>
          <w:rFonts w:cs="Arial"/>
          <w:lang w:val="en-GB"/>
        </w:rPr>
        <w:t xml:space="preserve"> with wine grape varieties</w:t>
      </w:r>
      <w:r>
        <w:rPr>
          <w:rFonts w:cs="Arial"/>
          <w:lang w:val="en-GB"/>
        </w:rPr>
        <w:t xml:space="preserve"> </w:t>
      </w:r>
      <w:r w:rsidRPr="00E9788C">
        <w:rPr>
          <w:rFonts w:cs="Arial"/>
          <w:lang w:val="en-GB"/>
        </w:rPr>
        <w:t xml:space="preserve">suitable for the production of </w:t>
      </w:r>
      <w:r w:rsidRPr="00B401FA">
        <w:rPr>
          <w:rFonts w:cs="Arial"/>
          <w:lang w:val="en-GB"/>
        </w:rPr>
        <w:t xml:space="preserve">wines with protected designation of origin </w:t>
      </w:r>
      <w:r w:rsidRPr="00B401FA">
        <w:rPr>
          <w:lang w:val="en-GB"/>
        </w:rPr>
        <w:t>(</w:t>
      </w:r>
      <w:r w:rsidR="00F06B60">
        <w:rPr>
          <w:lang w:val="en-GB"/>
        </w:rPr>
        <w:t>PDO</w:t>
      </w:r>
      <w:r w:rsidR="00936055">
        <w:rPr>
          <w:lang w:val="en-GB"/>
        </w:rPr>
        <w:t>)</w:t>
      </w:r>
      <w:r w:rsidR="00F06B60">
        <w:rPr>
          <w:lang w:val="en-GB"/>
        </w:rPr>
        <w:t xml:space="preserve"> </w:t>
      </w:r>
      <w:r>
        <w:rPr>
          <w:lang w:val="en-GB"/>
        </w:rPr>
        <w:t>prevailed</w:t>
      </w:r>
      <w:r w:rsidR="002F6D5E">
        <w:rPr>
          <w:lang w:val="en-GB"/>
        </w:rPr>
        <w:t xml:space="preserve"> with </w:t>
      </w:r>
      <w:r w:rsidR="00936055" w:rsidRPr="00936055">
        <w:rPr>
          <w:lang w:val="en-GB"/>
        </w:rPr>
        <w:t>17 537.72 ha</w:t>
      </w:r>
      <w:r w:rsidR="002F6D5E">
        <w:rPr>
          <w:lang w:val="en-GB"/>
        </w:rPr>
        <w:t xml:space="preserve"> (</w:t>
      </w:r>
      <w:r w:rsidR="00936055" w:rsidRPr="00936055">
        <w:rPr>
          <w:lang w:val="en-GB"/>
        </w:rPr>
        <w:t>99.1% of the total vineyard area)</w:t>
      </w:r>
      <w:r w:rsidRPr="00B401FA">
        <w:rPr>
          <w:lang w:val="en-GB"/>
        </w:rPr>
        <w:t>.</w:t>
      </w:r>
      <w:r>
        <w:rPr>
          <w:lang w:val="en-GB"/>
        </w:rPr>
        <w:t xml:space="preserve"> Vineyards </w:t>
      </w:r>
      <w:r w:rsidR="002F6D5E">
        <w:rPr>
          <w:lang w:val="en-GB"/>
        </w:rPr>
        <w:t xml:space="preserve">with </w:t>
      </w:r>
      <w:r w:rsidRPr="00E9788C">
        <w:rPr>
          <w:rFonts w:cs="Arial"/>
          <w:lang w:val="en-GB"/>
        </w:rPr>
        <w:t>wine grape varieties</w:t>
      </w:r>
      <w:r>
        <w:rPr>
          <w:rFonts w:cs="Arial"/>
          <w:lang w:val="en-GB"/>
        </w:rPr>
        <w:t xml:space="preserve"> </w:t>
      </w:r>
      <w:r w:rsidRPr="00E9788C">
        <w:rPr>
          <w:rFonts w:cs="Arial"/>
          <w:lang w:val="en-GB"/>
        </w:rPr>
        <w:t>suitable for the production of wines</w:t>
      </w:r>
      <w:r>
        <w:rPr>
          <w:rFonts w:cs="Arial"/>
          <w:lang w:val="en-GB"/>
        </w:rPr>
        <w:t xml:space="preserve"> with </w:t>
      </w:r>
      <w:r w:rsidRPr="00E9788C">
        <w:rPr>
          <w:rFonts w:cs="Arial"/>
          <w:lang w:val="en-GB"/>
        </w:rPr>
        <w:t>protected geographical indication</w:t>
      </w:r>
      <w:r>
        <w:rPr>
          <w:rFonts w:cs="Arial"/>
          <w:lang w:val="en-GB"/>
        </w:rPr>
        <w:t xml:space="preserve"> </w:t>
      </w:r>
      <w:r w:rsidR="00F06B60">
        <w:rPr>
          <w:rFonts w:cs="Arial"/>
          <w:lang w:val="en-GB"/>
        </w:rPr>
        <w:t xml:space="preserve">(PGI) </w:t>
      </w:r>
      <w:r>
        <w:rPr>
          <w:rFonts w:cs="Arial"/>
          <w:lang w:val="en-GB"/>
        </w:rPr>
        <w:t xml:space="preserve">were planted on </w:t>
      </w:r>
      <w:r w:rsidRPr="00B401FA">
        <w:rPr>
          <w:lang w:val="en-GB"/>
        </w:rPr>
        <w:t>115.48 ha (0.7%)</w:t>
      </w:r>
      <w:r w:rsidR="00936055">
        <w:rPr>
          <w:lang w:val="en-GB"/>
        </w:rPr>
        <w:t>.</w:t>
      </w:r>
      <w:r>
        <w:rPr>
          <w:lang w:val="en-GB"/>
        </w:rPr>
        <w:t xml:space="preserve"> </w:t>
      </w:r>
      <w:r w:rsidR="00936055">
        <w:rPr>
          <w:lang w:val="en-GB"/>
        </w:rPr>
        <w:t>The total area of o</w:t>
      </w:r>
      <w:r>
        <w:rPr>
          <w:lang w:val="en-GB"/>
        </w:rPr>
        <w:t xml:space="preserve">ther vineyards, i.e. vineyards </w:t>
      </w:r>
      <w:r w:rsidRPr="00B401FA">
        <w:rPr>
          <w:lang w:val="en-GB"/>
        </w:rPr>
        <w:t>intended to produce vegetative propagation material</w:t>
      </w:r>
      <w:r w:rsidR="00936055">
        <w:rPr>
          <w:lang w:val="en-GB"/>
        </w:rPr>
        <w:t xml:space="preserve">, </w:t>
      </w:r>
      <w:r w:rsidR="00936055" w:rsidRPr="00936055">
        <w:rPr>
          <w:lang w:val="en-GB"/>
        </w:rPr>
        <w:t>breeding plots and gene pool</w:t>
      </w:r>
      <w:r>
        <w:rPr>
          <w:lang w:val="en-GB"/>
        </w:rPr>
        <w:t xml:space="preserve">, </w:t>
      </w:r>
      <w:r w:rsidR="00936055">
        <w:rPr>
          <w:lang w:val="en-GB"/>
        </w:rPr>
        <w:t>was</w:t>
      </w:r>
      <w:r>
        <w:rPr>
          <w:lang w:val="en-GB"/>
        </w:rPr>
        <w:t xml:space="preserve"> </w:t>
      </w:r>
      <w:r w:rsidRPr="00B401FA">
        <w:rPr>
          <w:lang w:val="en-GB"/>
        </w:rPr>
        <w:t>35.39 ha (0.2%).</w:t>
      </w:r>
    </w:p>
    <w:p w:rsidR="00811A30" w:rsidRDefault="00811A30" w:rsidP="00DF524C">
      <w:pPr>
        <w:spacing w:line="276" w:lineRule="auto"/>
        <w:rPr>
          <w:highlight w:val="lightGray"/>
          <w:lang w:val="en-GB"/>
        </w:rPr>
      </w:pPr>
    </w:p>
    <w:p w:rsidR="00B401FA" w:rsidRPr="00B401FA" w:rsidRDefault="00B401FA" w:rsidP="00DF524C">
      <w:pPr>
        <w:spacing w:line="276" w:lineRule="auto"/>
        <w:rPr>
          <w:rFonts w:cs="Arial"/>
          <w:lang w:val="en-GB"/>
        </w:rPr>
      </w:pPr>
      <w:r w:rsidRPr="00B401FA">
        <w:rPr>
          <w:lang w:val="en-GB"/>
        </w:rPr>
        <w:t xml:space="preserve">Vineyards in production covered </w:t>
      </w:r>
      <w:r w:rsidRPr="00B401FA">
        <w:rPr>
          <w:rFonts w:cs="Arial"/>
          <w:lang w:val="en-GB"/>
        </w:rPr>
        <w:t>16 469.93 ha</w:t>
      </w:r>
      <w:r>
        <w:rPr>
          <w:rFonts w:cs="Arial"/>
          <w:lang w:val="en-GB"/>
        </w:rPr>
        <w:t xml:space="preserve">; i.e. </w:t>
      </w:r>
      <w:r w:rsidR="00F108AA">
        <w:rPr>
          <w:rFonts w:cs="Arial"/>
          <w:lang w:val="en-GB"/>
        </w:rPr>
        <w:t xml:space="preserve">the vast majority (93.3%) of the total area of vineyards </w:t>
      </w:r>
      <w:r w:rsidR="00F108AA" w:rsidRPr="00E9788C">
        <w:rPr>
          <w:rFonts w:cs="Arial"/>
          <w:lang w:val="en-GB"/>
        </w:rPr>
        <w:t>with wine grape varieties</w:t>
      </w:r>
      <w:r w:rsidR="00F108AA">
        <w:rPr>
          <w:rFonts w:cs="Arial"/>
          <w:lang w:val="en-GB"/>
        </w:rPr>
        <w:t xml:space="preserve">. Vineyards not yet in production were planted on </w:t>
      </w:r>
      <w:r w:rsidR="00F108AA" w:rsidRPr="00F108AA">
        <w:rPr>
          <w:rFonts w:cs="Arial"/>
          <w:lang w:val="en-GB"/>
        </w:rPr>
        <w:t>1 183.28 ha</w:t>
      </w:r>
      <w:r w:rsidR="00F108AA">
        <w:rPr>
          <w:rFonts w:cs="Arial"/>
          <w:lang w:val="en-GB"/>
        </w:rPr>
        <w:t xml:space="preserve">; that was 6.7% of the total area of vineyards </w:t>
      </w:r>
      <w:r w:rsidR="00F108AA" w:rsidRPr="00E9788C">
        <w:rPr>
          <w:rFonts w:cs="Arial"/>
          <w:lang w:val="en-GB"/>
        </w:rPr>
        <w:t>with wine grape varieties</w:t>
      </w:r>
      <w:r w:rsidR="00F108AA">
        <w:rPr>
          <w:rFonts w:cs="Arial"/>
          <w:lang w:val="en-GB"/>
        </w:rPr>
        <w:t>.</w:t>
      </w:r>
    </w:p>
    <w:p w:rsidR="00F108AA" w:rsidRPr="004828D7" w:rsidRDefault="002F6D5E" w:rsidP="00DF524C">
      <w:pPr>
        <w:pStyle w:val="CM1"/>
        <w:spacing w:before="200" w:after="200" w:line="276" w:lineRule="auto"/>
        <w:jc w:val="both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 xml:space="preserve">Vine growers </w:t>
      </w:r>
      <w:r w:rsidRPr="002F6D5E">
        <w:rPr>
          <w:rFonts w:ascii="Arial" w:hAnsi="Arial" w:cs="Arial"/>
          <w:sz w:val="20"/>
          <w:lang w:val="en-GB"/>
        </w:rPr>
        <w:t xml:space="preserve">vineyards intended for production of wines with PDO </w:t>
      </w:r>
      <w:r>
        <w:rPr>
          <w:rFonts w:ascii="Arial" w:hAnsi="Arial" w:cs="Arial"/>
          <w:sz w:val="20"/>
          <w:lang w:val="en-GB"/>
        </w:rPr>
        <w:t xml:space="preserve">were the category of specialisation prevailing distinctly with </w:t>
      </w:r>
      <w:r w:rsidRPr="002F6D5E">
        <w:rPr>
          <w:rFonts w:ascii="Arial" w:hAnsi="Arial" w:cs="Arial"/>
          <w:sz w:val="20"/>
          <w:lang w:val="en-GB"/>
        </w:rPr>
        <w:t xml:space="preserve">17 123 holdings </w:t>
      </w:r>
      <w:r>
        <w:rPr>
          <w:rFonts w:ascii="Arial" w:hAnsi="Arial" w:cs="Arial"/>
          <w:sz w:val="20"/>
          <w:lang w:val="en-GB"/>
        </w:rPr>
        <w:t>(</w:t>
      </w:r>
      <w:r w:rsidRPr="002F6D5E">
        <w:rPr>
          <w:rFonts w:ascii="Arial" w:hAnsi="Arial" w:cs="Arial"/>
          <w:sz w:val="20"/>
          <w:lang w:val="en-GB"/>
        </w:rPr>
        <w:t>94.0%); they utilised 15 347.84 ha of vineyards (86.8% of the total vineyard area).</w:t>
      </w:r>
      <w:r>
        <w:rPr>
          <w:rFonts w:ascii="Arial" w:hAnsi="Arial" w:cs="Arial"/>
          <w:sz w:val="20"/>
          <w:lang w:val="en-GB"/>
        </w:rPr>
        <w:t xml:space="preserve"> </w:t>
      </w:r>
      <w:r w:rsidR="004828D7">
        <w:rPr>
          <w:rFonts w:ascii="Arial" w:hAnsi="Arial" w:cs="Arial"/>
          <w:sz w:val="20"/>
          <w:lang w:val="en-GB"/>
        </w:rPr>
        <w:t>V</w:t>
      </w:r>
      <w:r w:rsidR="004828D7" w:rsidRPr="004828D7">
        <w:rPr>
          <w:rFonts w:ascii="Arial" w:hAnsi="Arial" w:cs="Arial"/>
          <w:sz w:val="20"/>
          <w:lang w:val="en-GB"/>
        </w:rPr>
        <w:t>ineyards exclusively intended for production</w:t>
      </w:r>
      <w:r w:rsidR="004828D7">
        <w:rPr>
          <w:rFonts w:ascii="Arial" w:hAnsi="Arial" w:cs="Arial"/>
          <w:sz w:val="20"/>
          <w:lang w:val="en-GB"/>
        </w:rPr>
        <w:t xml:space="preserve"> of </w:t>
      </w:r>
      <w:r w:rsidR="004828D7" w:rsidRPr="004828D7">
        <w:rPr>
          <w:rFonts w:ascii="Arial" w:hAnsi="Arial" w:cs="Arial"/>
          <w:sz w:val="20"/>
          <w:lang w:val="en-GB"/>
        </w:rPr>
        <w:t>wine</w:t>
      </w:r>
      <w:r w:rsidR="004828D7">
        <w:rPr>
          <w:rFonts w:ascii="Arial" w:hAnsi="Arial" w:cs="Arial"/>
          <w:sz w:val="20"/>
          <w:lang w:val="en-GB"/>
        </w:rPr>
        <w:t>s</w:t>
      </w:r>
      <w:r w:rsidR="004828D7" w:rsidRPr="00B401FA">
        <w:rPr>
          <w:rFonts w:ascii="Arial" w:hAnsi="Arial" w:cs="Arial"/>
          <w:sz w:val="20"/>
          <w:lang w:val="en-GB"/>
        </w:rPr>
        <w:t xml:space="preserve"> with</w:t>
      </w:r>
      <w:r w:rsidR="004828D7" w:rsidRPr="004828D7">
        <w:rPr>
          <w:rFonts w:ascii="Arial" w:hAnsi="Arial" w:cs="Arial"/>
          <w:sz w:val="20"/>
          <w:lang w:val="en-GB"/>
        </w:rPr>
        <w:t xml:space="preserve"> </w:t>
      </w:r>
      <w:r w:rsidR="00F06B60">
        <w:rPr>
          <w:rFonts w:ascii="Arial" w:hAnsi="Arial" w:cs="Arial"/>
          <w:sz w:val="20"/>
          <w:lang w:val="en-GB"/>
        </w:rPr>
        <w:t>PGI</w:t>
      </w:r>
      <w:r w:rsidR="00B5034C">
        <w:rPr>
          <w:rFonts w:ascii="Arial" w:hAnsi="Arial" w:cs="Arial"/>
          <w:sz w:val="20"/>
          <w:lang w:val="en-GB"/>
        </w:rPr>
        <w:t xml:space="preserve"> </w:t>
      </w:r>
      <w:r w:rsidR="00F45FCB">
        <w:rPr>
          <w:rFonts w:ascii="Arial" w:hAnsi="Arial" w:cs="Arial"/>
          <w:sz w:val="20"/>
          <w:lang w:val="en-GB"/>
        </w:rPr>
        <w:t xml:space="preserve">were </w:t>
      </w:r>
      <w:r w:rsidR="00AA6A03">
        <w:rPr>
          <w:rFonts w:ascii="Arial" w:hAnsi="Arial" w:cs="Arial"/>
          <w:sz w:val="20"/>
          <w:lang w:val="en-GB"/>
        </w:rPr>
        <w:t>grown</w:t>
      </w:r>
      <w:r w:rsidR="00F45FCB">
        <w:rPr>
          <w:rFonts w:ascii="Arial" w:hAnsi="Arial" w:cs="Arial"/>
          <w:sz w:val="20"/>
          <w:lang w:val="en-GB"/>
        </w:rPr>
        <w:t xml:space="preserve"> by 778 vine growers (4.3%) with their area of 75.42 ha (0.4%). </w:t>
      </w:r>
      <w:r w:rsidR="009E15E4">
        <w:rPr>
          <w:rFonts w:ascii="Arial" w:hAnsi="Arial" w:cs="Arial"/>
          <w:sz w:val="20"/>
          <w:lang w:val="en-GB"/>
        </w:rPr>
        <w:t>V</w:t>
      </w:r>
      <w:r w:rsidR="00F45FCB">
        <w:rPr>
          <w:rFonts w:ascii="Arial" w:hAnsi="Arial" w:cs="Arial"/>
          <w:sz w:val="20"/>
          <w:lang w:val="en-GB"/>
        </w:rPr>
        <w:t xml:space="preserve">ineyards suitable </w:t>
      </w:r>
      <w:r w:rsidR="009E15E4" w:rsidRPr="009E15E4">
        <w:rPr>
          <w:rFonts w:ascii="Arial" w:hAnsi="Arial" w:cs="Arial"/>
          <w:sz w:val="20"/>
          <w:lang w:val="en-GB"/>
        </w:rPr>
        <w:t xml:space="preserve">exclusively </w:t>
      </w:r>
      <w:r w:rsidR="00F45FCB">
        <w:rPr>
          <w:rFonts w:ascii="Arial" w:hAnsi="Arial" w:cs="Arial"/>
          <w:sz w:val="20"/>
          <w:lang w:val="en-GB"/>
        </w:rPr>
        <w:t xml:space="preserve">for production of </w:t>
      </w:r>
      <w:r w:rsidR="00F45FCB" w:rsidRPr="004828D7">
        <w:rPr>
          <w:rFonts w:ascii="Arial" w:hAnsi="Arial" w:cs="Arial"/>
          <w:sz w:val="20"/>
          <w:lang w:val="en-GB"/>
        </w:rPr>
        <w:t>wine</w:t>
      </w:r>
      <w:r w:rsidR="00F45FCB">
        <w:rPr>
          <w:rFonts w:ascii="Arial" w:hAnsi="Arial" w:cs="Arial"/>
          <w:sz w:val="20"/>
          <w:lang w:val="en-GB"/>
        </w:rPr>
        <w:t>s</w:t>
      </w:r>
      <w:r w:rsidR="00F45FCB" w:rsidRPr="00B401FA">
        <w:rPr>
          <w:rFonts w:ascii="Arial" w:hAnsi="Arial" w:cs="Arial"/>
          <w:sz w:val="20"/>
          <w:lang w:val="en-GB"/>
        </w:rPr>
        <w:t xml:space="preserve"> with </w:t>
      </w:r>
      <w:r w:rsidR="00F06B60">
        <w:rPr>
          <w:rFonts w:ascii="Arial" w:hAnsi="Arial" w:cs="Arial"/>
          <w:sz w:val="20"/>
          <w:lang w:val="en-GB"/>
        </w:rPr>
        <w:t>PDO</w:t>
      </w:r>
      <w:r w:rsidR="00F45FCB">
        <w:rPr>
          <w:rFonts w:ascii="Arial" w:hAnsi="Arial" w:cs="Arial"/>
          <w:sz w:val="20"/>
          <w:lang w:val="en-GB"/>
        </w:rPr>
        <w:t xml:space="preserve"> or </w:t>
      </w:r>
      <w:r w:rsidR="00F06B60">
        <w:rPr>
          <w:rFonts w:ascii="Arial" w:hAnsi="Arial" w:cs="Arial"/>
          <w:sz w:val="20"/>
          <w:lang w:val="en-GB"/>
        </w:rPr>
        <w:t>PGI</w:t>
      </w:r>
      <w:r w:rsidR="00F45FCB">
        <w:rPr>
          <w:rFonts w:ascii="Arial" w:hAnsi="Arial" w:cs="Arial"/>
          <w:sz w:val="20"/>
          <w:lang w:val="en-GB"/>
        </w:rPr>
        <w:t xml:space="preserve"> were </w:t>
      </w:r>
      <w:r w:rsidR="00CA629E">
        <w:rPr>
          <w:rFonts w:ascii="Arial" w:hAnsi="Arial" w:cs="Arial"/>
          <w:sz w:val="20"/>
          <w:lang w:val="en-GB"/>
        </w:rPr>
        <w:t xml:space="preserve">cultivated by 288 holdings (1.6%) and their area was </w:t>
      </w:r>
      <w:r w:rsidR="00CA629E" w:rsidRPr="00CA629E">
        <w:rPr>
          <w:rFonts w:ascii="Arial" w:hAnsi="Arial" w:cs="Arial"/>
          <w:sz w:val="20"/>
          <w:lang w:val="en-GB"/>
        </w:rPr>
        <w:t>910</w:t>
      </w:r>
      <w:r w:rsidR="00CA629E">
        <w:rPr>
          <w:rFonts w:ascii="Arial" w:hAnsi="Arial" w:cs="Arial"/>
          <w:sz w:val="20"/>
          <w:lang w:val="en-GB"/>
        </w:rPr>
        <w:t>.</w:t>
      </w:r>
      <w:r w:rsidR="00CA629E" w:rsidRPr="00CA629E">
        <w:rPr>
          <w:rFonts w:ascii="Arial" w:hAnsi="Arial" w:cs="Arial"/>
          <w:sz w:val="20"/>
          <w:lang w:val="en-GB"/>
        </w:rPr>
        <w:t>92 ha (5</w:t>
      </w:r>
      <w:r w:rsidR="00CA629E">
        <w:rPr>
          <w:rFonts w:ascii="Arial" w:hAnsi="Arial" w:cs="Arial"/>
          <w:sz w:val="20"/>
          <w:lang w:val="en-GB"/>
        </w:rPr>
        <w:t>.1</w:t>
      </w:r>
      <w:r w:rsidR="00CA629E" w:rsidRPr="00CA629E">
        <w:rPr>
          <w:rFonts w:ascii="Arial" w:hAnsi="Arial" w:cs="Arial"/>
          <w:sz w:val="20"/>
          <w:lang w:val="en-GB"/>
        </w:rPr>
        <w:t>%).</w:t>
      </w:r>
      <w:r w:rsidR="00EF234E">
        <w:rPr>
          <w:rFonts w:ascii="Arial" w:hAnsi="Arial" w:cs="Arial"/>
          <w:sz w:val="20"/>
          <w:lang w:val="en-GB"/>
        </w:rPr>
        <w:t xml:space="preserve"> </w:t>
      </w:r>
      <w:r w:rsidR="008D505D">
        <w:rPr>
          <w:rFonts w:ascii="Arial" w:hAnsi="Arial" w:cs="Arial"/>
          <w:sz w:val="20"/>
          <w:lang w:val="en-GB"/>
        </w:rPr>
        <w:t xml:space="preserve">Other vine growers (27 holdings; 0.1%) with </w:t>
      </w:r>
      <w:r w:rsidR="008D505D" w:rsidRPr="008D505D">
        <w:rPr>
          <w:rFonts w:ascii="Arial" w:hAnsi="Arial" w:cs="Arial"/>
          <w:sz w:val="20"/>
          <w:lang w:val="en-GB"/>
        </w:rPr>
        <w:t>1</w:t>
      </w:r>
      <w:r w:rsidR="008D505D">
        <w:rPr>
          <w:rFonts w:ascii="Arial" w:hAnsi="Arial" w:cs="Arial"/>
          <w:sz w:val="20"/>
          <w:lang w:val="en-GB"/>
        </w:rPr>
        <w:t> </w:t>
      </w:r>
      <w:r w:rsidR="008D505D" w:rsidRPr="008D505D">
        <w:rPr>
          <w:rFonts w:ascii="Arial" w:hAnsi="Arial" w:cs="Arial"/>
          <w:sz w:val="20"/>
          <w:lang w:val="en-GB"/>
        </w:rPr>
        <w:t>354</w:t>
      </w:r>
      <w:r w:rsidR="008D505D">
        <w:rPr>
          <w:rFonts w:ascii="Arial" w:hAnsi="Arial" w:cs="Arial"/>
          <w:sz w:val="20"/>
          <w:lang w:val="en-GB"/>
        </w:rPr>
        <w:t>.</w:t>
      </w:r>
      <w:r w:rsidR="008D505D" w:rsidRPr="008D505D">
        <w:rPr>
          <w:rFonts w:ascii="Arial" w:hAnsi="Arial" w:cs="Arial"/>
          <w:sz w:val="20"/>
          <w:lang w:val="en-GB"/>
        </w:rPr>
        <w:t>40 ha (7</w:t>
      </w:r>
      <w:r w:rsidR="008D505D">
        <w:rPr>
          <w:rFonts w:ascii="Arial" w:hAnsi="Arial" w:cs="Arial"/>
          <w:sz w:val="20"/>
          <w:lang w:val="en-GB"/>
        </w:rPr>
        <w:t>.</w:t>
      </w:r>
      <w:r w:rsidR="008D505D" w:rsidRPr="008D505D">
        <w:rPr>
          <w:rFonts w:ascii="Arial" w:hAnsi="Arial" w:cs="Arial"/>
          <w:sz w:val="20"/>
          <w:lang w:val="en-GB"/>
        </w:rPr>
        <w:t xml:space="preserve">7%) </w:t>
      </w:r>
      <w:r w:rsidR="008D505D">
        <w:rPr>
          <w:rFonts w:ascii="Arial" w:hAnsi="Arial" w:cs="Arial"/>
          <w:sz w:val="20"/>
          <w:lang w:val="en-GB"/>
        </w:rPr>
        <w:t xml:space="preserve">had vineyards intended </w:t>
      </w:r>
      <w:r w:rsidR="009E15E4">
        <w:rPr>
          <w:rFonts w:ascii="Arial" w:hAnsi="Arial" w:cs="Arial"/>
          <w:sz w:val="20"/>
          <w:lang w:val="en-GB"/>
        </w:rPr>
        <w:t xml:space="preserve">exclusively </w:t>
      </w:r>
      <w:r w:rsidR="008D505D" w:rsidRPr="008D505D">
        <w:rPr>
          <w:rFonts w:ascii="Arial" w:hAnsi="Arial" w:cs="Arial"/>
          <w:sz w:val="20"/>
          <w:lang w:val="en-GB"/>
        </w:rPr>
        <w:t>for several types of production</w:t>
      </w:r>
      <w:r w:rsidR="008D505D">
        <w:rPr>
          <w:rFonts w:ascii="Arial" w:hAnsi="Arial" w:cs="Arial"/>
          <w:sz w:val="20"/>
          <w:lang w:val="en-GB"/>
        </w:rPr>
        <w:t xml:space="preserve"> or </w:t>
      </w:r>
      <w:r w:rsidR="008D505D" w:rsidRPr="008D505D">
        <w:rPr>
          <w:rFonts w:ascii="Arial" w:hAnsi="Arial" w:cs="Arial"/>
          <w:sz w:val="20"/>
          <w:lang w:val="en-GB"/>
        </w:rPr>
        <w:t>for other than wine production</w:t>
      </w:r>
      <w:r w:rsidR="008D505D">
        <w:rPr>
          <w:rFonts w:ascii="Arial" w:hAnsi="Arial" w:cs="Arial"/>
          <w:sz w:val="20"/>
          <w:lang w:val="en-GB"/>
        </w:rPr>
        <w:t xml:space="preserve">.  </w:t>
      </w:r>
    </w:p>
    <w:p w:rsidR="00216C07" w:rsidRPr="00F62ED6" w:rsidRDefault="00F62ED6" w:rsidP="00DF524C">
      <w:pPr>
        <w:pStyle w:val="Zkladntext"/>
        <w:spacing w:line="276" w:lineRule="auto"/>
        <w:rPr>
          <w:lang w:val="en-GB"/>
        </w:rPr>
      </w:pPr>
      <w:r w:rsidRPr="00F62ED6">
        <w:rPr>
          <w:lang w:val="en-GB"/>
        </w:rPr>
        <w:t xml:space="preserve">The vast majority of </w:t>
      </w:r>
      <w:r>
        <w:rPr>
          <w:lang w:val="en-GB"/>
        </w:rPr>
        <w:t>vineyards (</w:t>
      </w:r>
      <w:r w:rsidRPr="00F62ED6">
        <w:rPr>
          <w:lang w:val="en-GB"/>
        </w:rPr>
        <w:t>16</w:t>
      </w:r>
      <w:r>
        <w:rPr>
          <w:lang w:val="en-GB"/>
        </w:rPr>
        <w:t> </w:t>
      </w:r>
      <w:r w:rsidRPr="00F62ED6">
        <w:rPr>
          <w:lang w:val="en-GB"/>
        </w:rPr>
        <w:t>688</w:t>
      </w:r>
      <w:r>
        <w:rPr>
          <w:lang w:val="en-GB"/>
        </w:rPr>
        <w:t>.</w:t>
      </w:r>
      <w:r w:rsidRPr="00F62ED6">
        <w:rPr>
          <w:lang w:val="en-GB"/>
        </w:rPr>
        <w:t>86 ha; 94</w:t>
      </w:r>
      <w:r>
        <w:rPr>
          <w:lang w:val="en-GB"/>
        </w:rPr>
        <w:t>.</w:t>
      </w:r>
      <w:r w:rsidRPr="00F62ED6">
        <w:rPr>
          <w:lang w:val="en-GB"/>
        </w:rPr>
        <w:t>3%)</w:t>
      </w:r>
      <w:r>
        <w:rPr>
          <w:lang w:val="en-GB"/>
        </w:rPr>
        <w:t xml:space="preserve"> as well as vine growers </w:t>
      </w:r>
      <w:r w:rsidRPr="00F62ED6">
        <w:rPr>
          <w:lang w:val="en-GB"/>
        </w:rPr>
        <w:t xml:space="preserve">(17 619 </w:t>
      </w:r>
      <w:r>
        <w:rPr>
          <w:lang w:val="en-GB"/>
        </w:rPr>
        <w:t>holdings</w:t>
      </w:r>
      <w:r w:rsidRPr="00F62ED6">
        <w:rPr>
          <w:lang w:val="en-GB"/>
        </w:rPr>
        <w:t>; 96</w:t>
      </w:r>
      <w:r>
        <w:rPr>
          <w:lang w:val="en-GB"/>
        </w:rPr>
        <w:t>.</w:t>
      </w:r>
      <w:r w:rsidRPr="00F62ED6">
        <w:rPr>
          <w:lang w:val="en-GB"/>
        </w:rPr>
        <w:t>7%)</w:t>
      </w:r>
      <w:r>
        <w:rPr>
          <w:lang w:val="en-GB"/>
        </w:rPr>
        <w:t xml:space="preserve"> were located in Jihomoravský Region. A much lesser extent of</w:t>
      </w:r>
      <w:r w:rsidRPr="00F62ED6">
        <w:rPr>
          <w:lang w:val="en-GB"/>
        </w:rPr>
        <w:t xml:space="preserve"> </w:t>
      </w:r>
      <w:r>
        <w:rPr>
          <w:lang w:val="en-GB"/>
        </w:rPr>
        <w:t xml:space="preserve">wine production was recorded in Zlínský Region, where 436 vine growers maintained 342.43 ha (1.9%); in Středočeský Region there were 73 vine growers with 325.28 ha (1.8%), in Ústecký Region 55 vine growers with 310.50 ha (1.8%), and in Hlavní město Praha 12 vine growers with 12.43 ha (0.1%). </w:t>
      </w:r>
      <w:r w:rsidR="00C84CAB">
        <w:rPr>
          <w:lang w:val="en-GB"/>
        </w:rPr>
        <w:t xml:space="preserve">In all other regions the vine cultivation was marginal, the number of vine growers did not exceed 5 holdings per region and the vineyard area was also negligible. The only region with no vineyards registered was Karlovarský Region. </w:t>
      </w:r>
    </w:p>
    <w:p w:rsidR="00F63AF9" w:rsidRDefault="00F63AF9" w:rsidP="00DF524C">
      <w:pPr>
        <w:pStyle w:val="Zkladntext"/>
        <w:spacing w:line="276" w:lineRule="auto"/>
        <w:rPr>
          <w:highlight w:val="lightGray"/>
          <w:lang w:val="en-GB"/>
        </w:rPr>
      </w:pPr>
    </w:p>
    <w:p w:rsidR="00C84CAB" w:rsidRPr="0083621E" w:rsidRDefault="0083621E" w:rsidP="00DF524C">
      <w:pPr>
        <w:pStyle w:val="Zkladntext"/>
        <w:spacing w:line="276" w:lineRule="auto"/>
        <w:rPr>
          <w:lang w:val="en-GB"/>
        </w:rPr>
      </w:pPr>
      <w:r w:rsidRPr="0083621E">
        <w:rPr>
          <w:lang w:val="en-GB"/>
        </w:rPr>
        <w:t>White vine varieties</w:t>
      </w:r>
      <w:r>
        <w:rPr>
          <w:lang w:val="en-GB"/>
        </w:rPr>
        <w:t xml:space="preserve"> were planted on 10 347.52 ha of vineyards and distinctly exceeded one half of </w:t>
      </w:r>
      <w:r w:rsidR="00CC4EEB">
        <w:rPr>
          <w:lang w:val="en-GB"/>
        </w:rPr>
        <w:t xml:space="preserve">the </w:t>
      </w:r>
      <w:r>
        <w:rPr>
          <w:lang w:val="en-GB"/>
        </w:rPr>
        <w:t xml:space="preserve">area under vines (58.5%). Red varieties were cultivated on one third of the area </w:t>
      </w:r>
      <w:r w:rsidRPr="0083621E">
        <w:rPr>
          <w:lang w:val="en-GB"/>
        </w:rPr>
        <w:t>(5</w:t>
      </w:r>
      <w:r>
        <w:rPr>
          <w:lang w:val="en-GB"/>
        </w:rPr>
        <w:t> </w:t>
      </w:r>
      <w:r w:rsidRPr="0083621E">
        <w:rPr>
          <w:lang w:val="en-GB"/>
        </w:rPr>
        <w:t>516</w:t>
      </w:r>
      <w:r>
        <w:rPr>
          <w:lang w:val="en-GB"/>
        </w:rPr>
        <w:t>.</w:t>
      </w:r>
      <w:r w:rsidRPr="0083621E">
        <w:rPr>
          <w:lang w:val="en-GB"/>
        </w:rPr>
        <w:t>54 ha; 31</w:t>
      </w:r>
      <w:r>
        <w:rPr>
          <w:lang w:val="en-GB"/>
        </w:rPr>
        <w:t>.</w:t>
      </w:r>
      <w:r w:rsidRPr="0083621E">
        <w:rPr>
          <w:lang w:val="en-GB"/>
        </w:rPr>
        <w:t>2%)</w:t>
      </w:r>
      <w:r>
        <w:rPr>
          <w:lang w:val="en-GB"/>
        </w:rPr>
        <w:t xml:space="preserve"> and other varieties on one tenth of the area </w:t>
      </w:r>
      <w:r w:rsidRPr="0083621E">
        <w:rPr>
          <w:lang w:val="en-GB"/>
        </w:rPr>
        <w:t>(1</w:t>
      </w:r>
      <w:r>
        <w:rPr>
          <w:lang w:val="en-GB"/>
        </w:rPr>
        <w:t> </w:t>
      </w:r>
      <w:r w:rsidRPr="0083621E">
        <w:rPr>
          <w:lang w:val="en-GB"/>
        </w:rPr>
        <w:t>824</w:t>
      </w:r>
      <w:r>
        <w:rPr>
          <w:lang w:val="en-GB"/>
        </w:rPr>
        <w:t>.</w:t>
      </w:r>
      <w:r w:rsidRPr="0083621E">
        <w:rPr>
          <w:lang w:val="en-GB"/>
        </w:rPr>
        <w:t>53 ha; 10</w:t>
      </w:r>
      <w:r>
        <w:rPr>
          <w:lang w:val="en-GB"/>
        </w:rPr>
        <w:t>.</w:t>
      </w:r>
      <w:r w:rsidRPr="0083621E">
        <w:rPr>
          <w:lang w:val="en-GB"/>
        </w:rPr>
        <w:t>3%).</w:t>
      </w:r>
    </w:p>
    <w:p w:rsidR="00FD78FD" w:rsidRPr="00A416FB" w:rsidRDefault="00FD78FD" w:rsidP="00DF524C">
      <w:pPr>
        <w:spacing w:line="276" w:lineRule="auto"/>
        <w:rPr>
          <w:highlight w:val="lightGray"/>
          <w:lang w:val="en-GB"/>
        </w:rPr>
      </w:pPr>
    </w:p>
    <w:p w:rsidR="00396F3C" w:rsidRPr="0083621E" w:rsidRDefault="0083621E" w:rsidP="00DF524C">
      <w:pPr>
        <w:spacing w:line="276" w:lineRule="auto"/>
        <w:rPr>
          <w:lang w:val="en-GB"/>
        </w:rPr>
      </w:pPr>
      <w:r w:rsidRPr="0083621E">
        <w:rPr>
          <w:lang w:val="en-GB"/>
        </w:rPr>
        <w:t>Veltliner grün</w:t>
      </w:r>
      <w:r>
        <w:rPr>
          <w:lang w:val="en-GB"/>
        </w:rPr>
        <w:t xml:space="preserve"> </w:t>
      </w:r>
      <w:r w:rsidR="0076392C" w:rsidRPr="0083621E">
        <w:rPr>
          <w:lang w:val="en-GB"/>
        </w:rPr>
        <w:t>(1</w:t>
      </w:r>
      <w:r w:rsidRPr="0083621E">
        <w:rPr>
          <w:lang w:val="en-GB"/>
        </w:rPr>
        <w:t> </w:t>
      </w:r>
      <w:r w:rsidR="0076392C" w:rsidRPr="0083621E">
        <w:rPr>
          <w:lang w:val="en-GB"/>
        </w:rPr>
        <w:t>664</w:t>
      </w:r>
      <w:r w:rsidRPr="0083621E">
        <w:rPr>
          <w:lang w:val="en-GB"/>
        </w:rPr>
        <w:t>.</w:t>
      </w:r>
      <w:r w:rsidR="0076392C" w:rsidRPr="0083621E">
        <w:rPr>
          <w:lang w:val="en-GB"/>
        </w:rPr>
        <w:t>95</w:t>
      </w:r>
      <w:r w:rsidR="00A97365" w:rsidRPr="0083621E">
        <w:rPr>
          <w:lang w:val="en-GB"/>
        </w:rPr>
        <w:t> </w:t>
      </w:r>
      <w:r w:rsidR="0076392C" w:rsidRPr="0083621E">
        <w:rPr>
          <w:lang w:val="en-GB"/>
        </w:rPr>
        <w:t>ha</w:t>
      </w:r>
      <w:r w:rsidR="007B2705" w:rsidRPr="0083621E">
        <w:rPr>
          <w:lang w:val="en-GB"/>
        </w:rPr>
        <w:t>;</w:t>
      </w:r>
      <w:r w:rsidR="00396F3C" w:rsidRPr="0083621E">
        <w:rPr>
          <w:lang w:val="en-GB"/>
        </w:rPr>
        <w:t xml:space="preserve"> 9</w:t>
      </w:r>
      <w:r w:rsidRPr="0083621E">
        <w:rPr>
          <w:lang w:val="en-GB"/>
        </w:rPr>
        <w:t>.</w:t>
      </w:r>
      <w:r w:rsidR="00396F3C" w:rsidRPr="0083621E">
        <w:rPr>
          <w:lang w:val="en-GB"/>
        </w:rPr>
        <w:t xml:space="preserve">4% </w:t>
      </w:r>
      <w:r w:rsidRPr="0083621E">
        <w:rPr>
          <w:lang w:val="en-GB"/>
        </w:rPr>
        <w:t>of the total vineyard area</w:t>
      </w:r>
      <w:r w:rsidR="00396F3C" w:rsidRPr="0083621E">
        <w:rPr>
          <w:lang w:val="en-GB"/>
        </w:rPr>
        <w:t>), Müller Thurgau (1</w:t>
      </w:r>
      <w:r w:rsidRPr="0083621E">
        <w:rPr>
          <w:lang w:val="en-GB"/>
        </w:rPr>
        <w:t> </w:t>
      </w:r>
      <w:r w:rsidR="00396F3C" w:rsidRPr="0083621E">
        <w:rPr>
          <w:lang w:val="en-GB"/>
        </w:rPr>
        <w:t>554</w:t>
      </w:r>
      <w:r w:rsidRPr="0083621E">
        <w:rPr>
          <w:lang w:val="en-GB"/>
        </w:rPr>
        <w:t>.</w:t>
      </w:r>
      <w:r w:rsidR="00396F3C" w:rsidRPr="0083621E">
        <w:rPr>
          <w:lang w:val="en-GB"/>
        </w:rPr>
        <w:t>78</w:t>
      </w:r>
      <w:r w:rsidR="007B2705" w:rsidRPr="0083621E">
        <w:rPr>
          <w:lang w:val="en-GB"/>
        </w:rPr>
        <w:t> </w:t>
      </w:r>
      <w:r w:rsidR="00396F3C" w:rsidRPr="0083621E">
        <w:rPr>
          <w:lang w:val="en-GB"/>
        </w:rPr>
        <w:t>ha</w:t>
      </w:r>
      <w:r w:rsidR="0076392C" w:rsidRPr="0083621E">
        <w:rPr>
          <w:lang w:val="en-GB"/>
        </w:rPr>
        <w:t>;</w:t>
      </w:r>
      <w:r w:rsidR="00396F3C" w:rsidRPr="0083621E">
        <w:rPr>
          <w:lang w:val="en-GB"/>
        </w:rPr>
        <w:t xml:space="preserve"> 8</w:t>
      </w:r>
      <w:r w:rsidRPr="0083621E">
        <w:rPr>
          <w:lang w:val="en-GB"/>
        </w:rPr>
        <w:t>.</w:t>
      </w:r>
      <w:r w:rsidR="00396F3C" w:rsidRPr="0083621E">
        <w:rPr>
          <w:lang w:val="en-GB"/>
        </w:rPr>
        <w:t xml:space="preserve">8%), </w:t>
      </w:r>
      <w:r w:rsidRPr="0083621E">
        <w:rPr>
          <w:lang w:val="en-GB"/>
        </w:rPr>
        <w:t>Riesling weiss</w:t>
      </w:r>
      <w:r w:rsidR="00396F3C" w:rsidRPr="0083621E">
        <w:rPr>
          <w:lang w:val="en-GB"/>
        </w:rPr>
        <w:t xml:space="preserve"> (1</w:t>
      </w:r>
      <w:r w:rsidRPr="0083621E">
        <w:rPr>
          <w:lang w:val="en-GB"/>
        </w:rPr>
        <w:t> </w:t>
      </w:r>
      <w:r w:rsidR="00396F3C" w:rsidRPr="0083621E">
        <w:rPr>
          <w:lang w:val="en-GB"/>
        </w:rPr>
        <w:t>225</w:t>
      </w:r>
      <w:r w:rsidRPr="0083621E">
        <w:rPr>
          <w:lang w:val="en-GB"/>
        </w:rPr>
        <w:t>.</w:t>
      </w:r>
      <w:r w:rsidR="00396F3C" w:rsidRPr="0083621E">
        <w:rPr>
          <w:lang w:val="en-GB"/>
        </w:rPr>
        <w:t>64</w:t>
      </w:r>
      <w:r w:rsidR="00A97365" w:rsidRPr="0083621E">
        <w:rPr>
          <w:lang w:val="en-GB"/>
        </w:rPr>
        <w:t> </w:t>
      </w:r>
      <w:r w:rsidR="00396F3C" w:rsidRPr="0083621E">
        <w:rPr>
          <w:lang w:val="en-GB"/>
        </w:rPr>
        <w:t>ha</w:t>
      </w:r>
      <w:r w:rsidR="0076392C" w:rsidRPr="0083621E">
        <w:rPr>
          <w:lang w:val="en-GB"/>
        </w:rPr>
        <w:t>;</w:t>
      </w:r>
      <w:r w:rsidR="00396F3C" w:rsidRPr="0083621E">
        <w:rPr>
          <w:lang w:val="en-GB"/>
        </w:rPr>
        <w:t xml:space="preserve"> 6</w:t>
      </w:r>
      <w:r w:rsidRPr="0083621E">
        <w:rPr>
          <w:lang w:val="en-GB"/>
        </w:rPr>
        <w:t>.</w:t>
      </w:r>
      <w:r w:rsidR="00396F3C" w:rsidRPr="0083621E">
        <w:rPr>
          <w:lang w:val="en-GB"/>
        </w:rPr>
        <w:t>9%) a</w:t>
      </w:r>
      <w:r w:rsidRPr="0083621E">
        <w:rPr>
          <w:lang w:val="en-GB"/>
        </w:rPr>
        <w:t>nd Welschriesling</w:t>
      </w:r>
      <w:r w:rsidR="00396F3C" w:rsidRPr="0083621E">
        <w:rPr>
          <w:lang w:val="en-GB"/>
        </w:rPr>
        <w:t xml:space="preserve"> (1</w:t>
      </w:r>
      <w:r w:rsidRPr="0083621E">
        <w:rPr>
          <w:lang w:val="en-GB"/>
        </w:rPr>
        <w:t> </w:t>
      </w:r>
      <w:r w:rsidR="00396F3C" w:rsidRPr="0083621E">
        <w:rPr>
          <w:lang w:val="en-GB"/>
        </w:rPr>
        <w:t>195</w:t>
      </w:r>
      <w:r w:rsidRPr="0083621E">
        <w:rPr>
          <w:lang w:val="en-GB"/>
        </w:rPr>
        <w:t>.</w:t>
      </w:r>
      <w:r w:rsidR="00396F3C" w:rsidRPr="0083621E">
        <w:rPr>
          <w:lang w:val="en-GB"/>
        </w:rPr>
        <w:t>01</w:t>
      </w:r>
      <w:r w:rsidR="00A97365" w:rsidRPr="0083621E">
        <w:rPr>
          <w:lang w:val="en-GB"/>
        </w:rPr>
        <w:t> </w:t>
      </w:r>
      <w:r w:rsidR="00396F3C" w:rsidRPr="0083621E">
        <w:rPr>
          <w:lang w:val="en-GB"/>
        </w:rPr>
        <w:t>ha</w:t>
      </w:r>
      <w:r w:rsidR="0076392C" w:rsidRPr="0083621E">
        <w:rPr>
          <w:lang w:val="en-GB"/>
        </w:rPr>
        <w:t>;</w:t>
      </w:r>
      <w:r w:rsidR="00396F3C" w:rsidRPr="0083621E">
        <w:rPr>
          <w:lang w:val="en-GB"/>
        </w:rPr>
        <w:t xml:space="preserve"> 6</w:t>
      </w:r>
      <w:r w:rsidRPr="0083621E">
        <w:rPr>
          <w:lang w:val="en-GB"/>
        </w:rPr>
        <w:t>.</w:t>
      </w:r>
      <w:r w:rsidR="00396F3C" w:rsidRPr="0083621E">
        <w:rPr>
          <w:lang w:val="en-GB"/>
        </w:rPr>
        <w:t xml:space="preserve">8%) </w:t>
      </w:r>
      <w:r w:rsidR="00CD7A40">
        <w:rPr>
          <w:lang w:val="en-GB"/>
        </w:rPr>
        <w:t>were recorded as</w:t>
      </w:r>
      <w:r w:rsidR="00CD7A40" w:rsidRPr="0083621E">
        <w:rPr>
          <w:lang w:val="en-GB"/>
        </w:rPr>
        <w:t xml:space="preserve"> </w:t>
      </w:r>
      <w:r w:rsidR="00CD7A40">
        <w:rPr>
          <w:lang w:val="en-GB"/>
        </w:rPr>
        <w:t xml:space="preserve">white varieties with the largest area. </w:t>
      </w:r>
      <w:r>
        <w:rPr>
          <w:lang w:val="en-GB"/>
        </w:rPr>
        <w:t xml:space="preserve">The most frequently planted red varieties were </w:t>
      </w:r>
      <w:r w:rsidRPr="0083621E">
        <w:rPr>
          <w:lang w:val="en-GB"/>
        </w:rPr>
        <w:t>Saint Laurent</w:t>
      </w:r>
      <w:r>
        <w:rPr>
          <w:lang w:val="en-GB"/>
        </w:rPr>
        <w:t xml:space="preserve"> </w:t>
      </w:r>
      <w:r w:rsidR="00F63AF9" w:rsidRPr="0083621E">
        <w:rPr>
          <w:lang w:val="en-GB"/>
        </w:rPr>
        <w:t>(</w:t>
      </w:r>
      <w:r w:rsidR="00396F3C" w:rsidRPr="0083621E">
        <w:rPr>
          <w:lang w:val="en-GB"/>
        </w:rPr>
        <w:t>1</w:t>
      </w:r>
      <w:r w:rsidRPr="0083621E">
        <w:rPr>
          <w:lang w:val="en-GB"/>
        </w:rPr>
        <w:t> </w:t>
      </w:r>
      <w:r w:rsidR="00396F3C" w:rsidRPr="0083621E">
        <w:rPr>
          <w:lang w:val="en-GB"/>
        </w:rPr>
        <w:t>184</w:t>
      </w:r>
      <w:r w:rsidRPr="0083621E">
        <w:rPr>
          <w:lang w:val="en-GB"/>
        </w:rPr>
        <w:t>.</w:t>
      </w:r>
      <w:r w:rsidR="00396F3C" w:rsidRPr="0083621E">
        <w:rPr>
          <w:lang w:val="en-GB"/>
        </w:rPr>
        <w:t>45</w:t>
      </w:r>
      <w:r w:rsidR="00A97365" w:rsidRPr="0083621E">
        <w:rPr>
          <w:lang w:val="en-GB"/>
        </w:rPr>
        <w:t> </w:t>
      </w:r>
      <w:r w:rsidR="00396F3C" w:rsidRPr="0083621E">
        <w:rPr>
          <w:lang w:val="en-GB"/>
        </w:rPr>
        <w:t>ha</w:t>
      </w:r>
      <w:r w:rsidR="0076392C" w:rsidRPr="0083621E">
        <w:rPr>
          <w:lang w:val="en-GB"/>
        </w:rPr>
        <w:t>;</w:t>
      </w:r>
      <w:r w:rsidR="00396F3C" w:rsidRPr="0083621E">
        <w:rPr>
          <w:lang w:val="en-GB"/>
        </w:rPr>
        <w:t xml:space="preserve"> 6</w:t>
      </w:r>
      <w:r w:rsidRPr="0083621E">
        <w:rPr>
          <w:lang w:val="en-GB"/>
        </w:rPr>
        <w:t>.</w:t>
      </w:r>
      <w:r w:rsidR="00396F3C" w:rsidRPr="0083621E">
        <w:rPr>
          <w:lang w:val="en-GB"/>
        </w:rPr>
        <w:t>7%</w:t>
      </w:r>
      <w:r w:rsidR="00F63AF9" w:rsidRPr="0083621E">
        <w:rPr>
          <w:lang w:val="en-GB"/>
        </w:rPr>
        <w:t>)</w:t>
      </w:r>
      <w:r w:rsidR="00396F3C" w:rsidRPr="0083621E">
        <w:rPr>
          <w:lang w:val="en-GB"/>
        </w:rPr>
        <w:t xml:space="preserve">, </w:t>
      </w:r>
      <w:r w:rsidRPr="0083621E">
        <w:rPr>
          <w:lang w:val="en-GB"/>
        </w:rPr>
        <w:t>Blaufränkisch</w:t>
      </w:r>
      <w:r w:rsidR="00396F3C" w:rsidRPr="0083621E">
        <w:rPr>
          <w:lang w:val="en-GB"/>
        </w:rPr>
        <w:t xml:space="preserve"> </w:t>
      </w:r>
      <w:r w:rsidRPr="0083621E">
        <w:rPr>
          <w:lang w:val="en-GB"/>
        </w:rPr>
        <w:t>(</w:t>
      </w:r>
      <w:r w:rsidR="00396F3C" w:rsidRPr="0083621E">
        <w:rPr>
          <w:lang w:val="en-GB"/>
        </w:rPr>
        <w:t>1</w:t>
      </w:r>
      <w:r w:rsidRPr="0083621E">
        <w:rPr>
          <w:lang w:val="en-GB"/>
        </w:rPr>
        <w:t> </w:t>
      </w:r>
      <w:r w:rsidR="00396F3C" w:rsidRPr="0083621E">
        <w:rPr>
          <w:lang w:val="en-GB"/>
        </w:rPr>
        <w:t>146</w:t>
      </w:r>
      <w:r w:rsidRPr="0083621E">
        <w:rPr>
          <w:lang w:val="en-GB"/>
        </w:rPr>
        <w:t>.</w:t>
      </w:r>
      <w:r w:rsidR="00396F3C" w:rsidRPr="0083621E">
        <w:rPr>
          <w:lang w:val="en-GB"/>
        </w:rPr>
        <w:t>46</w:t>
      </w:r>
      <w:r w:rsidR="00A97365" w:rsidRPr="0083621E">
        <w:rPr>
          <w:lang w:val="en-GB"/>
        </w:rPr>
        <w:t> </w:t>
      </w:r>
      <w:r w:rsidR="00396F3C" w:rsidRPr="0083621E">
        <w:rPr>
          <w:lang w:val="en-GB"/>
        </w:rPr>
        <w:t>ha</w:t>
      </w:r>
      <w:r w:rsidR="0076392C" w:rsidRPr="0083621E">
        <w:rPr>
          <w:lang w:val="en-GB"/>
        </w:rPr>
        <w:t>;</w:t>
      </w:r>
      <w:r w:rsidR="00396F3C" w:rsidRPr="0083621E">
        <w:rPr>
          <w:lang w:val="en-GB"/>
        </w:rPr>
        <w:t xml:space="preserve"> 6</w:t>
      </w:r>
      <w:r w:rsidRPr="0083621E">
        <w:rPr>
          <w:lang w:val="en-GB"/>
        </w:rPr>
        <w:t>.</w:t>
      </w:r>
      <w:r w:rsidR="00396F3C" w:rsidRPr="0083621E">
        <w:rPr>
          <w:lang w:val="en-GB"/>
        </w:rPr>
        <w:t>5%) a</w:t>
      </w:r>
      <w:r w:rsidRPr="0083621E">
        <w:rPr>
          <w:lang w:val="en-GB"/>
        </w:rPr>
        <w:t>nd</w:t>
      </w:r>
      <w:r w:rsidR="00396F3C" w:rsidRPr="0083621E">
        <w:rPr>
          <w:lang w:val="en-GB"/>
        </w:rPr>
        <w:t xml:space="preserve"> Zweigeltrebe (</w:t>
      </w:r>
      <w:r w:rsidR="00FD78FD" w:rsidRPr="0083621E">
        <w:rPr>
          <w:lang w:val="en-GB"/>
        </w:rPr>
        <w:t>771</w:t>
      </w:r>
      <w:r w:rsidRPr="0083621E">
        <w:rPr>
          <w:lang w:val="en-GB"/>
        </w:rPr>
        <w:t>.</w:t>
      </w:r>
      <w:r w:rsidR="00FD78FD" w:rsidRPr="0083621E">
        <w:rPr>
          <w:lang w:val="en-GB"/>
        </w:rPr>
        <w:t>17</w:t>
      </w:r>
      <w:r w:rsidR="00A97365" w:rsidRPr="0083621E">
        <w:rPr>
          <w:lang w:val="en-GB"/>
        </w:rPr>
        <w:t> </w:t>
      </w:r>
      <w:r w:rsidR="00FD78FD" w:rsidRPr="0083621E">
        <w:rPr>
          <w:lang w:val="en-GB"/>
        </w:rPr>
        <w:t>ha</w:t>
      </w:r>
      <w:r w:rsidR="0076392C" w:rsidRPr="0083621E">
        <w:rPr>
          <w:lang w:val="en-GB"/>
        </w:rPr>
        <w:t>;</w:t>
      </w:r>
      <w:r w:rsidR="00FD78FD" w:rsidRPr="0083621E">
        <w:rPr>
          <w:lang w:val="en-GB"/>
        </w:rPr>
        <w:t xml:space="preserve"> 4</w:t>
      </w:r>
      <w:r w:rsidRPr="0083621E">
        <w:rPr>
          <w:lang w:val="en-GB"/>
        </w:rPr>
        <w:t>.</w:t>
      </w:r>
      <w:r w:rsidR="00FD78FD" w:rsidRPr="0083621E">
        <w:rPr>
          <w:lang w:val="en-GB"/>
        </w:rPr>
        <w:t>4%)</w:t>
      </w:r>
      <w:r w:rsidRPr="0083621E">
        <w:rPr>
          <w:lang w:val="en-GB"/>
        </w:rPr>
        <w:t>;</w:t>
      </w:r>
      <w:r w:rsidR="00FD78FD" w:rsidRPr="0083621E">
        <w:rPr>
          <w:lang w:val="en-GB"/>
        </w:rPr>
        <w:t xml:space="preserve"> </w:t>
      </w:r>
      <w:r w:rsidRPr="0083621E">
        <w:rPr>
          <w:lang w:val="en-GB"/>
        </w:rPr>
        <w:t xml:space="preserve">Pinot </w:t>
      </w:r>
      <w:proofErr w:type="gramStart"/>
      <w:r w:rsidRPr="0083621E">
        <w:rPr>
          <w:lang w:val="en-GB"/>
        </w:rPr>
        <w:t>gris</w:t>
      </w:r>
      <w:proofErr w:type="gramEnd"/>
      <w:r w:rsidRPr="0083621E">
        <w:rPr>
          <w:lang w:val="en-GB"/>
        </w:rPr>
        <w:t xml:space="preserve"> </w:t>
      </w:r>
      <w:r w:rsidR="004F34E1">
        <w:rPr>
          <w:lang w:val="en-GB"/>
        </w:rPr>
        <w:t xml:space="preserve">was the most </w:t>
      </w:r>
      <w:r w:rsidR="00362B5D">
        <w:rPr>
          <w:lang w:val="en-GB"/>
        </w:rPr>
        <w:t xml:space="preserve">prevalent </w:t>
      </w:r>
      <w:r w:rsidRPr="0083621E">
        <w:rPr>
          <w:lang w:val="en-GB"/>
        </w:rPr>
        <w:t xml:space="preserve">out of other varieties </w:t>
      </w:r>
      <w:r w:rsidR="00FD78FD" w:rsidRPr="0083621E">
        <w:rPr>
          <w:lang w:val="en-GB"/>
        </w:rPr>
        <w:t>(906</w:t>
      </w:r>
      <w:r>
        <w:rPr>
          <w:lang w:val="en-GB"/>
        </w:rPr>
        <w:t>.</w:t>
      </w:r>
      <w:r w:rsidR="00FD78FD" w:rsidRPr="0083621E">
        <w:rPr>
          <w:lang w:val="en-GB"/>
        </w:rPr>
        <w:t>61</w:t>
      </w:r>
      <w:r w:rsidR="0076392C" w:rsidRPr="0083621E">
        <w:rPr>
          <w:lang w:val="en-GB"/>
        </w:rPr>
        <w:t> </w:t>
      </w:r>
      <w:r w:rsidR="00FD78FD" w:rsidRPr="0083621E">
        <w:rPr>
          <w:lang w:val="en-GB"/>
        </w:rPr>
        <w:t>ha</w:t>
      </w:r>
      <w:r w:rsidR="0076392C" w:rsidRPr="0083621E">
        <w:rPr>
          <w:lang w:val="en-GB"/>
        </w:rPr>
        <w:t>;</w:t>
      </w:r>
      <w:r w:rsidR="00FD78FD" w:rsidRPr="0083621E">
        <w:rPr>
          <w:lang w:val="en-GB"/>
        </w:rPr>
        <w:t xml:space="preserve"> 5</w:t>
      </w:r>
      <w:r>
        <w:rPr>
          <w:lang w:val="en-GB"/>
        </w:rPr>
        <w:t>.</w:t>
      </w:r>
      <w:r w:rsidR="00FD78FD" w:rsidRPr="0083621E">
        <w:rPr>
          <w:lang w:val="en-GB"/>
        </w:rPr>
        <w:t>1%)</w:t>
      </w:r>
      <w:r w:rsidR="00AB2C63" w:rsidRPr="0083621E">
        <w:rPr>
          <w:lang w:val="en-GB"/>
        </w:rPr>
        <w:t>.</w:t>
      </w:r>
    </w:p>
    <w:p w:rsidR="00AB2C63" w:rsidRPr="00A416FB" w:rsidRDefault="00AB2C63" w:rsidP="00DF524C">
      <w:pPr>
        <w:spacing w:line="276" w:lineRule="auto"/>
        <w:rPr>
          <w:highlight w:val="lightGray"/>
          <w:lang w:val="en-GB"/>
        </w:rPr>
      </w:pPr>
    </w:p>
    <w:p w:rsidR="007479B9" w:rsidRPr="00744166" w:rsidRDefault="001D625E" w:rsidP="00DF524C">
      <w:pPr>
        <w:pStyle w:val="Zkladntext"/>
        <w:spacing w:line="276" w:lineRule="auto"/>
        <w:rPr>
          <w:lang w:val="en-GB"/>
        </w:rPr>
      </w:pPr>
      <w:r w:rsidRPr="001D625E">
        <w:rPr>
          <w:lang w:val="en-GB"/>
        </w:rPr>
        <w:lastRenderedPageBreak/>
        <w:t xml:space="preserve">More </w:t>
      </w:r>
      <w:r>
        <w:rPr>
          <w:lang w:val="en-GB"/>
        </w:rPr>
        <w:t>than a half</w:t>
      </w:r>
      <w:r w:rsidR="00744166">
        <w:rPr>
          <w:lang w:val="en-GB"/>
        </w:rPr>
        <w:t xml:space="preserve"> of vineyards planted their vineyards with </w:t>
      </w:r>
      <w:r w:rsidR="00744166" w:rsidRPr="00744166">
        <w:rPr>
          <w:lang w:val="en-GB"/>
        </w:rPr>
        <w:t>Veltliner grün</w:t>
      </w:r>
      <w:r w:rsidR="00744166">
        <w:rPr>
          <w:lang w:val="en-GB"/>
        </w:rPr>
        <w:t xml:space="preserve"> (10 303 holdings; 56.6%</w:t>
      </w:r>
      <w:r w:rsidR="00744166" w:rsidRPr="00744166">
        <w:rPr>
          <w:lang w:val="en-GB"/>
        </w:rPr>
        <w:t xml:space="preserve">). Further favourite varieties planted by almost one half of vine growers were Müller Thurgau (8 779 holdings; 48.2%) and Saint Laurent </w:t>
      </w:r>
      <w:r w:rsidR="007479B9" w:rsidRPr="00744166">
        <w:rPr>
          <w:lang w:val="en-GB"/>
        </w:rPr>
        <w:t xml:space="preserve">(8 439 </w:t>
      </w:r>
      <w:r w:rsidR="00744166" w:rsidRPr="00744166">
        <w:rPr>
          <w:lang w:val="en-GB"/>
        </w:rPr>
        <w:t>holdings</w:t>
      </w:r>
      <w:r w:rsidR="007479B9" w:rsidRPr="00744166">
        <w:rPr>
          <w:lang w:val="en-GB"/>
        </w:rPr>
        <w:t>; 46</w:t>
      </w:r>
      <w:r w:rsidR="00744166" w:rsidRPr="00744166">
        <w:rPr>
          <w:lang w:val="en-GB"/>
        </w:rPr>
        <w:t>.</w:t>
      </w:r>
      <w:r w:rsidR="007479B9" w:rsidRPr="00744166">
        <w:rPr>
          <w:lang w:val="en-GB"/>
        </w:rPr>
        <w:t>3%).</w:t>
      </w:r>
      <w:r w:rsidR="001E5CC1" w:rsidRPr="00744166">
        <w:rPr>
          <w:lang w:val="en-GB"/>
        </w:rPr>
        <w:t xml:space="preserve"> </w:t>
      </w:r>
    </w:p>
    <w:p w:rsidR="007479B9" w:rsidRDefault="007479B9" w:rsidP="00DF524C">
      <w:pPr>
        <w:pStyle w:val="Zkladntext"/>
        <w:spacing w:line="276" w:lineRule="auto"/>
        <w:rPr>
          <w:highlight w:val="lightGray"/>
          <w:lang w:val="en-GB"/>
        </w:rPr>
      </w:pPr>
    </w:p>
    <w:p w:rsidR="001F1612" w:rsidRPr="003335AA" w:rsidRDefault="009E15E4" w:rsidP="00DF524C">
      <w:pPr>
        <w:pStyle w:val="Zkladntext"/>
        <w:spacing w:line="276" w:lineRule="auto"/>
        <w:rPr>
          <w:lang w:val="en-GB"/>
        </w:rPr>
      </w:pPr>
      <w:r w:rsidRPr="003335AA">
        <w:rPr>
          <w:lang w:val="en-GB"/>
        </w:rPr>
        <w:t xml:space="preserve">The age structure of vineyards was dominated by </w:t>
      </w:r>
      <w:r w:rsidR="00540DAF">
        <w:rPr>
          <w:lang w:val="en-GB"/>
        </w:rPr>
        <w:t>ones</w:t>
      </w:r>
      <w:r w:rsidRPr="003335AA">
        <w:rPr>
          <w:lang w:val="en-GB"/>
        </w:rPr>
        <w:t xml:space="preserve"> fully in production aged between 10 and 29 years. This category embraced 9 652.37 ha, i.e. more than one half of the total vineyard area (54.6%). </w:t>
      </w:r>
      <w:r w:rsidR="00744166" w:rsidRPr="003335AA">
        <w:rPr>
          <w:lang w:val="en-GB"/>
        </w:rPr>
        <w:t>New plantations up to 2 years old we</w:t>
      </w:r>
      <w:r w:rsidRPr="003335AA">
        <w:rPr>
          <w:lang w:val="en-GB"/>
        </w:rPr>
        <w:t>re planted on 1 187.50 ha (6.7%</w:t>
      </w:r>
      <w:r w:rsidR="00744166" w:rsidRPr="003335AA">
        <w:rPr>
          <w:lang w:val="en-GB"/>
        </w:rPr>
        <w:t>)</w:t>
      </w:r>
      <w:r w:rsidRPr="003335AA">
        <w:rPr>
          <w:lang w:val="en-GB"/>
        </w:rPr>
        <w:t>.</w:t>
      </w:r>
      <w:r w:rsidR="00744166" w:rsidRPr="003335AA">
        <w:rPr>
          <w:lang w:val="en-GB"/>
        </w:rPr>
        <w:t xml:space="preserve"> </w:t>
      </w:r>
      <w:r w:rsidRPr="003335AA">
        <w:rPr>
          <w:lang w:val="en-GB"/>
        </w:rPr>
        <w:t>Y</w:t>
      </w:r>
      <w:r w:rsidR="00744166" w:rsidRPr="003335AA">
        <w:rPr>
          <w:lang w:val="en-GB"/>
        </w:rPr>
        <w:t xml:space="preserve">oung plantations between 3 and 9 years old </w:t>
      </w:r>
      <w:r w:rsidRPr="003335AA">
        <w:rPr>
          <w:lang w:val="en-GB"/>
        </w:rPr>
        <w:t xml:space="preserve">were grown on </w:t>
      </w:r>
      <w:r w:rsidR="00744166" w:rsidRPr="003335AA">
        <w:rPr>
          <w:lang w:val="en-GB"/>
        </w:rPr>
        <w:t xml:space="preserve">1 673.79 ha (9.5%). Old plantations above 30 years </w:t>
      </w:r>
      <w:r w:rsidR="009F0E48" w:rsidRPr="003335AA">
        <w:rPr>
          <w:lang w:val="en-GB"/>
        </w:rPr>
        <w:t xml:space="preserve">old </w:t>
      </w:r>
      <w:r w:rsidR="00744166" w:rsidRPr="003335AA">
        <w:rPr>
          <w:lang w:val="en-GB"/>
        </w:rPr>
        <w:t xml:space="preserve">covered almost one third of vineyards – </w:t>
      </w:r>
      <w:r w:rsidR="00871C05" w:rsidRPr="003335AA">
        <w:rPr>
          <w:lang w:val="en-GB"/>
        </w:rPr>
        <w:t>5</w:t>
      </w:r>
      <w:r w:rsidR="00744166" w:rsidRPr="003335AA">
        <w:rPr>
          <w:lang w:val="en-GB"/>
        </w:rPr>
        <w:t> </w:t>
      </w:r>
      <w:r w:rsidR="00871C05" w:rsidRPr="003335AA">
        <w:rPr>
          <w:lang w:val="en-GB"/>
        </w:rPr>
        <w:t>174</w:t>
      </w:r>
      <w:r w:rsidR="00744166" w:rsidRPr="003335AA">
        <w:rPr>
          <w:lang w:val="en-GB"/>
        </w:rPr>
        <w:t>.</w:t>
      </w:r>
      <w:r w:rsidR="00871C05" w:rsidRPr="003335AA">
        <w:rPr>
          <w:lang w:val="en-GB"/>
        </w:rPr>
        <w:t>94</w:t>
      </w:r>
      <w:r w:rsidR="00AC6893" w:rsidRPr="003335AA">
        <w:rPr>
          <w:lang w:val="en-GB"/>
        </w:rPr>
        <w:t> </w:t>
      </w:r>
      <w:r w:rsidR="00871C05" w:rsidRPr="003335AA">
        <w:rPr>
          <w:lang w:val="en-GB"/>
        </w:rPr>
        <w:t>ha (29</w:t>
      </w:r>
      <w:r w:rsidR="00744166" w:rsidRPr="003335AA">
        <w:rPr>
          <w:lang w:val="en-GB"/>
        </w:rPr>
        <w:t>.</w:t>
      </w:r>
      <w:r w:rsidR="00871C05" w:rsidRPr="003335AA">
        <w:rPr>
          <w:lang w:val="en-GB"/>
        </w:rPr>
        <w:t>3 </w:t>
      </w:r>
      <w:r w:rsidR="001F1612" w:rsidRPr="003335AA">
        <w:rPr>
          <w:lang w:val="en-GB"/>
        </w:rPr>
        <w:t>%</w:t>
      </w:r>
      <w:r w:rsidR="00871C05" w:rsidRPr="003335AA">
        <w:rPr>
          <w:lang w:val="en-GB"/>
        </w:rPr>
        <w:t>)</w:t>
      </w:r>
      <w:r w:rsidR="009C65F8" w:rsidRPr="003335AA">
        <w:rPr>
          <w:lang w:val="en-GB"/>
        </w:rPr>
        <w:t>.</w:t>
      </w:r>
    </w:p>
    <w:p w:rsidR="001F1612" w:rsidRPr="003335AA" w:rsidRDefault="001F1612" w:rsidP="00DF524C">
      <w:pPr>
        <w:pStyle w:val="Zkladntext"/>
        <w:spacing w:line="276" w:lineRule="auto"/>
        <w:rPr>
          <w:highlight w:val="yellow"/>
          <w:lang w:val="en-GB"/>
        </w:rPr>
      </w:pPr>
    </w:p>
    <w:p w:rsidR="000B0271" w:rsidRPr="00A31489" w:rsidRDefault="000B0271" w:rsidP="00DF524C">
      <w:pPr>
        <w:pStyle w:val="Zkladntext"/>
        <w:spacing w:line="276" w:lineRule="auto"/>
        <w:rPr>
          <w:lang w:val="en-GB"/>
        </w:rPr>
      </w:pPr>
      <w:r w:rsidRPr="00A31489">
        <w:rPr>
          <w:lang w:val="en-GB"/>
        </w:rPr>
        <w:t xml:space="preserve">The </w:t>
      </w:r>
      <w:r w:rsidR="00DC3A9D" w:rsidRPr="00A31489">
        <w:rPr>
          <w:lang w:val="en-GB"/>
        </w:rPr>
        <w:t>largest</w:t>
      </w:r>
      <w:r w:rsidRPr="00A31489">
        <w:rPr>
          <w:lang w:val="en-GB"/>
        </w:rPr>
        <w:t xml:space="preserve"> share of young plantations aged </w:t>
      </w:r>
      <w:r w:rsidR="00793E5B" w:rsidRPr="00A31489">
        <w:rPr>
          <w:lang w:val="en-GB"/>
        </w:rPr>
        <w:t>less than</w:t>
      </w:r>
      <w:r w:rsidRPr="00A31489">
        <w:rPr>
          <w:lang w:val="en-GB"/>
        </w:rPr>
        <w:t xml:space="preserve"> 9 years was recorded in Středočeský Region (</w:t>
      </w:r>
      <w:r w:rsidR="009E15E4" w:rsidRPr="00A31489">
        <w:rPr>
          <w:lang w:val="en-GB"/>
        </w:rPr>
        <w:t>84.53</w:t>
      </w:r>
      <w:r w:rsidR="003335AA" w:rsidRPr="00A31489">
        <w:rPr>
          <w:lang w:val="en-GB"/>
        </w:rPr>
        <w:t> </w:t>
      </w:r>
      <w:r w:rsidR="009E15E4" w:rsidRPr="00A31489">
        <w:rPr>
          <w:lang w:val="en-GB"/>
        </w:rPr>
        <w:t xml:space="preserve">ha; </w:t>
      </w:r>
      <w:r w:rsidRPr="00A31489">
        <w:rPr>
          <w:lang w:val="en-GB"/>
        </w:rPr>
        <w:t>26.0%</w:t>
      </w:r>
      <w:r w:rsidR="009E15E4" w:rsidRPr="00A31489">
        <w:rPr>
          <w:lang w:val="en-GB"/>
        </w:rPr>
        <w:t xml:space="preserve"> of the vineyard area in this region</w:t>
      </w:r>
      <w:r w:rsidRPr="00A31489">
        <w:rPr>
          <w:lang w:val="en-GB"/>
        </w:rPr>
        <w:t xml:space="preserve">). The highest </w:t>
      </w:r>
      <w:r w:rsidR="009E15E4" w:rsidRPr="00A31489">
        <w:rPr>
          <w:lang w:val="en-GB"/>
        </w:rPr>
        <w:t>proportion</w:t>
      </w:r>
      <w:r w:rsidRPr="00A31489">
        <w:rPr>
          <w:lang w:val="en-GB"/>
        </w:rPr>
        <w:t xml:space="preserve"> of vineyards fully in production aged between 10 and 29 years was registered in Jihomoravský Region </w:t>
      </w:r>
      <w:r w:rsidR="009E15E4" w:rsidRPr="00A31489">
        <w:rPr>
          <w:lang w:val="en-GB"/>
        </w:rPr>
        <w:t>9 242.21 ha;</w:t>
      </w:r>
      <w:r w:rsidRPr="00A31489">
        <w:rPr>
          <w:lang w:val="en-GB"/>
        </w:rPr>
        <w:t xml:space="preserve"> 55.4%</w:t>
      </w:r>
      <w:r w:rsidR="009E15E4" w:rsidRPr="00A31489">
        <w:rPr>
          <w:lang w:val="en-GB"/>
        </w:rPr>
        <w:t xml:space="preserve"> of the total vineyard area in this region</w:t>
      </w:r>
      <w:r w:rsidR="00A31489" w:rsidRPr="00A31489">
        <w:rPr>
          <w:lang w:val="en-GB"/>
        </w:rPr>
        <w:t>)</w:t>
      </w:r>
      <w:r w:rsidRPr="00A31489">
        <w:rPr>
          <w:lang w:val="en-GB"/>
        </w:rPr>
        <w:t xml:space="preserve">. The </w:t>
      </w:r>
      <w:r w:rsidR="003F2DC9" w:rsidRPr="00A31489">
        <w:rPr>
          <w:lang w:val="en-GB"/>
        </w:rPr>
        <w:t>largest</w:t>
      </w:r>
      <w:r w:rsidRPr="00A31489">
        <w:rPr>
          <w:lang w:val="en-GB"/>
        </w:rPr>
        <w:t xml:space="preserve"> </w:t>
      </w:r>
      <w:r w:rsidR="009E15E4" w:rsidRPr="00A31489">
        <w:rPr>
          <w:lang w:val="en-GB"/>
        </w:rPr>
        <w:t>percentage</w:t>
      </w:r>
      <w:r w:rsidRPr="00A31489">
        <w:rPr>
          <w:lang w:val="en-GB"/>
        </w:rPr>
        <w:t xml:space="preserve"> in the oldest age class was noted in Ústecký Region, where </w:t>
      </w:r>
      <w:r w:rsidR="001B1D64" w:rsidRPr="00A31489">
        <w:rPr>
          <w:lang w:val="en-GB"/>
        </w:rPr>
        <w:t xml:space="preserve">more than one half of </w:t>
      </w:r>
      <w:r w:rsidRPr="00A31489">
        <w:rPr>
          <w:lang w:val="en-GB"/>
        </w:rPr>
        <w:t xml:space="preserve">vineyards </w:t>
      </w:r>
      <w:r w:rsidR="001B1D64" w:rsidRPr="00A31489">
        <w:rPr>
          <w:lang w:val="en-GB"/>
        </w:rPr>
        <w:t xml:space="preserve">were </w:t>
      </w:r>
      <w:r w:rsidRPr="00A31489">
        <w:rPr>
          <w:lang w:val="en-GB"/>
        </w:rPr>
        <w:t xml:space="preserve">older than 30 years </w:t>
      </w:r>
      <w:r w:rsidR="001B1D64" w:rsidRPr="00A31489">
        <w:rPr>
          <w:lang w:val="en-GB"/>
        </w:rPr>
        <w:t>(17</w:t>
      </w:r>
      <w:r w:rsidR="00105CC3">
        <w:rPr>
          <w:lang w:val="en-GB"/>
        </w:rPr>
        <w:t>3</w:t>
      </w:r>
      <w:r w:rsidR="001B1D64" w:rsidRPr="00A31489">
        <w:rPr>
          <w:lang w:val="en-GB"/>
        </w:rPr>
        <w:t>.66 ha;</w:t>
      </w:r>
      <w:r w:rsidRPr="00A31489">
        <w:rPr>
          <w:lang w:val="en-GB"/>
        </w:rPr>
        <w:t xml:space="preserve"> 55.9% of the vineyard area</w:t>
      </w:r>
      <w:r w:rsidR="001B1D64" w:rsidRPr="00A31489">
        <w:rPr>
          <w:lang w:val="en-GB"/>
        </w:rPr>
        <w:t xml:space="preserve"> in this region)</w:t>
      </w:r>
      <w:r w:rsidRPr="00A31489">
        <w:rPr>
          <w:lang w:val="en-GB"/>
        </w:rPr>
        <w:t>.</w:t>
      </w:r>
      <w:r w:rsidR="001B1D64" w:rsidRPr="00A31489">
        <w:rPr>
          <w:lang w:val="en-GB"/>
        </w:rPr>
        <w:t xml:space="preserve"> </w:t>
      </w:r>
    </w:p>
    <w:p w:rsidR="00F428FC" w:rsidRPr="003335AA" w:rsidRDefault="00F428FC" w:rsidP="00DF524C">
      <w:pPr>
        <w:pStyle w:val="Zkladntext"/>
        <w:spacing w:line="276" w:lineRule="auto"/>
        <w:rPr>
          <w:highlight w:val="yellow"/>
          <w:lang w:val="en-GB"/>
        </w:rPr>
      </w:pPr>
    </w:p>
    <w:p w:rsidR="000B0271" w:rsidRPr="00A31489" w:rsidRDefault="000B0271" w:rsidP="00DF524C">
      <w:pPr>
        <w:pStyle w:val="Zkladntext"/>
        <w:spacing w:line="276" w:lineRule="auto"/>
        <w:rPr>
          <w:lang w:val="en-GB"/>
        </w:rPr>
      </w:pPr>
      <w:r w:rsidRPr="00A31489">
        <w:rPr>
          <w:lang w:val="en-GB"/>
        </w:rPr>
        <w:t xml:space="preserve">Varieties with the highest share of young plantations less than 9 years old were Pinot </w:t>
      </w:r>
      <w:proofErr w:type="gramStart"/>
      <w:r w:rsidRPr="00A31489">
        <w:rPr>
          <w:lang w:val="en-GB"/>
        </w:rPr>
        <w:t>gris</w:t>
      </w:r>
      <w:proofErr w:type="gramEnd"/>
      <w:r w:rsidRPr="00A31489">
        <w:rPr>
          <w:lang w:val="en-GB"/>
        </w:rPr>
        <w:t xml:space="preserve"> (27.1% of the total vineyard area), Chardonnay (20.6%) and Sauvignon (17.9%).</w:t>
      </w:r>
      <w:r w:rsidR="008E5509" w:rsidRPr="00A31489">
        <w:rPr>
          <w:lang w:val="en-GB"/>
        </w:rPr>
        <w:t xml:space="preserve"> On the </w:t>
      </w:r>
      <w:r w:rsidR="00E87A10" w:rsidRPr="00A31489">
        <w:rPr>
          <w:lang w:val="en-GB"/>
        </w:rPr>
        <w:t>other hand</w:t>
      </w:r>
      <w:r w:rsidR="008E5509" w:rsidRPr="00A31489">
        <w:rPr>
          <w:lang w:val="en-GB"/>
        </w:rPr>
        <w:t xml:space="preserve">, the largest proportion of plantations aged over 30 years was recorded for traditional varieties </w:t>
      </w:r>
      <w:r w:rsidR="009F0E48" w:rsidRPr="00A31489">
        <w:rPr>
          <w:lang w:val="en-GB"/>
        </w:rPr>
        <w:t xml:space="preserve">as </w:t>
      </w:r>
      <w:r w:rsidR="008E5509" w:rsidRPr="00A31489">
        <w:rPr>
          <w:lang w:val="en-GB"/>
        </w:rPr>
        <w:t>Saint Laurent (57.9% of the total vineyard area), Veltliner grün (50.9%), Welschriesling (48.4%) and Müller Thurgau (44.5%).</w:t>
      </w:r>
    </w:p>
    <w:p w:rsidR="0055375E" w:rsidRPr="00A31489" w:rsidRDefault="0055375E" w:rsidP="00DF524C">
      <w:pPr>
        <w:pStyle w:val="Zkladntext"/>
        <w:spacing w:line="276" w:lineRule="auto"/>
        <w:rPr>
          <w:lang w:val="en-GB"/>
        </w:rPr>
      </w:pPr>
    </w:p>
    <w:p w:rsidR="00C65102" w:rsidRPr="00C65102" w:rsidRDefault="00C65102" w:rsidP="00DF524C">
      <w:pPr>
        <w:pStyle w:val="Zkladntext"/>
        <w:spacing w:line="276" w:lineRule="auto"/>
        <w:rPr>
          <w:b/>
          <w:lang w:val="en-GB"/>
        </w:rPr>
      </w:pPr>
      <w:r w:rsidRPr="00C65102">
        <w:rPr>
          <w:b/>
          <w:lang w:val="en-GB"/>
        </w:rPr>
        <w:t xml:space="preserve">Comparison of </w:t>
      </w:r>
      <w:r w:rsidRPr="00E22C21">
        <w:rPr>
          <w:b/>
          <w:lang w:val="en-GB"/>
        </w:rPr>
        <w:t>Vineyard</w:t>
      </w:r>
      <w:r w:rsidR="00E22C21">
        <w:rPr>
          <w:b/>
          <w:lang w:val="en-GB"/>
        </w:rPr>
        <w:t>s</w:t>
      </w:r>
      <w:r w:rsidRPr="00E22C21">
        <w:rPr>
          <w:b/>
          <w:lang w:val="en-GB"/>
        </w:rPr>
        <w:t xml:space="preserve"> Survey 2009 </w:t>
      </w:r>
      <w:r w:rsidRPr="00B83DC9">
        <w:rPr>
          <w:b/>
          <w:lang w:val="en-GB"/>
        </w:rPr>
        <w:t xml:space="preserve">and </w:t>
      </w:r>
      <w:r w:rsidR="00F1751D" w:rsidRPr="00B83DC9">
        <w:rPr>
          <w:b/>
          <w:lang w:val="en-GB"/>
        </w:rPr>
        <w:t>Vineyard</w:t>
      </w:r>
      <w:r w:rsidR="00376581" w:rsidRPr="00B83DC9">
        <w:rPr>
          <w:b/>
          <w:lang w:val="en-GB"/>
        </w:rPr>
        <w:t>s</w:t>
      </w:r>
      <w:r w:rsidR="00F1751D" w:rsidRPr="00B83DC9">
        <w:rPr>
          <w:b/>
          <w:lang w:val="en-GB"/>
        </w:rPr>
        <w:t xml:space="preserve"> 2015</w:t>
      </w:r>
      <w:r w:rsidR="00F1751D" w:rsidRPr="00376581">
        <w:rPr>
          <w:lang w:val="en-GB"/>
        </w:rPr>
        <w:t xml:space="preserve"> </w:t>
      </w:r>
    </w:p>
    <w:p w:rsidR="007A753F" w:rsidRPr="00A416FB" w:rsidRDefault="007A753F" w:rsidP="00DF524C">
      <w:pPr>
        <w:pStyle w:val="Zkladntext"/>
        <w:spacing w:line="276" w:lineRule="auto"/>
        <w:rPr>
          <w:highlight w:val="lightGray"/>
          <w:lang w:val="en-GB"/>
        </w:rPr>
      </w:pPr>
    </w:p>
    <w:p w:rsidR="00C65102" w:rsidRPr="00C65102" w:rsidRDefault="00C65102" w:rsidP="00DF524C">
      <w:pPr>
        <w:pStyle w:val="Zkladntext"/>
        <w:spacing w:line="276" w:lineRule="auto"/>
        <w:rPr>
          <w:lang w:val="en-GB"/>
        </w:rPr>
      </w:pPr>
      <w:r w:rsidRPr="00C65102">
        <w:rPr>
          <w:lang w:val="en-GB"/>
        </w:rPr>
        <w:t>The</w:t>
      </w:r>
      <w:r>
        <w:rPr>
          <w:lang w:val="en-GB"/>
        </w:rPr>
        <w:t xml:space="preserve"> Vineyard</w:t>
      </w:r>
      <w:r w:rsidR="00E22C21">
        <w:rPr>
          <w:lang w:val="en-GB"/>
        </w:rPr>
        <w:t>s</w:t>
      </w:r>
      <w:r>
        <w:rPr>
          <w:lang w:val="en-GB"/>
        </w:rPr>
        <w:t xml:space="preserve"> Survey 2009 did not involve vine growers with their vineyard area below 0.1 ha (see Methodological </w:t>
      </w:r>
      <w:r w:rsidR="00B17FDC">
        <w:rPr>
          <w:lang w:val="en-GB"/>
        </w:rPr>
        <w:t>notes</w:t>
      </w:r>
      <w:r>
        <w:rPr>
          <w:lang w:val="en-GB"/>
        </w:rPr>
        <w:t xml:space="preserve">). In 2015 this category included 7 581 vine growers (41.6% of the total number of holdings) who utilised 504.78 ha (2.9% of the total vineyard area). </w:t>
      </w:r>
      <w:r w:rsidR="00A0323F">
        <w:rPr>
          <w:lang w:val="en-GB"/>
        </w:rPr>
        <w:t>T</w:t>
      </w:r>
      <w:r>
        <w:rPr>
          <w:lang w:val="en-GB"/>
        </w:rPr>
        <w:t>he category up to 0.1 from the 2015 survey is not included in the following comparison.</w:t>
      </w:r>
    </w:p>
    <w:p w:rsidR="00B94614" w:rsidRPr="00A416FB" w:rsidRDefault="00B94614" w:rsidP="00DF524C">
      <w:pPr>
        <w:pStyle w:val="Zkladntext"/>
        <w:spacing w:line="276" w:lineRule="auto"/>
        <w:rPr>
          <w:highlight w:val="lightGray"/>
          <w:lang w:val="en-GB"/>
        </w:rPr>
      </w:pPr>
    </w:p>
    <w:p w:rsidR="00653249" w:rsidRPr="00653249" w:rsidRDefault="00653249" w:rsidP="00DF524C">
      <w:pPr>
        <w:pStyle w:val="Zkladntext"/>
        <w:spacing w:line="276" w:lineRule="auto"/>
        <w:rPr>
          <w:lang w:val="en-GB"/>
        </w:rPr>
      </w:pPr>
      <w:r w:rsidRPr="00653249">
        <w:rPr>
          <w:lang w:val="en-GB"/>
        </w:rPr>
        <w:t xml:space="preserve">During the </w:t>
      </w:r>
      <w:r>
        <w:rPr>
          <w:lang w:val="en-GB"/>
        </w:rPr>
        <w:t xml:space="preserve">last </w:t>
      </w:r>
      <w:r w:rsidR="00393F4D">
        <w:rPr>
          <w:lang w:val="en-GB"/>
        </w:rPr>
        <w:t xml:space="preserve">five years the vineyard area increased from </w:t>
      </w:r>
      <w:r w:rsidR="0043658B">
        <w:rPr>
          <w:lang w:val="en-GB"/>
        </w:rPr>
        <w:t>16 </w:t>
      </w:r>
      <w:r w:rsidR="00393F4D" w:rsidRPr="00393F4D">
        <w:rPr>
          <w:lang w:val="en-GB"/>
        </w:rPr>
        <w:t>290</w:t>
      </w:r>
      <w:r w:rsidR="00393F4D">
        <w:rPr>
          <w:lang w:val="en-GB"/>
        </w:rPr>
        <w:t>.</w:t>
      </w:r>
      <w:r w:rsidR="00393F4D" w:rsidRPr="00393F4D">
        <w:rPr>
          <w:lang w:val="en-GB"/>
        </w:rPr>
        <w:t xml:space="preserve">20 ha </w:t>
      </w:r>
      <w:r w:rsidR="00393F4D">
        <w:rPr>
          <w:lang w:val="en-GB"/>
        </w:rPr>
        <w:t>in</w:t>
      </w:r>
      <w:r w:rsidR="00393F4D" w:rsidRPr="00393F4D">
        <w:rPr>
          <w:lang w:val="en-GB"/>
        </w:rPr>
        <w:t xml:space="preserve"> 2009 </w:t>
      </w:r>
      <w:r w:rsidR="00393F4D">
        <w:rPr>
          <w:lang w:val="en-GB"/>
        </w:rPr>
        <w:t>to</w:t>
      </w:r>
      <w:r w:rsidR="00393F4D" w:rsidRPr="00393F4D">
        <w:rPr>
          <w:lang w:val="en-GB"/>
        </w:rPr>
        <w:t xml:space="preserve"> 17</w:t>
      </w:r>
      <w:r w:rsidR="00393F4D">
        <w:rPr>
          <w:lang w:val="en-GB"/>
        </w:rPr>
        <w:t> </w:t>
      </w:r>
      <w:r w:rsidR="00393F4D" w:rsidRPr="00393F4D">
        <w:rPr>
          <w:lang w:val="en-GB"/>
        </w:rPr>
        <w:t>183</w:t>
      </w:r>
      <w:r w:rsidR="00393F4D">
        <w:rPr>
          <w:lang w:val="en-GB"/>
        </w:rPr>
        <w:t>.</w:t>
      </w:r>
      <w:r w:rsidR="00393F4D" w:rsidRPr="00393F4D">
        <w:rPr>
          <w:lang w:val="en-GB"/>
        </w:rPr>
        <w:t xml:space="preserve">81 ha </w:t>
      </w:r>
      <w:r w:rsidR="00393F4D">
        <w:rPr>
          <w:lang w:val="en-GB"/>
        </w:rPr>
        <w:t>in</w:t>
      </w:r>
      <w:r w:rsidR="00393F4D" w:rsidRPr="00393F4D">
        <w:rPr>
          <w:lang w:val="en-GB"/>
        </w:rPr>
        <w:t xml:space="preserve"> 2015 (+5</w:t>
      </w:r>
      <w:r w:rsidR="00393F4D">
        <w:rPr>
          <w:lang w:val="en-GB"/>
        </w:rPr>
        <w:t>.</w:t>
      </w:r>
      <w:r w:rsidR="00393F4D" w:rsidRPr="00393F4D">
        <w:rPr>
          <w:lang w:val="en-GB"/>
        </w:rPr>
        <w:t>5%).</w:t>
      </w:r>
      <w:r w:rsidR="00393F4D">
        <w:rPr>
          <w:lang w:val="en-GB"/>
        </w:rPr>
        <w:t xml:space="preserve"> On the contrary, the number of vine growers declined from </w:t>
      </w:r>
      <w:r w:rsidR="00393F4D" w:rsidRPr="00393F4D">
        <w:rPr>
          <w:lang w:val="en-GB"/>
        </w:rPr>
        <w:t xml:space="preserve">10 919 </w:t>
      </w:r>
      <w:r w:rsidR="00393F4D">
        <w:rPr>
          <w:lang w:val="en-GB"/>
        </w:rPr>
        <w:t>to</w:t>
      </w:r>
      <w:r w:rsidR="00393F4D" w:rsidRPr="00393F4D">
        <w:rPr>
          <w:lang w:val="en-GB"/>
        </w:rPr>
        <w:t xml:space="preserve"> 10 635 (−2</w:t>
      </w:r>
      <w:r w:rsidR="00393F4D">
        <w:rPr>
          <w:lang w:val="en-GB"/>
        </w:rPr>
        <w:t>.</w:t>
      </w:r>
      <w:r w:rsidR="00393F4D" w:rsidRPr="00393F4D">
        <w:rPr>
          <w:lang w:val="en-GB"/>
        </w:rPr>
        <w:t>6%).</w:t>
      </w:r>
      <w:r w:rsidR="00393F4D">
        <w:rPr>
          <w:lang w:val="en-GB"/>
        </w:rPr>
        <w:t xml:space="preserve"> The average vineyard area grew from 1.49 ha in 2009 to 1.62 ha in 2015 (+8.3%). In the size class up to 1 ha, both the number of vine growers and vineyard area decreased by 4.0%</w:t>
      </w:r>
      <w:r w:rsidR="00BB4271">
        <w:rPr>
          <w:lang w:val="en-GB"/>
        </w:rPr>
        <w:t>;</w:t>
      </w:r>
      <w:r w:rsidR="00393F4D">
        <w:rPr>
          <w:lang w:val="en-GB"/>
        </w:rPr>
        <w:t xml:space="preserve"> the average area of 0.22 ha remained at the same level. An increase of both number of holdings and vineyard area was recorded in the size class from 1 to 30 ha </w:t>
      </w:r>
      <w:r w:rsidR="00393F4D" w:rsidRPr="00393F4D">
        <w:rPr>
          <w:lang w:val="en-GB"/>
        </w:rPr>
        <w:t>(+11</w:t>
      </w:r>
      <w:r w:rsidR="00393F4D">
        <w:rPr>
          <w:lang w:val="en-GB"/>
        </w:rPr>
        <w:t>.</w:t>
      </w:r>
      <w:r w:rsidR="00393F4D" w:rsidRPr="00393F4D">
        <w:rPr>
          <w:lang w:val="en-GB"/>
        </w:rPr>
        <w:t>2%</w:t>
      </w:r>
      <w:r w:rsidR="00393F4D">
        <w:rPr>
          <w:lang w:val="en-GB"/>
        </w:rPr>
        <w:t xml:space="preserve"> and</w:t>
      </w:r>
      <w:r w:rsidR="00393F4D" w:rsidRPr="00393F4D">
        <w:rPr>
          <w:lang w:val="en-GB"/>
        </w:rPr>
        <w:t xml:space="preserve"> +18</w:t>
      </w:r>
      <w:r w:rsidR="00393F4D">
        <w:rPr>
          <w:lang w:val="en-GB"/>
        </w:rPr>
        <w:t>.</w:t>
      </w:r>
      <w:r w:rsidR="00393F4D" w:rsidRPr="00393F4D">
        <w:rPr>
          <w:lang w:val="en-GB"/>
        </w:rPr>
        <w:t>3%</w:t>
      </w:r>
      <w:r w:rsidR="00393F4D">
        <w:rPr>
          <w:lang w:val="en-GB"/>
        </w:rPr>
        <w:t>, respectively</w:t>
      </w:r>
      <w:r w:rsidR="00393F4D" w:rsidRPr="00393F4D">
        <w:rPr>
          <w:lang w:val="en-GB"/>
        </w:rPr>
        <w:t>)</w:t>
      </w:r>
      <w:r w:rsidR="00393F4D">
        <w:rPr>
          <w:lang w:val="en-GB"/>
        </w:rPr>
        <w:t>; the</w:t>
      </w:r>
      <w:r w:rsidR="007E30B8">
        <w:rPr>
          <w:lang w:val="en-GB"/>
        </w:rPr>
        <w:t>ir</w:t>
      </w:r>
      <w:r w:rsidR="00393F4D">
        <w:rPr>
          <w:lang w:val="en-GB"/>
        </w:rPr>
        <w:t xml:space="preserve"> average area rose by 6.5% to 4.86 ha. In the largest size class </w:t>
      </w:r>
      <w:r w:rsidR="00393F4D" w:rsidRPr="00393F4D">
        <w:rPr>
          <w:lang w:val="en-GB"/>
        </w:rPr>
        <w:t>–</w:t>
      </w:r>
      <w:r w:rsidR="00393F4D">
        <w:rPr>
          <w:lang w:val="en-GB"/>
        </w:rPr>
        <w:t xml:space="preserve"> above 30 ha </w:t>
      </w:r>
      <w:r w:rsidR="00393F4D" w:rsidRPr="00393F4D">
        <w:rPr>
          <w:lang w:val="en-GB"/>
        </w:rPr>
        <w:t>–</w:t>
      </w:r>
      <w:r w:rsidR="00393F4D">
        <w:rPr>
          <w:lang w:val="en-GB"/>
        </w:rPr>
        <w:t xml:space="preserve"> 3 holdings disappeared and the area slightly grew (+1.7%). The average vineyard area increased </w:t>
      </w:r>
      <w:r w:rsidR="00892703">
        <w:rPr>
          <w:lang w:val="en-GB"/>
        </w:rPr>
        <w:t xml:space="preserve">in this size class </w:t>
      </w:r>
      <w:r w:rsidR="00393F4D">
        <w:rPr>
          <w:lang w:val="en-GB"/>
        </w:rPr>
        <w:t xml:space="preserve">by 4.6% to 91.42 ha. </w:t>
      </w:r>
    </w:p>
    <w:p w:rsidR="00B94614" w:rsidRPr="00A416FB" w:rsidRDefault="00B94614" w:rsidP="00DF524C">
      <w:pPr>
        <w:pStyle w:val="Zkladntext"/>
        <w:spacing w:line="276" w:lineRule="auto"/>
        <w:rPr>
          <w:highlight w:val="lightGray"/>
          <w:lang w:val="en-GB"/>
        </w:rPr>
      </w:pPr>
    </w:p>
    <w:p w:rsidR="00393F4D" w:rsidRPr="00393F4D" w:rsidRDefault="00393F4D" w:rsidP="00DF524C">
      <w:pPr>
        <w:pStyle w:val="Zkladntext"/>
        <w:spacing w:line="276" w:lineRule="auto"/>
        <w:rPr>
          <w:lang w:val="en-GB"/>
        </w:rPr>
      </w:pPr>
      <w:r w:rsidRPr="00393F4D">
        <w:rPr>
          <w:lang w:val="en-GB"/>
        </w:rPr>
        <w:t xml:space="preserve">Comparison of </w:t>
      </w:r>
      <w:r w:rsidR="002816EF">
        <w:rPr>
          <w:lang w:val="en-GB"/>
        </w:rPr>
        <w:t xml:space="preserve">results of both surveys </w:t>
      </w:r>
      <w:r>
        <w:rPr>
          <w:lang w:val="en-GB"/>
        </w:rPr>
        <w:t xml:space="preserve">concerning </w:t>
      </w:r>
      <w:r w:rsidR="00443A36">
        <w:rPr>
          <w:lang w:val="en-GB"/>
        </w:rPr>
        <w:t xml:space="preserve">vineyard area classified by </w:t>
      </w:r>
      <w:r>
        <w:rPr>
          <w:lang w:val="en-GB"/>
        </w:rPr>
        <w:t xml:space="preserve">legal form of vine growers, </w:t>
      </w:r>
      <w:r w:rsidR="00443A36">
        <w:rPr>
          <w:lang w:val="en-GB"/>
        </w:rPr>
        <w:t xml:space="preserve">size classes, </w:t>
      </w:r>
      <w:r>
        <w:rPr>
          <w:lang w:val="en-GB"/>
        </w:rPr>
        <w:t xml:space="preserve">varietal composition and age structure of vineyards is </w:t>
      </w:r>
      <w:r w:rsidR="00F52F97">
        <w:rPr>
          <w:lang w:val="en-GB"/>
        </w:rPr>
        <w:t>presented in the tables</w:t>
      </w:r>
      <w:r w:rsidR="002816EF">
        <w:rPr>
          <w:lang w:val="en-GB"/>
        </w:rPr>
        <w:t xml:space="preserve"> 10 to 13</w:t>
      </w:r>
      <w:r w:rsidR="00F52F97">
        <w:rPr>
          <w:lang w:val="en-GB"/>
        </w:rPr>
        <w:t>. The data are</w:t>
      </w:r>
      <w:r w:rsidR="00F52F97" w:rsidRPr="00F52F97">
        <w:rPr>
          <w:lang w:val="en-GB"/>
        </w:rPr>
        <w:t xml:space="preserve"> not fully comparable due to different methodology used</w:t>
      </w:r>
      <w:r w:rsidR="00BA65DC">
        <w:rPr>
          <w:lang w:val="en-GB"/>
        </w:rPr>
        <w:t xml:space="preserve"> in both surveys</w:t>
      </w:r>
      <w:r w:rsidR="00490134">
        <w:rPr>
          <w:lang w:val="en-GB"/>
        </w:rPr>
        <w:t xml:space="preserve"> (see Methodological notes)</w:t>
      </w:r>
      <w:r w:rsidR="00F52F97" w:rsidRPr="00F52F97">
        <w:rPr>
          <w:lang w:val="en-GB"/>
        </w:rPr>
        <w:t>.</w:t>
      </w:r>
    </w:p>
    <w:sectPr w:rsidR="00393F4D" w:rsidRPr="00393F4D" w:rsidSect="006B074D">
      <w:footerReference w:type="even" r:id="rId8"/>
      <w:footerReference w:type="default" r:id="rId9"/>
      <w:pgSz w:w="11906" w:h="16838"/>
      <w:pgMar w:top="1134" w:right="1134" w:bottom="1134" w:left="1134" w:header="1134" w:footer="8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5FF2" w:rsidRDefault="00E95FF2">
      <w:r>
        <w:separator/>
      </w:r>
    </w:p>
  </w:endnote>
  <w:endnote w:type="continuationSeparator" w:id="0">
    <w:p w:rsidR="00E95FF2" w:rsidRDefault="00E95F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6D6F" w:rsidRDefault="00EC2F9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086D6F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086D6F" w:rsidRDefault="00086D6F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6D6F" w:rsidRDefault="00086D6F">
    <w:pPr>
      <w:pStyle w:val="Zpat"/>
      <w:framePr w:wrap="around" w:vAnchor="text" w:hAnchor="margin" w:xAlign="center" w:y="1"/>
      <w:rPr>
        <w:rStyle w:val="slostrnky"/>
      </w:rPr>
    </w:pPr>
  </w:p>
  <w:p w:rsidR="00086D6F" w:rsidRDefault="00086D6F">
    <w:pPr>
      <w:pStyle w:val="Zpat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5FF2" w:rsidRDefault="00E95FF2">
      <w:r>
        <w:separator/>
      </w:r>
    </w:p>
  </w:footnote>
  <w:footnote w:type="continuationSeparator" w:id="0">
    <w:p w:rsidR="00E95FF2" w:rsidRDefault="00E95FF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6C0299"/>
    <w:multiLevelType w:val="hybridMultilevel"/>
    <w:tmpl w:val="B5E0FF56"/>
    <w:lvl w:ilvl="0" w:tplc="C02A922C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1DC430A"/>
    <w:multiLevelType w:val="multilevel"/>
    <w:tmpl w:val="1080472A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oNotTrackMoves/>
  <w:defaultTabStop w:val="708"/>
  <w:hyphenationZone w:val="425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07EA"/>
    <w:rsid w:val="00010669"/>
    <w:rsid w:val="00012DD2"/>
    <w:rsid w:val="00033751"/>
    <w:rsid w:val="00051F78"/>
    <w:rsid w:val="00056ED6"/>
    <w:rsid w:val="00057F9B"/>
    <w:rsid w:val="0006263B"/>
    <w:rsid w:val="00062E2D"/>
    <w:rsid w:val="00082A62"/>
    <w:rsid w:val="00086D6F"/>
    <w:rsid w:val="00090A55"/>
    <w:rsid w:val="000A53EC"/>
    <w:rsid w:val="000B0271"/>
    <w:rsid w:val="000B1097"/>
    <w:rsid w:val="000B7090"/>
    <w:rsid w:val="000D15E1"/>
    <w:rsid w:val="000E10E5"/>
    <w:rsid w:val="00101F65"/>
    <w:rsid w:val="001033AB"/>
    <w:rsid w:val="00105CC3"/>
    <w:rsid w:val="00113A35"/>
    <w:rsid w:val="00123492"/>
    <w:rsid w:val="0013020F"/>
    <w:rsid w:val="001433DB"/>
    <w:rsid w:val="001516DF"/>
    <w:rsid w:val="00152901"/>
    <w:rsid w:val="00156E15"/>
    <w:rsid w:val="00160A27"/>
    <w:rsid w:val="0016332D"/>
    <w:rsid w:val="00164DA4"/>
    <w:rsid w:val="0018234D"/>
    <w:rsid w:val="00182F27"/>
    <w:rsid w:val="00183CB5"/>
    <w:rsid w:val="00193E12"/>
    <w:rsid w:val="001A316D"/>
    <w:rsid w:val="001A3CF6"/>
    <w:rsid w:val="001B1D64"/>
    <w:rsid w:val="001B6848"/>
    <w:rsid w:val="001C7BBF"/>
    <w:rsid w:val="001D3007"/>
    <w:rsid w:val="001D4014"/>
    <w:rsid w:val="001D625E"/>
    <w:rsid w:val="001E5CC1"/>
    <w:rsid w:val="001F1612"/>
    <w:rsid w:val="0020357C"/>
    <w:rsid w:val="00216C07"/>
    <w:rsid w:val="00233014"/>
    <w:rsid w:val="00236658"/>
    <w:rsid w:val="002377C0"/>
    <w:rsid w:val="00245845"/>
    <w:rsid w:val="0026546F"/>
    <w:rsid w:val="00266E95"/>
    <w:rsid w:val="002816EF"/>
    <w:rsid w:val="00283521"/>
    <w:rsid w:val="00283A57"/>
    <w:rsid w:val="002C6F8A"/>
    <w:rsid w:val="002E5680"/>
    <w:rsid w:val="002F019C"/>
    <w:rsid w:val="002F1749"/>
    <w:rsid w:val="002F1A03"/>
    <w:rsid w:val="002F4C7A"/>
    <w:rsid w:val="002F504A"/>
    <w:rsid w:val="002F6D5E"/>
    <w:rsid w:val="00311AD0"/>
    <w:rsid w:val="00313627"/>
    <w:rsid w:val="003335AA"/>
    <w:rsid w:val="00334939"/>
    <w:rsid w:val="00343509"/>
    <w:rsid w:val="00360345"/>
    <w:rsid w:val="00362B5D"/>
    <w:rsid w:val="003648CE"/>
    <w:rsid w:val="00367258"/>
    <w:rsid w:val="00376581"/>
    <w:rsid w:val="00380EE7"/>
    <w:rsid w:val="003830CD"/>
    <w:rsid w:val="00383556"/>
    <w:rsid w:val="00386CBA"/>
    <w:rsid w:val="00393F4D"/>
    <w:rsid w:val="00393FCA"/>
    <w:rsid w:val="00396F3C"/>
    <w:rsid w:val="003A0372"/>
    <w:rsid w:val="003A4D49"/>
    <w:rsid w:val="003B0707"/>
    <w:rsid w:val="003B48A7"/>
    <w:rsid w:val="003C4FE1"/>
    <w:rsid w:val="003C64D1"/>
    <w:rsid w:val="003D4C6B"/>
    <w:rsid w:val="003E3957"/>
    <w:rsid w:val="003F2DC9"/>
    <w:rsid w:val="00402912"/>
    <w:rsid w:val="00404F25"/>
    <w:rsid w:val="00413271"/>
    <w:rsid w:val="00413FC5"/>
    <w:rsid w:val="0043658B"/>
    <w:rsid w:val="00443A36"/>
    <w:rsid w:val="004461A9"/>
    <w:rsid w:val="00446718"/>
    <w:rsid w:val="004510A0"/>
    <w:rsid w:val="00470DB7"/>
    <w:rsid w:val="004724CC"/>
    <w:rsid w:val="004740F7"/>
    <w:rsid w:val="004773E9"/>
    <w:rsid w:val="004828D7"/>
    <w:rsid w:val="00490134"/>
    <w:rsid w:val="00491BDF"/>
    <w:rsid w:val="004A46D8"/>
    <w:rsid w:val="004B44BE"/>
    <w:rsid w:val="004B4E27"/>
    <w:rsid w:val="004C4716"/>
    <w:rsid w:val="004C4FA0"/>
    <w:rsid w:val="004D5C56"/>
    <w:rsid w:val="004F1707"/>
    <w:rsid w:val="004F34E1"/>
    <w:rsid w:val="004F4C8D"/>
    <w:rsid w:val="004F627F"/>
    <w:rsid w:val="005132D0"/>
    <w:rsid w:val="00524291"/>
    <w:rsid w:val="005407E2"/>
    <w:rsid w:val="00540DAF"/>
    <w:rsid w:val="00551F9A"/>
    <w:rsid w:val="00552947"/>
    <w:rsid w:val="0055375E"/>
    <w:rsid w:val="005811CD"/>
    <w:rsid w:val="005A12F2"/>
    <w:rsid w:val="005B1315"/>
    <w:rsid w:val="005B1C8D"/>
    <w:rsid w:val="005D5441"/>
    <w:rsid w:val="005E15FE"/>
    <w:rsid w:val="005E788B"/>
    <w:rsid w:val="005F638A"/>
    <w:rsid w:val="005F7A60"/>
    <w:rsid w:val="00605360"/>
    <w:rsid w:val="00607D2B"/>
    <w:rsid w:val="00612EDD"/>
    <w:rsid w:val="00617DD8"/>
    <w:rsid w:val="00624B88"/>
    <w:rsid w:val="006253A4"/>
    <w:rsid w:val="006257B4"/>
    <w:rsid w:val="00634E3D"/>
    <w:rsid w:val="006353B7"/>
    <w:rsid w:val="0063572B"/>
    <w:rsid w:val="006401F1"/>
    <w:rsid w:val="00645F29"/>
    <w:rsid w:val="00653249"/>
    <w:rsid w:val="0067327C"/>
    <w:rsid w:val="006B074D"/>
    <w:rsid w:val="006B3FD4"/>
    <w:rsid w:val="006D1986"/>
    <w:rsid w:val="006F4CC0"/>
    <w:rsid w:val="006F5A1A"/>
    <w:rsid w:val="00701643"/>
    <w:rsid w:val="00705F39"/>
    <w:rsid w:val="00710B6D"/>
    <w:rsid w:val="007156C2"/>
    <w:rsid w:val="00723A64"/>
    <w:rsid w:val="007314F6"/>
    <w:rsid w:val="00744166"/>
    <w:rsid w:val="00745659"/>
    <w:rsid w:val="007457E3"/>
    <w:rsid w:val="007479B9"/>
    <w:rsid w:val="00747A30"/>
    <w:rsid w:val="00751F6A"/>
    <w:rsid w:val="00755E64"/>
    <w:rsid w:val="0076107F"/>
    <w:rsid w:val="0076392C"/>
    <w:rsid w:val="007669A7"/>
    <w:rsid w:val="007864C1"/>
    <w:rsid w:val="00786F53"/>
    <w:rsid w:val="00791498"/>
    <w:rsid w:val="00793BDB"/>
    <w:rsid w:val="00793E5B"/>
    <w:rsid w:val="007A4878"/>
    <w:rsid w:val="007A753F"/>
    <w:rsid w:val="007A796A"/>
    <w:rsid w:val="007B2705"/>
    <w:rsid w:val="007B6283"/>
    <w:rsid w:val="007B6AED"/>
    <w:rsid w:val="007C0D96"/>
    <w:rsid w:val="007D4F0E"/>
    <w:rsid w:val="007D60DD"/>
    <w:rsid w:val="007E0443"/>
    <w:rsid w:val="007E30B8"/>
    <w:rsid w:val="00811A30"/>
    <w:rsid w:val="00812C67"/>
    <w:rsid w:val="0081795E"/>
    <w:rsid w:val="00820D78"/>
    <w:rsid w:val="008234C4"/>
    <w:rsid w:val="00823F6E"/>
    <w:rsid w:val="0083621E"/>
    <w:rsid w:val="008400E4"/>
    <w:rsid w:val="00845BFD"/>
    <w:rsid w:val="008479CB"/>
    <w:rsid w:val="008510F4"/>
    <w:rsid w:val="00855850"/>
    <w:rsid w:val="00871C05"/>
    <w:rsid w:val="00873B56"/>
    <w:rsid w:val="00874A74"/>
    <w:rsid w:val="008777F6"/>
    <w:rsid w:val="00881423"/>
    <w:rsid w:val="008834BE"/>
    <w:rsid w:val="008904F8"/>
    <w:rsid w:val="00892703"/>
    <w:rsid w:val="00892BFA"/>
    <w:rsid w:val="008933D3"/>
    <w:rsid w:val="00893EB0"/>
    <w:rsid w:val="008A210C"/>
    <w:rsid w:val="008A45E3"/>
    <w:rsid w:val="008B0AE0"/>
    <w:rsid w:val="008B317C"/>
    <w:rsid w:val="008C323C"/>
    <w:rsid w:val="008D505D"/>
    <w:rsid w:val="008D6040"/>
    <w:rsid w:val="008E5509"/>
    <w:rsid w:val="008F41AB"/>
    <w:rsid w:val="008F4F6B"/>
    <w:rsid w:val="008F7EC7"/>
    <w:rsid w:val="00903131"/>
    <w:rsid w:val="009144F7"/>
    <w:rsid w:val="009201FC"/>
    <w:rsid w:val="00926462"/>
    <w:rsid w:val="00927796"/>
    <w:rsid w:val="00936055"/>
    <w:rsid w:val="009472BF"/>
    <w:rsid w:val="00947947"/>
    <w:rsid w:val="00956462"/>
    <w:rsid w:val="00965513"/>
    <w:rsid w:val="00971B79"/>
    <w:rsid w:val="009743B3"/>
    <w:rsid w:val="00984360"/>
    <w:rsid w:val="009845FC"/>
    <w:rsid w:val="00987ABF"/>
    <w:rsid w:val="009C2C6F"/>
    <w:rsid w:val="009C65F8"/>
    <w:rsid w:val="009E15E4"/>
    <w:rsid w:val="009E44BF"/>
    <w:rsid w:val="009F0E48"/>
    <w:rsid w:val="00A0323F"/>
    <w:rsid w:val="00A12C8F"/>
    <w:rsid w:val="00A16177"/>
    <w:rsid w:val="00A31489"/>
    <w:rsid w:val="00A416FB"/>
    <w:rsid w:val="00A55ACF"/>
    <w:rsid w:val="00A570C7"/>
    <w:rsid w:val="00A73D15"/>
    <w:rsid w:val="00A80E4D"/>
    <w:rsid w:val="00A837FC"/>
    <w:rsid w:val="00A97365"/>
    <w:rsid w:val="00AA381A"/>
    <w:rsid w:val="00AA6A03"/>
    <w:rsid w:val="00AB2C63"/>
    <w:rsid w:val="00AC33A0"/>
    <w:rsid w:val="00AC43D5"/>
    <w:rsid w:val="00AC4EB8"/>
    <w:rsid w:val="00AC6893"/>
    <w:rsid w:val="00AD04C5"/>
    <w:rsid w:val="00AD6EBB"/>
    <w:rsid w:val="00AF0A04"/>
    <w:rsid w:val="00B17FDC"/>
    <w:rsid w:val="00B235DD"/>
    <w:rsid w:val="00B32C90"/>
    <w:rsid w:val="00B401FA"/>
    <w:rsid w:val="00B42384"/>
    <w:rsid w:val="00B42A64"/>
    <w:rsid w:val="00B4567E"/>
    <w:rsid w:val="00B4684D"/>
    <w:rsid w:val="00B5034C"/>
    <w:rsid w:val="00B72B57"/>
    <w:rsid w:val="00B83DC9"/>
    <w:rsid w:val="00B90421"/>
    <w:rsid w:val="00B93BC0"/>
    <w:rsid w:val="00B94614"/>
    <w:rsid w:val="00B9675C"/>
    <w:rsid w:val="00BA05A7"/>
    <w:rsid w:val="00BA65DC"/>
    <w:rsid w:val="00BA7C6C"/>
    <w:rsid w:val="00BB294A"/>
    <w:rsid w:val="00BB4271"/>
    <w:rsid w:val="00BC7796"/>
    <w:rsid w:val="00BD5EE8"/>
    <w:rsid w:val="00BE1D97"/>
    <w:rsid w:val="00BF4E10"/>
    <w:rsid w:val="00C13B1C"/>
    <w:rsid w:val="00C15A05"/>
    <w:rsid w:val="00C17D7E"/>
    <w:rsid w:val="00C247E6"/>
    <w:rsid w:val="00C37174"/>
    <w:rsid w:val="00C61F64"/>
    <w:rsid w:val="00C62E41"/>
    <w:rsid w:val="00C65102"/>
    <w:rsid w:val="00C83B5C"/>
    <w:rsid w:val="00C84CAB"/>
    <w:rsid w:val="00C90794"/>
    <w:rsid w:val="00C92A0B"/>
    <w:rsid w:val="00C94D83"/>
    <w:rsid w:val="00C955F6"/>
    <w:rsid w:val="00CA629E"/>
    <w:rsid w:val="00CB119D"/>
    <w:rsid w:val="00CB39D2"/>
    <w:rsid w:val="00CB6F79"/>
    <w:rsid w:val="00CB77D2"/>
    <w:rsid w:val="00CC4AAF"/>
    <w:rsid w:val="00CC4EEB"/>
    <w:rsid w:val="00CC6F88"/>
    <w:rsid w:val="00CD453E"/>
    <w:rsid w:val="00CD7A40"/>
    <w:rsid w:val="00CE4508"/>
    <w:rsid w:val="00D07AD5"/>
    <w:rsid w:val="00D112DA"/>
    <w:rsid w:val="00D11475"/>
    <w:rsid w:val="00D12862"/>
    <w:rsid w:val="00D16888"/>
    <w:rsid w:val="00D34492"/>
    <w:rsid w:val="00D62286"/>
    <w:rsid w:val="00D81C44"/>
    <w:rsid w:val="00D867DA"/>
    <w:rsid w:val="00D86E6C"/>
    <w:rsid w:val="00D93DFA"/>
    <w:rsid w:val="00DB02A5"/>
    <w:rsid w:val="00DB06D8"/>
    <w:rsid w:val="00DC3A9D"/>
    <w:rsid w:val="00DC42DB"/>
    <w:rsid w:val="00DC6E50"/>
    <w:rsid w:val="00DD3F35"/>
    <w:rsid w:val="00DE15F8"/>
    <w:rsid w:val="00DE4B84"/>
    <w:rsid w:val="00DE526F"/>
    <w:rsid w:val="00DF44A1"/>
    <w:rsid w:val="00DF524C"/>
    <w:rsid w:val="00DF7176"/>
    <w:rsid w:val="00E22C21"/>
    <w:rsid w:val="00E37C3C"/>
    <w:rsid w:val="00E42283"/>
    <w:rsid w:val="00E451AE"/>
    <w:rsid w:val="00E469CD"/>
    <w:rsid w:val="00E507EA"/>
    <w:rsid w:val="00E60E41"/>
    <w:rsid w:val="00E67B09"/>
    <w:rsid w:val="00E75383"/>
    <w:rsid w:val="00E8787D"/>
    <w:rsid w:val="00E87A10"/>
    <w:rsid w:val="00E91140"/>
    <w:rsid w:val="00E94308"/>
    <w:rsid w:val="00E95FF2"/>
    <w:rsid w:val="00EA3715"/>
    <w:rsid w:val="00EB4C36"/>
    <w:rsid w:val="00EC2F93"/>
    <w:rsid w:val="00ED2F8E"/>
    <w:rsid w:val="00ED52C2"/>
    <w:rsid w:val="00EE40D6"/>
    <w:rsid w:val="00EF234E"/>
    <w:rsid w:val="00F05A5E"/>
    <w:rsid w:val="00F06B60"/>
    <w:rsid w:val="00F108AA"/>
    <w:rsid w:val="00F1751D"/>
    <w:rsid w:val="00F225E4"/>
    <w:rsid w:val="00F25259"/>
    <w:rsid w:val="00F428FC"/>
    <w:rsid w:val="00F45FCB"/>
    <w:rsid w:val="00F460FE"/>
    <w:rsid w:val="00F52F97"/>
    <w:rsid w:val="00F5582A"/>
    <w:rsid w:val="00F62ED6"/>
    <w:rsid w:val="00F63AF9"/>
    <w:rsid w:val="00F64FA3"/>
    <w:rsid w:val="00F66796"/>
    <w:rsid w:val="00F95C01"/>
    <w:rsid w:val="00FB1C75"/>
    <w:rsid w:val="00FB1FB2"/>
    <w:rsid w:val="00FC11FF"/>
    <w:rsid w:val="00FC2642"/>
    <w:rsid w:val="00FC425C"/>
    <w:rsid w:val="00FD78FD"/>
    <w:rsid w:val="00FE38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C2F93"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rsid w:val="00EC2F93"/>
    <w:pPr>
      <w:keepNext/>
      <w:spacing w:before="240"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basedOn w:val="Normln"/>
    <w:next w:val="Normln"/>
    <w:qFormat/>
    <w:rsid w:val="00EC2F93"/>
    <w:pPr>
      <w:keepNext/>
      <w:spacing w:before="240" w:after="24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qFormat/>
    <w:rsid w:val="00EC2F93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EC2F93"/>
    <w:pPr>
      <w:spacing w:before="240" w:after="240"/>
      <w:jc w:val="center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normalnsodrkami">
    <w:name w:val="normalní s odrážkami"/>
    <w:basedOn w:val="Normln"/>
    <w:rsid w:val="00EC2F93"/>
    <w:pPr>
      <w:numPr>
        <w:numId w:val="3"/>
      </w:numPr>
    </w:pPr>
  </w:style>
  <w:style w:type="paragraph" w:styleId="Zpat">
    <w:name w:val="footer"/>
    <w:basedOn w:val="Normln"/>
    <w:semiHidden/>
    <w:rsid w:val="00EC2F9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EC2F93"/>
  </w:style>
  <w:style w:type="paragraph" w:styleId="Zkladntextodsazen2">
    <w:name w:val="Body Text Indent 2"/>
    <w:basedOn w:val="Normln"/>
    <w:semiHidden/>
    <w:rsid w:val="00EC2F93"/>
    <w:pPr>
      <w:spacing w:line="360" w:lineRule="auto"/>
      <w:ind w:firstLine="709"/>
    </w:pPr>
    <w:rPr>
      <w:rFonts w:cs="Arial"/>
      <w:sz w:val="24"/>
    </w:rPr>
  </w:style>
  <w:style w:type="paragraph" w:styleId="Zkladntext">
    <w:name w:val="Body Text"/>
    <w:basedOn w:val="Normln"/>
    <w:semiHidden/>
    <w:rsid w:val="00EC2F93"/>
  </w:style>
  <w:style w:type="paragraph" w:styleId="Zkladntext2">
    <w:name w:val="Body Text 2"/>
    <w:basedOn w:val="Normln"/>
    <w:semiHidden/>
    <w:rsid w:val="00EC2F93"/>
    <w:pPr>
      <w:jc w:val="left"/>
    </w:pPr>
    <w:rPr>
      <w:rFonts w:ascii="Times New Roman" w:hAnsi="Times New Roman"/>
      <w:sz w:val="24"/>
    </w:rPr>
  </w:style>
  <w:style w:type="paragraph" w:styleId="Zhlav">
    <w:name w:val="header"/>
    <w:basedOn w:val="Normln"/>
    <w:semiHidden/>
    <w:rsid w:val="00EC2F93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F66796"/>
    <w:rPr>
      <w:rFonts w:ascii="Tahoma" w:hAnsi="Tahoma"/>
      <w:sz w:val="16"/>
      <w:szCs w:val="16"/>
      <w:lang/>
    </w:rPr>
  </w:style>
  <w:style w:type="character" w:customStyle="1" w:styleId="TextbublinyChar">
    <w:name w:val="Text bubliny Char"/>
    <w:link w:val="Textbubliny"/>
    <w:uiPriority w:val="99"/>
    <w:semiHidden/>
    <w:rsid w:val="00F66796"/>
    <w:rPr>
      <w:rFonts w:ascii="Tahoma" w:hAnsi="Tahoma" w:cs="Tahoma"/>
      <w:sz w:val="16"/>
      <w:szCs w:val="16"/>
    </w:rPr>
  </w:style>
  <w:style w:type="paragraph" w:customStyle="1" w:styleId="CM1">
    <w:name w:val="CM1"/>
    <w:basedOn w:val="Normln"/>
    <w:next w:val="Normln"/>
    <w:uiPriority w:val="99"/>
    <w:rsid w:val="004828D7"/>
    <w:pPr>
      <w:autoSpaceDE w:val="0"/>
      <w:autoSpaceDN w:val="0"/>
      <w:adjustRightInd w:val="0"/>
      <w:jc w:val="left"/>
    </w:pPr>
    <w:rPr>
      <w:rFonts w:ascii="EUAlbertina" w:hAnsi="EUAlbertina"/>
      <w:sz w:val="24"/>
    </w:rPr>
  </w:style>
  <w:style w:type="paragraph" w:customStyle="1" w:styleId="CM3">
    <w:name w:val="CM3"/>
    <w:basedOn w:val="Normln"/>
    <w:next w:val="Normln"/>
    <w:uiPriority w:val="99"/>
    <w:rsid w:val="004828D7"/>
    <w:pPr>
      <w:autoSpaceDE w:val="0"/>
      <w:autoSpaceDN w:val="0"/>
      <w:adjustRightInd w:val="0"/>
      <w:jc w:val="left"/>
    </w:pPr>
    <w:rPr>
      <w:rFonts w:ascii="EUAlbertina" w:hAnsi="EUAlbertina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536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4F7D6F-C065-47D6-8726-DC04C3655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1078</Words>
  <Characters>6367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Komentář</vt:lpstr>
    </vt:vector>
  </TitlesOfParts>
  <Company>CSU</Company>
  <LinksUpToDate>false</LinksUpToDate>
  <CharactersWithSpaces>7431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Komentář</dc:title>
  <dc:creator>system service</dc:creator>
  <cp:lastModifiedBy>macova4870</cp:lastModifiedBy>
  <cp:revision>4</cp:revision>
  <cp:lastPrinted>2016-09-30T09:26:00Z</cp:lastPrinted>
  <dcterms:created xsi:type="dcterms:W3CDTF">2016-10-03T08:56:00Z</dcterms:created>
  <dcterms:modified xsi:type="dcterms:W3CDTF">2016-10-05T09:28:00Z</dcterms:modified>
</cp:coreProperties>
</file>