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5B" w:rsidRDefault="00E90EF6" w:rsidP="00BB0D53">
      <w:pPr>
        <w:pStyle w:val="Nadpis2"/>
        <w:spacing w:before="0" w:after="0" w:line="276" w:lineRule="auto"/>
        <w:jc w:val="center"/>
        <w:rPr>
          <w:sz w:val="28"/>
          <w:lang w:val="en-GB"/>
        </w:rPr>
      </w:pPr>
      <w:r>
        <w:rPr>
          <w:sz w:val="28"/>
          <w:lang w:val="en-GB"/>
        </w:rPr>
        <w:t>Methodological notes</w:t>
      </w:r>
    </w:p>
    <w:p w:rsidR="00BB0D53" w:rsidRPr="00BB0D53" w:rsidRDefault="00BB0D53" w:rsidP="00BB0D53">
      <w:pPr>
        <w:rPr>
          <w:lang w:val="en-GB"/>
        </w:rPr>
      </w:pPr>
    </w:p>
    <w:p w:rsidR="00E90EF6" w:rsidRDefault="00E90EF6" w:rsidP="00BB0D53">
      <w:pPr>
        <w:spacing w:line="276" w:lineRule="auto"/>
        <w:rPr>
          <w:lang w:val="en-GB"/>
        </w:rPr>
      </w:pPr>
      <w:r w:rsidRPr="0089263B">
        <w:rPr>
          <w:rFonts w:cs="Arial"/>
          <w:lang w:val="en-GB"/>
        </w:rPr>
        <w:t xml:space="preserve">The </w:t>
      </w:r>
      <w:r w:rsidR="00236B2C" w:rsidRPr="0089263B">
        <w:rPr>
          <w:rFonts w:cs="Arial"/>
          <w:lang w:val="en-GB"/>
        </w:rPr>
        <w:t>Vineyard</w:t>
      </w:r>
      <w:r w:rsidR="0089263B" w:rsidRPr="0089263B">
        <w:rPr>
          <w:rFonts w:cs="Arial"/>
          <w:lang w:val="en-GB"/>
        </w:rPr>
        <w:t>s</w:t>
      </w:r>
      <w:r w:rsidR="00236B2C" w:rsidRPr="0089263B">
        <w:rPr>
          <w:rFonts w:cs="Arial"/>
          <w:lang w:val="en-GB"/>
        </w:rPr>
        <w:t xml:space="preserve"> </w:t>
      </w:r>
      <w:r w:rsidR="00397FAD" w:rsidRPr="0089263B">
        <w:rPr>
          <w:rFonts w:cs="Arial"/>
          <w:lang w:val="en-GB"/>
        </w:rPr>
        <w:t xml:space="preserve">2015 </w:t>
      </w:r>
      <w:r w:rsidR="0089263B" w:rsidRPr="0089263B">
        <w:rPr>
          <w:rFonts w:cs="Arial"/>
          <w:lang w:val="en-GB"/>
        </w:rPr>
        <w:t xml:space="preserve">structure survey </w:t>
      </w:r>
      <w:r w:rsidRPr="00E90EF6">
        <w:rPr>
          <w:rFonts w:cs="Arial"/>
          <w:lang w:val="en-GB"/>
        </w:rPr>
        <w:t>was</w:t>
      </w:r>
      <w:r w:rsidR="00CD1E12">
        <w:rPr>
          <w:rFonts w:cs="Arial"/>
          <w:lang w:val="en-GB"/>
        </w:rPr>
        <w:t xml:space="preserve"> the </w:t>
      </w:r>
      <w:r w:rsidRPr="00E90EF6">
        <w:rPr>
          <w:rFonts w:cs="Arial"/>
          <w:lang w:val="en-GB"/>
        </w:rPr>
        <w:t xml:space="preserve">first </w:t>
      </w:r>
      <w:r w:rsidR="00CD1E12">
        <w:rPr>
          <w:rFonts w:cs="Arial"/>
          <w:lang w:val="en-GB"/>
        </w:rPr>
        <w:t>survey</w:t>
      </w:r>
      <w:r w:rsidRPr="00E90EF6">
        <w:rPr>
          <w:rFonts w:cs="Arial"/>
          <w:lang w:val="en-GB"/>
        </w:rPr>
        <w:t xml:space="preserve"> </w:t>
      </w:r>
      <w:r w:rsidR="00397FAD" w:rsidRPr="00E90EF6">
        <w:rPr>
          <w:rFonts w:cs="Arial"/>
          <w:lang w:val="en-GB"/>
        </w:rPr>
        <w:t xml:space="preserve">conducted </w:t>
      </w:r>
      <w:r w:rsidRPr="00E90EF6">
        <w:rPr>
          <w:rFonts w:cs="Arial"/>
          <w:lang w:val="en-GB"/>
        </w:rPr>
        <w:t xml:space="preserve">in accordance with </w:t>
      </w:r>
      <w:r w:rsidRPr="00E90EF6">
        <w:rPr>
          <w:lang w:val="en-GB"/>
        </w:rPr>
        <w:t>Regulation (EU) No 1337/2011 of the European Parliament and of the Council of 13 December 2011 concerning European statistics on permanent crops and repealing Council Regulation (EEC) No 357/79 and Directive 2001/109/EC of the European Parliament and of the Council</w:t>
      </w:r>
      <w:r w:rsidR="005F7D6B">
        <w:rPr>
          <w:lang w:val="en-GB"/>
        </w:rPr>
        <w:t xml:space="preserve"> (</w:t>
      </w:r>
      <w:r w:rsidR="005F7D6B" w:rsidRPr="005F7D6B">
        <w:rPr>
          <w:lang w:val="en-GB"/>
        </w:rPr>
        <w:t>here</w:t>
      </w:r>
      <w:r w:rsidR="00F66B84">
        <w:rPr>
          <w:lang w:val="en-GB"/>
        </w:rPr>
        <w:t>in</w:t>
      </w:r>
      <w:r w:rsidR="005F7D6B" w:rsidRPr="005F7D6B">
        <w:rPr>
          <w:lang w:val="en-GB"/>
        </w:rPr>
        <w:t>after referred to as</w:t>
      </w:r>
      <w:r w:rsidR="005F7D6B">
        <w:rPr>
          <w:lang w:val="en-GB"/>
        </w:rPr>
        <w:t xml:space="preserve"> the Regulation)</w:t>
      </w:r>
      <w:r>
        <w:rPr>
          <w:lang w:val="en-GB"/>
        </w:rPr>
        <w:t>.</w:t>
      </w:r>
    </w:p>
    <w:p w:rsidR="00BB0D53" w:rsidRPr="00E90EF6" w:rsidRDefault="00BB0D53" w:rsidP="00BB0D53">
      <w:pPr>
        <w:spacing w:line="276" w:lineRule="auto"/>
        <w:rPr>
          <w:lang w:val="en-GB"/>
        </w:rPr>
      </w:pPr>
    </w:p>
    <w:p w:rsidR="00E90EF6" w:rsidRPr="00E90EF6" w:rsidRDefault="00E90EF6" w:rsidP="00BB0D53">
      <w:pPr>
        <w:pStyle w:val="Zkladntextodsazen"/>
        <w:spacing w:after="100" w:afterAutospacing="1" w:line="276" w:lineRule="auto"/>
        <w:ind w:firstLine="0"/>
        <w:rPr>
          <w:rFonts w:ascii="Arial" w:hAnsi="Arial"/>
          <w:sz w:val="20"/>
          <w:lang w:val="en-GB"/>
        </w:rPr>
      </w:pPr>
      <w:r w:rsidRPr="00E90EF6">
        <w:rPr>
          <w:rFonts w:ascii="Arial" w:hAnsi="Arial"/>
          <w:sz w:val="20"/>
          <w:lang w:val="en-GB"/>
        </w:rPr>
        <w:t xml:space="preserve">The data source is the Vineyard Register maintained by </w:t>
      </w:r>
      <w:r>
        <w:rPr>
          <w:rFonts w:ascii="Arial" w:hAnsi="Arial"/>
          <w:sz w:val="20"/>
          <w:lang w:val="en-GB"/>
        </w:rPr>
        <w:t xml:space="preserve">the </w:t>
      </w:r>
      <w:r w:rsidRPr="00E90EF6">
        <w:rPr>
          <w:rFonts w:ascii="Arial" w:hAnsi="Arial"/>
          <w:bCs/>
          <w:sz w:val="20"/>
          <w:lang w:val="en-GB"/>
        </w:rPr>
        <w:t>Central Institute for Supervising and Testing in Agriculture</w:t>
      </w:r>
      <w:r w:rsidR="00CC5E2E">
        <w:rPr>
          <w:rFonts w:ascii="Arial" w:hAnsi="Arial"/>
          <w:bCs/>
          <w:sz w:val="20"/>
          <w:lang w:val="en-GB"/>
        </w:rPr>
        <w:t>.</w:t>
      </w:r>
      <w:r>
        <w:rPr>
          <w:rFonts w:ascii="Arial" w:hAnsi="Arial"/>
          <w:bCs/>
          <w:sz w:val="20"/>
          <w:lang w:val="en-GB"/>
        </w:rPr>
        <w:t xml:space="preserve"> The statistical survey involve</w:t>
      </w:r>
      <w:r w:rsidR="000872D3">
        <w:rPr>
          <w:rFonts w:ascii="Arial" w:hAnsi="Arial"/>
          <w:bCs/>
          <w:sz w:val="20"/>
          <w:lang w:val="en-GB"/>
        </w:rPr>
        <w:t>s</w:t>
      </w:r>
      <w:r>
        <w:rPr>
          <w:rFonts w:ascii="Arial" w:hAnsi="Arial"/>
          <w:bCs/>
          <w:sz w:val="20"/>
          <w:lang w:val="en-GB"/>
        </w:rPr>
        <w:t xml:space="preserve"> all </w:t>
      </w:r>
      <w:r w:rsidR="00E9788C">
        <w:rPr>
          <w:rFonts w:ascii="Arial" w:hAnsi="Arial"/>
          <w:bCs/>
          <w:sz w:val="20"/>
          <w:lang w:val="en-GB"/>
        </w:rPr>
        <w:t>vine growers registered in the Vineyard Register as at 30 July 2015. The survey include</w:t>
      </w:r>
      <w:r w:rsidR="000872D3">
        <w:rPr>
          <w:rFonts w:ascii="Arial" w:hAnsi="Arial"/>
          <w:bCs/>
          <w:sz w:val="20"/>
          <w:lang w:val="en-GB"/>
        </w:rPr>
        <w:t>s</w:t>
      </w:r>
      <w:r w:rsidR="00E9788C">
        <w:rPr>
          <w:rFonts w:ascii="Arial" w:hAnsi="Arial"/>
          <w:bCs/>
          <w:sz w:val="20"/>
          <w:lang w:val="en-GB"/>
        </w:rPr>
        <w:t xml:space="preserve"> 18 216 holdings in total.</w:t>
      </w:r>
    </w:p>
    <w:p w:rsidR="00E9788C" w:rsidRPr="00E9788C" w:rsidRDefault="00E9788C" w:rsidP="00BB0D53">
      <w:pPr>
        <w:pStyle w:val="Zkladntextodsazen"/>
        <w:spacing w:after="100" w:afterAutospacing="1" w:line="276" w:lineRule="auto"/>
        <w:ind w:firstLine="0"/>
        <w:rPr>
          <w:rFonts w:ascii="Arial" w:hAnsi="Arial" w:cs="Arial"/>
          <w:sz w:val="20"/>
          <w:lang w:val="en-GB"/>
        </w:rPr>
      </w:pPr>
      <w:r w:rsidRPr="00E9788C">
        <w:rPr>
          <w:rFonts w:ascii="Arial" w:hAnsi="Arial" w:cs="Arial"/>
          <w:sz w:val="20"/>
          <w:lang w:val="en-GB"/>
        </w:rPr>
        <w:t xml:space="preserve">The </w:t>
      </w:r>
      <w:r>
        <w:rPr>
          <w:rFonts w:ascii="Arial" w:hAnsi="Arial" w:cs="Arial"/>
          <w:sz w:val="20"/>
          <w:lang w:val="en-GB"/>
        </w:rPr>
        <w:t>subject of the survey is the number of vine growers and vineyard area by type of production, specialisation, variety and plantation age according to the Annex II of the Regulation.</w:t>
      </w:r>
    </w:p>
    <w:p w:rsidR="009922DC" w:rsidRDefault="00E9788C" w:rsidP="00BB0D53">
      <w:pPr>
        <w:pStyle w:val="CM1"/>
        <w:spacing w:after="100" w:afterAutospacing="1" w:line="276" w:lineRule="auto"/>
        <w:jc w:val="both"/>
        <w:rPr>
          <w:rFonts w:ascii="Arial" w:hAnsi="Arial" w:cs="Arial"/>
          <w:sz w:val="20"/>
          <w:lang w:val="en-GB"/>
        </w:rPr>
      </w:pPr>
      <w:r w:rsidRPr="00E9788C">
        <w:rPr>
          <w:rFonts w:ascii="Arial" w:hAnsi="Arial" w:cs="Arial"/>
          <w:sz w:val="20"/>
          <w:lang w:val="en-GB"/>
        </w:rPr>
        <w:t xml:space="preserve">The production type </w:t>
      </w:r>
      <w:r>
        <w:rPr>
          <w:rFonts w:ascii="Arial" w:hAnsi="Arial" w:cs="Arial"/>
          <w:sz w:val="20"/>
          <w:lang w:val="en-GB"/>
        </w:rPr>
        <w:t>comprises</w:t>
      </w:r>
      <w:r w:rsidRPr="00E9788C">
        <w:rPr>
          <w:rFonts w:ascii="Arial" w:hAnsi="Arial" w:cs="Arial"/>
          <w:sz w:val="20"/>
          <w:lang w:val="en-GB"/>
        </w:rPr>
        <w:t xml:space="preserve"> </w:t>
      </w:r>
      <w:r w:rsidR="00DE4FB0" w:rsidRPr="00DE4FB0">
        <w:rPr>
          <w:rFonts w:ascii="Arial" w:hAnsi="Arial" w:cs="Arial"/>
          <w:sz w:val="20"/>
          <w:lang w:val="en-GB"/>
        </w:rPr>
        <w:t>vineyards</w:t>
      </w:r>
      <w:r w:rsidRPr="00E9788C">
        <w:rPr>
          <w:rFonts w:ascii="Arial" w:hAnsi="Arial" w:cs="Arial"/>
          <w:sz w:val="20"/>
          <w:lang w:val="en-GB"/>
        </w:rPr>
        <w:t xml:space="preserve"> with wine grape varieties</w:t>
      </w:r>
      <w:r>
        <w:rPr>
          <w:rFonts w:ascii="Arial" w:hAnsi="Arial" w:cs="Arial"/>
          <w:sz w:val="20"/>
          <w:lang w:val="en-GB"/>
        </w:rPr>
        <w:t xml:space="preserve"> </w:t>
      </w:r>
      <w:r w:rsidRPr="00E9788C">
        <w:rPr>
          <w:rFonts w:ascii="Arial" w:hAnsi="Arial" w:cs="Arial"/>
          <w:sz w:val="20"/>
          <w:lang w:val="en-GB"/>
        </w:rPr>
        <w:t xml:space="preserve">suitable for the production of wines with </w:t>
      </w:r>
      <w:r w:rsidR="00245642">
        <w:rPr>
          <w:rFonts w:ascii="Arial" w:hAnsi="Arial" w:cs="Arial"/>
          <w:sz w:val="20"/>
          <w:lang w:val="en-GB"/>
        </w:rPr>
        <w:t>p</w:t>
      </w:r>
      <w:r>
        <w:rPr>
          <w:rFonts w:ascii="Arial" w:hAnsi="Arial" w:cs="Arial"/>
          <w:sz w:val="20"/>
          <w:lang w:val="en-GB"/>
        </w:rPr>
        <w:t>rotected designation of origin (</w:t>
      </w:r>
      <w:r w:rsidRPr="00E9788C">
        <w:rPr>
          <w:rFonts w:ascii="Arial" w:hAnsi="Arial" w:cs="Arial"/>
          <w:sz w:val="20"/>
          <w:lang w:val="en-GB"/>
        </w:rPr>
        <w:t>PDO</w:t>
      </w:r>
      <w:r>
        <w:rPr>
          <w:rFonts w:ascii="Arial" w:hAnsi="Arial" w:cs="Arial"/>
          <w:sz w:val="20"/>
          <w:lang w:val="en-GB"/>
        </w:rPr>
        <w:t xml:space="preserve">) and </w:t>
      </w:r>
      <w:r w:rsidR="00DE4FB0">
        <w:rPr>
          <w:rFonts w:ascii="Arial" w:hAnsi="Arial" w:cs="Arial"/>
          <w:sz w:val="20"/>
          <w:lang w:val="en-GB"/>
        </w:rPr>
        <w:t xml:space="preserve">with </w:t>
      </w:r>
      <w:r w:rsidRPr="00E9788C">
        <w:rPr>
          <w:rFonts w:ascii="Arial" w:hAnsi="Arial" w:cs="Arial"/>
          <w:sz w:val="20"/>
          <w:lang w:val="en-GB"/>
        </w:rPr>
        <w:t>protected geographical indication</w:t>
      </w:r>
      <w:r>
        <w:rPr>
          <w:rFonts w:ascii="Arial" w:hAnsi="Arial" w:cs="Arial"/>
          <w:sz w:val="20"/>
          <w:lang w:val="en-GB"/>
        </w:rPr>
        <w:t xml:space="preserve"> (PGI) broken down </w:t>
      </w:r>
      <w:r w:rsidR="00723AD7">
        <w:rPr>
          <w:rFonts w:ascii="Arial" w:hAnsi="Arial" w:cs="Arial"/>
          <w:sz w:val="20"/>
          <w:lang w:val="en-GB"/>
        </w:rPr>
        <w:t>in</w:t>
      </w:r>
      <w:r>
        <w:rPr>
          <w:rFonts w:ascii="Arial" w:hAnsi="Arial" w:cs="Arial"/>
          <w:sz w:val="20"/>
          <w:lang w:val="en-GB"/>
        </w:rPr>
        <w:t xml:space="preserve">to </w:t>
      </w:r>
      <w:proofErr w:type="gramStart"/>
      <w:r>
        <w:rPr>
          <w:rFonts w:ascii="Arial" w:hAnsi="Arial" w:cs="Arial"/>
          <w:sz w:val="20"/>
          <w:lang w:val="en-GB"/>
        </w:rPr>
        <w:t>vineyards</w:t>
      </w:r>
      <w:proofErr w:type="gramEnd"/>
      <w:r>
        <w:rPr>
          <w:rFonts w:ascii="Arial" w:hAnsi="Arial" w:cs="Arial"/>
          <w:sz w:val="20"/>
          <w:lang w:val="en-GB"/>
        </w:rPr>
        <w:t xml:space="preserve"> in production and </w:t>
      </w:r>
      <w:r w:rsidR="00F510CB">
        <w:rPr>
          <w:rFonts w:ascii="Arial" w:hAnsi="Arial" w:cs="Arial"/>
          <w:sz w:val="20"/>
          <w:lang w:val="en-GB"/>
        </w:rPr>
        <w:t>ones</w:t>
      </w:r>
      <w:r>
        <w:rPr>
          <w:rFonts w:ascii="Arial" w:hAnsi="Arial" w:cs="Arial"/>
          <w:sz w:val="20"/>
          <w:lang w:val="en-GB"/>
        </w:rPr>
        <w:t xml:space="preserve"> not yet in production. Furthermore, the survey covers </w:t>
      </w:r>
      <w:r w:rsidR="00672606">
        <w:rPr>
          <w:rFonts w:ascii="Arial" w:hAnsi="Arial" w:cs="Arial"/>
          <w:sz w:val="20"/>
          <w:lang w:val="en-GB"/>
        </w:rPr>
        <w:t xml:space="preserve">vineyards </w:t>
      </w:r>
      <w:r w:rsidR="009922DC" w:rsidRPr="009922DC">
        <w:rPr>
          <w:rFonts w:ascii="Arial" w:hAnsi="Arial" w:cs="Arial"/>
          <w:sz w:val="20"/>
          <w:lang w:val="en-GB"/>
        </w:rPr>
        <w:t>intended to produce vegetative propagation material and other vineyards</w:t>
      </w:r>
      <w:r w:rsidR="009922DC">
        <w:rPr>
          <w:rFonts w:ascii="Arial" w:hAnsi="Arial" w:cs="Arial"/>
          <w:sz w:val="20"/>
          <w:lang w:val="en-GB"/>
        </w:rPr>
        <w:t xml:space="preserve">, which include especially </w:t>
      </w:r>
      <w:r w:rsidR="00517525" w:rsidRPr="00517525">
        <w:rPr>
          <w:rFonts w:ascii="Arial" w:hAnsi="Arial" w:cs="Arial"/>
          <w:sz w:val="20"/>
          <w:lang w:val="en-GB"/>
        </w:rPr>
        <w:t xml:space="preserve">breeding plots and </w:t>
      </w:r>
      <w:r w:rsidR="009922DC" w:rsidRPr="00517525">
        <w:rPr>
          <w:rFonts w:ascii="Arial" w:hAnsi="Arial" w:cs="Arial"/>
          <w:sz w:val="20"/>
          <w:lang w:val="en-GB"/>
        </w:rPr>
        <w:t>gene pool</w:t>
      </w:r>
      <w:r w:rsidR="00517525">
        <w:rPr>
          <w:rFonts w:ascii="Arial" w:hAnsi="Arial" w:cs="Arial"/>
          <w:sz w:val="20"/>
          <w:lang w:val="en-GB"/>
        </w:rPr>
        <w:t xml:space="preserve">. The last two categories </w:t>
      </w:r>
      <w:r w:rsidR="000872D3">
        <w:rPr>
          <w:rFonts w:ascii="Arial" w:hAnsi="Arial" w:cs="Arial"/>
          <w:sz w:val="20"/>
          <w:lang w:val="en-GB"/>
        </w:rPr>
        <w:t>a</w:t>
      </w:r>
      <w:r w:rsidR="00517525">
        <w:rPr>
          <w:rFonts w:ascii="Arial" w:hAnsi="Arial" w:cs="Arial"/>
          <w:sz w:val="20"/>
          <w:lang w:val="en-GB"/>
        </w:rPr>
        <w:t xml:space="preserve">re merged </w:t>
      </w:r>
      <w:r w:rsidR="00FE7D09">
        <w:rPr>
          <w:rFonts w:ascii="Arial" w:hAnsi="Arial" w:cs="Arial"/>
          <w:sz w:val="20"/>
          <w:lang w:val="en-GB"/>
        </w:rPr>
        <w:t xml:space="preserve">in the output tables </w:t>
      </w:r>
      <w:r w:rsidR="00517525">
        <w:rPr>
          <w:rFonts w:ascii="Arial" w:hAnsi="Arial" w:cs="Arial"/>
          <w:sz w:val="20"/>
          <w:lang w:val="en-GB"/>
        </w:rPr>
        <w:t>due to confidentiality of individual data</w:t>
      </w:r>
      <w:r w:rsidR="00FE7D09">
        <w:rPr>
          <w:rFonts w:ascii="Arial" w:hAnsi="Arial" w:cs="Arial"/>
          <w:sz w:val="20"/>
          <w:lang w:val="en-GB"/>
        </w:rPr>
        <w:t>. Vine growers are further classified into size classes by vineyard area and by region.</w:t>
      </w:r>
    </w:p>
    <w:p w:rsidR="00B82E63" w:rsidRPr="00B82E63" w:rsidRDefault="00B82E63" w:rsidP="00BB0D53">
      <w:pPr>
        <w:pStyle w:val="CM1"/>
        <w:spacing w:after="200" w:line="276" w:lineRule="auto"/>
        <w:jc w:val="both"/>
        <w:rPr>
          <w:rFonts w:ascii="Arial" w:hAnsi="Arial" w:cs="Arial"/>
          <w:sz w:val="20"/>
          <w:lang w:val="en-GB"/>
        </w:rPr>
      </w:pPr>
      <w:r w:rsidRPr="00B82E63">
        <w:rPr>
          <w:rFonts w:ascii="Arial" w:hAnsi="Arial" w:cs="Arial"/>
          <w:sz w:val="20"/>
          <w:lang w:val="en-GB"/>
        </w:rPr>
        <w:t xml:space="preserve">Vine growers by specialisation are classified as holdings with vineyards </w:t>
      </w:r>
      <w:r w:rsidRPr="004828D7">
        <w:rPr>
          <w:rFonts w:ascii="Arial" w:hAnsi="Arial" w:cs="Arial"/>
          <w:sz w:val="20"/>
          <w:lang w:val="en-GB"/>
        </w:rPr>
        <w:t>exclusively intended for production</w:t>
      </w:r>
      <w:r>
        <w:rPr>
          <w:rFonts w:ascii="Arial" w:hAnsi="Arial" w:cs="Arial"/>
          <w:sz w:val="20"/>
          <w:lang w:val="en-GB"/>
        </w:rPr>
        <w:t xml:space="preserve"> of </w:t>
      </w:r>
      <w:r w:rsidRPr="004828D7">
        <w:rPr>
          <w:rFonts w:ascii="Arial" w:hAnsi="Arial" w:cs="Arial"/>
          <w:sz w:val="20"/>
          <w:lang w:val="en-GB"/>
        </w:rPr>
        <w:t>wine</w:t>
      </w:r>
      <w:r>
        <w:rPr>
          <w:rFonts w:ascii="Arial" w:hAnsi="Arial" w:cs="Arial"/>
          <w:sz w:val="20"/>
          <w:lang w:val="en-GB"/>
        </w:rPr>
        <w:t>s</w:t>
      </w:r>
      <w:r w:rsidRPr="00B401FA">
        <w:rPr>
          <w:rFonts w:ascii="Arial" w:hAnsi="Arial" w:cs="Arial"/>
          <w:sz w:val="20"/>
          <w:lang w:val="en-GB"/>
        </w:rPr>
        <w:t xml:space="preserve"> with</w:t>
      </w:r>
      <w:r w:rsidRPr="00B82E63">
        <w:rPr>
          <w:rFonts w:ascii="Arial" w:hAnsi="Arial" w:cs="Arial"/>
          <w:sz w:val="20"/>
          <w:lang w:val="en-GB"/>
        </w:rPr>
        <w:t xml:space="preserve"> PDO </w:t>
      </w:r>
      <w:r w:rsidR="00932E2F">
        <w:rPr>
          <w:rFonts w:ascii="Arial" w:hAnsi="Arial" w:cs="Arial"/>
          <w:sz w:val="20"/>
          <w:lang w:val="en-GB"/>
        </w:rPr>
        <w:t>or</w:t>
      </w:r>
      <w:r w:rsidRPr="00B82E63">
        <w:rPr>
          <w:rFonts w:ascii="Arial" w:hAnsi="Arial" w:cs="Arial"/>
          <w:sz w:val="20"/>
          <w:lang w:val="en-GB"/>
        </w:rPr>
        <w:t xml:space="preserve"> with PGI. Holdings with vineyards </w:t>
      </w:r>
      <w:r w:rsidRPr="004828D7">
        <w:rPr>
          <w:rFonts w:ascii="Arial" w:hAnsi="Arial" w:cs="Arial"/>
          <w:sz w:val="20"/>
          <w:lang w:val="en-GB"/>
        </w:rPr>
        <w:t xml:space="preserve">exclusively intended for </w:t>
      </w:r>
      <w:r w:rsidRPr="00B82E63">
        <w:rPr>
          <w:rFonts w:ascii="Arial" w:hAnsi="Arial" w:cs="Arial"/>
          <w:sz w:val="20"/>
          <w:lang w:val="en-GB"/>
        </w:rPr>
        <w:t xml:space="preserve">other than wine </w:t>
      </w:r>
      <w:r w:rsidRPr="004828D7">
        <w:rPr>
          <w:rFonts w:ascii="Arial" w:hAnsi="Arial" w:cs="Arial"/>
          <w:sz w:val="20"/>
          <w:lang w:val="en-GB"/>
        </w:rPr>
        <w:t>production</w:t>
      </w:r>
      <w:r>
        <w:rPr>
          <w:rFonts w:ascii="Arial" w:hAnsi="Arial" w:cs="Arial"/>
          <w:sz w:val="20"/>
          <w:lang w:val="en-GB"/>
        </w:rPr>
        <w:t xml:space="preserve"> </w:t>
      </w:r>
      <w:r w:rsidRPr="00B82E63">
        <w:rPr>
          <w:rFonts w:ascii="Arial" w:hAnsi="Arial" w:cs="Arial"/>
          <w:sz w:val="20"/>
          <w:lang w:val="en-GB"/>
        </w:rPr>
        <w:t xml:space="preserve">and holdings with </w:t>
      </w:r>
      <w:r w:rsidR="005505ED">
        <w:rPr>
          <w:rFonts w:ascii="Arial" w:hAnsi="Arial" w:cs="Arial"/>
          <w:sz w:val="20"/>
          <w:lang w:val="en-GB"/>
        </w:rPr>
        <w:t xml:space="preserve">vineyards </w:t>
      </w:r>
      <w:r w:rsidRPr="00B82E63">
        <w:rPr>
          <w:rFonts w:ascii="Arial" w:hAnsi="Arial" w:cs="Arial"/>
          <w:sz w:val="20"/>
          <w:lang w:val="en-GB"/>
        </w:rPr>
        <w:t xml:space="preserve">intended for several types of production </w:t>
      </w:r>
      <w:r w:rsidR="006F281B">
        <w:rPr>
          <w:rFonts w:ascii="Arial" w:hAnsi="Arial" w:cs="Arial"/>
          <w:sz w:val="20"/>
          <w:lang w:val="en-GB"/>
        </w:rPr>
        <w:t>a</w:t>
      </w:r>
      <w:r w:rsidR="005505ED">
        <w:rPr>
          <w:rFonts w:ascii="Arial" w:hAnsi="Arial" w:cs="Arial"/>
          <w:sz w:val="20"/>
          <w:lang w:val="en-GB"/>
        </w:rPr>
        <w:t xml:space="preserve">re merged into one category of specialisation due to individual data confidentiality. </w:t>
      </w:r>
      <w:r w:rsidR="005505ED" w:rsidRPr="00B82E63">
        <w:rPr>
          <w:rFonts w:ascii="Arial" w:hAnsi="Arial" w:cs="Arial"/>
          <w:sz w:val="20"/>
          <w:lang w:val="en-GB"/>
        </w:rPr>
        <w:t>Vine growers by specialisation</w:t>
      </w:r>
      <w:r w:rsidR="005505ED">
        <w:rPr>
          <w:rFonts w:ascii="Arial" w:hAnsi="Arial" w:cs="Arial"/>
          <w:sz w:val="20"/>
          <w:lang w:val="en-GB"/>
        </w:rPr>
        <w:t xml:space="preserve"> </w:t>
      </w:r>
      <w:r w:rsidR="005505ED" w:rsidRPr="00B82E63">
        <w:rPr>
          <w:rFonts w:ascii="Arial" w:hAnsi="Arial" w:cs="Arial"/>
          <w:sz w:val="20"/>
          <w:lang w:val="en-GB"/>
        </w:rPr>
        <w:t>are classified</w:t>
      </w:r>
      <w:r w:rsidR="005505ED">
        <w:rPr>
          <w:rFonts w:ascii="Arial" w:hAnsi="Arial" w:cs="Arial"/>
          <w:sz w:val="20"/>
          <w:lang w:val="en-GB"/>
        </w:rPr>
        <w:t xml:space="preserve"> into size classes by their vineyard area.</w:t>
      </w:r>
    </w:p>
    <w:p w:rsidR="00410D00" w:rsidRDefault="00FE7D09" w:rsidP="00BB0D53">
      <w:pPr>
        <w:pStyle w:val="Zkladntext"/>
        <w:spacing w:after="100" w:afterAutospacing="1" w:line="276" w:lineRule="auto"/>
        <w:rPr>
          <w:rFonts w:cs="Arial"/>
          <w:lang w:val="en-GB"/>
        </w:rPr>
      </w:pPr>
      <w:r w:rsidRPr="00FE7D09">
        <w:rPr>
          <w:rFonts w:cs="Arial"/>
          <w:lang w:val="en-GB"/>
        </w:rPr>
        <w:t xml:space="preserve">The survey </w:t>
      </w:r>
      <w:r>
        <w:rPr>
          <w:rFonts w:cs="Arial"/>
          <w:lang w:val="en-GB"/>
        </w:rPr>
        <w:t xml:space="preserve">includes </w:t>
      </w:r>
      <w:r w:rsidR="00BB0D53">
        <w:rPr>
          <w:rFonts w:cs="Arial"/>
          <w:lang w:val="en-GB"/>
        </w:rPr>
        <w:t xml:space="preserve">also </w:t>
      </w:r>
      <w:r>
        <w:rPr>
          <w:rFonts w:cs="Arial"/>
          <w:lang w:val="en-GB"/>
        </w:rPr>
        <w:t xml:space="preserve">age and variety structure of vineyards broken down by region. </w:t>
      </w:r>
      <w:r w:rsidR="00A37766">
        <w:rPr>
          <w:rFonts w:cs="Arial"/>
          <w:lang w:val="en-GB"/>
        </w:rPr>
        <w:t>Main v</w:t>
      </w:r>
      <w:r>
        <w:rPr>
          <w:rFonts w:cs="Arial"/>
          <w:lang w:val="en-GB"/>
        </w:rPr>
        <w:t xml:space="preserve">arieties </w:t>
      </w:r>
      <w:r w:rsidR="0040150E">
        <w:rPr>
          <w:rFonts w:cs="Arial"/>
          <w:lang w:val="en-GB"/>
        </w:rPr>
        <w:t>with the</w:t>
      </w:r>
      <w:r>
        <w:rPr>
          <w:rFonts w:cs="Arial"/>
          <w:lang w:val="en-GB"/>
        </w:rPr>
        <w:t xml:space="preserve"> total area exceed</w:t>
      </w:r>
      <w:r w:rsidR="0040150E">
        <w:rPr>
          <w:rFonts w:cs="Arial"/>
          <w:lang w:val="en-GB"/>
        </w:rPr>
        <w:t>ing</w:t>
      </w:r>
      <w:r>
        <w:rPr>
          <w:rFonts w:cs="Arial"/>
          <w:lang w:val="en-GB"/>
        </w:rPr>
        <w:t xml:space="preserve"> 500 ha are </w:t>
      </w:r>
      <w:r w:rsidR="00EC716A">
        <w:rPr>
          <w:rFonts w:cs="Arial"/>
          <w:lang w:val="en-GB"/>
        </w:rPr>
        <w:t>presented</w:t>
      </w:r>
      <w:r w:rsidR="00717326">
        <w:rPr>
          <w:rFonts w:cs="Arial"/>
          <w:lang w:val="en-GB"/>
        </w:rPr>
        <w:t xml:space="preserve"> individually</w:t>
      </w:r>
      <w:r>
        <w:rPr>
          <w:rFonts w:cs="Arial"/>
          <w:lang w:val="en-GB"/>
        </w:rPr>
        <w:t>.</w:t>
      </w:r>
    </w:p>
    <w:p w:rsidR="001309B3" w:rsidRPr="0040150E" w:rsidRDefault="000872D3" w:rsidP="00BB0D53">
      <w:pPr>
        <w:pStyle w:val="Zkladntext"/>
        <w:spacing w:after="100" w:afterAutospacing="1" w:line="276" w:lineRule="auto"/>
        <w:rPr>
          <w:rFonts w:cs="Arial"/>
          <w:lang w:val="en-GB"/>
        </w:rPr>
      </w:pPr>
      <w:r>
        <w:rPr>
          <w:bCs/>
          <w:lang w:val="en-GB"/>
        </w:rPr>
        <w:t>The regional classification follows the territorial classification CZ-NUTS at the level of regions (NUTS 3).</w:t>
      </w:r>
      <w:r w:rsidR="00B2279E">
        <w:rPr>
          <w:bCs/>
          <w:lang w:val="en-GB"/>
        </w:rPr>
        <w:t xml:space="preserve"> </w:t>
      </w:r>
      <w:r w:rsidR="0040150E" w:rsidRPr="0040150E">
        <w:rPr>
          <w:rFonts w:cs="Arial"/>
          <w:lang w:val="en-GB"/>
        </w:rPr>
        <w:t xml:space="preserve">Vine growers </w:t>
      </w:r>
      <w:r>
        <w:rPr>
          <w:rFonts w:cs="Arial"/>
          <w:lang w:val="en-GB"/>
        </w:rPr>
        <w:t>a</w:t>
      </w:r>
      <w:r w:rsidR="0040150E" w:rsidRPr="0040150E">
        <w:rPr>
          <w:rFonts w:cs="Arial"/>
          <w:lang w:val="en-GB"/>
        </w:rPr>
        <w:t>re</w:t>
      </w:r>
      <w:r w:rsidR="0040150E">
        <w:rPr>
          <w:rFonts w:cs="Arial"/>
          <w:lang w:val="en-GB"/>
        </w:rPr>
        <w:t xml:space="preserve"> categorized by region according to their prevailing vineyard area. Vine growers</w:t>
      </w:r>
      <w:r w:rsidR="0040150E" w:rsidRPr="0040150E">
        <w:rPr>
          <w:rFonts w:cs="Arial"/>
          <w:lang w:val="en-GB"/>
        </w:rPr>
        <w:t xml:space="preserve"> </w:t>
      </w:r>
      <w:r w:rsidR="0040150E">
        <w:rPr>
          <w:rFonts w:cs="Arial"/>
          <w:lang w:val="en-GB"/>
        </w:rPr>
        <w:t xml:space="preserve">having their vineyards in more than one region </w:t>
      </w:r>
      <w:r>
        <w:rPr>
          <w:rFonts w:cs="Arial"/>
          <w:lang w:val="en-GB"/>
        </w:rPr>
        <w:t>a</w:t>
      </w:r>
      <w:r w:rsidR="0040150E">
        <w:rPr>
          <w:rFonts w:cs="Arial"/>
          <w:lang w:val="en-GB"/>
        </w:rPr>
        <w:t xml:space="preserve">re affiliated to the region where their largest vineyard area is </w:t>
      </w:r>
      <w:r w:rsidR="008369E7">
        <w:rPr>
          <w:rFonts w:cs="Arial"/>
          <w:lang w:val="en-GB"/>
        </w:rPr>
        <w:t>located</w:t>
      </w:r>
      <w:r w:rsidR="0040150E">
        <w:rPr>
          <w:rFonts w:cs="Arial"/>
          <w:lang w:val="en-GB"/>
        </w:rPr>
        <w:t>.</w:t>
      </w:r>
    </w:p>
    <w:p w:rsidR="00956BCE" w:rsidRDefault="00397FAD" w:rsidP="00BB0D53">
      <w:pPr>
        <w:pStyle w:val="Zkladntext"/>
        <w:spacing w:after="100" w:afterAutospacing="1" w:line="276" w:lineRule="auto"/>
        <w:rPr>
          <w:rFonts w:cs="Arial"/>
          <w:lang w:val="en-GB"/>
        </w:rPr>
      </w:pPr>
      <w:r w:rsidRPr="00397FAD">
        <w:rPr>
          <w:rFonts w:cs="Arial"/>
          <w:lang w:val="en-GB"/>
        </w:rPr>
        <w:t>The</w:t>
      </w:r>
      <w:r>
        <w:rPr>
          <w:rFonts w:cs="Arial"/>
          <w:lang w:val="en-GB"/>
        </w:rPr>
        <w:t xml:space="preserve"> </w:t>
      </w:r>
      <w:r w:rsidR="004F0504">
        <w:rPr>
          <w:rFonts w:cs="Arial"/>
          <w:lang w:val="en-GB"/>
        </w:rPr>
        <w:t xml:space="preserve">presented </w:t>
      </w:r>
      <w:r>
        <w:rPr>
          <w:rFonts w:cs="Arial"/>
          <w:lang w:val="en-GB"/>
        </w:rPr>
        <w:t xml:space="preserve">publication includes also rough comparison </w:t>
      </w:r>
      <w:r w:rsidR="00956BCE">
        <w:rPr>
          <w:rFonts w:cs="Arial"/>
          <w:lang w:val="en-GB"/>
        </w:rPr>
        <w:t>with</w:t>
      </w:r>
      <w:r>
        <w:rPr>
          <w:rFonts w:cs="Arial"/>
          <w:lang w:val="en-GB"/>
        </w:rPr>
        <w:t xml:space="preserve"> </w:t>
      </w:r>
      <w:r w:rsidR="000872D3">
        <w:rPr>
          <w:rFonts w:cs="Arial"/>
          <w:lang w:val="en-GB"/>
        </w:rPr>
        <w:t xml:space="preserve">results of </w:t>
      </w:r>
      <w:r>
        <w:rPr>
          <w:rFonts w:cs="Arial"/>
          <w:lang w:val="en-GB"/>
        </w:rPr>
        <w:t>Vineyard</w:t>
      </w:r>
      <w:r w:rsidR="00820001">
        <w:rPr>
          <w:rFonts w:cs="Arial"/>
          <w:lang w:val="en-GB"/>
        </w:rPr>
        <w:t>s</w:t>
      </w:r>
      <w:r>
        <w:rPr>
          <w:rFonts w:cs="Arial"/>
          <w:lang w:val="en-GB"/>
        </w:rPr>
        <w:t xml:space="preserve"> </w:t>
      </w:r>
      <w:r w:rsidR="003514AA">
        <w:rPr>
          <w:rFonts w:cs="Arial"/>
          <w:lang w:val="en-GB"/>
        </w:rPr>
        <w:t>S</w:t>
      </w:r>
      <w:r>
        <w:rPr>
          <w:rFonts w:cs="Arial"/>
          <w:lang w:val="en-GB"/>
        </w:rPr>
        <w:t xml:space="preserve">urvey 2009. The </w:t>
      </w:r>
      <w:r w:rsidR="00307B1E">
        <w:rPr>
          <w:rFonts w:cs="Arial"/>
          <w:lang w:val="en-GB"/>
        </w:rPr>
        <w:t>characteristics surveyed</w:t>
      </w:r>
      <w:r>
        <w:rPr>
          <w:rFonts w:cs="Arial"/>
          <w:lang w:val="en-GB"/>
        </w:rPr>
        <w:t xml:space="preserve"> are not fully comparable due </w:t>
      </w:r>
      <w:r w:rsidR="007106DB">
        <w:rPr>
          <w:rFonts w:cs="Arial"/>
          <w:lang w:val="en-GB"/>
        </w:rPr>
        <w:t xml:space="preserve">to </w:t>
      </w:r>
      <w:r>
        <w:rPr>
          <w:rFonts w:cs="Arial"/>
          <w:lang w:val="en-GB"/>
        </w:rPr>
        <w:t xml:space="preserve">different methodology used. </w:t>
      </w:r>
    </w:p>
    <w:p w:rsidR="00397FAD" w:rsidRPr="00397FAD" w:rsidRDefault="00956BCE" w:rsidP="00BB0D53">
      <w:pPr>
        <w:pStyle w:val="Zkladntext"/>
        <w:spacing w:after="100" w:afterAutospacing="1" w:line="276" w:lineRule="auto"/>
        <w:rPr>
          <w:rFonts w:cs="Arial"/>
          <w:lang w:val="en-GB"/>
        </w:rPr>
      </w:pPr>
      <w:r>
        <w:rPr>
          <w:rFonts w:cs="Arial"/>
          <w:lang w:val="en-GB"/>
        </w:rPr>
        <w:t>T</w:t>
      </w:r>
      <w:r w:rsidR="00397FAD">
        <w:rPr>
          <w:rFonts w:cs="Arial"/>
          <w:lang w:val="en-GB"/>
        </w:rPr>
        <w:t xml:space="preserve">he </w:t>
      </w:r>
      <w:r>
        <w:rPr>
          <w:rFonts w:cs="Arial"/>
          <w:lang w:val="en-GB"/>
        </w:rPr>
        <w:t>Vineyard</w:t>
      </w:r>
      <w:r w:rsidR="00820001">
        <w:rPr>
          <w:rFonts w:cs="Arial"/>
          <w:lang w:val="en-GB"/>
        </w:rPr>
        <w:t>s</w:t>
      </w:r>
      <w:r>
        <w:rPr>
          <w:rFonts w:cs="Arial"/>
          <w:lang w:val="en-GB"/>
        </w:rPr>
        <w:t xml:space="preserve"> S</w:t>
      </w:r>
      <w:r w:rsidR="00397FAD">
        <w:rPr>
          <w:rFonts w:cs="Arial"/>
          <w:lang w:val="en-GB"/>
        </w:rPr>
        <w:t xml:space="preserve">urvey </w:t>
      </w:r>
      <w:r>
        <w:rPr>
          <w:rFonts w:cs="Arial"/>
          <w:lang w:val="en-GB"/>
        </w:rPr>
        <w:t xml:space="preserve">2009 </w:t>
      </w:r>
      <w:r w:rsidR="00397FAD">
        <w:rPr>
          <w:rFonts w:cs="Arial"/>
          <w:lang w:val="en-GB"/>
        </w:rPr>
        <w:t xml:space="preserve">was conducted according to </w:t>
      </w:r>
      <w:r w:rsidR="00397FAD" w:rsidRPr="00397FAD">
        <w:rPr>
          <w:lang w:val="en-GB"/>
        </w:rPr>
        <w:t>Council Regulation (EEC) No 357/79 of 5 February 1979 on statistical surveys of areas under vines</w:t>
      </w:r>
      <w:r w:rsidR="00397FAD">
        <w:rPr>
          <w:lang w:val="en-GB"/>
        </w:rPr>
        <w:t xml:space="preserve">. The data source was a standard statistical survey using stratified sampling with grossing-up. </w:t>
      </w:r>
      <w:r w:rsidR="000117CA">
        <w:rPr>
          <w:lang w:val="en-GB"/>
        </w:rPr>
        <w:t xml:space="preserve">The threshold level for inclusion </w:t>
      </w:r>
      <w:r w:rsidR="000117CA" w:rsidRPr="005F1A0B">
        <w:rPr>
          <w:lang w:val="en-GB"/>
        </w:rPr>
        <w:t>of vine growers in the survey was 0.1</w:t>
      </w:r>
      <w:r w:rsidR="003556D1">
        <w:rPr>
          <w:lang w:val="en-GB"/>
        </w:rPr>
        <w:t xml:space="preserve"> </w:t>
      </w:r>
      <w:r w:rsidR="000117CA" w:rsidRPr="005F1A0B">
        <w:rPr>
          <w:lang w:val="en-GB"/>
        </w:rPr>
        <w:t xml:space="preserve">ha of vineyard area. </w:t>
      </w:r>
      <w:r w:rsidR="005F1A0B" w:rsidRPr="005F1A0B">
        <w:rPr>
          <w:lang w:val="en-GB"/>
        </w:rPr>
        <w:t xml:space="preserve">Wine-growing regions and </w:t>
      </w:r>
      <w:proofErr w:type="spellStart"/>
      <w:r w:rsidR="005F1A0B" w:rsidRPr="005F1A0B">
        <w:rPr>
          <w:lang w:val="en-GB"/>
        </w:rPr>
        <w:t>subregions</w:t>
      </w:r>
      <w:proofErr w:type="spellEnd"/>
      <w:r w:rsidR="005F1A0B" w:rsidRPr="005F1A0B">
        <w:rPr>
          <w:lang w:val="en-GB"/>
        </w:rPr>
        <w:t xml:space="preserve"> were used</w:t>
      </w:r>
      <w:r w:rsidR="005F1A0B">
        <w:rPr>
          <w:lang w:val="en-GB"/>
        </w:rPr>
        <w:t xml:space="preserve"> for r</w:t>
      </w:r>
      <w:r w:rsidR="000117CA">
        <w:rPr>
          <w:lang w:val="en-GB"/>
        </w:rPr>
        <w:t>egional classification</w:t>
      </w:r>
      <w:r w:rsidR="005F1A0B">
        <w:rPr>
          <w:lang w:val="en-GB"/>
        </w:rPr>
        <w:t xml:space="preserve">. </w:t>
      </w:r>
    </w:p>
    <w:p w:rsidR="00BE62B7" w:rsidRPr="00BE62B7" w:rsidRDefault="00BE62B7" w:rsidP="00BB0D53">
      <w:pPr>
        <w:spacing w:line="276" w:lineRule="auto"/>
        <w:rPr>
          <w:rFonts w:cs="Arial"/>
          <w:iCs/>
          <w:szCs w:val="20"/>
          <w:lang w:val="en-GB"/>
        </w:rPr>
      </w:pPr>
      <w:r>
        <w:rPr>
          <w:rFonts w:cs="Arial"/>
          <w:iCs/>
          <w:szCs w:val="20"/>
          <w:lang w:val="en-GB"/>
        </w:rPr>
        <w:t>Totals</w:t>
      </w:r>
      <w:r w:rsidRPr="00BE62B7">
        <w:rPr>
          <w:rFonts w:cs="Arial"/>
          <w:iCs/>
          <w:szCs w:val="20"/>
          <w:lang w:val="en-GB"/>
        </w:rPr>
        <w:t xml:space="preserve"> in the tables are based on non-rounded figures.</w:t>
      </w:r>
    </w:p>
    <w:p w:rsidR="00BE62B7" w:rsidRDefault="00BE62B7" w:rsidP="00BB0D53">
      <w:pPr>
        <w:spacing w:line="276" w:lineRule="auto"/>
        <w:rPr>
          <w:szCs w:val="20"/>
          <w:lang w:val="en-GB"/>
        </w:rPr>
      </w:pPr>
    </w:p>
    <w:p w:rsidR="00BE62B7" w:rsidRPr="00BE62B7" w:rsidRDefault="00BE62B7" w:rsidP="00BB0D53">
      <w:pPr>
        <w:spacing w:line="276" w:lineRule="auto"/>
        <w:rPr>
          <w:szCs w:val="20"/>
          <w:lang w:val="en-GB"/>
        </w:rPr>
      </w:pPr>
      <w:r w:rsidRPr="00BE62B7">
        <w:rPr>
          <w:szCs w:val="20"/>
          <w:lang w:val="en-GB"/>
        </w:rPr>
        <w:t>SYMBOLS USED IN TABLES</w:t>
      </w:r>
    </w:p>
    <w:p w:rsidR="00BE62B7" w:rsidRPr="00BE62B7" w:rsidRDefault="00BE62B7" w:rsidP="00BB0D53">
      <w:pPr>
        <w:spacing w:line="276" w:lineRule="auto"/>
        <w:rPr>
          <w:szCs w:val="20"/>
          <w:lang w:val="en-GB"/>
        </w:rPr>
      </w:pPr>
    </w:p>
    <w:p w:rsidR="00BE62B7" w:rsidRPr="00C62CB3" w:rsidRDefault="00BE62B7" w:rsidP="00BB0D53">
      <w:pPr>
        <w:spacing w:line="276" w:lineRule="auto"/>
        <w:rPr>
          <w:rFonts w:cs="Arial"/>
          <w:szCs w:val="20"/>
          <w:lang w:val="en-GB"/>
        </w:rPr>
      </w:pPr>
      <w:r w:rsidRPr="00C62CB3">
        <w:rPr>
          <w:rFonts w:cs="Arial"/>
          <w:szCs w:val="20"/>
          <w:lang w:val="en-GB"/>
        </w:rPr>
        <w:t>-</w:t>
      </w:r>
      <w:r w:rsidRPr="00C62CB3">
        <w:rPr>
          <w:rFonts w:cs="Arial"/>
          <w:szCs w:val="20"/>
          <w:lang w:val="en-GB"/>
        </w:rPr>
        <w:tab/>
      </w:r>
      <w:proofErr w:type="gramStart"/>
      <w:r w:rsidRPr="00C62CB3">
        <w:rPr>
          <w:rFonts w:cs="Arial"/>
          <w:szCs w:val="20"/>
          <w:lang w:val="en-GB"/>
        </w:rPr>
        <w:t>no</w:t>
      </w:r>
      <w:proofErr w:type="gramEnd"/>
      <w:r w:rsidRPr="00C62CB3">
        <w:rPr>
          <w:rFonts w:cs="Arial"/>
          <w:szCs w:val="20"/>
          <w:lang w:val="en-GB"/>
        </w:rPr>
        <w:t xml:space="preserve"> cases registered</w:t>
      </w:r>
    </w:p>
    <w:p w:rsidR="00A5065E" w:rsidRPr="00C62CB3" w:rsidRDefault="00BE62B7" w:rsidP="00BB0D53">
      <w:pPr>
        <w:spacing w:line="276" w:lineRule="auto"/>
        <w:rPr>
          <w:rFonts w:cs="Arial"/>
          <w:szCs w:val="20"/>
          <w:lang w:val="en-GB"/>
        </w:rPr>
      </w:pPr>
      <w:proofErr w:type="spellStart"/>
      <w:r w:rsidRPr="00C62CB3">
        <w:rPr>
          <w:rFonts w:cs="Arial"/>
          <w:szCs w:val="20"/>
          <w:lang w:val="en-GB"/>
        </w:rPr>
        <w:t>i</w:t>
      </w:r>
      <w:proofErr w:type="spellEnd"/>
      <w:r w:rsidRPr="00C62CB3">
        <w:rPr>
          <w:rFonts w:cs="Arial"/>
          <w:szCs w:val="20"/>
          <w:lang w:val="en-GB"/>
        </w:rPr>
        <w:t>.</w:t>
      </w:r>
      <w:r w:rsidR="00C62CB3" w:rsidRPr="00C62CB3">
        <w:rPr>
          <w:rFonts w:cs="Arial"/>
          <w:szCs w:val="20"/>
          <w:lang w:val="en-GB"/>
        </w:rPr>
        <w:t xml:space="preserve"> </w:t>
      </w:r>
      <w:r w:rsidRPr="00C62CB3">
        <w:rPr>
          <w:rFonts w:cs="Arial"/>
          <w:szCs w:val="20"/>
          <w:lang w:val="en-GB"/>
        </w:rPr>
        <w:t>d.</w:t>
      </w:r>
      <w:r w:rsidRPr="00C62CB3">
        <w:rPr>
          <w:rFonts w:cs="Arial"/>
          <w:szCs w:val="20"/>
          <w:lang w:val="en-GB"/>
        </w:rPr>
        <w:tab/>
      </w:r>
      <w:r w:rsidR="00A5065E" w:rsidRPr="00C62CB3">
        <w:rPr>
          <w:rFonts w:cs="Arial"/>
          <w:szCs w:val="20"/>
          <w:lang w:val="en-GB"/>
        </w:rPr>
        <w:t>individual or confidential data</w:t>
      </w:r>
    </w:p>
    <w:p w:rsidR="00450059" w:rsidRPr="00C62CB3" w:rsidRDefault="00450059" w:rsidP="00BB0D53">
      <w:pPr>
        <w:spacing w:line="276" w:lineRule="auto"/>
        <w:rPr>
          <w:rFonts w:cs="Arial"/>
          <w:szCs w:val="20"/>
          <w:lang w:val="en-GB"/>
        </w:rPr>
      </w:pPr>
      <w:proofErr w:type="spellStart"/>
      <w:proofErr w:type="gramStart"/>
      <w:r w:rsidRPr="00C62CB3">
        <w:rPr>
          <w:rFonts w:cs="Arial"/>
          <w:szCs w:val="20"/>
          <w:lang w:val="en-GB"/>
        </w:rPr>
        <w:t>i.d.s</w:t>
      </w:r>
      <w:proofErr w:type="spellEnd"/>
      <w:proofErr w:type="gramEnd"/>
      <w:r w:rsidRPr="00C62CB3">
        <w:rPr>
          <w:rFonts w:cs="Arial"/>
          <w:szCs w:val="20"/>
          <w:lang w:val="en-GB"/>
        </w:rPr>
        <w:t xml:space="preserve"> </w:t>
      </w:r>
      <w:r w:rsidRPr="00C62CB3">
        <w:rPr>
          <w:rFonts w:cs="Arial"/>
          <w:szCs w:val="20"/>
          <w:lang w:val="en-GB"/>
        </w:rPr>
        <w:tab/>
        <w:t>data that makes it impossible to derive confidential data</w:t>
      </w:r>
    </w:p>
    <w:p w:rsidR="0022164C" w:rsidRPr="00E90EF6" w:rsidRDefault="0022164C" w:rsidP="00BB0D53">
      <w:pPr>
        <w:pStyle w:val="Zkladntext"/>
        <w:spacing w:after="100" w:afterAutospacing="1" w:line="276" w:lineRule="auto"/>
        <w:rPr>
          <w:rFonts w:cs="Arial"/>
          <w:highlight w:val="lightGray"/>
          <w:lang w:val="en-GB"/>
        </w:rPr>
      </w:pPr>
    </w:p>
    <w:sectPr w:rsidR="0022164C" w:rsidRPr="00E90EF6" w:rsidSect="00CA4B13">
      <w:footerReference w:type="even" r:id="rId8"/>
      <w:footerReference w:type="default" r:id="rId9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855" w:rsidRDefault="00AD7855">
      <w:r>
        <w:separator/>
      </w:r>
    </w:p>
  </w:endnote>
  <w:endnote w:type="continuationSeparator" w:id="0">
    <w:p w:rsidR="00AD7855" w:rsidRDefault="00AD7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5B" w:rsidRDefault="00B614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165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165B" w:rsidRDefault="006D165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5B" w:rsidRDefault="006D165B">
    <w:pPr>
      <w:pStyle w:val="Zpat"/>
      <w:framePr w:wrap="around" w:vAnchor="text" w:hAnchor="margin" w:xAlign="center" w:y="1"/>
      <w:rPr>
        <w:rStyle w:val="slostrnky"/>
      </w:rPr>
    </w:pPr>
  </w:p>
  <w:p w:rsidR="006D165B" w:rsidRDefault="006D165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855" w:rsidRDefault="00AD7855">
      <w:r>
        <w:separator/>
      </w:r>
    </w:p>
  </w:footnote>
  <w:footnote w:type="continuationSeparator" w:id="0">
    <w:p w:rsidR="00AD7855" w:rsidRDefault="00AD78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C048E"/>
    <w:multiLevelType w:val="hybridMultilevel"/>
    <w:tmpl w:val="1A3CDBD4"/>
    <w:lvl w:ilvl="0" w:tplc="B10823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84AE1"/>
    <w:multiLevelType w:val="hybridMultilevel"/>
    <w:tmpl w:val="3FC4C46A"/>
    <w:lvl w:ilvl="0" w:tplc="6AE2CA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6204A"/>
    <w:multiLevelType w:val="hybridMultilevel"/>
    <w:tmpl w:val="B0D44A08"/>
    <w:lvl w:ilvl="0" w:tplc="BF361F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01EC9"/>
    <w:multiLevelType w:val="hybridMultilevel"/>
    <w:tmpl w:val="9AD09792"/>
    <w:lvl w:ilvl="0" w:tplc="867843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C4DA4"/>
    <w:multiLevelType w:val="hybridMultilevel"/>
    <w:tmpl w:val="82465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9A4E48"/>
    <w:multiLevelType w:val="hybridMultilevel"/>
    <w:tmpl w:val="F00A5290"/>
    <w:lvl w:ilvl="0" w:tplc="B96861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A6C57BA"/>
    <w:multiLevelType w:val="hybridMultilevel"/>
    <w:tmpl w:val="391C4B7A"/>
    <w:lvl w:ilvl="0" w:tplc="2B1C36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5EF"/>
    <w:rsid w:val="000117CA"/>
    <w:rsid w:val="00012646"/>
    <w:rsid w:val="00043E32"/>
    <w:rsid w:val="00052B73"/>
    <w:rsid w:val="00067FE1"/>
    <w:rsid w:val="0008000E"/>
    <w:rsid w:val="000872D3"/>
    <w:rsid w:val="00090AA9"/>
    <w:rsid w:val="00096010"/>
    <w:rsid w:val="000A2DF7"/>
    <w:rsid w:val="000A77D2"/>
    <w:rsid w:val="000C09B1"/>
    <w:rsid w:val="000C4F09"/>
    <w:rsid w:val="000E0C2A"/>
    <w:rsid w:val="000E2DA8"/>
    <w:rsid w:val="001309B3"/>
    <w:rsid w:val="00166DCF"/>
    <w:rsid w:val="00180AF1"/>
    <w:rsid w:val="00181137"/>
    <w:rsid w:val="00187B0A"/>
    <w:rsid w:val="001A2A79"/>
    <w:rsid w:val="001F0343"/>
    <w:rsid w:val="00211CB8"/>
    <w:rsid w:val="0022164C"/>
    <w:rsid w:val="00236B2C"/>
    <w:rsid w:val="00245642"/>
    <w:rsid w:val="00256B19"/>
    <w:rsid w:val="00267B60"/>
    <w:rsid w:val="00286E60"/>
    <w:rsid w:val="002A2456"/>
    <w:rsid w:val="002A4C4E"/>
    <w:rsid w:val="002C3465"/>
    <w:rsid w:val="002F7040"/>
    <w:rsid w:val="00307B1E"/>
    <w:rsid w:val="003406DF"/>
    <w:rsid w:val="003514AA"/>
    <w:rsid w:val="003556D1"/>
    <w:rsid w:val="00383488"/>
    <w:rsid w:val="00385A01"/>
    <w:rsid w:val="00397ED8"/>
    <w:rsid w:val="00397FAD"/>
    <w:rsid w:val="003E1DCC"/>
    <w:rsid w:val="00400CFE"/>
    <w:rsid w:val="0040150E"/>
    <w:rsid w:val="00410D00"/>
    <w:rsid w:val="00414604"/>
    <w:rsid w:val="00416CFF"/>
    <w:rsid w:val="00450059"/>
    <w:rsid w:val="004516E1"/>
    <w:rsid w:val="00454211"/>
    <w:rsid w:val="004543CA"/>
    <w:rsid w:val="0047049E"/>
    <w:rsid w:val="004B0D61"/>
    <w:rsid w:val="004C0C30"/>
    <w:rsid w:val="004D7766"/>
    <w:rsid w:val="004E3973"/>
    <w:rsid w:val="004E3A2C"/>
    <w:rsid w:val="004E5FAA"/>
    <w:rsid w:val="004F0504"/>
    <w:rsid w:val="004F6979"/>
    <w:rsid w:val="00517525"/>
    <w:rsid w:val="00522C60"/>
    <w:rsid w:val="00545A96"/>
    <w:rsid w:val="005505ED"/>
    <w:rsid w:val="005530FF"/>
    <w:rsid w:val="00553AE7"/>
    <w:rsid w:val="00572363"/>
    <w:rsid w:val="005962F7"/>
    <w:rsid w:val="005A22DE"/>
    <w:rsid w:val="005B7B48"/>
    <w:rsid w:val="005C38AE"/>
    <w:rsid w:val="005D72E1"/>
    <w:rsid w:val="005E4B64"/>
    <w:rsid w:val="005F1A0B"/>
    <w:rsid w:val="005F1DB0"/>
    <w:rsid w:val="005F5EC2"/>
    <w:rsid w:val="005F7D6B"/>
    <w:rsid w:val="00604B22"/>
    <w:rsid w:val="00633827"/>
    <w:rsid w:val="00645545"/>
    <w:rsid w:val="00664938"/>
    <w:rsid w:val="006672B4"/>
    <w:rsid w:val="00672606"/>
    <w:rsid w:val="006A5009"/>
    <w:rsid w:val="006B6F72"/>
    <w:rsid w:val="006C0504"/>
    <w:rsid w:val="006C0FCD"/>
    <w:rsid w:val="006D165B"/>
    <w:rsid w:val="006D42D2"/>
    <w:rsid w:val="006F281B"/>
    <w:rsid w:val="00701172"/>
    <w:rsid w:val="007106DB"/>
    <w:rsid w:val="007125D2"/>
    <w:rsid w:val="00717326"/>
    <w:rsid w:val="00723AD7"/>
    <w:rsid w:val="007405D9"/>
    <w:rsid w:val="00743DFC"/>
    <w:rsid w:val="007470C5"/>
    <w:rsid w:val="00757F02"/>
    <w:rsid w:val="007633D8"/>
    <w:rsid w:val="00767F00"/>
    <w:rsid w:val="00794E37"/>
    <w:rsid w:val="00797640"/>
    <w:rsid w:val="007B1213"/>
    <w:rsid w:val="007B6A06"/>
    <w:rsid w:val="007C3D12"/>
    <w:rsid w:val="007C3E32"/>
    <w:rsid w:val="007E0794"/>
    <w:rsid w:val="007F39DB"/>
    <w:rsid w:val="0080201F"/>
    <w:rsid w:val="00820001"/>
    <w:rsid w:val="008369E7"/>
    <w:rsid w:val="008456C0"/>
    <w:rsid w:val="0085178F"/>
    <w:rsid w:val="008854AF"/>
    <w:rsid w:val="0089263B"/>
    <w:rsid w:val="008B3C39"/>
    <w:rsid w:val="008B5864"/>
    <w:rsid w:val="008D4566"/>
    <w:rsid w:val="008E01F2"/>
    <w:rsid w:val="008F0F52"/>
    <w:rsid w:val="009029D8"/>
    <w:rsid w:val="00926146"/>
    <w:rsid w:val="00932E2F"/>
    <w:rsid w:val="00947E36"/>
    <w:rsid w:val="00950CB1"/>
    <w:rsid w:val="009560BB"/>
    <w:rsid w:val="00956BCE"/>
    <w:rsid w:val="00960BE5"/>
    <w:rsid w:val="009668BE"/>
    <w:rsid w:val="0097041A"/>
    <w:rsid w:val="0097487A"/>
    <w:rsid w:val="009922DC"/>
    <w:rsid w:val="009B5B2A"/>
    <w:rsid w:val="009D2A15"/>
    <w:rsid w:val="009D6333"/>
    <w:rsid w:val="009D76BC"/>
    <w:rsid w:val="00A102C2"/>
    <w:rsid w:val="00A11D84"/>
    <w:rsid w:val="00A32D3F"/>
    <w:rsid w:val="00A348BC"/>
    <w:rsid w:val="00A37766"/>
    <w:rsid w:val="00A5065E"/>
    <w:rsid w:val="00A62C60"/>
    <w:rsid w:val="00A90A02"/>
    <w:rsid w:val="00A91F21"/>
    <w:rsid w:val="00A96D34"/>
    <w:rsid w:val="00A97039"/>
    <w:rsid w:val="00AA5321"/>
    <w:rsid w:val="00AC4A7E"/>
    <w:rsid w:val="00AD70B0"/>
    <w:rsid w:val="00AD7855"/>
    <w:rsid w:val="00B10795"/>
    <w:rsid w:val="00B1386C"/>
    <w:rsid w:val="00B2279E"/>
    <w:rsid w:val="00B2322B"/>
    <w:rsid w:val="00B259D5"/>
    <w:rsid w:val="00B34D9A"/>
    <w:rsid w:val="00B42F23"/>
    <w:rsid w:val="00B44875"/>
    <w:rsid w:val="00B45DB3"/>
    <w:rsid w:val="00B6147E"/>
    <w:rsid w:val="00B82E63"/>
    <w:rsid w:val="00B84163"/>
    <w:rsid w:val="00B86E24"/>
    <w:rsid w:val="00B9391A"/>
    <w:rsid w:val="00B946C7"/>
    <w:rsid w:val="00BB0D53"/>
    <w:rsid w:val="00BB18DB"/>
    <w:rsid w:val="00BE62B7"/>
    <w:rsid w:val="00C04FE2"/>
    <w:rsid w:val="00C17BD0"/>
    <w:rsid w:val="00C24094"/>
    <w:rsid w:val="00C264FB"/>
    <w:rsid w:val="00C50179"/>
    <w:rsid w:val="00C509A7"/>
    <w:rsid w:val="00C55E50"/>
    <w:rsid w:val="00C610A7"/>
    <w:rsid w:val="00C62CB3"/>
    <w:rsid w:val="00C679CA"/>
    <w:rsid w:val="00C700D8"/>
    <w:rsid w:val="00C905EF"/>
    <w:rsid w:val="00C91E14"/>
    <w:rsid w:val="00C9779E"/>
    <w:rsid w:val="00CA488B"/>
    <w:rsid w:val="00CA4B13"/>
    <w:rsid w:val="00CC16D1"/>
    <w:rsid w:val="00CC5E2E"/>
    <w:rsid w:val="00CD1E12"/>
    <w:rsid w:val="00CD3688"/>
    <w:rsid w:val="00CE248E"/>
    <w:rsid w:val="00CE322F"/>
    <w:rsid w:val="00CE5B9A"/>
    <w:rsid w:val="00D42D81"/>
    <w:rsid w:val="00D62322"/>
    <w:rsid w:val="00D668CA"/>
    <w:rsid w:val="00DE4FB0"/>
    <w:rsid w:val="00DF4A68"/>
    <w:rsid w:val="00E16674"/>
    <w:rsid w:val="00E50A48"/>
    <w:rsid w:val="00E538C2"/>
    <w:rsid w:val="00E66A2E"/>
    <w:rsid w:val="00E73404"/>
    <w:rsid w:val="00E90EF6"/>
    <w:rsid w:val="00E914DF"/>
    <w:rsid w:val="00E97082"/>
    <w:rsid w:val="00E9788C"/>
    <w:rsid w:val="00EA600D"/>
    <w:rsid w:val="00EA781D"/>
    <w:rsid w:val="00EC716A"/>
    <w:rsid w:val="00EE5D25"/>
    <w:rsid w:val="00F0350F"/>
    <w:rsid w:val="00F27861"/>
    <w:rsid w:val="00F510CB"/>
    <w:rsid w:val="00F66B84"/>
    <w:rsid w:val="00F74B3A"/>
    <w:rsid w:val="00F752A1"/>
    <w:rsid w:val="00FA63E1"/>
    <w:rsid w:val="00FB5620"/>
    <w:rsid w:val="00FD0ED6"/>
    <w:rsid w:val="00FE7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147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B6147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B6147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B6147E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B6147E"/>
    <w:pPr>
      <w:keepNext/>
      <w:spacing w:after="120"/>
      <w:jc w:val="center"/>
      <w:outlineLvl w:val="3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6147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B6147E"/>
    <w:pPr>
      <w:numPr>
        <w:numId w:val="3"/>
      </w:numPr>
    </w:pPr>
  </w:style>
  <w:style w:type="paragraph" w:styleId="Zpat">
    <w:name w:val="footer"/>
    <w:basedOn w:val="Normln"/>
    <w:semiHidden/>
    <w:rsid w:val="00B6147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6147E"/>
  </w:style>
  <w:style w:type="paragraph" w:styleId="Zkladntextodsazen2">
    <w:name w:val="Body Text Indent 2"/>
    <w:basedOn w:val="Normln"/>
    <w:semiHidden/>
    <w:rsid w:val="00B6147E"/>
    <w:pPr>
      <w:spacing w:line="360" w:lineRule="auto"/>
      <w:ind w:firstLine="709"/>
    </w:pPr>
    <w:rPr>
      <w:rFonts w:cs="Arial"/>
      <w:sz w:val="24"/>
    </w:rPr>
  </w:style>
  <w:style w:type="paragraph" w:styleId="Zkladntextodsazen">
    <w:name w:val="Body Text Indent"/>
    <w:basedOn w:val="Normln"/>
    <w:semiHidden/>
    <w:rsid w:val="00B6147E"/>
    <w:pPr>
      <w:ind w:firstLine="708"/>
    </w:pPr>
    <w:rPr>
      <w:rFonts w:ascii="Times New Roman" w:hAnsi="Times New Roman"/>
      <w:sz w:val="24"/>
    </w:rPr>
  </w:style>
  <w:style w:type="paragraph" w:styleId="Zkladntext">
    <w:name w:val="Body Text"/>
    <w:basedOn w:val="Normln"/>
    <w:semiHidden/>
    <w:rsid w:val="00B6147E"/>
  </w:style>
  <w:style w:type="paragraph" w:styleId="Zkladntext2">
    <w:name w:val="Body Text 2"/>
    <w:basedOn w:val="Normln"/>
    <w:semiHidden/>
    <w:rsid w:val="00B6147E"/>
    <w:pPr>
      <w:jc w:val="left"/>
    </w:pPr>
    <w:rPr>
      <w:rFonts w:ascii="Times New Roman" w:hAnsi="Times New Roman"/>
      <w:sz w:val="24"/>
    </w:rPr>
  </w:style>
  <w:style w:type="paragraph" w:styleId="Zhlav">
    <w:name w:val="header"/>
    <w:basedOn w:val="Normln"/>
    <w:semiHidden/>
    <w:rsid w:val="00B6147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5B9A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CE5B9A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9560BB"/>
    <w:rPr>
      <w:b/>
      <w:bCs/>
    </w:rPr>
  </w:style>
  <w:style w:type="paragraph" w:customStyle="1" w:styleId="CM1">
    <w:name w:val="CM1"/>
    <w:basedOn w:val="Normln"/>
    <w:next w:val="Normln"/>
    <w:uiPriority w:val="99"/>
    <w:rsid w:val="00E9788C"/>
    <w:pPr>
      <w:autoSpaceDE w:val="0"/>
      <w:autoSpaceDN w:val="0"/>
      <w:adjustRightInd w:val="0"/>
      <w:jc w:val="left"/>
    </w:pPr>
    <w:rPr>
      <w:rFonts w:ascii="EUAlbertina" w:hAnsi="EUAlbertina"/>
      <w:sz w:val="24"/>
    </w:rPr>
  </w:style>
  <w:style w:type="paragraph" w:customStyle="1" w:styleId="CM3">
    <w:name w:val="CM3"/>
    <w:basedOn w:val="Normln"/>
    <w:next w:val="Normln"/>
    <w:uiPriority w:val="99"/>
    <w:rsid w:val="00E9788C"/>
    <w:pPr>
      <w:autoSpaceDE w:val="0"/>
      <w:autoSpaceDN w:val="0"/>
      <w:adjustRightInd w:val="0"/>
      <w:jc w:val="left"/>
    </w:pPr>
    <w:rPr>
      <w:rFonts w:ascii="EUAlbertina" w:hAnsi="EUAlbertina"/>
      <w:sz w:val="24"/>
    </w:rPr>
  </w:style>
  <w:style w:type="paragraph" w:customStyle="1" w:styleId="CM4">
    <w:name w:val="CM4"/>
    <w:basedOn w:val="Normln"/>
    <w:next w:val="Normln"/>
    <w:uiPriority w:val="99"/>
    <w:rsid w:val="00B82E63"/>
    <w:pPr>
      <w:autoSpaceDE w:val="0"/>
      <w:autoSpaceDN w:val="0"/>
      <w:adjustRightInd w:val="0"/>
      <w:jc w:val="left"/>
    </w:pPr>
    <w:rPr>
      <w:rFonts w:ascii="EUAlbertina" w:hAnsi="EUAlbertin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8F6FD-D37E-466A-8FC2-3EAD9134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</vt:lpstr>
    </vt:vector>
  </TitlesOfParts>
  <Company>CSU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</dc:title>
  <dc:creator>system service</dc:creator>
  <cp:lastModifiedBy>macova4870</cp:lastModifiedBy>
  <cp:revision>3</cp:revision>
  <cp:lastPrinted>2016-08-15T09:50:00Z</cp:lastPrinted>
  <dcterms:created xsi:type="dcterms:W3CDTF">2016-10-03T08:56:00Z</dcterms:created>
  <dcterms:modified xsi:type="dcterms:W3CDTF">2016-10-05T09:26:00Z</dcterms:modified>
</cp:coreProperties>
</file>