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rsidR="00346C2F" w:rsidRDefault="00346C2F" w:rsidP="00346C2F">
      <w:pPr>
        <w:spacing w:after="0" w:line="240" w:lineRule="auto"/>
        <w:jc w:val="both"/>
        <w:rPr>
          <w:rFonts w:ascii="Arial" w:hAnsi="Arial"/>
          <w:i/>
          <w:iCs/>
          <w:sz w:val="20"/>
          <w:lang w:val="en-GB"/>
        </w:rPr>
      </w:pP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rsidR="001C004D" w:rsidRDefault="001C004D" w:rsidP="00346C2F">
      <w:pPr>
        <w:pStyle w:val="Zkladntextodsazen"/>
        <w:spacing w:before="0" w:after="0"/>
        <w:ind w:firstLine="708"/>
        <w:rPr>
          <w:i/>
          <w:iCs/>
          <w:lang w:val="en-GB"/>
        </w:rPr>
      </w:pPr>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
    <w:p w:rsidR="001C004D" w:rsidRDefault="001C004D" w:rsidP="00346C2F">
      <w:pPr>
        <w:pStyle w:val="Zkladntextodsazen"/>
        <w:spacing w:before="0" w:after="0"/>
        <w:ind w:firstLine="708"/>
        <w:rPr>
          <w:i/>
          <w:iCs/>
          <w:lang w:val="en-GB"/>
        </w:rPr>
      </w:pPr>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
    <w:p w:rsidR="001C004D" w:rsidRDefault="001C004D" w:rsidP="00346C2F">
      <w:pPr>
        <w:pStyle w:val="Zkladntextodsazen"/>
        <w:spacing w:before="0" w:after="0"/>
        <w:ind w:firstLine="708"/>
        <w:rPr>
          <w:i/>
          <w:iCs/>
          <w:lang w:val="en-GB"/>
        </w:rPr>
      </w:pPr>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
    <w:p w:rsidR="001C004D" w:rsidRDefault="001C004D" w:rsidP="00346C2F">
      <w:pPr>
        <w:pStyle w:val="Zkladntextodsazen"/>
        <w:spacing w:before="0" w:after="0"/>
        <w:ind w:firstLine="708"/>
        <w:rPr>
          <w:i/>
          <w:iCs/>
          <w:lang w:val="en-GB"/>
        </w:rPr>
      </w:pPr>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
    <w:p w:rsidR="001C004D" w:rsidRDefault="001C004D" w:rsidP="00346C2F">
      <w:pPr>
        <w:pStyle w:val="Zkladntextodsazen"/>
        <w:spacing w:before="0" w:after="0"/>
        <w:ind w:firstLine="0"/>
        <w:rPr>
          <w:i/>
          <w:iCs/>
          <w:lang w:val="en-GB"/>
        </w:rPr>
      </w:pPr>
    </w:p>
    <w:p w:rsidR="00346C2F" w:rsidRDefault="00346C2F" w:rsidP="00346C2F">
      <w:pPr>
        <w:spacing w:after="0" w:line="240" w:lineRule="auto"/>
        <w:jc w:val="both"/>
        <w:rPr>
          <w:rFonts w:ascii="Arial" w:hAnsi="Arial"/>
          <w:b/>
          <w:bCs/>
          <w:i/>
          <w:iCs/>
          <w:lang w:val="en-GB"/>
        </w:rPr>
      </w:pPr>
    </w:p>
    <w:p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rsidR="00346C2F" w:rsidRDefault="00346C2F" w:rsidP="00346C2F">
      <w:pPr>
        <w:pStyle w:val="Zkladntext"/>
        <w:rPr>
          <w:rFonts w:ascii="Arial" w:hAnsi="Arial"/>
          <w:b/>
          <w:bCs/>
          <w:i/>
          <w:iCs/>
          <w:sz w:val="20"/>
        </w:rPr>
      </w:pPr>
    </w:p>
    <w:p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201</w:t>
      </w:r>
      <w:r w:rsidR="005C73D5">
        <w:rPr>
          <w:rFonts w:ascii="Arial" w:hAnsi="Arial"/>
          <w:i/>
          <w:iCs/>
          <w:sz w:val="20"/>
          <w:lang w:val="en-GB"/>
        </w:rPr>
        <w:t>9</w:t>
      </w:r>
      <w:bookmarkStart w:id="0" w:name="_GoBack"/>
      <w:bookmarkEnd w:id="0"/>
      <w:r>
        <w:rPr>
          <w:rFonts w:ascii="Arial" w:hAnsi="Arial"/>
          <w:i/>
          <w:iCs/>
          <w:sz w:val="20"/>
          <w:lang w:val="en-GB"/>
        </w:rPr>
        <w:t xml:space="preserve"> were compiled in this manner. The whole production account was expressed at the basic prices.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the others.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rsidR="001C004D" w:rsidRDefault="001C004D" w:rsidP="00346C2F">
      <w:pPr>
        <w:pStyle w:val="Zhlav"/>
      </w:pPr>
    </w:p>
    <w:p w:rsidR="00164017" w:rsidRDefault="00164017" w:rsidP="00346C2F">
      <w:pPr>
        <w:pStyle w:val="Zhlav"/>
      </w:pPr>
    </w:p>
    <w:p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rsidR="00164017" w:rsidRDefault="00164017" w:rsidP="001C004D">
      <w:pPr>
        <w:pStyle w:val="Zkladntext2"/>
        <w:spacing w:after="0" w:line="240" w:lineRule="auto"/>
        <w:rPr>
          <w:b/>
          <w:bCs/>
          <w:i/>
          <w:iCs/>
          <w:sz w:val="24"/>
          <w:lang w:val="en-GB"/>
        </w:rPr>
      </w:pPr>
    </w:p>
    <w:p w:rsidR="00164017" w:rsidRDefault="00164017" w:rsidP="001C004D">
      <w:pPr>
        <w:pStyle w:val="Zkladntext2"/>
        <w:spacing w:after="0" w:line="240" w:lineRule="auto"/>
        <w:rPr>
          <w:b/>
          <w:bCs/>
          <w:i/>
          <w:iCs/>
          <w:sz w:val="24"/>
          <w:lang w:val="en-GB"/>
        </w:rPr>
      </w:pPr>
    </w:p>
    <w:sectPr w:rsid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04D" w:rsidRDefault="001C004D" w:rsidP="001C004D">
      <w:pPr>
        <w:spacing w:after="0" w:line="240" w:lineRule="auto"/>
      </w:pPr>
      <w:r>
        <w:separator/>
      </w:r>
    </w:p>
  </w:endnote>
  <w:endnote w:type="continuationSeparator" w:id="0">
    <w:p w:rsidR="001C004D" w:rsidRDefault="001C004D"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04D" w:rsidRDefault="001C004D" w:rsidP="001C004D">
      <w:pPr>
        <w:spacing w:after="0" w:line="240" w:lineRule="auto"/>
      </w:pPr>
      <w:r>
        <w:separator/>
      </w:r>
    </w:p>
  </w:footnote>
  <w:footnote w:type="continuationSeparator" w:id="0">
    <w:p w:rsidR="001C004D" w:rsidRDefault="001C004D"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4D"/>
    <w:rsid w:val="00164017"/>
    <w:rsid w:val="00197A10"/>
    <w:rsid w:val="001C004D"/>
    <w:rsid w:val="0020630B"/>
    <w:rsid w:val="00346C2F"/>
    <w:rsid w:val="00372FF8"/>
    <w:rsid w:val="004D13FB"/>
    <w:rsid w:val="005C73D5"/>
    <w:rsid w:val="005D5A37"/>
    <w:rsid w:val="006677FB"/>
    <w:rsid w:val="006C2D31"/>
    <w:rsid w:val="006C7F1B"/>
    <w:rsid w:val="006D3D53"/>
    <w:rsid w:val="008B2530"/>
    <w:rsid w:val="00996E3F"/>
    <w:rsid w:val="00A06011"/>
    <w:rsid w:val="00B611C3"/>
    <w:rsid w:val="00BD18C7"/>
    <w:rsid w:val="00C00E1A"/>
    <w:rsid w:val="00DA1002"/>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849F"/>
  <w15:docId w15:val="{0BF93D61-6CB3-4C97-AF93-8A97DC6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malkova124</cp:lastModifiedBy>
  <cp:revision>3</cp:revision>
  <dcterms:created xsi:type="dcterms:W3CDTF">2020-03-02T14:38:00Z</dcterms:created>
  <dcterms:modified xsi:type="dcterms:W3CDTF">2020-03-02T14:39:00Z</dcterms:modified>
</cp:coreProperties>
</file>