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4E68" w14:textId="049BBA2E" w:rsidR="0087722C" w:rsidRPr="00D160FB" w:rsidRDefault="0087722C" w:rsidP="0087722C">
      <w:pPr>
        <w:pStyle w:val="Nadpis11"/>
        <w:rPr>
          <w:lang w:val="en-GB"/>
        </w:rPr>
      </w:pPr>
      <w:bookmarkStart w:id="0" w:name="_Toc132874249"/>
      <w:bookmarkStart w:id="1" w:name="_Toc114134050"/>
      <w:r w:rsidRPr="00D160FB">
        <w:rPr>
          <w:lang w:val="en-GB"/>
        </w:rPr>
        <w:t>5. </w:t>
      </w:r>
      <w:r w:rsidR="00C55249" w:rsidRPr="00D160FB">
        <w:rPr>
          <w:lang w:val="en-GB"/>
        </w:rPr>
        <w:t>Prices</w:t>
      </w:r>
      <w:bookmarkEnd w:id="0"/>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87722C" w:rsidRPr="00D160FB" w14:paraId="4E5D24DA" w14:textId="77777777" w:rsidTr="00435DE8">
        <w:trPr>
          <w:trHeight w:val="145"/>
        </w:trPr>
        <w:tc>
          <w:tcPr>
            <w:tcW w:w="1804" w:type="dxa"/>
            <w:shd w:val="clear" w:color="auto" w:fill="auto"/>
            <w:tcMar>
              <w:left w:w="0" w:type="dxa"/>
            </w:tcMar>
          </w:tcPr>
          <w:p w14:paraId="24B2AFD1" w14:textId="4A0BB0D6" w:rsidR="0087722C" w:rsidRPr="00D160FB" w:rsidRDefault="00C55249" w:rsidP="00163868">
            <w:pPr>
              <w:pStyle w:val="Marginlie"/>
              <w:rPr>
                <w:spacing w:val="0"/>
                <w:lang w:val="en-GB"/>
              </w:rPr>
            </w:pPr>
            <w:r w:rsidRPr="00D160FB">
              <w:rPr>
                <w:spacing w:val="0"/>
                <w:lang w:val="en-GB"/>
              </w:rPr>
              <w:t xml:space="preserve">Total price level </w:t>
            </w:r>
            <w:r w:rsidR="007359EC" w:rsidRPr="00D160FB">
              <w:rPr>
                <w:spacing w:val="0"/>
                <w:lang w:val="en-GB"/>
              </w:rPr>
              <w:t xml:space="preserve">sharply hiked up in the economy </w:t>
            </w:r>
            <w:r w:rsidR="00312E51" w:rsidRPr="00D160FB">
              <w:rPr>
                <w:spacing w:val="0"/>
                <w:lang w:val="en-GB"/>
              </w:rPr>
              <w:t>last year</w:t>
            </w:r>
            <w:r w:rsidR="007359EC" w:rsidRPr="00D160FB">
              <w:rPr>
                <w:spacing w:val="0"/>
                <w:lang w:val="en-GB"/>
              </w:rPr>
              <w:t xml:space="preserve">. </w:t>
            </w:r>
          </w:p>
        </w:tc>
        <w:tc>
          <w:tcPr>
            <w:tcW w:w="224" w:type="dxa"/>
            <w:shd w:val="clear" w:color="auto" w:fill="auto"/>
            <w:tcMar>
              <w:left w:w="0" w:type="dxa"/>
            </w:tcMar>
          </w:tcPr>
          <w:p w14:paraId="760FBC10"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54AEBB88" w14:textId="2BAFC27E" w:rsidR="0087722C" w:rsidRPr="00D160FB" w:rsidRDefault="00CF6E02" w:rsidP="00163868">
            <w:pPr>
              <w:rPr>
                <w:szCs w:val="20"/>
                <w:lang w:val="en-GB"/>
              </w:rPr>
            </w:pPr>
            <w:r w:rsidRPr="00D160FB">
              <w:rPr>
                <w:szCs w:val="20"/>
                <w:lang w:val="en-GB"/>
              </w:rPr>
              <w:t xml:space="preserve">Total price level gauged by the GDP deflator rose by </w:t>
            </w:r>
            <w:r w:rsidR="0087722C" w:rsidRPr="00D160FB">
              <w:rPr>
                <w:szCs w:val="20"/>
                <w:lang w:val="en-GB"/>
              </w:rPr>
              <w:t>8</w:t>
            </w:r>
            <w:r w:rsidRPr="00D160FB">
              <w:rPr>
                <w:szCs w:val="20"/>
                <w:lang w:val="en-GB"/>
              </w:rPr>
              <w:t>.</w:t>
            </w:r>
            <w:r w:rsidR="0087722C" w:rsidRPr="00D160FB">
              <w:rPr>
                <w:szCs w:val="20"/>
                <w:lang w:val="en-GB"/>
              </w:rPr>
              <w:t>4%</w:t>
            </w:r>
            <w:r w:rsidRPr="00D160FB">
              <w:rPr>
                <w:szCs w:val="20"/>
                <w:lang w:val="en-GB"/>
              </w:rPr>
              <w:t xml:space="preserve"> in the Czech economy in year 2022. It represents the </w:t>
            </w:r>
            <w:r w:rsidR="00917351" w:rsidRPr="00D160FB">
              <w:rPr>
                <w:szCs w:val="20"/>
                <w:lang w:val="en-GB"/>
              </w:rPr>
              <w:t>highest i</w:t>
            </w:r>
            <w:r w:rsidRPr="00D160FB">
              <w:rPr>
                <w:szCs w:val="20"/>
                <w:lang w:val="en-GB"/>
              </w:rPr>
              <w:t xml:space="preserve">ncrease since year </w:t>
            </w:r>
            <w:r w:rsidR="0087722C" w:rsidRPr="00D160FB">
              <w:rPr>
                <w:szCs w:val="20"/>
                <w:lang w:val="en-GB"/>
              </w:rPr>
              <w:t xml:space="preserve">1998. </w:t>
            </w:r>
            <w:r w:rsidRPr="00D160FB">
              <w:rPr>
                <w:szCs w:val="20"/>
                <w:lang w:val="en-GB"/>
              </w:rPr>
              <w:t xml:space="preserve">Prices of consumer goods were by </w:t>
            </w:r>
            <w:r w:rsidR="0087722C" w:rsidRPr="00D160FB">
              <w:rPr>
                <w:szCs w:val="20"/>
                <w:lang w:val="en-GB"/>
              </w:rPr>
              <w:t>11</w:t>
            </w:r>
            <w:r w:rsidRPr="00D160FB">
              <w:rPr>
                <w:szCs w:val="20"/>
                <w:lang w:val="en-GB"/>
              </w:rPr>
              <w:t>.</w:t>
            </w:r>
            <w:r w:rsidR="0087722C" w:rsidRPr="00D160FB">
              <w:rPr>
                <w:szCs w:val="20"/>
                <w:lang w:val="en-GB"/>
              </w:rPr>
              <w:t>9%</w:t>
            </w:r>
            <w:r w:rsidRPr="00D160FB">
              <w:rPr>
                <w:szCs w:val="20"/>
                <w:lang w:val="en-GB"/>
              </w:rPr>
              <w:t xml:space="preserve"> higher</w:t>
            </w:r>
            <w:r w:rsidR="0087722C" w:rsidRPr="00D160FB">
              <w:rPr>
                <w:szCs w:val="20"/>
                <w:lang w:val="en-GB"/>
              </w:rPr>
              <w:t>,</w:t>
            </w:r>
            <w:r w:rsidR="00A62427" w:rsidRPr="00D160FB">
              <w:rPr>
                <w:szCs w:val="20"/>
                <w:lang w:val="en-GB"/>
              </w:rPr>
              <w:t xml:space="preserve"> while large </w:t>
            </w:r>
            <w:r w:rsidR="005B7580" w:rsidRPr="00D160FB">
              <w:rPr>
                <w:szCs w:val="20"/>
                <w:lang w:val="en-GB"/>
              </w:rPr>
              <w:t xml:space="preserve">differences prevailed between the household consumption </w:t>
            </w:r>
            <w:r w:rsidR="0087722C" w:rsidRPr="00D160FB">
              <w:rPr>
                <w:szCs w:val="20"/>
                <w:lang w:val="en-GB"/>
              </w:rPr>
              <w:t>(</w:t>
            </w:r>
            <w:r w:rsidR="005B7580" w:rsidRPr="00D160FB">
              <w:rPr>
                <w:szCs w:val="20"/>
                <w:lang w:val="en-GB"/>
              </w:rPr>
              <w:t xml:space="preserve">increase of price level by </w:t>
            </w:r>
            <w:r w:rsidR="0087722C" w:rsidRPr="00D160FB">
              <w:rPr>
                <w:szCs w:val="20"/>
                <w:lang w:val="en-GB"/>
              </w:rPr>
              <w:t>16</w:t>
            </w:r>
            <w:r w:rsidR="005B7580" w:rsidRPr="00D160FB">
              <w:rPr>
                <w:szCs w:val="20"/>
                <w:lang w:val="en-GB"/>
              </w:rPr>
              <w:t>.</w:t>
            </w:r>
            <w:r w:rsidR="0087722C" w:rsidRPr="00D160FB">
              <w:rPr>
                <w:szCs w:val="20"/>
                <w:lang w:val="en-GB"/>
              </w:rPr>
              <w:t>3%) a</w:t>
            </w:r>
            <w:r w:rsidR="005B7580" w:rsidRPr="00D160FB">
              <w:rPr>
                <w:szCs w:val="20"/>
                <w:lang w:val="en-GB"/>
              </w:rPr>
              <w:t xml:space="preserve">nd government institutions </w:t>
            </w:r>
            <w:r w:rsidR="0087722C" w:rsidRPr="00D160FB">
              <w:rPr>
                <w:szCs w:val="20"/>
                <w:lang w:val="en-GB"/>
              </w:rPr>
              <w:t>(3</w:t>
            </w:r>
            <w:r w:rsidR="005B7580" w:rsidRPr="00D160FB">
              <w:rPr>
                <w:szCs w:val="20"/>
                <w:lang w:val="en-GB"/>
              </w:rPr>
              <w:t>.</w:t>
            </w:r>
            <w:r w:rsidR="0087722C" w:rsidRPr="00D160FB">
              <w:rPr>
                <w:szCs w:val="20"/>
                <w:lang w:val="en-GB"/>
              </w:rPr>
              <w:t>3%).</w:t>
            </w:r>
            <w:r w:rsidR="005B7580" w:rsidRPr="00D160FB">
              <w:rPr>
                <w:szCs w:val="20"/>
                <w:lang w:val="en-GB"/>
              </w:rPr>
              <w:t xml:space="preserve"> Prices of capital goods were by </w:t>
            </w:r>
            <w:r w:rsidR="0087722C" w:rsidRPr="00D160FB">
              <w:rPr>
                <w:szCs w:val="20"/>
                <w:lang w:val="en-GB"/>
              </w:rPr>
              <w:t>12</w:t>
            </w:r>
            <w:r w:rsidR="005B7580" w:rsidRPr="00D160FB">
              <w:rPr>
                <w:szCs w:val="20"/>
                <w:lang w:val="en-GB"/>
              </w:rPr>
              <w:t>.</w:t>
            </w:r>
            <w:r w:rsidR="0087722C" w:rsidRPr="00D160FB">
              <w:rPr>
                <w:szCs w:val="20"/>
                <w:lang w:val="en-GB"/>
              </w:rPr>
              <w:t>0%</w:t>
            </w:r>
            <w:r w:rsidR="005B7580" w:rsidRPr="00D160FB">
              <w:rPr>
                <w:szCs w:val="20"/>
                <w:lang w:val="en-GB"/>
              </w:rPr>
              <w:t xml:space="preserve"> higher last year</w:t>
            </w:r>
            <w:r w:rsidR="0087722C" w:rsidRPr="00D160FB">
              <w:rPr>
                <w:szCs w:val="20"/>
                <w:lang w:val="en-GB"/>
              </w:rPr>
              <w:t xml:space="preserve">. </w:t>
            </w:r>
            <w:r w:rsidR="005B7580" w:rsidRPr="00D160FB">
              <w:rPr>
                <w:szCs w:val="20"/>
                <w:lang w:val="en-GB"/>
              </w:rPr>
              <w:t xml:space="preserve">The terms of trade were negative and attained </w:t>
            </w:r>
            <w:r w:rsidR="0087722C" w:rsidRPr="00D160FB">
              <w:rPr>
                <w:szCs w:val="20"/>
                <w:lang w:val="en-GB"/>
              </w:rPr>
              <w:t>95</w:t>
            </w:r>
            <w:r w:rsidR="005B7580" w:rsidRPr="00D160FB">
              <w:rPr>
                <w:szCs w:val="20"/>
                <w:lang w:val="en-GB"/>
              </w:rPr>
              <w:t>.</w:t>
            </w:r>
            <w:r w:rsidR="0087722C" w:rsidRPr="00D160FB">
              <w:rPr>
                <w:szCs w:val="20"/>
                <w:lang w:val="en-GB"/>
              </w:rPr>
              <w:t>8%.</w:t>
            </w:r>
            <w:r w:rsidR="005B7580" w:rsidRPr="00D160FB">
              <w:rPr>
                <w:szCs w:val="20"/>
                <w:lang w:val="en-GB"/>
              </w:rPr>
              <w:t xml:space="preserve"> Terms of trade with goods were </w:t>
            </w:r>
            <w:r w:rsidR="0087722C" w:rsidRPr="00D160FB">
              <w:rPr>
                <w:szCs w:val="20"/>
                <w:lang w:val="en-GB"/>
              </w:rPr>
              <w:t>94</w:t>
            </w:r>
            <w:r w:rsidR="005B7580" w:rsidRPr="00D160FB">
              <w:rPr>
                <w:szCs w:val="20"/>
                <w:lang w:val="en-GB"/>
              </w:rPr>
              <w:t>.</w:t>
            </w:r>
            <w:r w:rsidR="0087722C" w:rsidRPr="00D160FB">
              <w:rPr>
                <w:szCs w:val="20"/>
                <w:lang w:val="en-GB"/>
              </w:rPr>
              <w:t xml:space="preserve">8%, </w:t>
            </w:r>
            <w:r w:rsidR="005B7580" w:rsidRPr="00D160FB">
              <w:rPr>
                <w:szCs w:val="20"/>
                <w:lang w:val="en-GB"/>
              </w:rPr>
              <w:t xml:space="preserve">while they were positive for services and reached </w:t>
            </w:r>
            <w:r w:rsidR="0087722C" w:rsidRPr="00D160FB">
              <w:rPr>
                <w:szCs w:val="20"/>
                <w:lang w:val="en-GB"/>
              </w:rPr>
              <w:t>102</w:t>
            </w:r>
            <w:r w:rsidR="005B7580" w:rsidRPr="00D160FB">
              <w:rPr>
                <w:szCs w:val="20"/>
                <w:lang w:val="en-GB"/>
              </w:rPr>
              <w:t>.</w:t>
            </w:r>
            <w:r w:rsidR="0087722C" w:rsidRPr="00D160FB">
              <w:rPr>
                <w:szCs w:val="20"/>
                <w:lang w:val="en-GB"/>
              </w:rPr>
              <w:t xml:space="preserve">4%. </w:t>
            </w:r>
            <w:r w:rsidR="00980997" w:rsidRPr="00D160FB">
              <w:rPr>
                <w:szCs w:val="20"/>
                <w:lang w:val="en-GB"/>
              </w:rPr>
              <w:t xml:space="preserve">The growth of the price level strengthened during the year and the year-on-year addition to price level arrived at </w:t>
            </w:r>
            <w:r w:rsidR="0087722C" w:rsidRPr="00D160FB">
              <w:rPr>
                <w:szCs w:val="20"/>
                <w:lang w:val="en-GB"/>
              </w:rPr>
              <w:t>10</w:t>
            </w:r>
            <w:r w:rsidR="00980997" w:rsidRPr="00D160FB">
              <w:rPr>
                <w:szCs w:val="20"/>
                <w:lang w:val="en-GB"/>
              </w:rPr>
              <w:t>.</w:t>
            </w:r>
            <w:r w:rsidR="0087722C" w:rsidRPr="00D160FB">
              <w:rPr>
                <w:szCs w:val="20"/>
                <w:lang w:val="en-GB"/>
              </w:rPr>
              <w:t>7%</w:t>
            </w:r>
            <w:r w:rsidR="00980997" w:rsidRPr="00D160FB">
              <w:rPr>
                <w:szCs w:val="20"/>
                <w:lang w:val="en-GB"/>
              </w:rPr>
              <w:t xml:space="preserve"> in Q4</w:t>
            </w:r>
            <w:r w:rsidR="0087722C" w:rsidRPr="00D160FB">
              <w:rPr>
                <w:szCs w:val="20"/>
                <w:lang w:val="en-GB"/>
              </w:rPr>
              <w:t xml:space="preserve">. </w:t>
            </w:r>
            <w:r w:rsidR="00980997" w:rsidRPr="00D160FB">
              <w:rPr>
                <w:szCs w:val="20"/>
                <w:lang w:val="en-GB"/>
              </w:rPr>
              <w:t xml:space="preserve">In that prices of consumption rose by </w:t>
            </w:r>
            <w:r w:rsidR="0087722C" w:rsidRPr="00D160FB">
              <w:rPr>
                <w:szCs w:val="20"/>
                <w:lang w:val="en-GB"/>
              </w:rPr>
              <w:t>12</w:t>
            </w:r>
            <w:r w:rsidR="00980997" w:rsidRPr="00D160FB">
              <w:rPr>
                <w:szCs w:val="20"/>
                <w:lang w:val="en-GB"/>
              </w:rPr>
              <w:t>.</w:t>
            </w:r>
            <w:r w:rsidR="0087722C" w:rsidRPr="00D160FB">
              <w:rPr>
                <w:szCs w:val="20"/>
                <w:lang w:val="en-GB"/>
              </w:rPr>
              <w:t>7% (</w:t>
            </w:r>
            <w:r w:rsidR="00980997" w:rsidRPr="00D160FB">
              <w:rPr>
                <w:szCs w:val="20"/>
                <w:lang w:val="en-GB"/>
              </w:rPr>
              <w:t xml:space="preserve">it was </w:t>
            </w:r>
            <w:r w:rsidR="0087722C" w:rsidRPr="00D160FB">
              <w:rPr>
                <w:szCs w:val="20"/>
                <w:lang w:val="en-GB"/>
              </w:rPr>
              <w:t>18</w:t>
            </w:r>
            <w:r w:rsidR="00980997" w:rsidRPr="00D160FB">
              <w:rPr>
                <w:szCs w:val="20"/>
                <w:lang w:val="en-GB"/>
              </w:rPr>
              <w:t>.</w:t>
            </w:r>
            <w:r w:rsidR="0087722C" w:rsidRPr="00D160FB">
              <w:rPr>
                <w:szCs w:val="20"/>
                <w:lang w:val="en-GB"/>
              </w:rPr>
              <w:t>0%</w:t>
            </w:r>
            <w:r w:rsidR="00980997" w:rsidRPr="00D160FB">
              <w:rPr>
                <w:szCs w:val="20"/>
                <w:lang w:val="en-GB"/>
              </w:rPr>
              <w:t xml:space="preserve"> for household consumption</w:t>
            </w:r>
            <w:r w:rsidR="0087722C" w:rsidRPr="00D160FB">
              <w:rPr>
                <w:szCs w:val="20"/>
                <w:lang w:val="en-GB"/>
              </w:rPr>
              <w:t xml:space="preserve">, </w:t>
            </w:r>
            <w:r w:rsidR="00980997" w:rsidRPr="00D160FB">
              <w:rPr>
                <w:szCs w:val="20"/>
                <w:lang w:val="en-GB"/>
              </w:rPr>
              <w:t>3.</w:t>
            </w:r>
            <w:r w:rsidR="0087722C" w:rsidRPr="00D160FB">
              <w:rPr>
                <w:szCs w:val="20"/>
                <w:lang w:val="en-GB"/>
              </w:rPr>
              <w:t>8%</w:t>
            </w:r>
            <w:r w:rsidR="00980997" w:rsidRPr="00D160FB">
              <w:rPr>
                <w:szCs w:val="20"/>
                <w:lang w:val="en-GB"/>
              </w:rPr>
              <w:t xml:space="preserve"> for consumption of government institutions</w:t>
            </w:r>
            <w:r w:rsidR="0087722C" w:rsidRPr="00D160FB">
              <w:rPr>
                <w:szCs w:val="20"/>
                <w:lang w:val="en-GB"/>
              </w:rPr>
              <w:t>).</w:t>
            </w:r>
            <w:r w:rsidR="001A540E" w:rsidRPr="00D160FB">
              <w:rPr>
                <w:szCs w:val="20"/>
                <w:lang w:val="en-GB"/>
              </w:rPr>
              <w:t xml:space="preserve"> Prices of capital goods hiked up by </w:t>
            </w:r>
            <w:r w:rsidR="0087722C" w:rsidRPr="00D160FB">
              <w:rPr>
                <w:szCs w:val="20"/>
                <w:lang w:val="en-GB"/>
              </w:rPr>
              <w:t>14</w:t>
            </w:r>
            <w:r w:rsidR="001A540E" w:rsidRPr="00D160FB">
              <w:rPr>
                <w:szCs w:val="20"/>
                <w:lang w:val="en-GB"/>
              </w:rPr>
              <w:t>.</w:t>
            </w:r>
            <w:r w:rsidR="0087722C" w:rsidRPr="00D160FB">
              <w:rPr>
                <w:szCs w:val="20"/>
                <w:lang w:val="en-GB"/>
              </w:rPr>
              <w:t>0%</w:t>
            </w:r>
            <w:r w:rsidR="001A540E" w:rsidRPr="00D160FB">
              <w:rPr>
                <w:szCs w:val="20"/>
                <w:lang w:val="en-GB"/>
              </w:rPr>
              <w:t xml:space="preserve"> year-on-year</w:t>
            </w:r>
            <w:r w:rsidR="0087722C" w:rsidRPr="00D160FB">
              <w:rPr>
                <w:szCs w:val="20"/>
                <w:lang w:val="en-GB"/>
              </w:rPr>
              <w:t>.</w:t>
            </w:r>
            <w:r w:rsidR="001A540E" w:rsidRPr="00D160FB">
              <w:rPr>
                <w:szCs w:val="20"/>
                <w:lang w:val="en-GB"/>
              </w:rPr>
              <w:t xml:space="preserve"> The terms of trade were negative in Q</w:t>
            </w:r>
            <w:r w:rsidR="0087722C" w:rsidRPr="00D160FB">
              <w:rPr>
                <w:szCs w:val="20"/>
                <w:lang w:val="en-GB"/>
              </w:rPr>
              <w:t>4</w:t>
            </w:r>
            <w:r w:rsidR="001A540E" w:rsidRPr="00D160FB">
              <w:rPr>
                <w:szCs w:val="20"/>
                <w:lang w:val="en-GB"/>
              </w:rPr>
              <w:t xml:space="preserve"> </w:t>
            </w:r>
            <w:r w:rsidR="0087722C" w:rsidRPr="00D160FB">
              <w:rPr>
                <w:szCs w:val="20"/>
                <w:lang w:val="en-GB"/>
              </w:rPr>
              <w:t>(97</w:t>
            </w:r>
            <w:r w:rsidR="001A540E" w:rsidRPr="00D160FB">
              <w:rPr>
                <w:szCs w:val="20"/>
                <w:lang w:val="en-GB"/>
              </w:rPr>
              <w:t>.</w:t>
            </w:r>
            <w:r w:rsidR="0087722C" w:rsidRPr="00D160FB">
              <w:rPr>
                <w:szCs w:val="20"/>
                <w:lang w:val="en-GB"/>
              </w:rPr>
              <w:t xml:space="preserve">3%) – </w:t>
            </w:r>
            <w:r w:rsidR="001A540E" w:rsidRPr="00D160FB">
              <w:rPr>
                <w:szCs w:val="20"/>
                <w:lang w:val="en-GB"/>
              </w:rPr>
              <w:t xml:space="preserve">terms of trade with goods totalled </w:t>
            </w:r>
            <w:r w:rsidR="0087722C" w:rsidRPr="00D160FB">
              <w:rPr>
                <w:szCs w:val="20"/>
                <w:lang w:val="en-GB"/>
              </w:rPr>
              <w:t>96</w:t>
            </w:r>
            <w:r w:rsidR="001A540E" w:rsidRPr="00D160FB">
              <w:rPr>
                <w:szCs w:val="20"/>
                <w:lang w:val="en-GB"/>
              </w:rPr>
              <w:t>.</w:t>
            </w:r>
            <w:r w:rsidR="0087722C" w:rsidRPr="00D160FB">
              <w:rPr>
                <w:szCs w:val="20"/>
                <w:lang w:val="en-GB"/>
              </w:rPr>
              <w:t>9% a</w:t>
            </w:r>
            <w:r w:rsidR="001A540E" w:rsidRPr="00D160FB">
              <w:rPr>
                <w:szCs w:val="20"/>
                <w:lang w:val="en-GB"/>
              </w:rPr>
              <w:t xml:space="preserve">nd it was </w:t>
            </w:r>
            <w:r w:rsidR="0087722C" w:rsidRPr="00D160FB">
              <w:rPr>
                <w:szCs w:val="20"/>
                <w:lang w:val="en-GB"/>
              </w:rPr>
              <w:t>99</w:t>
            </w:r>
            <w:r w:rsidR="001A540E" w:rsidRPr="00D160FB">
              <w:rPr>
                <w:szCs w:val="20"/>
                <w:lang w:val="en-GB"/>
              </w:rPr>
              <w:t>.</w:t>
            </w:r>
            <w:r w:rsidR="0087722C" w:rsidRPr="00D160FB">
              <w:rPr>
                <w:szCs w:val="20"/>
                <w:lang w:val="en-GB"/>
              </w:rPr>
              <w:t>1%</w:t>
            </w:r>
            <w:r w:rsidR="001A540E" w:rsidRPr="00D160FB">
              <w:rPr>
                <w:szCs w:val="20"/>
                <w:lang w:val="en-GB"/>
              </w:rPr>
              <w:t xml:space="preserve"> in case of services</w:t>
            </w:r>
            <w:r w:rsidR="0087722C" w:rsidRPr="00D160FB">
              <w:rPr>
                <w:szCs w:val="20"/>
                <w:lang w:val="en-GB"/>
              </w:rPr>
              <w:t xml:space="preserve">. </w:t>
            </w:r>
            <w:r w:rsidR="00A43A2B" w:rsidRPr="00D160FB">
              <w:rPr>
                <w:szCs w:val="20"/>
                <w:lang w:val="en-GB"/>
              </w:rPr>
              <w:t xml:space="preserve">The price level declined by </w:t>
            </w:r>
            <w:r w:rsidR="0087722C" w:rsidRPr="00D160FB">
              <w:rPr>
                <w:szCs w:val="20"/>
                <w:lang w:val="en-GB"/>
              </w:rPr>
              <w:t>0</w:t>
            </w:r>
            <w:r w:rsidR="00A43A2B" w:rsidRPr="00D160FB">
              <w:rPr>
                <w:szCs w:val="20"/>
                <w:lang w:val="en-GB"/>
              </w:rPr>
              <w:t>.</w:t>
            </w:r>
            <w:r w:rsidR="0087722C" w:rsidRPr="00D160FB">
              <w:rPr>
                <w:szCs w:val="20"/>
                <w:lang w:val="en-GB"/>
              </w:rPr>
              <w:t>5%</w:t>
            </w:r>
            <w:r w:rsidR="00A43A2B" w:rsidRPr="00D160FB">
              <w:rPr>
                <w:szCs w:val="20"/>
                <w:lang w:val="en-GB"/>
              </w:rPr>
              <w:t xml:space="preserve"> quarter-on-quarter</w:t>
            </w:r>
            <w:r w:rsidR="0087722C" w:rsidRPr="00D160FB">
              <w:rPr>
                <w:szCs w:val="20"/>
                <w:lang w:val="en-GB"/>
              </w:rPr>
              <w:t xml:space="preserve">. </w:t>
            </w:r>
            <w:r w:rsidR="001E18C4" w:rsidRPr="00D160FB">
              <w:rPr>
                <w:szCs w:val="20"/>
                <w:lang w:val="en-GB"/>
              </w:rPr>
              <w:t xml:space="preserve">Prices of consumption were by 0.9% lower compared to Q3, prices of capital goods stagnated </w:t>
            </w:r>
            <w:r w:rsidR="0087722C" w:rsidRPr="00D160FB">
              <w:rPr>
                <w:szCs w:val="20"/>
                <w:lang w:val="en-GB"/>
              </w:rPr>
              <w:t>(0</w:t>
            </w:r>
            <w:r w:rsidR="001E18C4" w:rsidRPr="00D160FB">
              <w:rPr>
                <w:szCs w:val="20"/>
                <w:lang w:val="en-GB"/>
              </w:rPr>
              <w:t>.</w:t>
            </w:r>
            <w:r w:rsidR="0087722C" w:rsidRPr="00D160FB">
              <w:rPr>
                <w:szCs w:val="20"/>
                <w:lang w:val="en-GB"/>
              </w:rPr>
              <w:t>1%) a</w:t>
            </w:r>
            <w:r w:rsidR="001E18C4" w:rsidRPr="00D160FB">
              <w:rPr>
                <w:szCs w:val="20"/>
                <w:lang w:val="en-GB"/>
              </w:rPr>
              <w:t xml:space="preserve">nd quarter-on-quarter terms of trade were slightly positive </w:t>
            </w:r>
            <w:r w:rsidR="0087722C" w:rsidRPr="00D160FB">
              <w:rPr>
                <w:szCs w:val="20"/>
                <w:lang w:val="en-GB"/>
              </w:rPr>
              <w:t>(100</w:t>
            </w:r>
            <w:r w:rsidR="001E18C4" w:rsidRPr="00D160FB">
              <w:rPr>
                <w:szCs w:val="20"/>
                <w:lang w:val="en-GB"/>
              </w:rPr>
              <w:t>.</w:t>
            </w:r>
            <w:r w:rsidR="0087722C" w:rsidRPr="00D160FB">
              <w:rPr>
                <w:szCs w:val="20"/>
                <w:lang w:val="en-GB"/>
              </w:rPr>
              <w:t xml:space="preserve">1%).    </w:t>
            </w:r>
          </w:p>
        </w:tc>
      </w:tr>
      <w:tr w:rsidR="0087722C" w:rsidRPr="00D160FB" w14:paraId="08869291" w14:textId="77777777" w:rsidTr="00435DE8">
        <w:trPr>
          <w:trHeight w:val="145"/>
        </w:trPr>
        <w:tc>
          <w:tcPr>
            <w:tcW w:w="1804" w:type="dxa"/>
            <w:shd w:val="clear" w:color="auto" w:fill="auto"/>
            <w:tcMar>
              <w:left w:w="0" w:type="dxa"/>
            </w:tcMar>
          </w:tcPr>
          <w:p w14:paraId="665B8DDE" w14:textId="6D8A8BFB" w:rsidR="0087722C" w:rsidRPr="00D160FB" w:rsidRDefault="007359EC" w:rsidP="00163868">
            <w:pPr>
              <w:pStyle w:val="Marginlie"/>
              <w:rPr>
                <w:spacing w:val="0"/>
                <w:lang w:val="en-GB"/>
              </w:rPr>
            </w:pPr>
            <w:r w:rsidRPr="00D160FB">
              <w:rPr>
                <w:spacing w:val="0"/>
                <w:lang w:val="en-GB"/>
              </w:rPr>
              <w:t xml:space="preserve">Consumer prices were raised the most since year </w:t>
            </w:r>
            <w:r w:rsidR="00E04485" w:rsidRPr="00D160FB">
              <w:rPr>
                <w:spacing w:val="0"/>
                <w:lang w:val="en-GB"/>
              </w:rPr>
              <w:t>1</w:t>
            </w:r>
            <w:r w:rsidR="0087722C" w:rsidRPr="00D160FB">
              <w:rPr>
                <w:spacing w:val="0"/>
                <w:lang w:val="en-GB"/>
              </w:rPr>
              <w:t>993.</w:t>
            </w:r>
          </w:p>
        </w:tc>
        <w:tc>
          <w:tcPr>
            <w:tcW w:w="224" w:type="dxa"/>
            <w:shd w:val="clear" w:color="auto" w:fill="auto"/>
            <w:tcMar>
              <w:left w:w="0" w:type="dxa"/>
            </w:tcMar>
          </w:tcPr>
          <w:p w14:paraId="615E7336" w14:textId="77777777" w:rsidR="0087722C" w:rsidRPr="00D160FB" w:rsidRDefault="0087722C" w:rsidP="00163868">
            <w:pPr>
              <w:pStyle w:val="Textpoznpodarou1"/>
              <w:jc w:val="both"/>
              <w:rPr>
                <w:highlight w:val="yellow"/>
                <w:lang w:val="en-GB"/>
              </w:rPr>
            </w:pPr>
          </w:p>
        </w:tc>
        <w:tc>
          <w:tcPr>
            <w:tcW w:w="7611" w:type="dxa"/>
            <w:shd w:val="clear" w:color="auto" w:fill="auto"/>
            <w:tcMar>
              <w:left w:w="0" w:type="dxa"/>
            </w:tcMar>
          </w:tcPr>
          <w:p w14:paraId="7F76B83A" w14:textId="3867FDAC" w:rsidR="0087722C" w:rsidRPr="00D160FB" w:rsidRDefault="004B5831" w:rsidP="00163868">
            <w:pPr>
              <w:rPr>
                <w:lang w:val="en-GB"/>
              </w:rPr>
            </w:pPr>
            <w:r w:rsidRPr="00D160FB">
              <w:rPr>
                <w:lang w:val="en-GB"/>
              </w:rPr>
              <w:t xml:space="preserve">The Consumer price index jumped by </w:t>
            </w:r>
            <w:r w:rsidR="0087722C" w:rsidRPr="00D160FB">
              <w:rPr>
                <w:lang w:val="en-GB"/>
              </w:rPr>
              <w:t>15</w:t>
            </w:r>
            <w:r w:rsidRPr="00D160FB">
              <w:rPr>
                <w:lang w:val="en-GB"/>
              </w:rPr>
              <w:t>.</w:t>
            </w:r>
            <w:r w:rsidR="0087722C" w:rsidRPr="00D160FB">
              <w:rPr>
                <w:lang w:val="en-GB"/>
              </w:rPr>
              <w:t>1%</w:t>
            </w:r>
            <w:r w:rsidRPr="00D160FB">
              <w:rPr>
                <w:lang w:val="en-GB"/>
              </w:rPr>
              <w:t xml:space="preserve"> in </w:t>
            </w:r>
            <w:r w:rsidR="00312E51" w:rsidRPr="00D160FB">
              <w:rPr>
                <w:lang w:val="en-GB"/>
              </w:rPr>
              <w:t>total in</w:t>
            </w:r>
            <w:r w:rsidRPr="00D160FB">
              <w:rPr>
                <w:lang w:val="en-GB"/>
              </w:rPr>
              <w:t xml:space="preserve"> year 2022</w:t>
            </w:r>
            <w:r w:rsidR="0087722C" w:rsidRPr="00D160FB">
              <w:rPr>
                <w:lang w:val="en-GB"/>
              </w:rPr>
              <w:t xml:space="preserve"> a</w:t>
            </w:r>
            <w:r w:rsidRPr="00D160FB">
              <w:rPr>
                <w:lang w:val="en-GB"/>
              </w:rPr>
              <w:t xml:space="preserve">nd compared to year </w:t>
            </w:r>
            <w:r w:rsidR="0087722C" w:rsidRPr="00D160FB">
              <w:rPr>
                <w:lang w:val="en-GB"/>
              </w:rPr>
              <w:t>2021 (3</w:t>
            </w:r>
            <w:r w:rsidRPr="00D160FB">
              <w:rPr>
                <w:lang w:val="en-GB"/>
              </w:rPr>
              <w:t>.</w:t>
            </w:r>
            <w:r w:rsidR="0087722C" w:rsidRPr="00D160FB">
              <w:rPr>
                <w:lang w:val="en-GB"/>
              </w:rPr>
              <w:t xml:space="preserve">8%) </w:t>
            </w:r>
            <w:r w:rsidRPr="00D160FB">
              <w:rPr>
                <w:lang w:val="en-GB"/>
              </w:rPr>
              <w:t>its growth sharply accelerated. It comprised the largest increase since year 1</w:t>
            </w:r>
            <w:r w:rsidR="0087722C" w:rsidRPr="00D160FB">
              <w:rPr>
                <w:lang w:val="en-GB"/>
              </w:rPr>
              <w:t xml:space="preserve">993. </w:t>
            </w:r>
            <w:r w:rsidRPr="00D160FB">
              <w:rPr>
                <w:lang w:val="en-GB"/>
              </w:rPr>
              <w:t xml:space="preserve">The growth of prices was all encompassing and in </w:t>
            </w:r>
            <w:r w:rsidR="0087722C" w:rsidRPr="00D160FB">
              <w:rPr>
                <w:lang w:val="en-GB"/>
              </w:rPr>
              <w:t>7</w:t>
            </w:r>
            <w:r w:rsidRPr="00D160FB">
              <w:rPr>
                <w:lang w:val="en-GB"/>
              </w:rPr>
              <w:t xml:space="preserve"> out of </w:t>
            </w:r>
            <w:r w:rsidR="0087722C" w:rsidRPr="00D160FB">
              <w:rPr>
                <w:lang w:val="en-GB"/>
              </w:rPr>
              <w:t>12</w:t>
            </w:r>
            <w:r w:rsidRPr="00D160FB">
              <w:rPr>
                <w:lang w:val="en-GB"/>
              </w:rPr>
              <w:t xml:space="preserve"> divisions of the consumer basket it was double-digit. </w:t>
            </w:r>
            <w:r w:rsidR="0066539A" w:rsidRPr="00D160FB">
              <w:rPr>
                <w:lang w:val="en-GB"/>
              </w:rPr>
              <w:t xml:space="preserve">Increase of cost of housing, water, energies and fuels </w:t>
            </w:r>
            <w:r w:rsidR="0087722C" w:rsidRPr="00D160FB">
              <w:rPr>
                <w:lang w:val="en-GB"/>
              </w:rPr>
              <w:t>(</w:t>
            </w:r>
            <w:r w:rsidR="0066539A" w:rsidRPr="00D160FB">
              <w:rPr>
                <w:lang w:val="en-GB"/>
              </w:rPr>
              <w:t>housing and energies</w:t>
            </w:r>
            <w:r w:rsidR="0087722C" w:rsidRPr="00D160FB">
              <w:rPr>
                <w:lang w:val="en-GB"/>
              </w:rPr>
              <w:t xml:space="preserve">), </w:t>
            </w:r>
            <w:r w:rsidRPr="00D160FB">
              <w:rPr>
                <w:lang w:val="en-GB"/>
              </w:rPr>
              <w:t xml:space="preserve">which contributed to the total increase from one third, impacted the price development the most in the last year. Food and non-alcoholic beverages featured the second highest contribution. </w:t>
            </w:r>
            <w:r w:rsidR="0066539A" w:rsidRPr="00D160FB">
              <w:rPr>
                <w:lang w:val="en-GB"/>
              </w:rPr>
              <w:t xml:space="preserve">There the price growth accelerated mainly in the second half of the year and it was focused into the areas of the most basic food. </w:t>
            </w:r>
            <w:r w:rsidR="00231E31" w:rsidRPr="00D160FB">
              <w:rPr>
                <w:lang w:val="en-GB"/>
              </w:rPr>
              <w:t xml:space="preserve">The strong increase of prices of transport and </w:t>
            </w:r>
            <w:r w:rsidR="00FB1F0B">
              <w:rPr>
                <w:lang w:val="en-GB"/>
              </w:rPr>
              <w:t xml:space="preserve">restaurants </w:t>
            </w:r>
            <w:r w:rsidR="00231E31" w:rsidRPr="00D160FB">
              <w:rPr>
                <w:lang w:val="en-GB"/>
              </w:rPr>
              <w:t xml:space="preserve">and </w:t>
            </w:r>
            <w:r w:rsidR="00FB1F0B">
              <w:rPr>
                <w:lang w:val="en-GB"/>
              </w:rPr>
              <w:t>hotels</w:t>
            </w:r>
            <w:r w:rsidR="00231E31" w:rsidRPr="00D160FB">
              <w:rPr>
                <w:lang w:val="en-GB"/>
              </w:rPr>
              <w:t xml:space="preserve"> </w:t>
            </w:r>
            <w:r w:rsidR="00312E51" w:rsidRPr="00D160FB">
              <w:rPr>
                <w:lang w:val="en-GB"/>
              </w:rPr>
              <w:t>also had</w:t>
            </w:r>
            <w:r w:rsidR="00231E31" w:rsidRPr="00D160FB">
              <w:rPr>
                <w:lang w:val="en-GB"/>
              </w:rPr>
              <w:t xml:space="preserve"> a considerable effect. Prices of goods were in total raised by </w:t>
            </w:r>
            <w:r w:rsidR="0087722C" w:rsidRPr="00D160FB">
              <w:rPr>
                <w:lang w:val="en-GB"/>
              </w:rPr>
              <w:t>16</w:t>
            </w:r>
            <w:r w:rsidR="00231E31" w:rsidRPr="00D160FB">
              <w:rPr>
                <w:lang w:val="en-GB"/>
              </w:rPr>
              <w:t>.</w:t>
            </w:r>
            <w:r w:rsidR="0087722C" w:rsidRPr="00D160FB">
              <w:rPr>
                <w:lang w:val="en-GB"/>
              </w:rPr>
              <w:t>8% a</w:t>
            </w:r>
            <w:r w:rsidR="00231E31" w:rsidRPr="00D160FB">
              <w:rPr>
                <w:lang w:val="en-GB"/>
              </w:rPr>
              <w:t xml:space="preserve">nd services by </w:t>
            </w:r>
            <w:r w:rsidR="0087722C" w:rsidRPr="00D160FB">
              <w:rPr>
                <w:lang w:val="en-GB"/>
              </w:rPr>
              <w:t>12</w:t>
            </w:r>
            <w:r w:rsidR="00231E31" w:rsidRPr="00D160FB">
              <w:rPr>
                <w:lang w:val="en-GB"/>
              </w:rPr>
              <w:t>.</w:t>
            </w:r>
            <w:r w:rsidR="0087722C" w:rsidRPr="00D160FB">
              <w:rPr>
                <w:lang w:val="en-GB"/>
              </w:rPr>
              <w:t>3%</w:t>
            </w:r>
            <w:r w:rsidR="00231E31" w:rsidRPr="00D160FB">
              <w:rPr>
                <w:lang w:val="en-GB"/>
              </w:rPr>
              <w:t xml:space="preserve"> last year</w:t>
            </w:r>
            <w:r w:rsidR="0087722C" w:rsidRPr="00D160FB">
              <w:rPr>
                <w:lang w:val="en-GB"/>
              </w:rPr>
              <w:t xml:space="preserve">. </w:t>
            </w:r>
          </w:p>
        </w:tc>
      </w:tr>
      <w:tr w:rsidR="0087722C" w:rsidRPr="00D160FB" w14:paraId="4C5A2CCE" w14:textId="77777777" w:rsidTr="00435DE8">
        <w:trPr>
          <w:trHeight w:val="145"/>
        </w:trPr>
        <w:tc>
          <w:tcPr>
            <w:tcW w:w="1804" w:type="dxa"/>
            <w:shd w:val="clear" w:color="auto" w:fill="auto"/>
            <w:tcMar>
              <w:left w:w="0" w:type="dxa"/>
            </w:tcMar>
          </w:tcPr>
          <w:p w14:paraId="2DB18424" w14:textId="51397265" w:rsidR="0087722C" w:rsidRPr="00D160FB" w:rsidRDefault="00DA3F34" w:rsidP="00163868">
            <w:pPr>
              <w:pStyle w:val="Marginlie"/>
              <w:rPr>
                <w:spacing w:val="0"/>
                <w:lang w:val="en-GB"/>
              </w:rPr>
            </w:pPr>
            <w:r w:rsidRPr="00D160FB">
              <w:rPr>
                <w:spacing w:val="0"/>
                <w:lang w:val="en-GB"/>
              </w:rPr>
              <w:t>Year-on-year increase of the consumer prices slowed down in Q</w:t>
            </w:r>
            <w:r w:rsidR="0087722C" w:rsidRPr="00D160FB">
              <w:rPr>
                <w:spacing w:val="0"/>
                <w:lang w:val="en-GB"/>
              </w:rPr>
              <w:t>4.</w:t>
            </w:r>
            <w:r w:rsidRPr="00D160FB">
              <w:rPr>
                <w:spacing w:val="0"/>
                <w:lang w:val="en-GB"/>
              </w:rPr>
              <w:t xml:space="preserve"> </w:t>
            </w:r>
            <w:r w:rsidR="0087722C" w:rsidRPr="00D160FB">
              <w:rPr>
                <w:spacing w:val="0"/>
                <w:lang w:val="en-GB"/>
              </w:rPr>
              <w:t xml:space="preserve"> </w:t>
            </w:r>
          </w:p>
        </w:tc>
        <w:tc>
          <w:tcPr>
            <w:tcW w:w="224" w:type="dxa"/>
            <w:shd w:val="clear" w:color="auto" w:fill="auto"/>
            <w:tcMar>
              <w:left w:w="0" w:type="dxa"/>
            </w:tcMar>
          </w:tcPr>
          <w:p w14:paraId="0E272D27" w14:textId="77777777" w:rsidR="0087722C" w:rsidRPr="00D160FB" w:rsidRDefault="0087722C" w:rsidP="00163868">
            <w:pPr>
              <w:pStyle w:val="Textpoznpodarou1"/>
              <w:jc w:val="both"/>
              <w:rPr>
                <w:highlight w:val="yellow"/>
                <w:lang w:val="en-GB"/>
              </w:rPr>
            </w:pPr>
          </w:p>
        </w:tc>
        <w:tc>
          <w:tcPr>
            <w:tcW w:w="7611" w:type="dxa"/>
            <w:shd w:val="clear" w:color="auto" w:fill="auto"/>
            <w:tcMar>
              <w:left w:w="0" w:type="dxa"/>
            </w:tcMar>
          </w:tcPr>
          <w:p w14:paraId="0FFBDD01" w14:textId="031F4626" w:rsidR="0087722C" w:rsidRPr="00D160FB" w:rsidRDefault="00DA3F34" w:rsidP="00163868">
            <w:pPr>
              <w:rPr>
                <w:lang w:val="en-GB"/>
              </w:rPr>
            </w:pPr>
            <w:r w:rsidRPr="00D160FB">
              <w:rPr>
                <w:lang w:val="en-GB"/>
              </w:rPr>
              <w:t>Year-on-year growth of the consumer prices accelerated from Q</w:t>
            </w:r>
            <w:r w:rsidR="0087722C" w:rsidRPr="00D160FB">
              <w:rPr>
                <w:lang w:val="en-GB"/>
              </w:rPr>
              <w:t>1</w:t>
            </w:r>
            <w:r w:rsidRPr="00D160FB">
              <w:rPr>
                <w:lang w:val="en-GB"/>
              </w:rPr>
              <w:t xml:space="preserve"> to Q</w:t>
            </w:r>
            <w:r w:rsidR="0087722C" w:rsidRPr="00D160FB">
              <w:rPr>
                <w:lang w:val="en-GB"/>
              </w:rPr>
              <w:t>3</w:t>
            </w:r>
            <w:r w:rsidRPr="00D160FB">
              <w:rPr>
                <w:lang w:val="en-GB"/>
              </w:rPr>
              <w:t xml:space="preserve"> </w:t>
            </w:r>
            <w:r w:rsidR="0087722C" w:rsidRPr="00D160FB">
              <w:rPr>
                <w:lang w:val="en-GB"/>
              </w:rPr>
              <w:t>(11</w:t>
            </w:r>
            <w:r w:rsidRPr="00D160FB">
              <w:rPr>
                <w:lang w:val="en-GB"/>
              </w:rPr>
              <w:t>.</w:t>
            </w:r>
            <w:r w:rsidR="0087722C" w:rsidRPr="00D160FB">
              <w:rPr>
                <w:lang w:val="en-GB"/>
              </w:rPr>
              <w:t>2%, 15</w:t>
            </w:r>
            <w:r w:rsidRPr="00D160FB">
              <w:rPr>
                <w:lang w:val="en-GB"/>
              </w:rPr>
              <w:t>.</w:t>
            </w:r>
            <w:r w:rsidR="0087722C" w:rsidRPr="00D160FB">
              <w:rPr>
                <w:lang w:val="en-GB"/>
              </w:rPr>
              <w:t>8% a</w:t>
            </w:r>
            <w:r w:rsidRPr="00D160FB">
              <w:rPr>
                <w:lang w:val="en-GB"/>
              </w:rPr>
              <w:t>nd</w:t>
            </w:r>
            <w:r w:rsidR="0087722C" w:rsidRPr="00D160FB">
              <w:rPr>
                <w:lang w:val="en-GB"/>
              </w:rPr>
              <w:t> 17</w:t>
            </w:r>
            <w:r w:rsidRPr="00D160FB">
              <w:rPr>
                <w:lang w:val="en-GB"/>
              </w:rPr>
              <w:t>.</w:t>
            </w:r>
            <w:r w:rsidR="0087722C" w:rsidRPr="00D160FB">
              <w:rPr>
                <w:lang w:val="en-GB"/>
              </w:rPr>
              <w:t>6%) a</w:t>
            </w:r>
            <w:r w:rsidRPr="00D160FB">
              <w:rPr>
                <w:lang w:val="en-GB"/>
              </w:rPr>
              <w:t xml:space="preserve">nd mildly slowed down only at the end of the year. </w:t>
            </w:r>
            <w:r w:rsidR="00166064" w:rsidRPr="00D160FB">
              <w:rPr>
                <w:lang w:val="en-GB"/>
              </w:rPr>
              <w:t xml:space="preserve">Consumer prices increased by </w:t>
            </w:r>
            <w:r w:rsidR="0087722C" w:rsidRPr="00D160FB">
              <w:rPr>
                <w:lang w:val="en-GB"/>
              </w:rPr>
              <w:t>15</w:t>
            </w:r>
            <w:r w:rsidR="00166064" w:rsidRPr="00D160FB">
              <w:rPr>
                <w:lang w:val="en-GB"/>
              </w:rPr>
              <w:t>.</w:t>
            </w:r>
            <w:r w:rsidR="0087722C" w:rsidRPr="00D160FB">
              <w:rPr>
                <w:lang w:val="en-GB"/>
              </w:rPr>
              <w:t>7%</w:t>
            </w:r>
            <w:r w:rsidR="00166064" w:rsidRPr="00D160FB">
              <w:rPr>
                <w:lang w:val="en-GB"/>
              </w:rPr>
              <w:t xml:space="preserve"> year-on-year in Q4 2022 itself</w:t>
            </w:r>
            <w:r w:rsidR="0087722C" w:rsidRPr="00D160FB">
              <w:rPr>
                <w:lang w:val="en-GB"/>
              </w:rPr>
              <w:t xml:space="preserve">. </w:t>
            </w:r>
            <w:r w:rsidR="00166064" w:rsidRPr="00D160FB">
              <w:rPr>
                <w:lang w:val="en-GB"/>
              </w:rPr>
              <w:t xml:space="preserve">Compared to Q3 however they stagnated in total. Sharp jump of prices of food and non-alcoholic beverages added the most to the year-on-year growth. Prices of housing and energies, </w:t>
            </w:r>
            <w:r w:rsidR="00FB1F0B">
              <w:rPr>
                <w:lang w:val="en-GB"/>
              </w:rPr>
              <w:t>restaurants and hotels</w:t>
            </w:r>
            <w:r w:rsidR="00166064" w:rsidRPr="00D160FB">
              <w:rPr>
                <w:lang w:val="en-GB"/>
              </w:rPr>
              <w:t xml:space="preserve"> and </w:t>
            </w:r>
            <w:r w:rsidR="00FB1F0B">
              <w:rPr>
                <w:lang w:val="en-GB"/>
              </w:rPr>
              <w:t>transport</w:t>
            </w:r>
            <w:r w:rsidR="00166064" w:rsidRPr="00D160FB">
              <w:rPr>
                <w:lang w:val="en-GB"/>
              </w:rPr>
              <w:t xml:space="preserve"> also had a significant effect. Slowdown of the year-on-year contribution compared to Q</w:t>
            </w:r>
            <w:r w:rsidR="0087722C" w:rsidRPr="00D160FB">
              <w:rPr>
                <w:lang w:val="en-GB"/>
              </w:rPr>
              <w:t>3</w:t>
            </w:r>
            <w:r w:rsidR="00166064" w:rsidRPr="00D160FB">
              <w:rPr>
                <w:lang w:val="en-GB"/>
              </w:rPr>
              <w:t xml:space="preserve"> was the result of moderation of the growth of prices of transport and also </w:t>
            </w:r>
            <w:r w:rsidR="007C1BB1" w:rsidRPr="00D160FB">
              <w:rPr>
                <w:lang w:val="en-GB"/>
              </w:rPr>
              <w:t xml:space="preserve">inclusion of the saving </w:t>
            </w:r>
            <w:r w:rsidR="003F4230" w:rsidRPr="00D160FB">
              <w:rPr>
                <w:lang w:val="en-GB"/>
              </w:rPr>
              <w:t>tariff</w:t>
            </w:r>
            <w:r w:rsidR="007C1BB1" w:rsidRPr="00D160FB">
              <w:rPr>
                <w:lang w:val="en-GB"/>
              </w:rPr>
              <w:t xml:space="preserve"> and </w:t>
            </w:r>
            <w:r w:rsidR="003F4230" w:rsidRPr="00D160FB">
              <w:rPr>
                <w:lang w:val="en-GB"/>
              </w:rPr>
              <w:t xml:space="preserve">waiving the fee for the supported sources of energy into the cost of housing and energies. Notable strengthening of the dynamics of prices of food and non-alcoholic </w:t>
            </w:r>
            <w:r w:rsidR="00312E51" w:rsidRPr="00D160FB">
              <w:rPr>
                <w:lang w:val="en-GB"/>
              </w:rPr>
              <w:t>beverages prevented</w:t>
            </w:r>
            <w:r w:rsidR="007C1BB1" w:rsidRPr="00D160FB">
              <w:rPr>
                <w:lang w:val="en-GB"/>
              </w:rPr>
              <w:t xml:space="preserve"> larger slowdown of the total growth</w:t>
            </w:r>
            <w:r w:rsidR="0087722C" w:rsidRPr="00D160FB">
              <w:rPr>
                <w:lang w:val="en-GB"/>
              </w:rPr>
              <w:t>.</w:t>
            </w:r>
            <w:r w:rsidR="007C1BB1" w:rsidRPr="00D160FB">
              <w:rPr>
                <w:lang w:val="en-GB"/>
              </w:rPr>
              <w:t xml:space="preserve"> Prices of goods increased by </w:t>
            </w:r>
            <w:r w:rsidR="0087722C" w:rsidRPr="00D160FB">
              <w:rPr>
                <w:lang w:val="en-GB"/>
              </w:rPr>
              <w:t>17</w:t>
            </w:r>
            <w:r w:rsidR="007C1BB1" w:rsidRPr="00D160FB">
              <w:rPr>
                <w:lang w:val="en-GB"/>
              </w:rPr>
              <w:t>.</w:t>
            </w:r>
            <w:r w:rsidR="0087722C" w:rsidRPr="00D160FB">
              <w:rPr>
                <w:lang w:val="en-GB"/>
              </w:rPr>
              <w:t>4%</w:t>
            </w:r>
            <w:r w:rsidR="007C1BB1" w:rsidRPr="00D160FB">
              <w:rPr>
                <w:lang w:val="en-GB"/>
              </w:rPr>
              <w:t xml:space="preserve"> in total year-on-year in Q4 and prices of services by </w:t>
            </w:r>
            <w:r w:rsidR="0087722C" w:rsidRPr="00D160FB">
              <w:rPr>
                <w:lang w:val="en-GB"/>
              </w:rPr>
              <w:t>12</w:t>
            </w:r>
            <w:r w:rsidR="007C1BB1" w:rsidRPr="00D160FB">
              <w:rPr>
                <w:lang w:val="en-GB"/>
              </w:rPr>
              <w:t>.</w:t>
            </w:r>
            <w:r w:rsidR="0087722C" w:rsidRPr="00D160FB">
              <w:rPr>
                <w:lang w:val="en-GB"/>
              </w:rPr>
              <w:t xml:space="preserve">9%.   </w:t>
            </w:r>
          </w:p>
        </w:tc>
      </w:tr>
      <w:tr w:rsidR="0087722C" w:rsidRPr="00D160FB" w14:paraId="19DF254E" w14:textId="77777777" w:rsidTr="00435DE8">
        <w:trPr>
          <w:trHeight w:val="145"/>
        </w:trPr>
        <w:tc>
          <w:tcPr>
            <w:tcW w:w="1804" w:type="dxa"/>
            <w:shd w:val="clear" w:color="auto" w:fill="auto"/>
            <w:tcMar>
              <w:left w:w="0" w:type="dxa"/>
            </w:tcMar>
          </w:tcPr>
          <w:p w14:paraId="3A75B294" w14:textId="18BB88C4" w:rsidR="0087722C" w:rsidRPr="00D160FB" w:rsidRDefault="00660C64" w:rsidP="00163868">
            <w:pPr>
              <w:pStyle w:val="Marginlie"/>
              <w:rPr>
                <w:spacing w:val="0"/>
                <w:lang w:val="en-GB"/>
              </w:rPr>
            </w:pPr>
            <w:r w:rsidRPr="00D160FB">
              <w:rPr>
                <w:spacing w:val="0"/>
                <w:lang w:val="en-GB"/>
              </w:rPr>
              <w:t xml:space="preserve">Year-on-year growth of prices of energies as well as </w:t>
            </w:r>
            <w:r w:rsidR="00FB1F0B">
              <w:rPr>
                <w:spacing w:val="0"/>
                <w:lang w:val="en-GB"/>
              </w:rPr>
              <w:t>imputed rentals</w:t>
            </w:r>
            <w:r w:rsidRPr="00D160FB">
              <w:rPr>
                <w:spacing w:val="0"/>
                <w:lang w:val="en-GB"/>
              </w:rPr>
              <w:t xml:space="preserve"> reduced towards the end of the year. </w:t>
            </w:r>
            <w:r w:rsidR="0087722C" w:rsidRPr="00D160FB">
              <w:rPr>
                <w:spacing w:val="0"/>
                <w:lang w:val="en-GB"/>
              </w:rPr>
              <w:t xml:space="preserve"> </w:t>
            </w:r>
          </w:p>
        </w:tc>
        <w:tc>
          <w:tcPr>
            <w:tcW w:w="224" w:type="dxa"/>
            <w:shd w:val="clear" w:color="auto" w:fill="auto"/>
            <w:tcMar>
              <w:left w:w="0" w:type="dxa"/>
            </w:tcMar>
          </w:tcPr>
          <w:p w14:paraId="5050A624" w14:textId="77777777" w:rsidR="0087722C" w:rsidRPr="00D160FB" w:rsidRDefault="0087722C" w:rsidP="00163868">
            <w:pPr>
              <w:pStyle w:val="Textpoznpodarou1"/>
              <w:jc w:val="both"/>
              <w:rPr>
                <w:highlight w:val="yellow"/>
                <w:lang w:val="en-GB"/>
              </w:rPr>
            </w:pPr>
          </w:p>
        </w:tc>
        <w:tc>
          <w:tcPr>
            <w:tcW w:w="7611" w:type="dxa"/>
            <w:shd w:val="clear" w:color="auto" w:fill="auto"/>
            <w:tcMar>
              <w:left w:w="0" w:type="dxa"/>
            </w:tcMar>
          </w:tcPr>
          <w:p w14:paraId="41028CC4" w14:textId="6D7DFDF5" w:rsidR="0087722C" w:rsidRPr="00D160FB" w:rsidRDefault="00660C64" w:rsidP="00163868">
            <w:pPr>
              <w:rPr>
                <w:lang w:val="en-GB"/>
              </w:rPr>
            </w:pPr>
            <w:r w:rsidRPr="00D160FB">
              <w:rPr>
                <w:lang w:val="en-GB"/>
              </w:rPr>
              <w:t xml:space="preserve">Prices of housing and energies increased by </w:t>
            </w:r>
            <w:r w:rsidR="0087722C" w:rsidRPr="00D160FB">
              <w:rPr>
                <w:lang w:val="en-GB"/>
              </w:rPr>
              <w:t>19</w:t>
            </w:r>
            <w:r w:rsidRPr="00D160FB">
              <w:rPr>
                <w:lang w:val="en-GB"/>
              </w:rPr>
              <w:t>.</w:t>
            </w:r>
            <w:r w:rsidR="0087722C" w:rsidRPr="00D160FB">
              <w:rPr>
                <w:lang w:val="en-GB"/>
              </w:rPr>
              <w:t>0%</w:t>
            </w:r>
            <w:r w:rsidRPr="00D160FB">
              <w:rPr>
                <w:lang w:val="en-GB"/>
              </w:rPr>
              <w:t xml:space="preserve"> in year 2022</w:t>
            </w:r>
            <w:r w:rsidR="0087722C" w:rsidRPr="00D160FB">
              <w:rPr>
                <w:lang w:val="en-GB"/>
              </w:rPr>
              <w:t xml:space="preserve">. </w:t>
            </w:r>
            <w:r w:rsidRPr="00D160FB">
              <w:rPr>
                <w:lang w:val="en-GB"/>
              </w:rPr>
              <w:t xml:space="preserve">In that prices of </w:t>
            </w:r>
            <w:r w:rsidR="00FB1F0B">
              <w:rPr>
                <w:lang w:val="en-GB"/>
              </w:rPr>
              <w:t>electricity, gas and other fuels</w:t>
            </w:r>
            <w:r w:rsidRPr="00D160FB">
              <w:rPr>
                <w:lang w:val="en-GB"/>
              </w:rPr>
              <w:t xml:space="preserve"> grew the most </w:t>
            </w:r>
            <w:r w:rsidR="0087722C" w:rsidRPr="00D160FB">
              <w:rPr>
                <w:lang w:val="en-GB"/>
              </w:rPr>
              <w:t>(30</w:t>
            </w:r>
            <w:r w:rsidRPr="00D160FB">
              <w:rPr>
                <w:lang w:val="en-GB"/>
              </w:rPr>
              <w:t>.</w:t>
            </w:r>
            <w:r w:rsidR="0087722C" w:rsidRPr="00D160FB">
              <w:rPr>
                <w:lang w:val="en-GB"/>
              </w:rPr>
              <w:t>9%).</w:t>
            </w:r>
            <w:r w:rsidRPr="00D160FB">
              <w:rPr>
                <w:lang w:val="en-GB"/>
              </w:rPr>
              <w:t xml:space="preserve"> Cost of maintenance and repair</w:t>
            </w:r>
            <w:r w:rsidR="00FB1F0B">
              <w:rPr>
                <w:lang w:val="en-GB"/>
              </w:rPr>
              <w:t xml:space="preserve"> of dwelling</w:t>
            </w:r>
            <w:r w:rsidRPr="00D160FB">
              <w:rPr>
                <w:lang w:val="en-GB"/>
              </w:rPr>
              <w:t xml:space="preserve"> also sharply hiked up </w:t>
            </w:r>
            <w:r w:rsidR="0087722C" w:rsidRPr="00D160FB">
              <w:rPr>
                <w:lang w:val="en-GB"/>
              </w:rPr>
              <w:t>(19</w:t>
            </w:r>
            <w:r w:rsidRPr="00D160FB">
              <w:rPr>
                <w:lang w:val="en-GB"/>
              </w:rPr>
              <w:t>.</w:t>
            </w:r>
            <w:r w:rsidR="0087722C" w:rsidRPr="00D160FB">
              <w:rPr>
                <w:lang w:val="en-GB"/>
              </w:rPr>
              <w:t>4%) a</w:t>
            </w:r>
            <w:r w:rsidRPr="00D160FB">
              <w:rPr>
                <w:lang w:val="en-GB"/>
              </w:rPr>
              <w:t>nd the imputed rent</w:t>
            </w:r>
            <w:r w:rsidR="00FB1F0B">
              <w:rPr>
                <w:lang w:val="en-GB"/>
              </w:rPr>
              <w:t>als</w:t>
            </w:r>
            <w:r w:rsidRPr="00D160FB">
              <w:rPr>
                <w:lang w:val="en-GB"/>
              </w:rPr>
              <w:t xml:space="preserve"> also did not stay far behind</w:t>
            </w:r>
            <w:r w:rsidR="0087722C" w:rsidRPr="00D160FB">
              <w:rPr>
                <w:rStyle w:val="Znakapoznpodarou"/>
                <w:lang w:val="en-GB"/>
              </w:rPr>
              <w:footnoteReference w:id="1"/>
            </w:r>
            <w:r w:rsidR="0087722C" w:rsidRPr="00D160FB">
              <w:rPr>
                <w:lang w:val="en-GB"/>
              </w:rPr>
              <w:t xml:space="preserve"> (16</w:t>
            </w:r>
            <w:r w:rsidRPr="00D160FB">
              <w:rPr>
                <w:lang w:val="en-GB"/>
              </w:rPr>
              <w:t>.</w:t>
            </w:r>
            <w:r w:rsidR="0087722C" w:rsidRPr="00D160FB">
              <w:rPr>
                <w:lang w:val="en-GB"/>
              </w:rPr>
              <w:t xml:space="preserve">1%). </w:t>
            </w:r>
            <w:r w:rsidRPr="00D160FB">
              <w:rPr>
                <w:lang w:val="en-GB"/>
              </w:rPr>
              <w:t xml:space="preserve">Rentals for housing went up by </w:t>
            </w:r>
            <w:r w:rsidR="0087722C" w:rsidRPr="00D160FB">
              <w:rPr>
                <w:lang w:val="en-GB"/>
              </w:rPr>
              <w:t>4</w:t>
            </w:r>
            <w:r w:rsidRPr="00D160FB">
              <w:rPr>
                <w:lang w:val="en-GB"/>
              </w:rPr>
              <w:t>.</w:t>
            </w:r>
            <w:r w:rsidR="0087722C" w:rsidRPr="00D160FB">
              <w:rPr>
                <w:lang w:val="en-GB"/>
              </w:rPr>
              <w:t>9%</w:t>
            </w:r>
            <w:r w:rsidRPr="00D160FB">
              <w:rPr>
                <w:lang w:val="en-GB"/>
              </w:rPr>
              <w:t xml:space="preserve"> last year</w:t>
            </w:r>
            <w:r w:rsidR="0087722C" w:rsidRPr="00D160FB">
              <w:rPr>
                <w:lang w:val="en-GB"/>
              </w:rPr>
              <w:t>,</w:t>
            </w:r>
            <w:r w:rsidRPr="00D160FB">
              <w:rPr>
                <w:lang w:val="en-GB"/>
              </w:rPr>
              <w:t xml:space="preserve"> similarly to other services related to the dwelling</w:t>
            </w:r>
            <w:r w:rsidR="0087722C" w:rsidRPr="00D160FB">
              <w:rPr>
                <w:lang w:val="en-GB"/>
              </w:rPr>
              <w:t>.</w:t>
            </w:r>
            <w:r w:rsidRPr="00D160FB">
              <w:rPr>
                <w:lang w:val="en-GB"/>
              </w:rPr>
              <w:t xml:space="preserve"> Year-on-year growth of prices in this division culminated in Q</w:t>
            </w:r>
            <w:r w:rsidR="0087722C" w:rsidRPr="00D160FB">
              <w:rPr>
                <w:lang w:val="en-GB"/>
              </w:rPr>
              <w:t>3</w:t>
            </w:r>
            <w:r w:rsidRPr="00D160FB">
              <w:rPr>
                <w:lang w:val="en-GB"/>
              </w:rPr>
              <w:t xml:space="preserve"> and weakened to </w:t>
            </w:r>
            <w:r w:rsidR="0087722C" w:rsidRPr="00D160FB">
              <w:rPr>
                <w:lang w:val="en-GB"/>
              </w:rPr>
              <w:t>14</w:t>
            </w:r>
            <w:r w:rsidRPr="00D160FB">
              <w:rPr>
                <w:lang w:val="en-GB"/>
              </w:rPr>
              <w:t>.</w:t>
            </w:r>
            <w:r w:rsidR="0087722C" w:rsidRPr="00D160FB">
              <w:rPr>
                <w:lang w:val="en-GB"/>
              </w:rPr>
              <w:t>9%</w:t>
            </w:r>
            <w:r w:rsidRPr="00D160FB">
              <w:rPr>
                <w:lang w:val="en-GB"/>
              </w:rPr>
              <w:t xml:space="preserve"> in Q4</w:t>
            </w:r>
            <w:r w:rsidR="0087722C" w:rsidRPr="00D160FB">
              <w:rPr>
                <w:lang w:val="en-GB"/>
              </w:rPr>
              <w:t xml:space="preserve">. </w:t>
            </w:r>
            <w:r w:rsidRPr="00D160FB">
              <w:rPr>
                <w:lang w:val="en-GB"/>
              </w:rPr>
              <w:t xml:space="preserve">Prices lowered here by </w:t>
            </w:r>
            <w:r w:rsidR="0087722C" w:rsidRPr="00D160FB">
              <w:rPr>
                <w:lang w:val="en-GB"/>
              </w:rPr>
              <w:t>5</w:t>
            </w:r>
            <w:r w:rsidRPr="00D160FB">
              <w:rPr>
                <w:lang w:val="en-GB"/>
              </w:rPr>
              <w:t>.</w:t>
            </w:r>
            <w:r w:rsidR="0087722C" w:rsidRPr="00D160FB">
              <w:rPr>
                <w:lang w:val="en-GB"/>
              </w:rPr>
              <w:t>6%</w:t>
            </w:r>
            <w:r w:rsidRPr="00D160FB">
              <w:rPr>
                <w:lang w:val="en-GB"/>
              </w:rPr>
              <w:t xml:space="preserve"> quarter-on-quarter</w:t>
            </w:r>
            <w:r w:rsidR="0087722C" w:rsidRPr="00D160FB">
              <w:rPr>
                <w:lang w:val="en-GB"/>
              </w:rPr>
              <w:t xml:space="preserve">. </w:t>
            </w:r>
            <w:r w:rsidR="001D3652" w:rsidRPr="00D160FB">
              <w:rPr>
                <w:lang w:val="en-GB"/>
              </w:rPr>
              <w:t xml:space="preserve">After inclusion of the effect of the saving tariff and waiving the fee for the supported sources of energies the year-on-year growth of prices of </w:t>
            </w:r>
            <w:r w:rsidR="00FB1F0B">
              <w:rPr>
                <w:lang w:val="en-GB"/>
              </w:rPr>
              <w:t xml:space="preserve">electricity, gas and </w:t>
            </w:r>
            <w:r w:rsidR="00FB1F0B">
              <w:rPr>
                <w:lang w:val="en-GB"/>
              </w:rPr>
              <w:lastRenderedPageBreak/>
              <w:t>other fuels</w:t>
            </w:r>
            <w:r w:rsidR="001D3652" w:rsidRPr="00D160FB">
              <w:rPr>
                <w:lang w:val="en-GB"/>
              </w:rPr>
              <w:t xml:space="preserve"> slowed down to </w:t>
            </w:r>
            <w:r w:rsidR="0087722C" w:rsidRPr="00D160FB">
              <w:rPr>
                <w:lang w:val="en-GB"/>
              </w:rPr>
              <w:t>23</w:t>
            </w:r>
            <w:r w:rsidR="001D3652" w:rsidRPr="00D160FB">
              <w:rPr>
                <w:lang w:val="en-GB"/>
              </w:rPr>
              <w:t>.</w:t>
            </w:r>
            <w:r w:rsidR="0087722C" w:rsidRPr="00D160FB">
              <w:rPr>
                <w:lang w:val="en-GB"/>
              </w:rPr>
              <w:t>8%. Imput</w:t>
            </w:r>
            <w:r w:rsidR="00B20D04" w:rsidRPr="00D160FB">
              <w:rPr>
                <w:lang w:val="en-GB"/>
              </w:rPr>
              <w:t>ed rent</w:t>
            </w:r>
            <w:r w:rsidR="00FB1F0B">
              <w:rPr>
                <w:lang w:val="en-GB"/>
              </w:rPr>
              <w:t>als</w:t>
            </w:r>
            <w:r w:rsidR="00B20D04" w:rsidRPr="00D160FB">
              <w:rPr>
                <w:lang w:val="en-GB"/>
              </w:rPr>
              <w:t xml:space="preserve"> also grew slower in comparison to the preceding quarter </w:t>
            </w:r>
            <w:r w:rsidR="0087722C" w:rsidRPr="00D160FB">
              <w:rPr>
                <w:lang w:val="en-GB"/>
              </w:rPr>
              <w:t>(12</w:t>
            </w:r>
            <w:r w:rsidR="00B20D04" w:rsidRPr="00D160FB">
              <w:rPr>
                <w:lang w:val="en-GB"/>
              </w:rPr>
              <w:t>.</w:t>
            </w:r>
            <w:r w:rsidR="0087722C" w:rsidRPr="00D160FB">
              <w:rPr>
                <w:lang w:val="en-GB"/>
              </w:rPr>
              <w:t xml:space="preserve">3%). </w:t>
            </w:r>
            <w:r w:rsidR="00B20D04" w:rsidRPr="00D160FB">
              <w:rPr>
                <w:lang w:val="en-GB"/>
              </w:rPr>
              <w:t xml:space="preserve">Prices of regular maintenance and small repairs of the flat went up by </w:t>
            </w:r>
            <w:r w:rsidR="0087722C" w:rsidRPr="00D160FB">
              <w:rPr>
                <w:lang w:val="en-GB"/>
              </w:rPr>
              <w:t>20</w:t>
            </w:r>
            <w:r w:rsidR="00B20D04" w:rsidRPr="00D160FB">
              <w:rPr>
                <w:lang w:val="en-GB"/>
              </w:rPr>
              <w:t>.</w:t>
            </w:r>
            <w:r w:rsidR="0087722C" w:rsidRPr="00D160FB">
              <w:rPr>
                <w:lang w:val="en-GB"/>
              </w:rPr>
              <w:t>8%</w:t>
            </w:r>
            <w:r w:rsidR="00B20D04" w:rsidRPr="00D160FB">
              <w:rPr>
                <w:lang w:val="en-GB"/>
              </w:rPr>
              <w:t xml:space="preserve"> year-on-year</w:t>
            </w:r>
            <w:r w:rsidR="0087722C" w:rsidRPr="00D160FB">
              <w:rPr>
                <w:lang w:val="en-GB"/>
              </w:rPr>
              <w:t xml:space="preserve">, </w:t>
            </w:r>
            <w:r w:rsidR="00B20D04" w:rsidRPr="00D160FB">
              <w:rPr>
                <w:lang w:val="en-GB"/>
              </w:rPr>
              <w:t xml:space="preserve">growth of rentals for housing mildly strengthened to </w:t>
            </w:r>
            <w:r w:rsidR="0087722C" w:rsidRPr="00D160FB">
              <w:rPr>
                <w:lang w:val="en-GB"/>
              </w:rPr>
              <w:t>5</w:t>
            </w:r>
            <w:r w:rsidR="00B20D04" w:rsidRPr="00D160FB">
              <w:rPr>
                <w:lang w:val="en-GB"/>
              </w:rPr>
              <w:t>.</w:t>
            </w:r>
            <w:r w:rsidR="0087722C" w:rsidRPr="00D160FB">
              <w:rPr>
                <w:lang w:val="en-GB"/>
              </w:rPr>
              <w:t>7% a</w:t>
            </w:r>
            <w:r w:rsidR="00B20D04" w:rsidRPr="00D160FB">
              <w:rPr>
                <w:lang w:val="en-GB"/>
              </w:rPr>
              <w:t xml:space="preserve">nd prices of other services associated with housing were by </w:t>
            </w:r>
            <w:r w:rsidR="0087722C" w:rsidRPr="00D160FB">
              <w:rPr>
                <w:lang w:val="en-GB"/>
              </w:rPr>
              <w:t>5</w:t>
            </w:r>
            <w:r w:rsidR="00B20D04" w:rsidRPr="00D160FB">
              <w:rPr>
                <w:lang w:val="en-GB"/>
              </w:rPr>
              <w:t>.</w:t>
            </w:r>
            <w:r w:rsidR="0087722C" w:rsidRPr="00D160FB">
              <w:rPr>
                <w:lang w:val="en-GB"/>
              </w:rPr>
              <w:t>1%</w:t>
            </w:r>
            <w:r w:rsidR="00B20D04" w:rsidRPr="00D160FB">
              <w:rPr>
                <w:lang w:val="en-GB"/>
              </w:rPr>
              <w:t xml:space="preserve"> higher</w:t>
            </w:r>
            <w:r w:rsidR="0087722C" w:rsidRPr="00D160FB">
              <w:rPr>
                <w:lang w:val="en-GB"/>
              </w:rPr>
              <w:t xml:space="preserve">.  </w:t>
            </w:r>
          </w:p>
        </w:tc>
      </w:tr>
      <w:tr w:rsidR="0087722C" w:rsidRPr="00D160FB" w14:paraId="4E2278C0" w14:textId="77777777" w:rsidTr="00435DE8">
        <w:trPr>
          <w:trHeight w:val="145"/>
        </w:trPr>
        <w:tc>
          <w:tcPr>
            <w:tcW w:w="1804" w:type="dxa"/>
            <w:shd w:val="clear" w:color="auto" w:fill="auto"/>
            <w:tcMar>
              <w:left w:w="0" w:type="dxa"/>
            </w:tcMar>
          </w:tcPr>
          <w:p w14:paraId="20A6DC9B" w14:textId="569A7D12" w:rsidR="0087722C" w:rsidRPr="00D160FB" w:rsidRDefault="00D804C7" w:rsidP="00163868">
            <w:pPr>
              <w:pStyle w:val="Marginlie"/>
              <w:rPr>
                <w:spacing w:val="0"/>
                <w:lang w:val="en-GB"/>
              </w:rPr>
            </w:pPr>
            <w:r w:rsidRPr="00D160FB">
              <w:rPr>
                <w:spacing w:val="0"/>
                <w:lang w:val="en-GB"/>
              </w:rPr>
              <w:lastRenderedPageBreak/>
              <w:t xml:space="preserve">Year-on-year growth of prices </w:t>
            </w:r>
            <w:r w:rsidR="00312E51" w:rsidRPr="00D160FB">
              <w:rPr>
                <w:spacing w:val="0"/>
                <w:lang w:val="en-GB"/>
              </w:rPr>
              <w:t>of food</w:t>
            </w:r>
            <w:r w:rsidRPr="00D160FB">
              <w:rPr>
                <w:spacing w:val="0"/>
                <w:lang w:val="en-GB"/>
              </w:rPr>
              <w:t xml:space="preserve"> considerably strengthened during the entire year and this division also contributed the most to the total growth of consumer prices in Q4</w:t>
            </w:r>
            <w:r w:rsidR="0087722C" w:rsidRPr="00D160FB">
              <w:rPr>
                <w:spacing w:val="0"/>
                <w:lang w:val="en-GB"/>
              </w:rPr>
              <w:t>.</w:t>
            </w:r>
          </w:p>
        </w:tc>
        <w:tc>
          <w:tcPr>
            <w:tcW w:w="224" w:type="dxa"/>
            <w:shd w:val="clear" w:color="auto" w:fill="auto"/>
            <w:tcMar>
              <w:left w:w="0" w:type="dxa"/>
            </w:tcMar>
          </w:tcPr>
          <w:p w14:paraId="3C69F3C9" w14:textId="77777777" w:rsidR="0087722C" w:rsidRPr="00D160FB" w:rsidRDefault="0087722C" w:rsidP="00163868">
            <w:pPr>
              <w:pStyle w:val="Textpoznpodarou1"/>
              <w:jc w:val="both"/>
              <w:rPr>
                <w:highlight w:val="yellow"/>
                <w:lang w:val="en-GB"/>
              </w:rPr>
            </w:pPr>
          </w:p>
        </w:tc>
        <w:tc>
          <w:tcPr>
            <w:tcW w:w="7611" w:type="dxa"/>
            <w:shd w:val="clear" w:color="auto" w:fill="auto"/>
            <w:tcMar>
              <w:left w:w="0" w:type="dxa"/>
            </w:tcMar>
          </w:tcPr>
          <w:p w14:paraId="47BA38D1" w14:textId="7280B084" w:rsidR="0087722C" w:rsidRPr="00D160FB" w:rsidRDefault="00D804C7" w:rsidP="00312E51">
            <w:pPr>
              <w:rPr>
                <w:lang w:val="en-GB"/>
              </w:rPr>
            </w:pPr>
            <w:r w:rsidRPr="00D160FB">
              <w:rPr>
                <w:lang w:val="en-GB"/>
              </w:rPr>
              <w:t xml:space="preserve">Prices of food and non-alcoholic beverages went up in total by </w:t>
            </w:r>
            <w:r w:rsidR="0087722C" w:rsidRPr="00D160FB">
              <w:rPr>
                <w:lang w:val="en-GB"/>
              </w:rPr>
              <w:t>16</w:t>
            </w:r>
            <w:r w:rsidRPr="00D160FB">
              <w:rPr>
                <w:lang w:val="en-GB"/>
              </w:rPr>
              <w:t>.</w:t>
            </w:r>
            <w:r w:rsidR="0087722C" w:rsidRPr="00D160FB">
              <w:rPr>
                <w:lang w:val="en-GB"/>
              </w:rPr>
              <w:t>7%</w:t>
            </w:r>
            <w:r w:rsidRPr="00D160FB">
              <w:rPr>
                <w:lang w:val="en-GB"/>
              </w:rPr>
              <w:t xml:space="preserve"> last year</w:t>
            </w:r>
            <w:r w:rsidR="0087722C" w:rsidRPr="00D160FB">
              <w:rPr>
                <w:lang w:val="en-GB"/>
              </w:rPr>
              <w:t>.</w:t>
            </w:r>
            <w:r w:rsidRPr="00D160FB">
              <w:rPr>
                <w:lang w:val="en-GB"/>
              </w:rPr>
              <w:t xml:space="preserve"> Because the fast growth of prices in the agricultural production was sensitively reflected in their development during the entire last year</w:t>
            </w:r>
            <w:r w:rsidR="0087722C" w:rsidRPr="00D160FB">
              <w:rPr>
                <w:lang w:val="en-GB"/>
              </w:rPr>
              <w:t xml:space="preserve">. </w:t>
            </w:r>
            <w:r w:rsidRPr="00D160FB">
              <w:rPr>
                <w:lang w:val="en-GB"/>
              </w:rPr>
              <w:t xml:space="preserve">The trio meat </w:t>
            </w:r>
            <w:r w:rsidR="0087722C" w:rsidRPr="00D160FB">
              <w:rPr>
                <w:lang w:val="en-GB"/>
              </w:rPr>
              <w:t>(</w:t>
            </w:r>
            <w:r w:rsidRPr="00D160FB">
              <w:rPr>
                <w:lang w:val="en-GB"/>
              </w:rPr>
              <w:t xml:space="preserve">growth of </w:t>
            </w:r>
            <w:r w:rsidR="0087722C" w:rsidRPr="00D160FB">
              <w:rPr>
                <w:lang w:val="en-GB"/>
              </w:rPr>
              <w:t>16</w:t>
            </w:r>
            <w:r w:rsidRPr="00D160FB">
              <w:rPr>
                <w:lang w:val="en-GB"/>
              </w:rPr>
              <w:t>.</w:t>
            </w:r>
            <w:r w:rsidR="0087722C" w:rsidRPr="00D160FB">
              <w:rPr>
                <w:lang w:val="en-GB"/>
              </w:rPr>
              <w:t>7%),</w:t>
            </w:r>
            <w:r w:rsidRPr="00D160FB">
              <w:rPr>
                <w:lang w:val="en-GB"/>
              </w:rPr>
              <w:t xml:space="preserve"> </w:t>
            </w:r>
            <w:r w:rsidR="00FB1F0B">
              <w:rPr>
                <w:lang w:val="en-GB"/>
              </w:rPr>
              <w:t>bread</w:t>
            </w:r>
            <w:r w:rsidRPr="00D160FB">
              <w:rPr>
                <w:lang w:val="en-GB"/>
              </w:rPr>
              <w:t xml:space="preserve"> and cereals </w:t>
            </w:r>
            <w:r w:rsidR="0087722C" w:rsidRPr="00D160FB">
              <w:rPr>
                <w:lang w:val="en-GB"/>
              </w:rPr>
              <w:t>(21</w:t>
            </w:r>
            <w:r w:rsidRPr="00D160FB">
              <w:rPr>
                <w:lang w:val="en-GB"/>
              </w:rPr>
              <w:t>.</w:t>
            </w:r>
            <w:r w:rsidR="0087722C" w:rsidRPr="00D160FB">
              <w:rPr>
                <w:lang w:val="en-GB"/>
              </w:rPr>
              <w:t>7%) a</w:t>
            </w:r>
            <w:r w:rsidRPr="00D160FB">
              <w:rPr>
                <w:lang w:val="en-GB"/>
              </w:rPr>
              <w:t>nd milk, chees</w:t>
            </w:r>
            <w:r w:rsidR="00A107F5">
              <w:rPr>
                <w:lang w:val="en-GB"/>
              </w:rPr>
              <w:t>e</w:t>
            </w:r>
            <w:r w:rsidRPr="00D160FB">
              <w:rPr>
                <w:lang w:val="en-GB"/>
              </w:rPr>
              <w:t xml:space="preserve"> and eggs </w:t>
            </w:r>
            <w:r w:rsidR="0087722C" w:rsidRPr="00D160FB">
              <w:rPr>
                <w:lang w:val="en-GB"/>
              </w:rPr>
              <w:t>(20</w:t>
            </w:r>
            <w:r w:rsidRPr="00D160FB">
              <w:rPr>
                <w:lang w:val="en-GB"/>
              </w:rPr>
              <w:t>.</w:t>
            </w:r>
            <w:r w:rsidR="0087722C" w:rsidRPr="00D160FB">
              <w:rPr>
                <w:lang w:val="en-GB"/>
              </w:rPr>
              <w:t>8%)</w:t>
            </w:r>
            <w:r w:rsidRPr="00D160FB">
              <w:rPr>
                <w:lang w:val="en-GB"/>
              </w:rPr>
              <w:t xml:space="preserve"> thus the most contributed to the total increase of the consumer prices</w:t>
            </w:r>
            <w:r w:rsidR="0087722C" w:rsidRPr="00D160FB">
              <w:rPr>
                <w:lang w:val="en-GB"/>
              </w:rPr>
              <w:t xml:space="preserve">. </w:t>
            </w:r>
            <w:r w:rsidR="00051F88" w:rsidRPr="00D160FB">
              <w:rPr>
                <w:lang w:val="en-GB"/>
              </w:rPr>
              <w:t>Prices of o</w:t>
            </w:r>
            <w:r w:rsidRPr="00D160FB">
              <w:rPr>
                <w:lang w:val="en-GB"/>
              </w:rPr>
              <w:t xml:space="preserve">ils and </w:t>
            </w:r>
            <w:r w:rsidR="00051F88" w:rsidRPr="00D160FB">
              <w:rPr>
                <w:lang w:val="en-GB"/>
              </w:rPr>
              <w:t xml:space="preserve">fats also rose steeply </w:t>
            </w:r>
            <w:r w:rsidR="0087722C" w:rsidRPr="00D160FB">
              <w:rPr>
                <w:lang w:val="en-GB"/>
              </w:rPr>
              <w:t>(38</w:t>
            </w:r>
            <w:r w:rsidR="00051F88" w:rsidRPr="00D160FB">
              <w:rPr>
                <w:lang w:val="en-GB"/>
              </w:rPr>
              <w:t>.</w:t>
            </w:r>
            <w:r w:rsidR="0087722C" w:rsidRPr="00D160FB">
              <w:rPr>
                <w:lang w:val="en-GB"/>
              </w:rPr>
              <w:t>6%).</w:t>
            </w:r>
            <w:r w:rsidR="00051F88" w:rsidRPr="00D160FB">
              <w:rPr>
                <w:lang w:val="en-GB"/>
              </w:rPr>
              <w:t xml:space="preserve"> Fast acceleration of the year-on-year pace of the growth of prices manifested for food and non-alcoholic beverages during the whole year</w:t>
            </w:r>
            <w:r w:rsidR="0087722C" w:rsidRPr="00D160FB">
              <w:rPr>
                <w:lang w:val="en-GB"/>
              </w:rPr>
              <w:t xml:space="preserve"> (6</w:t>
            </w:r>
            <w:r w:rsidR="00051F88" w:rsidRPr="00D160FB">
              <w:rPr>
                <w:lang w:val="en-GB"/>
              </w:rPr>
              <w:t>.</w:t>
            </w:r>
            <w:r w:rsidR="0087722C" w:rsidRPr="00D160FB">
              <w:rPr>
                <w:lang w:val="en-GB"/>
              </w:rPr>
              <w:t>7%, 14</w:t>
            </w:r>
            <w:r w:rsidR="00051F88" w:rsidRPr="00D160FB">
              <w:rPr>
                <w:lang w:val="en-GB"/>
              </w:rPr>
              <w:t>.</w:t>
            </w:r>
            <w:r w:rsidR="0087722C" w:rsidRPr="00D160FB">
              <w:rPr>
                <w:lang w:val="en-GB"/>
              </w:rPr>
              <w:t>6%</w:t>
            </w:r>
            <w:r w:rsidR="00051F88" w:rsidRPr="00D160FB">
              <w:rPr>
                <w:lang w:val="en-GB"/>
              </w:rPr>
              <w:t xml:space="preserve"> and </w:t>
            </w:r>
            <w:r w:rsidR="0087722C" w:rsidRPr="00D160FB">
              <w:rPr>
                <w:lang w:val="en-GB"/>
              </w:rPr>
              <w:t>20</w:t>
            </w:r>
            <w:r w:rsidR="00051F88" w:rsidRPr="00D160FB">
              <w:rPr>
                <w:lang w:val="en-GB"/>
              </w:rPr>
              <w:t>.</w:t>
            </w:r>
            <w:r w:rsidR="0087722C" w:rsidRPr="00D160FB">
              <w:rPr>
                <w:lang w:val="en-GB"/>
              </w:rPr>
              <w:t xml:space="preserve">0% </w:t>
            </w:r>
            <w:r w:rsidR="00051F88" w:rsidRPr="00D160FB">
              <w:rPr>
                <w:lang w:val="en-GB"/>
              </w:rPr>
              <w:t>in Q</w:t>
            </w:r>
            <w:r w:rsidR="0087722C" w:rsidRPr="00D160FB">
              <w:rPr>
                <w:lang w:val="en-GB"/>
              </w:rPr>
              <w:t>1</w:t>
            </w:r>
            <w:r w:rsidR="00312E51">
              <w:rPr>
                <w:lang w:val="en-GB"/>
              </w:rPr>
              <w:t>, 2</w:t>
            </w:r>
            <w:r w:rsidR="0087722C" w:rsidRPr="00D160FB">
              <w:rPr>
                <w:lang w:val="en-GB"/>
              </w:rPr>
              <w:t xml:space="preserve"> a</w:t>
            </w:r>
            <w:r w:rsidR="00051F88" w:rsidRPr="00D160FB">
              <w:rPr>
                <w:lang w:val="en-GB"/>
              </w:rPr>
              <w:t>nd</w:t>
            </w:r>
            <w:r w:rsidR="0087722C" w:rsidRPr="00D160FB">
              <w:rPr>
                <w:lang w:val="en-GB"/>
              </w:rPr>
              <w:t xml:space="preserve"> 3). </w:t>
            </w:r>
            <w:r w:rsidR="002C70C1" w:rsidRPr="00D160FB">
              <w:rPr>
                <w:lang w:val="en-GB"/>
              </w:rPr>
              <w:t xml:space="preserve">The year-on-year addition then reached </w:t>
            </w:r>
            <w:r w:rsidR="0087722C" w:rsidRPr="00D160FB">
              <w:rPr>
                <w:lang w:val="en-GB"/>
              </w:rPr>
              <w:t>25</w:t>
            </w:r>
            <w:r w:rsidR="002C70C1" w:rsidRPr="00D160FB">
              <w:rPr>
                <w:lang w:val="en-GB"/>
              </w:rPr>
              <w:t>.</w:t>
            </w:r>
            <w:r w:rsidR="0087722C" w:rsidRPr="00D160FB">
              <w:rPr>
                <w:lang w:val="en-GB"/>
              </w:rPr>
              <w:t>5%</w:t>
            </w:r>
            <w:r w:rsidR="002C70C1" w:rsidRPr="00D160FB">
              <w:rPr>
                <w:lang w:val="en-GB"/>
              </w:rPr>
              <w:t xml:space="preserve"> in Q4</w:t>
            </w:r>
            <w:r w:rsidR="0087722C" w:rsidRPr="00D160FB">
              <w:rPr>
                <w:lang w:val="en-GB"/>
              </w:rPr>
              <w:t>.</w:t>
            </w:r>
            <w:r w:rsidR="002C70C1" w:rsidRPr="00D160FB">
              <w:rPr>
                <w:lang w:val="en-GB"/>
              </w:rPr>
              <w:t xml:space="preserve"> The prices of food and non-alcoholic beverages increased by </w:t>
            </w:r>
            <w:r w:rsidR="0087722C" w:rsidRPr="00D160FB">
              <w:rPr>
                <w:lang w:val="en-GB"/>
              </w:rPr>
              <w:t>4</w:t>
            </w:r>
            <w:r w:rsidR="002C70C1" w:rsidRPr="00D160FB">
              <w:rPr>
                <w:lang w:val="en-GB"/>
              </w:rPr>
              <w:t>.</w:t>
            </w:r>
            <w:r w:rsidR="0087722C" w:rsidRPr="00D160FB">
              <w:rPr>
                <w:lang w:val="en-GB"/>
              </w:rPr>
              <w:t>7%</w:t>
            </w:r>
            <w:r w:rsidR="002C70C1" w:rsidRPr="00D160FB">
              <w:rPr>
                <w:lang w:val="en-GB"/>
              </w:rPr>
              <w:t xml:space="preserve"> </w:t>
            </w:r>
            <w:r w:rsidR="00A107F5">
              <w:rPr>
                <w:lang w:val="en-GB"/>
              </w:rPr>
              <w:t>quarter-on-quarter</w:t>
            </w:r>
            <w:r w:rsidR="0087722C" w:rsidRPr="00D160FB">
              <w:rPr>
                <w:lang w:val="en-GB"/>
              </w:rPr>
              <w:t xml:space="preserve">. </w:t>
            </w:r>
            <w:r w:rsidR="00621D46" w:rsidRPr="00D160FB">
              <w:rPr>
                <w:lang w:val="en-GB"/>
              </w:rPr>
              <w:t xml:space="preserve">The development mainly of prices of milk, cheese and eggs </w:t>
            </w:r>
            <w:r w:rsidR="0087722C" w:rsidRPr="00D160FB">
              <w:rPr>
                <w:lang w:val="en-GB"/>
              </w:rPr>
              <w:t>(</w:t>
            </w:r>
            <w:r w:rsidR="00621D46" w:rsidRPr="00D160FB">
              <w:rPr>
                <w:lang w:val="en-GB"/>
              </w:rPr>
              <w:t xml:space="preserve">growth of </w:t>
            </w:r>
            <w:r w:rsidR="0087722C" w:rsidRPr="00D160FB">
              <w:rPr>
                <w:lang w:val="en-GB"/>
              </w:rPr>
              <w:t>32</w:t>
            </w:r>
            <w:r w:rsidR="00621D46" w:rsidRPr="00D160FB">
              <w:rPr>
                <w:lang w:val="en-GB"/>
              </w:rPr>
              <w:t>.</w:t>
            </w:r>
            <w:r w:rsidR="0087722C" w:rsidRPr="00D160FB">
              <w:rPr>
                <w:lang w:val="en-GB"/>
              </w:rPr>
              <w:t>9%),</w:t>
            </w:r>
            <w:r w:rsidR="00621D46" w:rsidRPr="00D160FB">
              <w:rPr>
                <w:lang w:val="en-GB"/>
              </w:rPr>
              <w:t xml:space="preserve"> </w:t>
            </w:r>
            <w:r w:rsidR="00A107F5">
              <w:rPr>
                <w:lang w:val="en-GB"/>
              </w:rPr>
              <w:t>bread</w:t>
            </w:r>
            <w:r w:rsidR="00621D46" w:rsidRPr="00D160FB">
              <w:rPr>
                <w:lang w:val="en-GB"/>
              </w:rPr>
              <w:t xml:space="preserve"> and cereals </w:t>
            </w:r>
            <w:r w:rsidR="0087722C" w:rsidRPr="00D160FB">
              <w:rPr>
                <w:lang w:val="en-GB"/>
              </w:rPr>
              <w:t>(30</w:t>
            </w:r>
            <w:r w:rsidR="00621D46" w:rsidRPr="00D160FB">
              <w:rPr>
                <w:lang w:val="en-GB"/>
              </w:rPr>
              <w:t>.</w:t>
            </w:r>
            <w:r w:rsidR="0087722C" w:rsidRPr="00D160FB">
              <w:rPr>
                <w:lang w:val="en-GB"/>
              </w:rPr>
              <w:t>5%) a</w:t>
            </w:r>
            <w:r w:rsidR="00621D46" w:rsidRPr="00D160FB">
              <w:rPr>
                <w:lang w:val="en-GB"/>
              </w:rPr>
              <w:t xml:space="preserve">nd meat </w:t>
            </w:r>
            <w:r w:rsidR="0087722C" w:rsidRPr="00D160FB">
              <w:rPr>
                <w:lang w:val="en-GB"/>
              </w:rPr>
              <w:t>(27</w:t>
            </w:r>
            <w:r w:rsidR="00621D46" w:rsidRPr="00D160FB">
              <w:rPr>
                <w:lang w:val="en-GB"/>
              </w:rPr>
              <w:t>.</w:t>
            </w:r>
            <w:r w:rsidR="0087722C" w:rsidRPr="00D160FB">
              <w:rPr>
                <w:lang w:val="en-GB"/>
              </w:rPr>
              <w:t>4%)</w:t>
            </w:r>
            <w:r w:rsidR="00621D46" w:rsidRPr="00D160FB">
              <w:rPr>
                <w:lang w:val="en-GB"/>
              </w:rPr>
              <w:t xml:space="preserve"> contributed to the acceleration of the year-on-year growth in Q4</w:t>
            </w:r>
            <w:r w:rsidR="0087722C" w:rsidRPr="00D160FB">
              <w:rPr>
                <w:lang w:val="en-GB"/>
              </w:rPr>
              <w:t xml:space="preserve">. </w:t>
            </w:r>
            <w:r w:rsidR="00A7769C" w:rsidRPr="00D160FB">
              <w:rPr>
                <w:lang w:val="en-GB"/>
              </w:rPr>
              <w:t>Price dynamics of the majority of types of food was however accelerating. Similarly to the annual view, the prices of oils and fats also sharply increased year-on-year in Q</w:t>
            </w:r>
            <w:r w:rsidR="0087722C" w:rsidRPr="00D160FB">
              <w:rPr>
                <w:lang w:val="en-GB"/>
              </w:rPr>
              <w:t>4</w:t>
            </w:r>
            <w:r w:rsidR="00A7769C" w:rsidRPr="00D160FB">
              <w:rPr>
                <w:lang w:val="en-GB"/>
              </w:rPr>
              <w:t xml:space="preserve"> </w:t>
            </w:r>
            <w:r w:rsidR="0087722C" w:rsidRPr="00D160FB">
              <w:rPr>
                <w:lang w:val="en-GB"/>
              </w:rPr>
              <w:t>(43</w:t>
            </w:r>
            <w:r w:rsidR="00A7769C" w:rsidRPr="00D160FB">
              <w:rPr>
                <w:lang w:val="en-GB"/>
              </w:rPr>
              <w:t>.</w:t>
            </w:r>
            <w:r w:rsidR="0087722C" w:rsidRPr="00D160FB">
              <w:rPr>
                <w:lang w:val="en-GB"/>
              </w:rPr>
              <w:t xml:space="preserve">0%). </w:t>
            </w:r>
          </w:p>
        </w:tc>
      </w:tr>
      <w:tr w:rsidR="0087722C" w:rsidRPr="00D160FB" w14:paraId="39AA128C" w14:textId="77777777" w:rsidTr="00435DE8">
        <w:trPr>
          <w:trHeight w:val="170"/>
        </w:trPr>
        <w:tc>
          <w:tcPr>
            <w:tcW w:w="1804" w:type="dxa"/>
            <w:vMerge w:val="restart"/>
            <w:shd w:val="clear" w:color="auto" w:fill="auto"/>
            <w:tcMar>
              <w:left w:w="0" w:type="dxa"/>
            </w:tcMar>
          </w:tcPr>
          <w:p w14:paraId="1B7F3AE3" w14:textId="77777777" w:rsidR="0087722C" w:rsidRPr="00D160FB" w:rsidRDefault="0087722C" w:rsidP="00163868">
            <w:pPr>
              <w:pStyle w:val="Marginlie"/>
              <w:rPr>
                <w:spacing w:val="0"/>
                <w:lang w:val="en-GB"/>
              </w:rPr>
            </w:pPr>
          </w:p>
        </w:tc>
        <w:tc>
          <w:tcPr>
            <w:tcW w:w="224" w:type="dxa"/>
            <w:vMerge w:val="restart"/>
            <w:shd w:val="clear" w:color="auto" w:fill="auto"/>
            <w:tcMar>
              <w:left w:w="0" w:type="dxa"/>
            </w:tcMar>
          </w:tcPr>
          <w:p w14:paraId="7B02E7D5"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3984E09F" w14:textId="4C199956" w:rsidR="0087722C" w:rsidRPr="00D160FB" w:rsidRDefault="00E04485" w:rsidP="00163868">
            <w:pPr>
              <w:spacing w:after="0"/>
              <w:rPr>
                <w:lang w:val="en-GB"/>
              </w:rPr>
            </w:pPr>
            <w:r w:rsidRPr="00D160FB">
              <w:rPr>
                <w:rFonts w:cs="Arial"/>
                <w:b/>
                <w:bCs/>
                <w:color w:val="000000"/>
                <w:sz w:val="18"/>
                <w:szCs w:val="18"/>
                <w:lang w:val="en-GB"/>
              </w:rPr>
              <w:t>Chart</w:t>
            </w:r>
            <w:r w:rsidR="008F525A" w:rsidRPr="00D160FB">
              <w:rPr>
                <w:rFonts w:cs="Arial"/>
                <w:b/>
                <w:bCs/>
                <w:color w:val="000000"/>
                <w:sz w:val="18"/>
                <w:szCs w:val="18"/>
                <w:lang w:val="en-GB"/>
              </w:rPr>
              <w:t> 11</w:t>
            </w:r>
            <w:r w:rsidR="0087722C" w:rsidRPr="00D160FB">
              <w:rPr>
                <w:rFonts w:cs="Arial"/>
                <w:b/>
                <w:bCs/>
                <w:color w:val="000000"/>
                <w:sz w:val="18"/>
                <w:szCs w:val="18"/>
                <w:lang w:val="en-GB"/>
              </w:rPr>
              <w:t xml:space="preserve"> </w:t>
            </w:r>
            <w:r w:rsidR="002426B4" w:rsidRPr="00D160FB">
              <w:rPr>
                <w:rFonts w:cs="Arial"/>
                <w:b/>
                <w:bCs/>
                <w:color w:val="000000"/>
                <w:sz w:val="18"/>
                <w:szCs w:val="18"/>
                <w:lang w:val="en-GB"/>
              </w:rPr>
              <w:t xml:space="preserve">Prices in the selected divisions of the consumer price index </w:t>
            </w:r>
            <w:r w:rsidR="002426B4" w:rsidRPr="00D160FB">
              <w:rPr>
                <w:rFonts w:cs="Arial"/>
                <w:color w:val="000000"/>
                <w:sz w:val="18"/>
                <w:szCs w:val="18"/>
                <w:lang w:val="en-GB"/>
              </w:rPr>
              <w:t>(year-on-year in %)</w:t>
            </w:r>
          </w:p>
        </w:tc>
      </w:tr>
      <w:tr w:rsidR="0087722C" w:rsidRPr="00D160FB" w14:paraId="4559E5C7" w14:textId="77777777" w:rsidTr="00435DE8">
        <w:tblPrEx>
          <w:tblCellMar>
            <w:left w:w="70" w:type="dxa"/>
            <w:right w:w="70" w:type="dxa"/>
          </w:tblCellMar>
        </w:tblPrEx>
        <w:trPr>
          <w:trHeight w:val="170"/>
        </w:trPr>
        <w:tc>
          <w:tcPr>
            <w:tcW w:w="1804" w:type="dxa"/>
            <w:vMerge/>
          </w:tcPr>
          <w:p w14:paraId="4C965615" w14:textId="77777777" w:rsidR="0087722C" w:rsidRPr="00D160FB" w:rsidRDefault="0087722C" w:rsidP="00163868">
            <w:pPr>
              <w:pStyle w:val="Marginlie"/>
              <w:rPr>
                <w:spacing w:val="0"/>
                <w:lang w:val="en-GB"/>
              </w:rPr>
            </w:pPr>
          </w:p>
        </w:tc>
        <w:tc>
          <w:tcPr>
            <w:tcW w:w="224" w:type="dxa"/>
            <w:vMerge/>
          </w:tcPr>
          <w:p w14:paraId="3E713992" w14:textId="77777777" w:rsidR="0087722C" w:rsidRPr="00D160FB" w:rsidRDefault="0087722C" w:rsidP="00163868">
            <w:pPr>
              <w:pStyle w:val="Textpoznpodarou1"/>
              <w:jc w:val="both"/>
              <w:rPr>
                <w:lang w:val="en-GB"/>
              </w:rPr>
            </w:pPr>
          </w:p>
        </w:tc>
        <w:tc>
          <w:tcPr>
            <w:tcW w:w="7611" w:type="dxa"/>
            <w:shd w:val="clear" w:color="auto" w:fill="auto"/>
          </w:tcPr>
          <w:p w14:paraId="18BA7CFE" w14:textId="7739A498" w:rsidR="0087722C" w:rsidRPr="00D160FB" w:rsidRDefault="00C60FA1" w:rsidP="00163868">
            <w:pPr>
              <w:spacing w:after="0"/>
              <w:rPr>
                <w:lang w:val="en-GB"/>
              </w:rPr>
            </w:pPr>
            <w:r>
              <w:rPr>
                <w:noProof/>
              </w:rPr>
              <w:drawing>
                <wp:inline distT="0" distB="0" distL="0" distR="0" wp14:anchorId="796C48B0" wp14:editId="4A2D7050">
                  <wp:extent cx="4743950" cy="3381750"/>
                  <wp:effectExtent l="0" t="0" r="0" b="0"/>
                  <wp:docPr id="1736934602" name="Graf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87722C" w:rsidRPr="00D160FB" w14:paraId="55F48115" w14:textId="77777777" w:rsidTr="00435DE8">
        <w:trPr>
          <w:trHeight w:val="170"/>
        </w:trPr>
        <w:tc>
          <w:tcPr>
            <w:tcW w:w="1804" w:type="dxa"/>
            <w:vMerge/>
            <w:tcMar>
              <w:left w:w="0" w:type="dxa"/>
            </w:tcMar>
          </w:tcPr>
          <w:p w14:paraId="24D0E467" w14:textId="77777777" w:rsidR="0087722C" w:rsidRPr="00D160FB" w:rsidRDefault="0087722C" w:rsidP="00163868">
            <w:pPr>
              <w:pStyle w:val="Marginlie"/>
              <w:rPr>
                <w:spacing w:val="0"/>
                <w:lang w:val="en-GB"/>
              </w:rPr>
            </w:pPr>
          </w:p>
        </w:tc>
        <w:tc>
          <w:tcPr>
            <w:tcW w:w="224" w:type="dxa"/>
            <w:vMerge/>
            <w:tcMar>
              <w:left w:w="0" w:type="dxa"/>
            </w:tcMar>
          </w:tcPr>
          <w:p w14:paraId="7CD7067A"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602065F6" w14:textId="36DA9C11" w:rsidR="002426B4" w:rsidRPr="00D160FB" w:rsidRDefault="00E04485" w:rsidP="00C60FA1">
            <w:pPr>
              <w:rPr>
                <w:b/>
                <w:bCs/>
                <w:sz w:val="16"/>
                <w:szCs w:val="16"/>
                <w:lang w:val="en-GB"/>
              </w:rPr>
            </w:pPr>
            <w:r w:rsidRPr="00D160FB">
              <w:rPr>
                <w:sz w:val="14"/>
                <w:szCs w:val="14"/>
                <w:lang w:val="en-GB"/>
              </w:rPr>
              <w:t>Source</w:t>
            </w:r>
            <w:r w:rsidR="0087722C" w:rsidRPr="00D160FB">
              <w:rPr>
                <w:sz w:val="14"/>
                <w:szCs w:val="14"/>
                <w:lang w:val="en-GB"/>
              </w:rPr>
              <w:t xml:space="preserve">: </w:t>
            </w:r>
            <w:r w:rsidRPr="00D160FB">
              <w:rPr>
                <w:sz w:val="14"/>
                <w:szCs w:val="14"/>
                <w:lang w:val="en-GB"/>
              </w:rPr>
              <w:t>CZSO</w:t>
            </w:r>
          </w:p>
        </w:tc>
      </w:tr>
      <w:tr w:rsidR="0087722C" w:rsidRPr="00D160FB" w14:paraId="54820379" w14:textId="77777777" w:rsidTr="00435DE8">
        <w:trPr>
          <w:trHeight w:val="145"/>
        </w:trPr>
        <w:tc>
          <w:tcPr>
            <w:tcW w:w="1804" w:type="dxa"/>
            <w:shd w:val="clear" w:color="auto" w:fill="auto"/>
            <w:tcMar>
              <w:left w:w="0" w:type="dxa"/>
            </w:tcMar>
          </w:tcPr>
          <w:p w14:paraId="2008DFFE" w14:textId="7C2B7DE6" w:rsidR="0087722C" w:rsidRPr="00D160FB" w:rsidRDefault="00480AC0" w:rsidP="00163868">
            <w:pPr>
              <w:pStyle w:val="Marginlie"/>
              <w:rPr>
                <w:spacing w:val="0"/>
                <w:lang w:val="en-GB"/>
              </w:rPr>
            </w:pPr>
            <w:r w:rsidRPr="00D160FB">
              <w:rPr>
                <w:spacing w:val="0"/>
                <w:lang w:val="en-GB"/>
              </w:rPr>
              <w:t xml:space="preserve">Moderation of the growth of prices of motor fuels reduced the year-on-year increase of prices of transport. </w:t>
            </w:r>
          </w:p>
        </w:tc>
        <w:tc>
          <w:tcPr>
            <w:tcW w:w="224" w:type="dxa"/>
            <w:shd w:val="clear" w:color="auto" w:fill="auto"/>
            <w:tcMar>
              <w:left w:w="0" w:type="dxa"/>
            </w:tcMar>
          </w:tcPr>
          <w:p w14:paraId="0F85D331"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1C03AFF5" w14:textId="3B739975" w:rsidR="0087722C" w:rsidRPr="00D160FB" w:rsidRDefault="00480AC0" w:rsidP="00163868">
            <w:pPr>
              <w:rPr>
                <w:lang w:val="en-GB"/>
              </w:rPr>
            </w:pPr>
            <w:r w:rsidRPr="00D160FB">
              <w:rPr>
                <w:lang w:val="en-GB"/>
              </w:rPr>
              <w:t xml:space="preserve">Prices of transport increased by </w:t>
            </w:r>
            <w:r w:rsidR="0087722C" w:rsidRPr="00D160FB">
              <w:rPr>
                <w:lang w:val="en-GB"/>
              </w:rPr>
              <w:t>18</w:t>
            </w:r>
            <w:r w:rsidRPr="00D160FB">
              <w:rPr>
                <w:lang w:val="en-GB"/>
              </w:rPr>
              <w:t>.</w:t>
            </w:r>
            <w:r w:rsidR="0087722C" w:rsidRPr="00D160FB">
              <w:rPr>
                <w:lang w:val="en-GB"/>
              </w:rPr>
              <w:t>1%</w:t>
            </w:r>
            <w:r w:rsidRPr="00D160FB">
              <w:rPr>
                <w:lang w:val="en-GB"/>
              </w:rPr>
              <w:t xml:space="preserve"> last year</w:t>
            </w:r>
            <w:r w:rsidR="0087722C" w:rsidRPr="00D160FB">
              <w:rPr>
                <w:lang w:val="en-GB"/>
              </w:rPr>
              <w:t xml:space="preserve">. </w:t>
            </w:r>
            <w:r w:rsidR="00DA0359" w:rsidRPr="00D160FB">
              <w:rPr>
                <w:lang w:val="en-GB"/>
              </w:rPr>
              <w:t>Cost of operati</w:t>
            </w:r>
            <w:r w:rsidR="00A107F5">
              <w:rPr>
                <w:lang w:val="en-GB"/>
              </w:rPr>
              <w:t xml:space="preserve">on of </w:t>
            </w:r>
            <w:r w:rsidR="00DA0359" w:rsidRPr="00D160FB">
              <w:rPr>
                <w:lang w:val="en-GB"/>
              </w:rPr>
              <w:t xml:space="preserve">a personal transport equipment grew the most </w:t>
            </w:r>
            <w:r w:rsidR="0087722C" w:rsidRPr="00D160FB">
              <w:rPr>
                <w:lang w:val="en-GB"/>
              </w:rPr>
              <w:t>(23</w:t>
            </w:r>
            <w:r w:rsidR="00DA0359" w:rsidRPr="00D160FB">
              <w:rPr>
                <w:lang w:val="en-GB"/>
              </w:rPr>
              <w:t>.</w:t>
            </w:r>
            <w:r w:rsidR="0087722C" w:rsidRPr="00D160FB">
              <w:rPr>
                <w:lang w:val="en-GB"/>
              </w:rPr>
              <w:t>9%)</w:t>
            </w:r>
            <w:r w:rsidR="00DA0359" w:rsidRPr="00D160FB">
              <w:rPr>
                <w:lang w:val="en-GB"/>
              </w:rPr>
              <w:t xml:space="preserve"> under the influence of prices of motor fuels</w:t>
            </w:r>
            <w:r w:rsidR="0087722C" w:rsidRPr="00D160FB">
              <w:rPr>
                <w:lang w:val="en-GB"/>
              </w:rPr>
              <w:t xml:space="preserve">. </w:t>
            </w:r>
            <w:r w:rsidR="00DA0359" w:rsidRPr="00D160FB">
              <w:rPr>
                <w:lang w:val="en-GB"/>
              </w:rPr>
              <w:t xml:space="preserve">Prices of purchase of vehicles nevertheless also strongly increased </w:t>
            </w:r>
            <w:r w:rsidR="0087722C" w:rsidRPr="00D160FB">
              <w:rPr>
                <w:lang w:val="en-GB"/>
              </w:rPr>
              <w:t>(12</w:t>
            </w:r>
            <w:r w:rsidR="00DA0359" w:rsidRPr="00D160FB">
              <w:rPr>
                <w:lang w:val="en-GB"/>
              </w:rPr>
              <w:t>.</w:t>
            </w:r>
            <w:r w:rsidR="0087722C" w:rsidRPr="00D160FB">
              <w:rPr>
                <w:lang w:val="en-GB"/>
              </w:rPr>
              <w:t>9%) a</w:t>
            </w:r>
            <w:r w:rsidR="00DA0359" w:rsidRPr="00D160FB">
              <w:rPr>
                <w:lang w:val="en-GB"/>
              </w:rPr>
              <w:t>nd</w:t>
            </w:r>
            <w:r w:rsidR="0087722C" w:rsidRPr="00D160FB">
              <w:rPr>
                <w:lang w:val="en-GB"/>
              </w:rPr>
              <w:t xml:space="preserve"> </w:t>
            </w:r>
            <w:r w:rsidR="00660533" w:rsidRPr="00D160FB">
              <w:rPr>
                <w:lang w:val="en-GB"/>
              </w:rPr>
              <w:t xml:space="preserve">the abolition of reduction of prices of fares stimulated the increase of the prices of transport services </w:t>
            </w:r>
            <w:r w:rsidR="0087722C" w:rsidRPr="00D160FB">
              <w:rPr>
                <w:lang w:val="en-GB"/>
              </w:rPr>
              <w:t>(14</w:t>
            </w:r>
            <w:r w:rsidR="00660533" w:rsidRPr="00D160FB">
              <w:rPr>
                <w:lang w:val="en-GB"/>
              </w:rPr>
              <w:t>.</w:t>
            </w:r>
            <w:r w:rsidR="0087722C" w:rsidRPr="00D160FB">
              <w:rPr>
                <w:lang w:val="en-GB"/>
              </w:rPr>
              <w:t xml:space="preserve">2%). </w:t>
            </w:r>
            <w:r w:rsidR="00660533" w:rsidRPr="00D160FB">
              <w:rPr>
                <w:lang w:val="en-GB"/>
              </w:rPr>
              <w:t>Prices of transport rose the most year-on-year last year in Q</w:t>
            </w:r>
            <w:r w:rsidR="0087722C" w:rsidRPr="00D160FB">
              <w:rPr>
                <w:lang w:val="en-GB"/>
              </w:rPr>
              <w:t>2</w:t>
            </w:r>
            <w:r w:rsidR="00660533" w:rsidRPr="00D160FB">
              <w:rPr>
                <w:lang w:val="en-GB"/>
              </w:rPr>
              <w:t xml:space="preserve"> and then the dynamics started to slow down. </w:t>
            </w:r>
            <w:r w:rsidR="00520C78" w:rsidRPr="00D160FB">
              <w:rPr>
                <w:lang w:val="en-GB"/>
              </w:rPr>
              <w:t xml:space="preserve">Their year-on-year increase reached gradually in individual quarters </w:t>
            </w:r>
            <w:r w:rsidR="0087722C" w:rsidRPr="00D160FB">
              <w:rPr>
                <w:lang w:val="en-GB"/>
              </w:rPr>
              <w:t>17</w:t>
            </w:r>
            <w:r w:rsidR="00520C78" w:rsidRPr="00D160FB">
              <w:rPr>
                <w:lang w:val="en-GB"/>
              </w:rPr>
              <w:t>.</w:t>
            </w:r>
            <w:r w:rsidR="0087722C" w:rsidRPr="00D160FB">
              <w:rPr>
                <w:lang w:val="en-GB"/>
              </w:rPr>
              <w:t>2%, 22</w:t>
            </w:r>
            <w:r w:rsidR="00520C78" w:rsidRPr="00D160FB">
              <w:rPr>
                <w:lang w:val="en-GB"/>
              </w:rPr>
              <w:t>.</w:t>
            </w:r>
            <w:r w:rsidR="0087722C" w:rsidRPr="00D160FB">
              <w:rPr>
                <w:lang w:val="en-GB"/>
              </w:rPr>
              <w:t>7% a</w:t>
            </w:r>
            <w:r w:rsidR="00520C78" w:rsidRPr="00D160FB">
              <w:rPr>
                <w:lang w:val="en-GB"/>
              </w:rPr>
              <w:t>nd</w:t>
            </w:r>
            <w:r w:rsidR="0087722C" w:rsidRPr="00D160FB">
              <w:rPr>
                <w:lang w:val="en-GB"/>
              </w:rPr>
              <w:t xml:space="preserve"> 19</w:t>
            </w:r>
            <w:r w:rsidR="00520C78" w:rsidRPr="00D160FB">
              <w:rPr>
                <w:lang w:val="en-GB"/>
              </w:rPr>
              <w:t>.</w:t>
            </w:r>
            <w:r w:rsidR="0087722C" w:rsidRPr="00D160FB">
              <w:rPr>
                <w:lang w:val="en-GB"/>
              </w:rPr>
              <w:t>7%.</w:t>
            </w:r>
            <w:r w:rsidR="00520C78" w:rsidRPr="00D160FB">
              <w:rPr>
                <w:lang w:val="en-GB"/>
              </w:rPr>
              <w:t xml:space="preserve"> In Q4 </w:t>
            </w:r>
            <w:r w:rsidR="0087722C" w:rsidRPr="00D160FB">
              <w:rPr>
                <w:lang w:val="en-GB"/>
              </w:rPr>
              <w:t>2022</w:t>
            </w:r>
            <w:r w:rsidR="00520C78" w:rsidRPr="00D160FB">
              <w:rPr>
                <w:lang w:val="en-GB"/>
              </w:rPr>
              <w:t xml:space="preserve">, they were by </w:t>
            </w:r>
            <w:r w:rsidR="0087722C" w:rsidRPr="00D160FB">
              <w:rPr>
                <w:lang w:val="en-GB"/>
              </w:rPr>
              <w:t>13</w:t>
            </w:r>
            <w:r w:rsidR="00520C78" w:rsidRPr="00D160FB">
              <w:rPr>
                <w:lang w:val="en-GB"/>
              </w:rPr>
              <w:t>.</w:t>
            </w:r>
            <w:r w:rsidR="0087722C" w:rsidRPr="00D160FB">
              <w:rPr>
                <w:lang w:val="en-GB"/>
              </w:rPr>
              <w:t>1%</w:t>
            </w:r>
            <w:r w:rsidR="00520C78" w:rsidRPr="00D160FB">
              <w:rPr>
                <w:lang w:val="en-GB"/>
              </w:rPr>
              <w:t xml:space="preserve"> higher year-on-year</w:t>
            </w:r>
            <w:r w:rsidR="0087722C" w:rsidRPr="00D160FB">
              <w:rPr>
                <w:lang w:val="en-GB"/>
              </w:rPr>
              <w:t xml:space="preserve">. </w:t>
            </w:r>
            <w:r w:rsidR="00B83CBF" w:rsidRPr="00D160FB">
              <w:rPr>
                <w:lang w:val="en-GB"/>
              </w:rPr>
              <w:t>Prices of transport lowered by 1.2% compared to the previous quarter.</w:t>
            </w:r>
            <w:r w:rsidR="00687B85" w:rsidRPr="00D160FB">
              <w:rPr>
                <w:lang w:val="en-GB"/>
              </w:rPr>
              <w:t xml:space="preserve"> Together with the motor fuels, the year-on-year growth of the prices of operati</w:t>
            </w:r>
            <w:r w:rsidR="00A107F5">
              <w:rPr>
                <w:lang w:val="en-GB"/>
              </w:rPr>
              <w:t xml:space="preserve">on of </w:t>
            </w:r>
            <w:r w:rsidR="00687B85" w:rsidRPr="00D160FB">
              <w:rPr>
                <w:lang w:val="en-GB"/>
              </w:rPr>
              <w:t xml:space="preserve">a </w:t>
            </w:r>
            <w:r w:rsidR="00A107F5">
              <w:rPr>
                <w:lang w:val="en-GB"/>
              </w:rPr>
              <w:t xml:space="preserve">personal </w:t>
            </w:r>
            <w:r w:rsidR="00687B85" w:rsidRPr="00D160FB">
              <w:rPr>
                <w:lang w:val="en-GB"/>
              </w:rPr>
              <w:t xml:space="preserve">transport equipment also considerably slowed down </w:t>
            </w:r>
            <w:r w:rsidR="0087722C" w:rsidRPr="00D160FB">
              <w:rPr>
                <w:lang w:val="en-GB"/>
              </w:rPr>
              <w:t>(13</w:t>
            </w:r>
            <w:r w:rsidR="00687B85" w:rsidRPr="00D160FB">
              <w:rPr>
                <w:lang w:val="en-GB"/>
              </w:rPr>
              <w:t>.</w:t>
            </w:r>
            <w:r w:rsidR="0087722C" w:rsidRPr="00D160FB">
              <w:rPr>
                <w:lang w:val="en-GB"/>
              </w:rPr>
              <w:t>6%)</w:t>
            </w:r>
            <w:r w:rsidR="00687B85" w:rsidRPr="00D160FB">
              <w:rPr>
                <w:lang w:val="en-GB"/>
              </w:rPr>
              <w:t xml:space="preserve"> at the end of the </w:t>
            </w:r>
            <w:r w:rsidR="00687B85" w:rsidRPr="00D160FB">
              <w:rPr>
                <w:lang w:val="en-GB"/>
              </w:rPr>
              <w:lastRenderedPageBreak/>
              <w:t>year</w:t>
            </w:r>
            <w:r w:rsidR="0087722C" w:rsidRPr="00D160FB">
              <w:rPr>
                <w:lang w:val="en-GB"/>
              </w:rPr>
              <w:t xml:space="preserve">. </w:t>
            </w:r>
            <w:r w:rsidR="00687B85" w:rsidRPr="00D160FB">
              <w:rPr>
                <w:lang w:val="en-GB"/>
              </w:rPr>
              <w:t xml:space="preserve">Increase of the prices of purchase vehicles was also smaller </w:t>
            </w:r>
            <w:r w:rsidR="0087722C" w:rsidRPr="00D160FB">
              <w:rPr>
                <w:lang w:val="en-GB"/>
              </w:rPr>
              <w:t>(11</w:t>
            </w:r>
            <w:r w:rsidR="00687B85" w:rsidRPr="00D160FB">
              <w:rPr>
                <w:lang w:val="en-GB"/>
              </w:rPr>
              <w:t>.</w:t>
            </w:r>
            <w:r w:rsidR="0087722C" w:rsidRPr="00D160FB">
              <w:rPr>
                <w:lang w:val="en-GB"/>
              </w:rPr>
              <w:t xml:space="preserve">7%). </w:t>
            </w:r>
            <w:r w:rsidR="00B83CBF" w:rsidRPr="00D160FB">
              <w:rPr>
                <w:lang w:val="en-GB"/>
              </w:rPr>
              <w:t xml:space="preserve">Prices of transport services thus increased the most year-on-year </w:t>
            </w:r>
            <w:r w:rsidR="0087722C" w:rsidRPr="00D160FB">
              <w:rPr>
                <w:lang w:val="en-GB"/>
              </w:rPr>
              <w:t>(16</w:t>
            </w:r>
            <w:r w:rsidR="00B83CBF" w:rsidRPr="00D160FB">
              <w:rPr>
                <w:lang w:val="en-GB"/>
              </w:rPr>
              <w:t>.</w:t>
            </w:r>
            <w:r w:rsidR="0087722C" w:rsidRPr="00D160FB">
              <w:rPr>
                <w:lang w:val="en-GB"/>
              </w:rPr>
              <w:t>6%).</w:t>
            </w:r>
          </w:p>
        </w:tc>
      </w:tr>
      <w:tr w:rsidR="0087722C" w:rsidRPr="00D160FB" w14:paraId="72940AA2" w14:textId="77777777" w:rsidTr="00435DE8">
        <w:trPr>
          <w:trHeight w:val="145"/>
        </w:trPr>
        <w:tc>
          <w:tcPr>
            <w:tcW w:w="1804" w:type="dxa"/>
            <w:shd w:val="clear" w:color="auto" w:fill="auto"/>
            <w:tcMar>
              <w:left w:w="0" w:type="dxa"/>
            </w:tcMar>
          </w:tcPr>
          <w:p w14:paraId="1ACC1F03" w14:textId="78430BAF" w:rsidR="0087722C" w:rsidRPr="00D160FB" w:rsidRDefault="00B83CBF" w:rsidP="00163868">
            <w:pPr>
              <w:pStyle w:val="Marginlie"/>
              <w:rPr>
                <w:spacing w:val="0"/>
                <w:lang w:val="en-GB"/>
              </w:rPr>
            </w:pPr>
            <w:r w:rsidRPr="00D160FB">
              <w:rPr>
                <w:spacing w:val="0"/>
                <w:lang w:val="en-GB"/>
              </w:rPr>
              <w:lastRenderedPageBreak/>
              <w:t>Growth of prices was all encompassing</w:t>
            </w:r>
            <w:r w:rsidR="0087722C" w:rsidRPr="00D160FB">
              <w:rPr>
                <w:spacing w:val="0"/>
                <w:lang w:val="en-GB"/>
              </w:rPr>
              <w:t>.</w:t>
            </w:r>
          </w:p>
        </w:tc>
        <w:tc>
          <w:tcPr>
            <w:tcW w:w="224" w:type="dxa"/>
            <w:shd w:val="clear" w:color="auto" w:fill="auto"/>
            <w:tcMar>
              <w:left w:w="0" w:type="dxa"/>
            </w:tcMar>
          </w:tcPr>
          <w:p w14:paraId="23CE78B4"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42F95739" w14:textId="24E70D53" w:rsidR="0087722C" w:rsidRPr="00D160FB" w:rsidRDefault="007C2D6F" w:rsidP="00163868">
            <w:pPr>
              <w:rPr>
                <w:lang w:val="en-GB"/>
              </w:rPr>
            </w:pPr>
            <w:r w:rsidRPr="00D160FB">
              <w:rPr>
                <w:lang w:val="en-GB"/>
              </w:rPr>
              <w:t xml:space="preserve">In the view of the contribution to the total growth of consumer prices, prices of </w:t>
            </w:r>
            <w:r w:rsidR="00FB1F0B">
              <w:rPr>
                <w:lang w:val="en-GB"/>
              </w:rPr>
              <w:t>restaurants and hotels</w:t>
            </w:r>
            <w:r w:rsidRPr="00D160FB">
              <w:rPr>
                <w:lang w:val="en-GB"/>
              </w:rPr>
              <w:t xml:space="preserve">, which went up by </w:t>
            </w:r>
            <w:r w:rsidR="0087722C" w:rsidRPr="00D160FB">
              <w:rPr>
                <w:lang w:val="en-GB"/>
              </w:rPr>
              <w:t>21</w:t>
            </w:r>
            <w:r w:rsidRPr="00D160FB">
              <w:rPr>
                <w:lang w:val="en-GB"/>
              </w:rPr>
              <w:t>.</w:t>
            </w:r>
            <w:r w:rsidR="0087722C" w:rsidRPr="00D160FB">
              <w:rPr>
                <w:lang w:val="en-GB"/>
              </w:rPr>
              <w:t>0%</w:t>
            </w:r>
            <w:r w:rsidRPr="00D160FB">
              <w:rPr>
                <w:lang w:val="en-GB"/>
              </w:rPr>
              <w:t xml:space="preserve"> last year also came to the forefront</w:t>
            </w:r>
            <w:r w:rsidR="0087722C" w:rsidRPr="00D160FB">
              <w:rPr>
                <w:lang w:val="en-GB"/>
              </w:rPr>
              <w:t xml:space="preserve">. </w:t>
            </w:r>
            <w:r w:rsidR="009D2038" w:rsidRPr="00D160FB">
              <w:rPr>
                <w:lang w:val="en-GB"/>
              </w:rPr>
              <w:t>Their year-on-year growth sharply accelerated in Q</w:t>
            </w:r>
            <w:r w:rsidR="0087722C" w:rsidRPr="00D160FB">
              <w:rPr>
                <w:lang w:val="en-GB"/>
              </w:rPr>
              <w:t>2</w:t>
            </w:r>
            <w:r w:rsidR="009D2038" w:rsidRPr="00D160FB">
              <w:rPr>
                <w:lang w:val="en-GB"/>
              </w:rPr>
              <w:t xml:space="preserve"> and it was further </w:t>
            </w:r>
            <w:r w:rsidRPr="00D160FB">
              <w:rPr>
                <w:lang w:val="en-GB"/>
              </w:rPr>
              <w:t>strengthened</w:t>
            </w:r>
            <w:r w:rsidR="009D2038" w:rsidRPr="00D160FB">
              <w:rPr>
                <w:lang w:val="en-GB"/>
              </w:rPr>
              <w:t xml:space="preserve"> for the rest of the year</w:t>
            </w:r>
            <w:r w:rsidR="0087722C" w:rsidRPr="00D160FB">
              <w:rPr>
                <w:lang w:val="en-GB"/>
              </w:rPr>
              <w:t xml:space="preserve">. </w:t>
            </w:r>
            <w:r w:rsidR="009D2038" w:rsidRPr="00D160FB">
              <w:rPr>
                <w:lang w:val="en-GB"/>
              </w:rPr>
              <w:t xml:space="preserve">The prices of </w:t>
            </w:r>
            <w:r w:rsidR="00FB1F0B">
              <w:rPr>
                <w:lang w:val="en-GB"/>
              </w:rPr>
              <w:t>restaurants and hotels</w:t>
            </w:r>
            <w:r w:rsidR="009D2038" w:rsidRPr="00D160FB">
              <w:rPr>
                <w:lang w:val="en-GB"/>
              </w:rPr>
              <w:t xml:space="preserve"> increased by </w:t>
            </w:r>
            <w:r w:rsidR="0087722C" w:rsidRPr="00D160FB">
              <w:rPr>
                <w:lang w:val="en-GB"/>
              </w:rPr>
              <w:t>25</w:t>
            </w:r>
            <w:r w:rsidR="009D2038" w:rsidRPr="00D160FB">
              <w:rPr>
                <w:lang w:val="en-GB"/>
              </w:rPr>
              <w:t>.</w:t>
            </w:r>
            <w:r w:rsidR="0087722C" w:rsidRPr="00D160FB">
              <w:rPr>
                <w:lang w:val="en-GB"/>
              </w:rPr>
              <w:t>6%</w:t>
            </w:r>
            <w:r w:rsidR="009D2038" w:rsidRPr="00D160FB">
              <w:rPr>
                <w:lang w:val="en-GB"/>
              </w:rPr>
              <w:t xml:space="preserve"> year-on-year in Q4</w:t>
            </w:r>
            <w:r w:rsidR="0087722C" w:rsidRPr="00D160FB">
              <w:rPr>
                <w:lang w:val="en-GB"/>
              </w:rPr>
              <w:t xml:space="preserve">. </w:t>
            </w:r>
            <w:r w:rsidRPr="00D160FB">
              <w:rPr>
                <w:lang w:val="en-GB"/>
              </w:rPr>
              <w:t xml:space="preserve">In that prices of </w:t>
            </w:r>
            <w:r w:rsidR="00A107F5">
              <w:rPr>
                <w:lang w:val="en-GB"/>
              </w:rPr>
              <w:t>catering</w:t>
            </w:r>
            <w:r w:rsidRPr="00D160FB">
              <w:rPr>
                <w:lang w:val="en-GB"/>
              </w:rPr>
              <w:t xml:space="preserve"> service</w:t>
            </w:r>
            <w:r w:rsidR="00A107F5">
              <w:rPr>
                <w:lang w:val="en-GB"/>
              </w:rPr>
              <w:t>s</w:t>
            </w:r>
            <w:r w:rsidRPr="00D160FB">
              <w:rPr>
                <w:lang w:val="en-GB"/>
              </w:rPr>
              <w:t xml:space="preserve"> were by </w:t>
            </w:r>
            <w:r w:rsidR="0087722C" w:rsidRPr="00D160FB">
              <w:rPr>
                <w:lang w:val="en-GB"/>
              </w:rPr>
              <w:t>26</w:t>
            </w:r>
            <w:r w:rsidRPr="00D160FB">
              <w:rPr>
                <w:lang w:val="en-GB"/>
              </w:rPr>
              <w:t>.</w:t>
            </w:r>
            <w:r w:rsidR="0087722C" w:rsidRPr="00D160FB">
              <w:rPr>
                <w:lang w:val="en-GB"/>
              </w:rPr>
              <w:t>2%</w:t>
            </w:r>
            <w:r w:rsidRPr="00D160FB">
              <w:rPr>
                <w:lang w:val="en-GB"/>
              </w:rPr>
              <w:t xml:space="preserve"> higher and accommodation</w:t>
            </w:r>
            <w:r w:rsidR="00A107F5">
              <w:rPr>
                <w:lang w:val="en-GB"/>
              </w:rPr>
              <w:t xml:space="preserve"> services</w:t>
            </w:r>
            <w:r w:rsidRPr="00D160FB">
              <w:rPr>
                <w:lang w:val="en-GB"/>
              </w:rPr>
              <w:t xml:space="preserve"> by </w:t>
            </w:r>
            <w:r w:rsidR="0087722C" w:rsidRPr="00D160FB">
              <w:rPr>
                <w:lang w:val="en-GB"/>
              </w:rPr>
              <w:t>20</w:t>
            </w:r>
            <w:r w:rsidRPr="00D160FB">
              <w:rPr>
                <w:lang w:val="en-GB"/>
              </w:rPr>
              <w:t>.</w:t>
            </w:r>
            <w:r w:rsidR="0087722C" w:rsidRPr="00D160FB">
              <w:rPr>
                <w:lang w:val="en-GB"/>
              </w:rPr>
              <w:t xml:space="preserve">7%. </w:t>
            </w:r>
            <w:r w:rsidR="00A3559C" w:rsidRPr="00D160FB">
              <w:rPr>
                <w:lang w:val="en-GB"/>
              </w:rPr>
              <w:t xml:space="preserve">The year-on-year dynamics of the prices of </w:t>
            </w:r>
            <w:r w:rsidR="00A107F5">
              <w:rPr>
                <w:lang w:val="en-GB"/>
              </w:rPr>
              <w:t xml:space="preserve">catering </w:t>
            </w:r>
            <w:r w:rsidR="00A3559C" w:rsidRPr="00D160FB">
              <w:rPr>
                <w:lang w:val="en-GB"/>
              </w:rPr>
              <w:t>services was higher than accommodation throughout the whole year</w:t>
            </w:r>
            <w:r w:rsidR="0087722C" w:rsidRPr="00D160FB">
              <w:rPr>
                <w:lang w:val="en-GB"/>
              </w:rPr>
              <w:t xml:space="preserve">. </w:t>
            </w:r>
            <w:r w:rsidR="00A3559C" w:rsidRPr="00D160FB">
              <w:rPr>
                <w:lang w:val="en-GB"/>
              </w:rPr>
              <w:t xml:space="preserve">Growth of prices of recreation and culture, which were in total by </w:t>
            </w:r>
            <w:r w:rsidR="0087722C" w:rsidRPr="00D160FB">
              <w:rPr>
                <w:lang w:val="en-GB"/>
              </w:rPr>
              <w:t>11</w:t>
            </w:r>
            <w:r w:rsidR="00A3559C" w:rsidRPr="00D160FB">
              <w:rPr>
                <w:lang w:val="en-GB"/>
              </w:rPr>
              <w:t>.</w:t>
            </w:r>
            <w:r w:rsidR="0087722C" w:rsidRPr="00D160FB">
              <w:rPr>
                <w:lang w:val="en-GB"/>
              </w:rPr>
              <w:t>4%</w:t>
            </w:r>
            <w:r w:rsidR="00A3559C" w:rsidRPr="00D160FB">
              <w:rPr>
                <w:lang w:val="en-GB"/>
              </w:rPr>
              <w:t xml:space="preserve"> higher, also accelerated</w:t>
            </w:r>
            <w:r w:rsidR="0087722C" w:rsidRPr="00D160FB">
              <w:rPr>
                <w:lang w:val="en-GB"/>
              </w:rPr>
              <w:t xml:space="preserve">. </w:t>
            </w:r>
            <w:r w:rsidR="00E353D7" w:rsidRPr="00D160FB">
              <w:rPr>
                <w:lang w:val="en-GB"/>
              </w:rPr>
              <w:t xml:space="preserve">Mainly </w:t>
            </w:r>
            <w:r w:rsidR="00A107F5">
              <w:rPr>
                <w:lang w:val="en-GB"/>
              </w:rPr>
              <w:t>package holidays</w:t>
            </w:r>
            <w:r w:rsidR="00E353D7" w:rsidRPr="00D160FB">
              <w:rPr>
                <w:lang w:val="en-GB"/>
              </w:rPr>
              <w:t xml:space="preserve"> </w:t>
            </w:r>
            <w:r w:rsidR="0087722C" w:rsidRPr="00D160FB">
              <w:rPr>
                <w:lang w:val="en-GB"/>
              </w:rPr>
              <w:t>(12</w:t>
            </w:r>
            <w:r w:rsidR="00E353D7" w:rsidRPr="00D160FB">
              <w:rPr>
                <w:lang w:val="en-GB"/>
              </w:rPr>
              <w:t>.</w:t>
            </w:r>
            <w:r w:rsidR="0087722C" w:rsidRPr="00D160FB">
              <w:rPr>
                <w:lang w:val="en-GB"/>
              </w:rPr>
              <w:t>1%)</w:t>
            </w:r>
            <w:r w:rsidR="00E353D7" w:rsidRPr="00D160FB">
              <w:rPr>
                <w:lang w:val="en-GB"/>
              </w:rPr>
              <w:t xml:space="preserve"> stood behind the pace strengthening</w:t>
            </w:r>
            <w:r w:rsidR="0087722C" w:rsidRPr="00D160FB">
              <w:rPr>
                <w:lang w:val="en-GB"/>
              </w:rPr>
              <w:t>. P</w:t>
            </w:r>
            <w:r w:rsidR="00E353D7" w:rsidRPr="00D160FB">
              <w:rPr>
                <w:lang w:val="en-GB"/>
              </w:rPr>
              <w:t xml:space="preserve">rice of </w:t>
            </w:r>
            <w:r w:rsidR="00A107F5">
              <w:rPr>
                <w:lang w:val="en-GB"/>
              </w:rPr>
              <w:t>o</w:t>
            </w:r>
            <w:r w:rsidR="00A107F5" w:rsidRPr="00A107F5">
              <w:rPr>
                <w:lang w:val="en-GB"/>
              </w:rPr>
              <w:t xml:space="preserve">ther recreational items and equipment, gardens and pets </w:t>
            </w:r>
            <w:r w:rsidR="0087722C" w:rsidRPr="00D160FB">
              <w:rPr>
                <w:lang w:val="en-GB"/>
              </w:rPr>
              <w:t>(16</w:t>
            </w:r>
            <w:r w:rsidR="00E353D7" w:rsidRPr="00D160FB">
              <w:rPr>
                <w:lang w:val="en-GB"/>
              </w:rPr>
              <w:t>.</w:t>
            </w:r>
            <w:r w:rsidR="0087722C" w:rsidRPr="00D160FB">
              <w:rPr>
                <w:lang w:val="en-GB"/>
              </w:rPr>
              <w:t>7%)</w:t>
            </w:r>
            <w:r w:rsidR="00E353D7" w:rsidRPr="00D160FB">
              <w:rPr>
                <w:lang w:val="en-GB"/>
              </w:rPr>
              <w:t xml:space="preserve"> grew the most for the entire year</w:t>
            </w:r>
            <w:r w:rsidR="0087722C" w:rsidRPr="00D160FB">
              <w:rPr>
                <w:lang w:val="en-GB"/>
              </w:rPr>
              <w:t xml:space="preserve">. </w:t>
            </w:r>
            <w:r w:rsidR="00E353D7" w:rsidRPr="00D160FB">
              <w:rPr>
                <w:lang w:val="en-GB"/>
              </w:rPr>
              <w:t xml:space="preserve">Prices of recreations and culture rose by </w:t>
            </w:r>
            <w:r w:rsidR="0087722C" w:rsidRPr="00D160FB">
              <w:rPr>
                <w:lang w:val="en-GB"/>
              </w:rPr>
              <w:t>13</w:t>
            </w:r>
            <w:r w:rsidR="00E353D7" w:rsidRPr="00D160FB">
              <w:rPr>
                <w:lang w:val="en-GB"/>
              </w:rPr>
              <w:t>.</w:t>
            </w:r>
            <w:r w:rsidR="0087722C" w:rsidRPr="00D160FB">
              <w:rPr>
                <w:lang w:val="en-GB"/>
              </w:rPr>
              <w:t>2%</w:t>
            </w:r>
            <w:r w:rsidR="00E353D7" w:rsidRPr="00D160FB">
              <w:rPr>
                <w:lang w:val="en-GB"/>
              </w:rPr>
              <w:t xml:space="preserve"> year-on-year in Q4 itself</w:t>
            </w:r>
            <w:r w:rsidR="0087722C" w:rsidRPr="00D160FB">
              <w:rPr>
                <w:lang w:val="en-GB"/>
              </w:rPr>
              <w:t xml:space="preserve">. </w:t>
            </w:r>
            <w:r w:rsidR="009D2038" w:rsidRPr="00D160FB">
              <w:rPr>
                <w:lang w:val="en-GB"/>
              </w:rPr>
              <w:t xml:space="preserve">Prices however dropped by </w:t>
            </w:r>
            <w:r w:rsidR="0087722C" w:rsidRPr="00D160FB">
              <w:rPr>
                <w:lang w:val="en-GB"/>
              </w:rPr>
              <w:t>1</w:t>
            </w:r>
            <w:r w:rsidR="009D2038" w:rsidRPr="00D160FB">
              <w:rPr>
                <w:lang w:val="en-GB"/>
              </w:rPr>
              <w:t>.</w:t>
            </w:r>
            <w:r w:rsidR="0087722C" w:rsidRPr="00D160FB">
              <w:rPr>
                <w:lang w:val="en-GB"/>
              </w:rPr>
              <w:t>1%</w:t>
            </w:r>
            <w:r w:rsidR="009D2038" w:rsidRPr="00D160FB">
              <w:rPr>
                <w:lang w:val="en-GB"/>
              </w:rPr>
              <w:t xml:space="preserve"> quarter-on-quarter</w:t>
            </w:r>
            <w:r w:rsidR="0087722C" w:rsidRPr="00D160FB">
              <w:rPr>
                <w:lang w:val="en-GB"/>
              </w:rPr>
              <w:t>.</w:t>
            </w:r>
          </w:p>
        </w:tc>
      </w:tr>
      <w:tr w:rsidR="0087722C" w:rsidRPr="00D160FB" w14:paraId="40029A63" w14:textId="77777777" w:rsidTr="00435DE8">
        <w:trPr>
          <w:trHeight w:val="145"/>
        </w:trPr>
        <w:tc>
          <w:tcPr>
            <w:tcW w:w="1804" w:type="dxa"/>
            <w:shd w:val="clear" w:color="auto" w:fill="auto"/>
            <w:tcMar>
              <w:left w:w="0" w:type="dxa"/>
            </w:tcMar>
          </w:tcPr>
          <w:p w14:paraId="3468DC64" w14:textId="4D4D58E8" w:rsidR="0087722C" w:rsidRPr="00D160FB" w:rsidRDefault="00887911" w:rsidP="00163868">
            <w:pPr>
              <w:pStyle w:val="Marginlie"/>
              <w:rPr>
                <w:spacing w:val="0"/>
                <w:lang w:val="en-GB"/>
              </w:rPr>
            </w:pPr>
            <w:r w:rsidRPr="00D160FB">
              <w:rPr>
                <w:spacing w:val="0"/>
                <w:lang w:val="en-GB"/>
              </w:rPr>
              <w:t>Prices of wearing apparel, footwear and household items further strongly increased</w:t>
            </w:r>
            <w:r w:rsidR="0087722C" w:rsidRPr="00D160FB">
              <w:rPr>
                <w:spacing w:val="0"/>
                <w:lang w:val="en-GB"/>
              </w:rPr>
              <w:t>.</w:t>
            </w:r>
          </w:p>
        </w:tc>
        <w:tc>
          <w:tcPr>
            <w:tcW w:w="224" w:type="dxa"/>
            <w:shd w:val="clear" w:color="auto" w:fill="auto"/>
            <w:tcMar>
              <w:left w:w="0" w:type="dxa"/>
            </w:tcMar>
          </w:tcPr>
          <w:p w14:paraId="35DBC5C4"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4B3EB716" w14:textId="041C3E97" w:rsidR="0087722C" w:rsidRPr="00D160FB" w:rsidRDefault="00B405E3" w:rsidP="00163868">
            <w:pPr>
              <w:rPr>
                <w:lang w:val="en-GB"/>
              </w:rPr>
            </w:pPr>
            <w:r w:rsidRPr="00D160FB">
              <w:rPr>
                <w:lang w:val="en-GB"/>
              </w:rPr>
              <w:t xml:space="preserve">Strong growth of prices of </w:t>
            </w:r>
            <w:r w:rsidR="00A107F5">
              <w:rPr>
                <w:lang w:val="en-GB"/>
              </w:rPr>
              <w:t>clothing</w:t>
            </w:r>
            <w:r w:rsidRPr="00D160FB">
              <w:rPr>
                <w:lang w:val="en-GB"/>
              </w:rPr>
              <w:t xml:space="preserve"> and footwear, whose strengthening is obvious since the post-pandemic revival of demand combined with the disruption of the supply chains in year 2021, also continued last year. Prices of </w:t>
            </w:r>
            <w:r w:rsidR="00A107F5">
              <w:rPr>
                <w:lang w:val="en-GB"/>
              </w:rPr>
              <w:t>clothing</w:t>
            </w:r>
            <w:r w:rsidRPr="00D160FB">
              <w:rPr>
                <w:lang w:val="en-GB"/>
              </w:rPr>
              <w:t xml:space="preserve"> and footwear went up in total by </w:t>
            </w:r>
            <w:r w:rsidR="0087722C" w:rsidRPr="00D160FB">
              <w:rPr>
                <w:lang w:val="en-GB"/>
              </w:rPr>
              <w:t>18</w:t>
            </w:r>
            <w:r w:rsidRPr="00D160FB">
              <w:rPr>
                <w:lang w:val="en-GB"/>
              </w:rPr>
              <w:t>.</w:t>
            </w:r>
            <w:r w:rsidR="0087722C" w:rsidRPr="00D160FB">
              <w:rPr>
                <w:lang w:val="en-GB"/>
              </w:rPr>
              <w:t>6%</w:t>
            </w:r>
            <w:r w:rsidRPr="00D160FB">
              <w:rPr>
                <w:lang w:val="en-GB"/>
              </w:rPr>
              <w:t xml:space="preserve"> last year</w:t>
            </w:r>
            <w:r w:rsidR="0087722C" w:rsidRPr="00D160FB">
              <w:rPr>
                <w:lang w:val="en-GB"/>
              </w:rPr>
              <w:t xml:space="preserve">. </w:t>
            </w:r>
            <w:r w:rsidRPr="00D160FB">
              <w:rPr>
                <w:lang w:val="en-GB"/>
              </w:rPr>
              <w:t>Prices were by 18.2% higher year-on-year in Q4 itself</w:t>
            </w:r>
            <w:r w:rsidR="0087722C" w:rsidRPr="00D160FB">
              <w:rPr>
                <w:lang w:val="en-GB"/>
              </w:rPr>
              <w:t xml:space="preserve">. </w:t>
            </w:r>
            <w:r w:rsidR="00CF494A" w:rsidRPr="00D160FB">
              <w:rPr>
                <w:lang w:val="en-GB"/>
              </w:rPr>
              <w:t xml:space="preserve">Prices of </w:t>
            </w:r>
            <w:r w:rsidR="00A107F5">
              <w:rPr>
                <w:lang w:val="en-GB"/>
              </w:rPr>
              <w:t>clothing</w:t>
            </w:r>
            <w:r w:rsidR="00CF494A" w:rsidRPr="00D160FB">
              <w:rPr>
                <w:lang w:val="en-GB"/>
              </w:rPr>
              <w:t xml:space="preserve"> and footwear went up by 7.1% quarter-on-quarter</w:t>
            </w:r>
            <w:r w:rsidR="0087722C" w:rsidRPr="00D160FB">
              <w:rPr>
                <w:lang w:val="en-GB"/>
              </w:rPr>
              <w:t xml:space="preserve">, </w:t>
            </w:r>
            <w:r w:rsidR="003A77D8" w:rsidRPr="00D160FB">
              <w:rPr>
                <w:lang w:val="en-GB"/>
              </w:rPr>
              <w:t>the most of all divisions of the consumer basket</w:t>
            </w:r>
            <w:r w:rsidR="0087722C" w:rsidRPr="00D160FB">
              <w:rPr>
                <w:lang w:val="en-GB"/>
              </w:rPr>
              <w:t xml:space="preserve">. </w:t>
            </w:r>
            <w:r w:rsidR="00E82B16" w:rsidRPr="00D160FB">
              <w:rPr>
                <w:lang w:val="en-GB"/>
              </w:rPr>
              <w:t xml:space="preserve">The situation was similar for the </w:t>
            </w:r>
            <w:r w:rsidR="00A107F5">
              <w:rPr>
                <w:lang w:val="en-GB"/>
              </w:rPr>
              <w:t>f</w:t>
            </w:r>
            <w:r w:rsidR="00A107F5" w:rsidRPr="00A107F5">
              <w:rPr>
                <w:lang w:val="en-GB"/>
              </w:rPr>
              <w:t xml:space="preserve">urnishings, </w:t>
            </w:r>
            <w:proofErr w:type="gramStart"/>
            <w:r w:rsidR="00A107F5" w:rsidRPr="00A107F5">
              <w:rPr>
                <w:lang w:val="en-GB"/>
              </w:rPr>
              <w:t>households</w:t>
            </w:r>
            <w:proofErr w:type="gramEnd"/>
            <w:r w:rsidR="00A107F5" w:rsidRPr="00A107F5">
              <w:rPr>
                <w:lang w:val="en-GB"/>
              </w:rPr>
              <w:t xml:space="preserve"> equipment and maintenance</w:t>
            </w:r>
            <w:r w:rsidR="00E82B16" w:rsidRPr="00D160FB">
              <w:rPr>
                <w:lang w:val="en-GB"/>
              </w:rPr>
              <w:t>. T</w:t>
            </w:r>
            <w:r w:rsidR="003A77D8" w:rsidRPr="00D160FB">
              <w:rPr>
                <w:lang w:val="en-GB"/>
              </w:rPr>
              <w:t xml:space="preserve">he </w:t>
            </w:r>
            <w:r w:rsidR="00E82B16" w:rsidRPr="00D160FB">
              <w:rPr>
                <w:lang w:val="en-GB"/>
              </w:rPr>
              <w:t>disruption</w:t>
            </w:r>
            <w:r w:rsidR="003A77D8" w:rsidRPr="00D160FB">
              <w:rPr>
                <w:lang w:val="en-GB"/>
              </w:rPr>
              <w:t xml:space="preserve"> of the supply chains influenced the </w:t>
            </w:r>
            <w:r w:rsidR="00E82B16" w:rsidRPr="00D160FB">
              <w:rPr>
                <w:lang w:val="en-GB"/>
              </w:rPr>
              <w:t>acceleration</w:t>
            </w:r>
            <w:r w:rsidR="003A77D8" w:rsidRPr="00D160FB">
              <w:rPr>
                <w:lang w:val="en-GB"/>
              </w:rPr>
              <w:t xml:space="preserve"> of the growth of prices already in year </w:t>
            </w:r>
            <w:r w:rsidR="0087722C" w:rsidRPr="00D160FB">
              <w:rPr>
                <w:lang w:val="en-GB"/>
              </w:rPr>
              <w:t>2021 a</w:t>
            </w:r>
            <w:r w:rsidR="003A77D8" w:rsidRPr="00D160FB">
              <w:rPr>
                <w:lang w:val="en-GB"/>
              </w:rPr>
              <w:t xml:space="preserve">nd prices increased here in total by </w:t>
            </w:r>
            <w:r w:rsidR="0087722C" w:rsidRPr="00D160FB">
              <w:rPr>
                <w:lang w:val="en-GB"/>
              </w:rPr>
              <w:t>12</w:t>
            </w:r>
            <w:r w:rsidR="003A77D8" w:rsidRPr="00D160FB">
              <w:rPr>
                <w:lang w:val="en-GB"/>
              </w:rPr>
              <w:t>.</w:t>
            </w:r>
            <w:r w:rsidR="0087722C" w:rsidRPr="00D160FB">
              <w:rPr>
                <w:lang w:val="en-GB"/>
              </w:rPr>
              <w:t>0%</w:t>
            </w:r>
            <w:r w:rsidR="003A77D8" w:rsidRPr="00D160FB">
              <w:rPr>
                <w:lang w:val="en-GB"/>
              </w:rPr>
              <w:t xml:space="preserve"> last year</w:t>
            </w:r>
            <w:r w:rsidR="0087722C" w:rsidRPr="00D160FB">
              <w:rPr>
                <w:lang w:val="en-GB"/>
              </w:rPr>
              <w:t xml:space="preserve">. </w:t>
            </w:r>
            <w:r w:rsidR="00A107F5" w:rsidRPr="00A107F5">
              <w:rPr>
                <w:lang w:val="en-GB"/>
              </w:rPr>
              <w:t>Furniture and furnishings, carpets and other floor coverings</w:t>
            </w:r>
            <w:r w:rsidR="00213EF5" w:rsidRPr="00D160FB">
              <w:rPr>
                <w:lang w:val="en-GB"/>
              </w:rPr>
              <w:t xml:space="preserve"> </w:t>
            </w:r>
            <w:r w:rsidR="0087722C" w:rsidRPr="00D160FB">
              <w:rPr>
                <w:lang w:val="en-GB"/>
              </w:rPr>
              <w:t>(</w:t>
            </w:r>
            <w:r w:rsidR="00213EF5" w:rsidRPr="00D160FB">
              <w:rPr>
                <w:lang w:val="en-GB"/>
              </w:rPr>
              <w:t xml:space="preserve">addition of </w:t>
            </w:r>
            <w:r w:rsidR="0087722C" w:rsidRPr="00D160FB">
              <w:rPr>
                <w:lang w:val="en-GB"/>
              </w:rPr>
              <w:t>13</w:t>
            </w:r>
            <w:r w:rsidR="00213EF5" w:rsidRPr="00D160FB">
              <w:rPr>
                <w:lang w:val="en-GB"/>
              </w:rPr>
              <w:t>.</w:t>
            </w:r>
            <w:r w:rsidR="0087722C" w:rsidRPr="00D160FB">
              <w:rPr>
                <w:lang w:val="en-GB"/>
              </w:rPr>
              <w:t>4%)</w:t>
            </w:r>
            <w:r w:rsidR="00714D1E" w:rsidRPr="00D160FB">
              <w:rPr>
                <w:lang w:val="en-GB"/>
              </w:rPr>
              <w:t xml:space="preserve"> participated the most on the total growth</w:t>
            </w:r>
            <w:r w:rsidR="0087722C" w:rsidRPr="00D160FB">
              <w:rPr>
                <w:lang w:val="en-GB"/>
              </w:rPr>
              <w:t>,</w:t>
            </w:r>
            <w:r w:rsidR="00714D1E" w:rsidRPr="00D160FB">
              <w:rPr>
                <w:lang w:val="en-GB"/>
              </w:rPr>
              <w:t xml:space="preserve"> prices of </w:t>
            </w:r>
            <w:r w:rsidR="00A107F5">
              <w:rPr>
                <w:lang w:val="en-GB"/>
              </w:rPr>
              <w:t>h</w:t>
            </w:r>
            <w:r w:rsidR="00A107F5" w:rsidRPr="00A107F5">
              <w:rPr>
                <w:lang w:val="en-GB"/>
              </w:rPr>
              <w:t>ousehold textile</w:t>
            </w:r>
            <w:r w:rsidR="00A107F5">
              <w:rPr>
                <w:lang w:val="en-GB"/>
              </w:rPr>
              <w:t>s</w:t>
            </w:r>
            <w:r w:rsidR="00213EF5" w:rsidRPr="00D160FB">
              <w:rPr>
                <w:lang w:val="en-GB"/>
              </w:rPr>
              <w:t xml:space="preserve"> also grew strongly </w:t>
            </w:r>
            <w:r w:rsidR="0087722C" w:rsidRPr="00D160FB">
              <w:rPr>
                <w:lang w:val="en-GB"/>
              </w:rPr>
              <w:t>(16</w:t>
            </w:r>
            <w:r w:rsidR="00213EF5" w:rsidRPr="00D160FB">
              <w:rPr>
                <w:lang w:val="en-GB"/>
              </w:rPr>
              <w:t>.</w:t>
            </w:r>
            <w:r w:rsidR="0087722C" w:rsidRPr="00D160FB">
              <w:rPr>
                <w:lang w:val="en-GB"/>
              </w:rPr>
              <w:t xml:space="preserve">0%). </w:t>
            </w:r>
            <w:r w:rsidRPr="00D160FB">
              <w:rPr>
                <w:lang w:val="en-GB"/>
              </w:rPr>
              <w:t>In Q</w:t>
            </w:r>
            <w:r w:rsidR="0087722C" w:rsidRPr="00D160FB">
              <w:rPr>
                <w:lang w:val="en-GB"/>
              </w:rPr>
              <w:t>4</w:t>
            </w:r>
            <w:r w:rsidRPr="00D160FB">
              <w:rPr>
                <w:lang w:val="en-GB"/>
              </w:rPr>
              <w:t xml:space="preserve"> </w:t>
            </w:r>
            <w:r w:rsidR="0087722C" w:rsidRPr="00D160FB">
              <w:rPr>
                <w:lang w:val="en-GB"/>
              </w:rPr>
              <w:t>2022</w:t>
            </w:r>
            <w:r w:rsidRPr="00D160FB">
              <w:rPr>
                <w:lang w:val="en-GB"/>
              </w:rPr>
              <w:t xml:space="preserve">, the prices of </w:t>
            </w:r>
            <w:r w:rsidR="00F04869">
              <w:rPr>
                <w:lang w:val="en-GB"/>
              </w:rPr>
              <w:t>f</w:t>
            </w:r>
            <w:r w:rsidR="00F04869" w:rsidRPr="00A107F5">
              <w:rPr>
                <w:lang w:val="en-GB"/>
              </w:rPr>
              <w:t>urnishings, households equipment and maintenance</w:t>
            </w:r>
            <w:r w:rsidR="00213EF5" w:rsidRPr="00D160FB">
              <w:rPr>
                <w:lang w:val="en-GB"/>
              </w:rPr>
              <w:t xml:space="preserve"> increased by </w:t>
            </w:r>
            <w:r w:rsidR="0087722C" w:rsidRPr="00D160FB">
              <w:rPr>
                <w:lang w:val="en-GB"/>
              </w:rPr>
              <w:t>13</w:t>
            </w:r>
            <w:r w:rsidR="00213EF5" w:rsidRPr="00D160FB">
              <w:rPr>
                <w:lang w:val="en-GB"/>
              </w:rPr>
              <w:t>.</w:t>
            </w:r>
            <w:r w:rsidR="0087722C" w:rsidRPr="00D160FB">
              <w:rPr>
                <w:lang w:val="en-GB"/>
              </w:rPr>
              <w:t>3%</w:t>
            </w:r>
            <w:r w:rsidR="00213EF5" w:rsidRPr="00D160FB">
              <w:rPr>
                <w:lang w:val="en-GB"/>
              </w:rPr>
              <w:t xml:space="preserve"> year-on-year and by </w:t>
            </w:r>
            <w:r w:rsidR="0087722C" w:rsidRPr="00D160FB">
              <w:rPr>
                <w:lang w:val="en-GB"/>
              </w:rPr>
              <w:t>2</w:t>
            </w:r>
            <w:r w:rsidR="00213EF5" w:rsidRPr="00D160FB">
              <w:rPr>
                <w:lang w:val="en-GB"/>
              </w:rPr>
              <w:t>.</w:t>
            </w:r>
            <w:r w:rsidR="0087722C" w:rsidRPr="00D160FB">
              <w:rPr>
                <w:lang w:val="en-GB"/>
              </w:rPr>
              <w:t>4%</w:t>
            </w:r>
            <w:r w:rsidR="00213EF5" w:rsidRPr="00D160FB">
              <w:rPr>
                <w:lang w:val="en-GB"/>
              </w:rPr>
              <w:t xml:space="preserve"> quarter-on-quarter</w:t>
            </w:r>
            <w:r w:rsidR="0087722C" w:rsidRPr="00D160FB">
              <w:rPr>
                <w:lang w:val="en-GB"/>
              </w:rPr>
              <w:t>.</w:t>
            </w:r>
          </w:p>
        </w:tc>
      </w:tr>
      <w:tr w:rsidR="0087722C" w:rsidRPr="00D160FB" w14:paraId="3446F5DC" w14:textId="77777777" w:rsidTr="00435DE8">
        <w:trPr>
          <w:trHeight w:val="145"/>
        </w:trPr>
        <w:tc>
          <w:tcPr>
            <w:tcW w:w="1804" w:type="dxa"/>
            <w:shd w:val="clear" w:color="auto" w:fill="auto"/>
            <w:tcMar>
              <w:left w:w="0" w:type="dxa"/>
            </w:tcMar>
          </w:tcPr>
          <w:p w14:paraId="3EE9A82C" w14:textId="0CDE6D5B" w:rsidR="0087722C" w:rsidRPr="00D160FB" w:rsidRDefault="00887911" w:rsidP="00163868">
            <w:pPr>
              <w:pStyle w:val="Marginlie"/>
              <w:rPr>
                <w:spacing w:val="0"/>
                <w:lang w:val="en-GB"/>
              </w:rPr>
            </w:pPr>
            <w:r w:rsidRPr="00D160FB">
              <w:rPr>
                <w:spacing w:val="0"/>
                <w:lang w:val="en-GB"/>
              </w:rPr>
              <w:t xml:space="preserve">Prices of postal services and </w:t>
            </w:r>
            <w:r w:rsidR="00B405E3" w:rsidRPr="00D160FB">
              <w:rPr>
                <w:spacing w:val="0"/>
                <w:lang w:val="en-GB"/>
              </w:rPr>
              <w:t xml:space="preserve">telecommunication went up for the </w:t>
            </w:r>
            <w:r w:rsidR="00213EF5" w:rsidRPr="00D160FB">
              <w:rPr>
                <w:spacing w:val="0"/>
                <w:lang w:val="en-GB"/>
              </w:rPr>
              <w:t>first</w:t>
            </w:r>
            <w:r w:rsidR="00B405E3" w:rsidRPr="00D160FB">
              <w:rPr>
                <w:spacing w:val="0"/>
                <w:lang w:val="en-GB"/>
              </w:rPr>
              <w:t xml:space="preserve"> time since year 2</w:t>
            </w:r>
            <w:r w:rsidR="0087722C" w:rsidRPr="00D160FB">
              <w:rPr>
                <w:spacing w:val="0"/>
                <w:lang w:val="en-GB"/>
              </w:rPr>
              <w:t>006</w:t>
            </w:r>
            <w:r w:rsidR="00B405E3" w:rsidRPr="00D160FB">
              <w:rPr>
                <w:spacing w:val="0"/>
                <w:lang w:val="en-GB"/>
              </w:rPr>
              <w:t xml:space="preserve"> last year. </w:t>
            </w:r>
          </w:p>
        </w:tc>
        <w:tc>
          <w:tcPr>
            <w:tcW w:w="224" w:type="dxa"/>
            <w:shd w:val="clear" w:color="auto" w:fill="auto"/>
            <w:tcMar>
              <w:left w:w="0" w:type="dxa"/>
            </w:tcMar>
          </w:tcPr>
          <w:p w14:paraId="24E58284"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13CCD653" w14:textId="729E58D4" w:rsidR="0087722C" w:rsidRPr="00D160FB" w:rsidRDefault="00A34C63" w:rsidP="00163868">
            <w:pPr>
              <w:rPr>
                <w:lang w:val="en-GB"/>
              </w:rPr>
            </w:pPr>
            <w:r w:rsidRPr="00D160FB">
              <w:rPr>
                <w:lang w:val="en-GB"/>
              </w:rPr>
              <w:t xml:space="preserve">The growth of prices of </w:t>
            </w:r>
            <w:r w:rsidR="00F04869">
              <w:rPr>
                <w:lang w:val="en-GB"/>
              </w:rPr>
              <w:t>m</w:t>
            </w:r>
            <w:r w:rsidR="00F04869" w:rsidRPr="00F04869">
              <w:rPr>
                <w:lang w:val="en-GB"/>
              </w:rPr>
              <w:t>iscellaneous goods and services</w:t>
            </w:r>
            <w:r w:rsidR="0087722C" w:rsidRPr="00D160FB">
              <w:rPr>
                <w:rStyle w:val="Znakapoznpodarou"/>
                <w:lang w:val="en-GB"/>
              </w:rPr>
              <w:footnoteReference w:id="2"/>
            </w:r>
            <w:r w:rsidRPr="00D160FB">
              <w:rPr>
                <w:lang w:val="en-GB"/>
              </w:rPr>
              <w:t xml:space="preserve"> accelerated under the effect of financial and personal services for the whole year</w:t>
            </w:r>
            <w:r w:rsidR="0087722C" w:rsidRPr="00D160FB">
              <w:rPr>
                <w:lang w:val="en-GB"/>
              </w:rPr>
              <w:t xml:space="preserve">. </w:t>
            </w:r>
            <w:r w:rsidRPr="00D160FB">
              <w:rPr>
                <w:lang w:val="en-GB"/>
              </w:rPr>
              <w:t xml:space="preserve">Prices increased by </w:t>
            </w:r>
            <w:r w:rsidR="0087722C" w:rsidRPr="00D160FB">
              <w:rPr>
                <w:lang w:val="en-GB"/>
              </w:rPr>
              <w:t>10</w:t>
            </w:r>
            <w:r w:rsidRPr="00D160FB">
              <w:rPr>
                <w:lang w:val="en-GB"/>
              </w:rPr>
              <w:t>.</w:t>
            </w:r>
            <w:r w:rsidR="0087722C" w:rsidRPr="00D160FB">
              <w:rPr>
                <w:lang w:val="en-GB"/>
              </w:rPr>
              <w:t>1%</w:t>
            </w:r>
            <w:r w:rsidRPr="00D160FB">
              <w:rPr>
                <w:lang w:val="en-GB"/>
              </w:rPr>
              <w:t xml:space="preserve"> here for the whole year and it was by </w:t>
            </w:r>
            <w:r w:rsidR="0087722C" w:rsidRPr="00D160FB">
              <w:rPr>
                <w:lang w:val="en-GB"/>
              </w:rPr>
              <w:t>12</w:t>
            </w:r>
            <w:r w:rsidRPr="00D160FB">
              <w:rPr>
                <w:lang w:val="en-GB"/>
              </w:rPr>
              <w:t>.</w:t>
            </w:r>
            <w:r w:rsidR="0087722C" w:rsidRPr="00D160FB">
              <w:rPr>
                <w:lang w:val="en-GB"/>
              </w:rPr>
              <w:t>7%</w:t>
            </w:r>
            <w:r w:rsidRPr="00D160FB">
              <w:rPr>
                <w:lang w:val="en-GB"/>
              </w:rPr>
              <w:t xml:space="preserve"> year-on-year in Q4 itself</w:t>
            </w:r>
            <w:r w:rsidR="0087722C" w:rsidRPr="00D160FB">
              <w:rPr>
                <w:lang w:val="en-GB"/>
              </w:rPr>
              <w:t xml:space="preserve">. </w:t>
            </w:r>
            <w:r w:rsidR="004A74EE" w:rsidRPr="00D160FB">
              <w:rPr>
                <w:lang w:val="en-GB"/>
              </w:rPr>
              <w:t xml:space="preserve">The growth of prices of alcoholic beverages and tobacco reduced </w:t>
            </w:r>
            <w:r w:rsidR="002426B4" w:rsidRPr="00D160FB">
              <w:rPr>
                <w:lang w:val="en-GB"/>
              </w:rPr>
              <w:t>in</w:t>
            </w:r>
            <w:r w:rsidR="004A74EE" w:rsidRPr="00D160FB">
              <w:rPr>
                <w:lang w:val="en-GB"/>
              </w:rPr>
              <w:t xml:space="preserve"> the last year. They were in total higher by </w:t>
            </w:r>
            <w:r w:rsidR="0087722C" w:rsidRPr="00D160FB">
              <w:rPr>
                <w:lang w:val="en-GB"/>
              </w:rPr>
              <w:t>6</w:t>
            </w:r>
            <w:r w:rsidR="004A74EE" w:rsidRPr="00D160FB">
              <w:rPr>
                <w:lang w:val="en-GB"/>
              </w:rPr>
              <w:t>.</w:t>
            </w:r>
            <w:r w:rsidR="0087722C" w:rsidRPr="00D160FB">
              <w:rPr>
                <w:lang w:val="en-GB"/>
              </w:rPr>
              <w:t xml:space="preserve">2%. </w:t>
            </w:r>
            <w:r w:rsidR="004A74EE" w:rsidRPr="00D160FB">
              <w:rPr>
                <w:lang w:val="en-GB"/>
              </w:rPr>
              <w:t xml:space="preserve">Prices of alcohol went up by </w:t>
            </w:r>
            <w:r w:rsidR="0087722C" w:rsidRPr="00D160FB">
              <w:rPr>
                <w:lang w:val="en-GB"/>
              </w:rPr>
              <w:t>3</w:t>
            </w:r>
            <w:r w:rsidR="004A74EE" w:rsidRPr="00D160FB">
              <w:rPr>
                <w:lang w:val="en-GB"/>
              </w:rPr>
              <w:t>.</w:t>
            </w:r>
            <w:r w:rsidR="0087722C" w:rsidRPr="00D160FB">
              <w:rPr>
                <w:lang w:val="en-GB"/>
              </w:rPr>
              <w:t>2%</w:t>
            </w:r>
            <w:r w:rsidR="004A74EE" w:rsidRPr="00D160FB">
              <w:rPr>
                <w:lang w:val="en-GB"/>
              </w:rPr>
              <w:t xml:space="preserve"> and tobacco by </w:t>
            </w:r>
            <w:r w:rsidR="0087722C" w:rsidRPr="00D160FB">
              <w:rPr>
                <w:lang w:val="en-GB"/>
              </w:rPr>
              <w:t>8</w:t>
            </w:r>
            <w:r w:rsidR="004A74EE" w:rsidRPr="00D160FB">
              <w:rPr>
                <w:lang w:val="en-GB"/>
              </w:rPr>
              <w:t>.</w:t>
            </w:r>
            <w:r w:rsidR="0087722C" w:rsidRPr="00D160FB">
              <w:rPr>
                <w:lang w:val="en-GB"/>
              </w:rPr>
              <w:t xml:space="preserve">2%. </w:t>
            </w:r>
            <w:r w:rsidR="004A74EE" w:rsidRPr="00D160FB">
              <w:rPr>
                <w:lang w:val="en-GB"/>
              </w:rPr>
              <w:t xml:space="preserve">Price of alcoholic beverages and tobacco were by </w:t>
            </w:r>
            <w:r w:rsidR="0087722C" w:rsidRPr="00D160FB">
              <w:rPr>
                <w:lang w:val="en-GB"/>
              </w:rPr>
              <w:t>6</w:t>
            </w:r>
            <w:r w:rsidR="004A74EE" w:rsidRPr="00D160FB">
              <w:rPr>
                <w:lang w:val="en-GB"/>
              </w:rPr>
              <w:t>.</w:t>
            </w:r>
            <w:r w:rsidR="0087722C" w:rsidRPr="00D160FB">
              <w:rPr>
                <w:lang w:val="en-GB"/>
              </w:rPr>
              <w:t>0%</w:t>
            </w:r>
            <w:r w:rsidR="004A74EE" w:rsidRPr="00D160FB">
              <w:rPr>
                <w:lang w:val="en-GB"/>
              </w:rPr>
              <w:t xml:space="preserve"> higher year-on-year and by </w:t>
            </w:r>
            <w:r w:rsidR="0087722C" w:rsidRPr="00D160FB">
              <w:rPr>
                <w:lang w:val="en-GB"/>
              </w:rPr>
              <w:t>0</w:t>
            </w:r>
            <w:r w:rsidR="004A74EE" w:rsidRPr="00D160FB">
              <w:rPr>
                <w:lang w:val="en-GB"/>
              </w:rPr>
              <w:t>.</w:t>
            </w:r>
            <w:r w:rsidR="0087722C" w:rsidRPr="00D160FB">
              <w:rPr>
                <w:lang w:val="en-GB"/>
              </w:rPr>
              <w:t>9%</w:t>
            </w:r>
            <w:r w:rsidR="004A74EE" w:rsidRPr="00D160FB">
              <w:rPr>
                <w:lang w:val="en-GB"/>
              </w:rPr>
              <w:t xml:space="preserve"> higher quarter-on-quarter in Q4. </w:t>
            </w:r>
            <w:r w:rsidR="00B41424" w:rsidRPr="00D160FB">
              <w:rPr>
                <w:lang w:val="en-GB"/>
              </w:rPr>
              <w:t xml:space="preserve">Their prices however followed a varied development during the year. The year-on-year dynamics for alcohol </w:t>
            </w:r>
            <w:r w:rsidR="0003779B" w:rsidRPr="00D160FB">
              <w:rPr>
                <w:lang w:val="en-GB"/>
              </w:rPr>
              <w:t>tended to</w:t>
            </w:r>
            <w:r w:rsidR="00B41424" w:rsidRPr="00D160FB">
              <w:rPr>
                <w:lang w:val="en-GB"/>
              </w:rPr>
              <w:t xml:space="preserve"> accelerate up to </w:t>
            </w:r>
            <w:r w:rsidR="0087722C" w:rsidRPr="00D160FB">
              <w:rPr>
                <w:lang w:val="en-GB"/>
              </w:rPr>
              <w:t>5</w:t>
            </w:r>
            <w:r w:rsidR="00B41424" w:rsidRPr="00D160FB">
              <w:rPr>
                <w:lang w:val="en-GB"/>
              </w:rPr>
              <w:t>.</w:t>
            </w:r>
            <w:r w:rsidR="0087722C" w:rsidRPr="00D160FB">
              <w:rPr>
                <w:lang w:val="en-GB"/>
              </w:rPr>
              <w:t>4%,</w:t>
            </w:r>
            <w:r w:rsidR="00B41424" w:rsidRPr="00D160FB">
              <w:rPr>
                <w:lang w:val="en-GB"/>
              </w:rPr>
              <w:t xml:space="preserve"> while for tobacco it moderated to </w:t>
            </w:r>
            <w:r w:rsidR="0087722C" w:rsidRPr="00D160FB">
              <w:rPr>
                <w:lang w:val="en-GB"/>
              </w:rPr>
              <w:t>6</w:t>
            </w:r>
            <w:r w:rsidR="00B41424" w:rsidRPr="00D160FB">
              <w:rPr>
                <w:lang w:val="en-GB"/>
              </w:rPr>
              <w:t>.</w:t>
            </w:r>
            <w:r w:rsidR="0087722C" w:rsidRPr="00D160FB">
              <w:rPr>
                <w:lang w:val="en-GB"/>
              </w:rPr>
              <w:t>5%.</w:t>
            </w:r>
            <w:r w:rsidR="0003779B" w:rsidRPr="00D160FB">
              <w:rPr>
                <w:lang w:val="en-GB"/>
              </w:rPr>
              <w:t xml:space="preserve"> Prices of health, which usually do not have more significant effect on the total index due to their weight, were raised markedly </w:t>
            </w:r>
            <w:r w:rsidR="0087722C" w:rsidRPr="00D160FB">
              <w:rPr>
                <w:lang w:val="en-GB"/>
              </w:rPr>
              <w:t>(8</w:t>
            </w:r>
            <w:r w:rsidR="0003779B" w:rsidRPr="00D160FB">
              <w:rPr>
                <w:lang w:val="en-GB"/>
              </w:rPr>
              <w:t>.</w:t>
            </w:r>
            <w:r w:rsidR="0087722C" w:rsidRPr="00D160FB">
              <w:rPr>
                <w:lang w:val="en-GB"/>
              </w:rPr>
              <w:t>5%)</w:t>
            </w:r>
            <w:r w:rsidR="0003779B" w:rsidRPr="00D160FB">
              <w:rPr>
                <w:lang w:val="en-GB"/>
              </w:rPr>
              <w:t xml:space="preserve">. Their year-on-year growth accelerated up to </w:t>
            </w:r>
            <w:r w:rsidR="0087722C" w:rsidRPr="00D160FB">
              <w:rPr>
                <w:lang w:val="en-GB"/>
              </w:rPr>
              <w:t>9</w:t>
            </w:r>
            <w:r w:rsidR="0003779B" w:rsidRPr="00D160FB">
              <w:rPr>
                <w:lang w:val="en-GB"/>
              </w:rPr>
              <w:t>.</w:t>
            </w:r>
            <w:r w:rsidR="00D95E7F" w:rsidRPr="00D160FB">
              <w:rPr>
                <w:lang w:val="en-GB"/>
              </w:rPr>
              <w:t>6</w:t>
            </w:r>
            <w:r w:rsidR="0087722C" w:rsidRPr="00D160FB">
              <w:rPr>
                <w:lang w:val="en-GB"/>
              </w:rPr>
              <w:t>%</w:t>
            </w:r>
            <w:r w:rsidR="0003779B" w:rsidRPr="00D160FB">
              <w:rPr>
                <w:lang w:val="en-GB"/>
              </w:rPr>
              <w:t xml:space="preserve"> in Q</w:t>
            </w:r>
            <w:r w:rsidR="0087722C" w:rsidRPr="00D160FB">
              <w:rPr>
                <w:lang w:val="en-GB"/>
              </w:rPr>
              <w:t>4</w:t>
            </w:r>
            <w:r w:rsidR="0003779B" w:rsidRPr="00D160FB">
              <w:rPr>
                <w:lang w:val="en-GB"/>
              </w:rPr>
              <w:t xml:space="preserve">. Prices of education increased in total by </w:t>
            </w:r>
            <w:r w:rsidR="0087722C" w:rsidRPr="00D160FB">
              <w:rPr>
                <w:lang w:val="en-GB"/>
              </w:rPr>
              <w:t>3</w:t>
            </w:r>
            <w:r w:rsidR="0003779B" w:rsidRPr="00D160FB">
              <w:rPr>
                <w:lang w:val="en-GB"/>
              </w:rPr>
              <w:t>.</w:t>
            </w:r>
            <w:r w:rsidR="0087722C" w:rsidRPr="00D160FB">
              <w:rPr>
                <w:lang w:val="en-GB"/>
              </w:rPr>
              <w:t>8%</w:t>
            </w:r>
            <w:r w:rsidR="0003779B" w:rsidRPr="00D160FB">
              <w:rPr>
                <w:lang w:val="en-GB"/>
              </w:rPr>
              <w:t xml:space="preserve"> last year</w:t>
            </w:r>
            <w:r w:rsidR="0087722C" w:rsidRPr="00D160FB">
              <w:rPr>
                <w:lang w:val="en-GB"/>
              </w:rPr>
              <w:t>,</w:t>
            </w:r>
            <w:r w:rsidR="0003779B" w:rsidRPr="00D160FB">
              <w:rPr>
                <w:lang w:val="en-GB"/>
              </w:rPr>
              <w:t xml:space="preserve"> in that they increased by </w:t>
            </w:r>
            <w:r w:rsidR="0087722C" w:rsidRPr="00D160FB">
              <w:rPr>
                <w:lang w:val="en-GB"/>
              </w:rPr>
              <w:t>7</w:t>
            </w:r>
            <w:r w:rsidR="0003779B" w:rsidRPr="00D160FB">
              <w:rPr>
                <w:lang w:val="en-GB"/>
              </w:rPr>
              <w:t>.</w:t>
            </w:r>
            <w:r w:rsidR="0087722C" w:rsidRPr="00D160FB">
              <w:rPr>
                <w:lang w:val="en-GB"/>
              </w:rPr>
              <w:t>5%</w:t>
            </w:r>
            <w:r w:rsidR="0003779B" w:rsidRPr="00D160FB">
              <w:rPr>
                <w:lang w:val="en-GB"/>
              </w:rPr>
              <w:t xml:space="preserve"> year-on-year in Q4</w:t>
            </w:r>
            <w:r w:rsidR="0087722C" w:rsidRPr="00D160FB">
              <w:rPr>
                <w:lang w:val="en-GB"/>
              </w:rPr>
              <w:t xml:space="preserve">. </w:t>
            </w:r>
            <w:r w:rsidR="00840503" w:rsidRPr="00D160FB">
              <w:rPr>
                <w:lang w:val="en-GB"/>
              </w:rPr>
              <w:t xml:space="preserve">Prices of post and telecommunication </w:t>
            </w:r>
            <w:r w:rsidR="0087722C" w:rsidRPr="00D160FB">
              <w:rPr>
                <w:lang w:val="en-GB"/>
              </w:rPr>
              <w:t>(0</w:t>
            </w:r>
            <w:r w:rsidR="00840503" w:rsidRPr="00D160FB">
              <w:rPr>
                <w:lang w:val="en-GB"/>
              </w:rPr>
              <w:t>.</w:t>
            </w:r>
            <w:r w:rsidR="0087722C" w:rsidRPr="00D160FB">
              <w:rPr>
                <w:lang w:val="en-GB"/>
              </w:rPr>
              <w:t>7%)</w:t>
            </w:r>
            <w:r w:rsidR="00C81D8E" w:rsidRPr="00D160FB">
              <w:rPr>
                <w:lang w:val="en-GB"/>
              </w:rPr>
              <w:t xml:space="preserve"> grew the slowest</w:t>
            </w:r>
            <w:r w:rsidR="00840503" w:rsidRPr="00D160FB">
              <w:rPr>
                <w:lang w:val="en-GB"/>
              </w:rPr>
              <w:t xml:space="preserve"> year-on-year last year</w:t>
            </w:r>
            <w:r w:rsidR="0087722C" w:rsidRPr="00D160FB">
              <w:rPr>
                <w:lang w:val="en-GB"/>
              </w:rPr>
              <w:t xml:space="preserve">. </w:t>
            </w:r>
            <w:r w:rsidR="00840503" w:rsidRPr="00D160FB">
              <w:rPr>
                <w:lang w:val="en-GB"/>
              </w:rPr>
              <w:t xml:space="preserve">It represented first growth since </w:t>
            </w:r>
            <w:r w:rsidR="0087722C" w:rsidRPr="00D160FB">
              <w:rPr>
                <w:lang w:val="en-GB"/>
              </w:rPr>
              <w:t>2006</w:t>
            </w:r>
            <w:r w:rsidR="00840503" w:rsidRPr="00D160FB">
              <w:rPr>
                <w:lang w:val="en-GB"/>
              </w:rPr>
              <w:t xml:space="preserve"> for them</w:t>
            </w:r>
            <w:r w:rsidR="0087722C" w:rsidRPr="00D160FB">
              <w:rPr>
                <w:lang w:val="en-GB"/>
              </w:rPr>
              <w:t xml:space="preserve">. </w:t>
            </w:r>
            <w:r w:rsidR="00C81D8E" w:rsidRPr="00D160FB">
              <w:rPr>
                <w:lang w:val="en-GB"/>
              </w:rPr>
              <w:t xml:space="preserve">Since the prices in this division are traditionally mildly falling. </w:t>
            </w:r>
            <w:r w:rsidR="00131DD8" w:rsidRPr="00D160FB">
              <w:rPr>
                <w:lang w:val="en-GB"/>
              </w:rPr>
              <w:t xml:space="preserve">The development of prices of </w:t>
            </w:r>
            <w:r w:rsidR="00F04869">
              <w:rPr>
                <w:lang w:val="en-GB"/>
              </w:rPr>
              <w:t>tele</w:t>
            </w:r>
            <w:r w:rsidR="00131DD8" w:rsidRPr="00D160FB">
              <w:rPr>
                <w:lang w:val="en-GB"/>
              </w:rPr>
              <w:t xml:space="preserve">phone and </w:t>
            </w:r>
            <w:r w:rsidR="00F04869">
              <w:rPr>
                <w:lang w:val="en-GB"/>
              </w:rPr>
              <w:t>tele</w:t>
            </w:r>
            <w:r w:rsidR="00131DD8" w:rsidRPr="00D160FB">
              <w:rPr>
                <w:lang w:val="en-GB"/>
              </w:rPr>
              <w:t xml:space="preserve">fax equipment </w:t>
            </w:r>
            <w:r w:rsidR="0087722C" w:rsidRPr="00D160FB">
              <w:rPr>
                <w:lang w:val="en-GB"/>
              </w:rPr>
              <w:t>(9</w:t>
            </w:r>
            <w:r w:rsidR="00131DD8" w:rsidRPr="00D160FB">
              <w:rPr>
                <w:lang w:val="en-GB"/>
              </w:rPr>
              <w:t>.</w:t>
            </w:r>
            <w:r w:rsidR="0087722C" w:rsidRPr="00D160FB">
              <w:rPr>
                <w:lang w:val="en-GB"/>
              </w:rPr>
              <w:t>3%)</w:t>
            </w:r>
            <w:r w:rsidR="00131DD8" w:rsidRPr="00D160FB">
              <w:rPr>
                <w:lang w:val="en-GB"/>
              </w:rPr>
              <w:t xml:space="preserve"> stood behind the price increases</w:t>
            </w:r>
            <w:r w:rsidR="0087722C" w:rsidRPr="00D160FB">
              <w:rPr>
                <w:lang w:val="en-GB"/>
              </w:rPr>
              <w:t xml:space="preserve">. </w:t>
            </w:r>
            <w:r w:rsidR="0043277C" w:rsidRPr="00D160FB">
              <w:rPr>
                <w:lang w:val="en-GB"/>
              </w:rPr>
              <w:t>Prices of post and telecommunication grew by 2.1% year-on-year in Q</w:t>
            </w:r>
            <w:r w:rsidR="0087722C" w:rsidRPr="00D160FB">
              <w:rPr>
                <w:lang w:val="en-GB"/>
              </w:rPr>
              <w:t>4</w:t>
            </w:r>
            <w:r w:rsidR="0043277C" w:rsidRPr="00D160FB">
              <w:rPr>
                <w:lang w:val="en-GB"/>
              </w:rPr>
              <w:t>, the most since Q</w:t>
            </w:r>
            <w:r w:rsidR="0087722C" w:rsidRPr="00D160FB">
              <w:rPr>
                <w:lang w:val="en-GB"/>
              </w:rPr>
              <w:t>1</w:t>
            </w:r>
            <w:r w:rsidR="0043277C" w:rsidRPr="00D160FB">
              <w:rPr>
                <w:lang w:val="en-GB"/>
              </w:rPr>
              <w:t xml:space="preserve"> </w:t>
            </w:r>
            <w:r w:rsidR="0087722C" w:rsidRPr="00D160FB">
              <w:rPr>
                <w:lang w:val="en-GB"/>
              </w:rPr>
              <w:t xml:space="preserve">2007. </w:t>
            </w:r>
            <w:r w:rsidR="00EB599C" w:rsidRPr="00D160FB">
              <w:rPr>
                <w:lang w:val="en-GB"/>
              </w:rPr>
              <w:t xml:space="preserve">Prices of </w:t>
            </w:r>
            <w:r w:rsidR="00F04869">
              <w:rPr>
                <w:lang w:val="en-GB"/>
              </w:rPr>
              <w:t>tele</w:t>
            </w:r>
            <w:r w:rsidR="00EB599C" w:rsidRPr="00D160FB">
              <w:rPr>
                <w:lang w:val="en-GB"/>
              </w:rPr>
              <w:t xml:space="preserve">phone and </w:t>
            </w:r>
            <w:r w:rsidR="00F04869">
              <w:rPr>
                <w:lang w:val="en-GB"/>
              </w:rPr>
              <w:t>tele</w:t>
            </w:r>
            <w:r w:rsidR="00EB599C" w:rsidRPr="00D160FB">
              <w:rPr>
                <w:lang w:val="en-GB"/>
              </w:rPr>
              <w:t xml:space="preserve">fax equipment were by </w:t>
            </w:r>
            <w:r w:rsidR="0087722C" w:rsidRPr="00D160FB">
              <w:rPr>
                <w:lang w:val="en-GB"/>
              </w:rPr>
              <w:t>8</w:t>
            </w:r>
            <w:r w:rsidR="00EB599C" w:rsidRPr="00D160FB">
              <w:rPr>
                <w:lang w:val="en-GB"/>
              </w:rPr>
              <w:t>.</w:t>
            </w:r>
            <w:r w:rsidR="0087722C" w:rsidRPr="00D160FB">
              <w:rPr>
                <w:lang w:val="en-GB"/>
              </w:rPr>
              <w:t>6%</w:t>
            </w:r>
            <w:r w:rsidR="00EB599C" w:rsidRPr="00D160FB">
              <w:rPr>
                <w:lang w:val="en-GB"/>
              </w:rPr>
              <w:t xml:space="preserve"> higher</w:t>
            </w:r>
            <w:r w:rsidR="0087722C" w:rsidRPr="00D160FB">
              <w:rPr>
                <w:lang w:val="en-GB"/>
              </w:rPr>
              <w:t xml:space="preserve">, </w:t>
            </w:r>
            <w:r w:rsidR="00F04869">
              <w:rPr>
                <w:lang w:val="en-GB"/>
              </w:rPr>
              <w:t>tele</w:t>
            </w:r>
            <w:r w:rsidR="00EB599C" w:rsidRPr="00D160FB">
              <w:rPr>
                <w:lang w:val="en-GB"/>
              </w:rPr>
              <w:t xml:space="preserve">phone and </w:t>
            </w:r>
            <w:r w:rsidR="00F04869">
              <w:rPr>
                <w:lang w:val="en-GB"/>
              </w:rPr>
              <w:t>tele</w:t>
            </w:r>
            <w:r w:rsidR="00EB599C" w:rsidRPr="00D160FB">
              <w:rPr>
                <w:lang w:val="en-GB"/>
              </w:rPr>
              <w:t xml:space="preserve">fax services by </w:t>
            </w:r>
            <w:r w:rsidR="0087722C" w:rsidRPr="00D160FB">
              <w:rPr>
                <w:lang w:val="en-GB"/>
              </w:rPr>
              <w:t>1</w:t>
            </w:r>
            <w:r w:rsidR="00EB599C" w:rsidRPr="00D160FB">
              <w:rPr>
                <w:lang w:val="en-GB"/>
              </w:rPr>
              <w:t>.</w:t>
            </w:r>
            <w:r w:rsidR="0087722C" w:rsidRPr="00D160FB">
              <w:rPr>
                <w:lang w:val="en-GB"/>
              </w:rPr>
              <w:t>4%</w:t>
            </w:r>
            <w:r w:rsidR="00EB599C" w:rsidRPr="00D160FB">
              <w:rPr>
                <w:lang w:val="en-GB"/>
              </w:rPr>
              <w:t xml:space="preserve"> higher and postal services by </w:t>
            </w:r>
            <w:r w:rsidR="0087722C" w:rsidRPr="00D160FB">
              <w:rPr>
                <w:lang w:val="en-GB"/>
              </w:rPr>
              <w:t>2</w:t>
            </w:r>
            <w:r w:rsidR="00EB599C" w:rsidRPr="00D160FB">
              <w:rPr>
                <w:lang w:val="en-GB"/>
              </w:rPr>
              <w:t>.</w:t>
            </w:r>
            <w:r w:rsidR="0087722C" w:rsidRPr="00D160FB">
              <w:rPr>
                <w:lang w:val="en-GB"/>
              </w:rPr>
              <w:t xml:space="preserve">7%.      </w:t>
            </w:r>
          </w:p>
        </w:tc>
      </w:tr>
      <w:tr w:rsidR="0087722C" w:rsidRPr="00D160FB" w14:paraId="6D3D6FC4" w14:textId="77777777" w:rsidTr="00435DE8">
        <w:trPr>
          <w:trHeight w:val="145"/>
        </w:trPr>
        <w:tc>
          <w:tcPr>
            <w:tcW w:w="1804" w:type="dxa"/>
            <w:shd w:val="clear" w:color="auto" w:fill="auto"/>
            <w:tcMar>
              <w:left w:w="0" w:type="dxa"/>
            </w:tcMar>
          </w:tcPr>
          <w:p w14:paraId="2152CC3F" w14:textId="17E8A758" w:rsidR="0087722C" w:rsidRPr="00D160FB" w:rsidRDefault="00205EB7" w:rsidP="00163868">
            <w:pPr>
              <w:pStyle w:val="Marginlie"/>
              <w:rPr>
                <w:spacing w:val="0"/>
                <w:lang w:val="en-GB"/>
              </w:rPr>
            </w:pPr>
            <w:r w:rsidRPr="00D160FB">
              <w:rPr>
                <w:spacing w:val="0"/>
                <w:lang w:val="en-GB"/>
              </w:rPr>
              <w:lastRenderedPageBreak/>
              <w:t xml:space="preserve">Year-on-year </w:t>
            </w:r>
            <w:r w:rsidR="009A5E32" w:rsidRPr="00D160FB">
              <w:rPr>
                <w:spacing w:val="0"/>
                <w:lang w:val="en-GB"/>
              </w:rPr>
              <w:t>growth</w:t>
            </w:r>
            <w:r w:rsidRPr="00D160FB">
              <w:rPr>
                <w:spacing w:val="0"/>
                <w:lang w:val="en-GB"/>
              </w:rPr>
              <w:t xml:space="preserve"> of the consumer prices was </w:t>
            </w:r>
            <w:r w:rsidR="00C41FC7" w:rsidRPr="00D160FB">
              <w:rPr>
                <w:spacing w:val="0"/>
                <w:lang w:val="en-GB"/>
              </w:rPr>
              <w:t xml:space="preserve">accelerating </w:t>
            </w:r>
            <w:r w:rsidR="00703F21" w:rsidRPr="00D160FB">
              <w:rPr>
                <w:spacing w:val="0"/>
                <w:lang w:val="en-GB"/>
              </w:rPr>
              <w:t xml:space="preserve">in the EU throughout the entire year. </w:t>
            </w:r>
          </w:p>
        </w:tc>
        <w:tc>
          <w:tcPr>
            <w:tcW w:w="224" w:type="dxa"/>
            <w:shd w:val="clear" w:color="auto" w:fill="auto"/>
            <w:tcMar>
              <w:left w:w="0" w:type="dxa"/>
            </w:tcMar>
          </w:tcPr>
          <w:p w14:paraId="00723FC4" w14:textId="77777777" w:rsidR="0087722C" w:rsidRPr="00D160FB" w:rsidRDefault="0087722C" w:rsidP="00163868">
            <w:pPr>
              <w:pStyle w:val="Textpoznpodarou1"/>
              <w:jc w:val="both"/>
              <w:rPr>
                <w:lang w:val="en-GB"/>
              </w:rPr>
            </w:pPr>
          </w:p>
        </w:tc>
        <w:tc>
          <w:tcPr>
            <w:tcW w:w="7611" w:type="dxa"/>
            <w:shd w:val="clear" w:color="auto" w:fill="auto"/>
            <w:tcMar>
              <w:left w:w="0" w:type="dxa"/>
            </w:tcMar>
          </w:tcPr>
          <w:p w14:paraId="3A05027E" w14:textId="2684BF6F" w:rsidR="0087722C" w:rsidRPr="00D160FB" w:rsidRDefault="0087722C" w:rsidP="00163868">
            <w:pPr>
              <w:rPr>
                <w:lang w:val="en-GB"/>
              </w:rPr>
            </w:pPr>
            <w:r w:rsidRPr="00D160FB">
              <w:rPr>
                <w:lang w:val="en-GB"/>
              </w:rPr>
              <w:t>Harmoni</w:t>
            </w:r>
            <w:r w:rsidR="009A5E32" w:rsidRPr="00D160FB">
              <w:rPr>
                <w:lang w:val="en-GB"/>
              </w:rPr>
              <w:t xml:space="preserve">sed index of consumer prices </w:t>
            </w:r>
            <w:r w:rsidRPr="00D160FB">
              <w:rPr>
                <w:lang w:val="en-GB"/>
              </w:rPr>
              <w:t>(HICP)</w:t>
            </w:r>
            <w:r w:rsidRPr="00D160FB">
              <w:rPr>
                <w:rStyle w:val="Znakapoznpodarou"/>
                <w:lang w:val="en-GB"/>
              </w:rPr>
              <w:footnoteReference w:id="3"/>
            </w:r>
            <w:r w:rsidRPr="00D160FB">
              <w:rPr>
                <w:lang w:val="en-GB"/>
              </w:rPr>
              <w:t xml:space="preserve"> </w:t>
            </w:r>
            <w:r w:rsidR="00703F21" w:rsidRPr="00D160FB">
              <w:rPr>
                <w:lang w:val="en-GB"/>
              </w:rPr>
              <w:t xml:space="preserve">increased in total by </w:t>
            </w:r>
            <w:r w:rsidRPr="00D160FB">
              <w:rPr>
                <w:lang w:val="en-GB"/>
              </w:rPr>
              <w:t>9</w:t>
            </w:r>
            <w:r w:rsidR="00703F21" w:rsidRPr="00D160FB">
              <w:rPr>
                <w:lang w:val="en-GB"/>
              </w:rPr>
              <w:t>.</w:t>
            </w:r>
            <w:r w:rsidRPr="00D160FB">
              <w:rPr>
                <w:lang w:val="en-GB"/>
              </w:rPr>
              <w:t>2%</w:t>
            </w:r>
            <w:r w:rsidR="00703F21" w:rsidRPr="00D160FB">
              <w:rPr>
                <w:lang w:val="en-GB"/>
              </w:rPr>
              <w:t xml:space="preserve"> in the European Union last year</w:t>
            </w:r>
            <w:r w:rsidRPr="00D160FB">
              <w:rPr>
                <w:lang w:val="en-GB"/>
              </w:rPr>
              <w:t>.</w:t>
            </w:r>
            <w:r w:rsidR="00703F21" w:rsidRPr="00D160FB">
              <w:rPr>
                <w:lang w:val="en-GB"/>
              </w:rPr>
              <w:t xml:space="preserve"> </w:t>
            </w:r>
            <w:r w:rsidR="00534A3A" w:rsidRPr="00D160FB">
              <w:rPr>
                <w:lang w:val="en-GB"/>
              </w:rPr>
              <w:t xml:space="preserve">It presents a record increase (previous maximum was </w:t>
            </w:r>
            <w:r w:rsidRPr="00D160FB">
              <w:rPr>
                <w:lang w:val="en-GB"/>
              </w:rPr>
              <w:t>3</w:t>
            </w:r>
            <w:r w:rsidR="00534A3A" w:rsidRPr="00D160FB">
              <w:rPr>
                <w:lang w:val="en-GB"/>
              </w:rPr>
              <w:t>.</w:t>
            </w:r>
            <w:r w:rsidRPr="00D160FB">
              <w:rPr>
                <w:lang w:val="en-GB"/>
              </w:rPr>
              <w:t>7%</w:t>
            </w:r>
            <w:r w:rsidR="00534A3A" w:rsidRPr="00D160FB">
              <w:rPr>
                <w:lang w:val="en-GB"/>
              </w:rPr>
              <w:t xml:space="preserve"> from year 2008</w:t>
            </w:r>
            <w:r w:rsidRPr="00D160FB">
              <w:rPr>
                <w:lang w:val="en-GB"/>
              </w:rPr>
              <w:t xml:space="preserve">). </w:t>
            </w:r>
            <w:r w:rsidR="00887911" w:rsidRPr="00D160FB">
              <w:rPr>
                <w:lang w:val="en-GB"/>
              </w:rPr>
              <w:t xml:space="preserve">Price growth continued </w:t>
            </w:r>
            <w:r w:rsidR="00534A3A" w:rsidRPr="00D160FB">
              <w:rPr>
                <w:lang w:val="en-GB"/>
              </w:rPr>
              <w:t>across</w:t>
            </w:r>
            <w:r w:rsidR="00887911" w:rsidRPr="00D160FB">
              <w:rPr>
                <w:lang w:val="en-GB"/>
              </w:rPr>
              <w:t xml:space="preserve"> the whole consumer </w:t>
            </w:r>
            <w:r w:rsidR="00395773" w:rsidRPr="00D160FB">
              <w:rPr>
                <w:lang w:val="en-GB"/>
              </w:rPr>
              <w:t>basket, but</w:t>
            </w:r>
            <w:r w:rsidR="00A12BBD" w:rsidRPr="00D160FB">
              <w:rPr>
                <w:lang w:val="en-GB"/>
              </w:rPr>
              <w:t xml:space="preserve"> the </w:t>
            </w:r>
            <w:r w:rsidR="00395773" w:rsidRPr="00D160FB">
              <w:rPr>
                <w:lang w:val="en-GB"/>
              </w:rPr>
              <w:t>dynamics</w:t>
            </w:r>
            <w:r w:rsidR="00A12BBD" w:rsidRPr="00D160FB">
              <w:rPr>
                <w:lang w:val="en-GB"/>
              </w:rPr>
              <w:t xml:space="preserve"> acceleration was the most apparent </w:t>
            </w:r>
            <w:r w:rsidR="00395773" w:rsidRPr="00D160FB">
              <w:rPr>
                <w:lang w:val="en-GB"/>
              </w:rPr>
              <w:t xml:space="preserve">for prices of food and non-alcoholic beverages, housing and energies, transport and </w:t>
            </w:r>
            <w:r w:rsidR="00FB1F0B">
              <w:rPr>
                <w:lang w:val="en-GB"/>
              </w:rPr>
              <w:t>restaurants and hotels</w:t>
            </w:r>
            <w:r w:rsidR="00395773" w:rsidRPr="00D160FB">
              <w:rPr>
                <w:lang w:val="en-GB"/>
              </w:rPr>
              <w:t xml:space="preserve">. </w:t>
            </w:r>
            <w:r w:rsidR="00AA53CE" w:rsidRPr="00D160FB">
              <w:rPr>
                <w:lang w:val="en-GB"/>
              </w:rPr>
              <w:t xml:space="preserve">HICP grew the most in Estonia </w:t>
            </w:r>
            <w:r w:rsidRPr="00D160FB">
              <w:rPr>
                <w:lang w:val="en-GB"/>
              </w:rPr>
              <w:t>(19</w:t>
            </w:r>
            <w:r w:rsidR="00AA53CE" w:rsidRPr="00D160FB">
              <w:rPr>
                <w:lang w:val="en-GB"/>
              </w:rPr>
              <w:t>.</w:t>
            </w:r>
            <w:r w:rsidRPr="00D160FB">
              <w:rPr>
                <w:lang w:val="en-GB"/>
              </w:rPr>
              <w:t>4%), L</w:t>
            </w:r>
            <w:r w:rsidR="00BF1099" w:rsidRPr="00D160FB">
              <w:rPr>
                <w:lang w:val="en-GB"/>
              </w:rPr>
              <w:t xml:space="preserve">ithuania </w:t>
            </w:r>
            <w:r w:rsidRPr="00D160FB">
              <w:rPr>
                <w:lang w:val="en-GB"/>
              </w:rPr>
              <w:t>(18</w:t>
            </w:r>
            <w:r w:rsidR="00BF1099" w:rsidRPr="00D160FB">
              <w:rPr>
                <w:lang w:val="en-GB"/>
              </w:rPr>
              <w:t>.</w:t>
            </w:r>
            <w:r w:rsidRPr="00D160FB">
              <w:rPr>
                <w:lang w:val="en-GB"/>
              </w:rPr>
              <w:t>9%) a</w:t>
            </w:r>
            <w:r w:rsidR="00BF1099" w:rsidRPr="00D160FB">
              <w:rPr>
                <w:lang w:val="en-GB"/>
              </w:rPr>
              <w:t xml:space="preserve">nd Latvia </w:t>
            </w:r>
            <w:r w:rsidRPr="00D160FB">
              <w:rPr>
                <w:lang w:val="en-GB"/>
              </w:rPr>
              <w:t>(17</w:t>
            </w:r>
            <w:r w:rsidR="00BF1099" w:rsidRPr="00D160FB">
              <w:rPr>
                <w:lang w:val="en-GB"/>
              </w:rPr>
              <w:t>.</w:t>
            </w:r>
            <w:r w:rsidRPr="00D160FB">
              <w:rPr>
                <w:lang w:val="en-GB"/>
              </w:rPr>
              <w:t>2%)</w:t>
            </w:r>
            <w:r w:rsidR="00AA53CE" w:rsidRPr="00D160FB">
              <w:rPr>
                <w:lang w:val="en-GB"/>
              </w:rPr>
              <w:t xml:space="preserve"> last year</w:t>
            </w:r>
            <w:r w:rsidRPr="00D160FB">
              <w:rPr>
                <w:lang w:val="en-GB"/>
              </w:rPr>
              <w:t xml:space="preserve">. </w:t>
            </w:r>
            <w:r w:rsidR="00E666EA" w:rsidRPr="00D160FB">
              <w:rPr>
                <w:lang w:val="en-GB"/>
              </w:rPr>
              <w:t xml:space="preserve">The CR ranked fifth with the increase of </w:t>
            </w:r>
            <w:r w:rsidRPr="00D160FB">
              <w:rPr>
                <w:lang w:val="en-GB"/>
              </w:rPr>
              <w:t>14</w:t>
            </w:r>
            <w:r w:rsidR="00E666EA" w:rsidRPr="00D160FB">
              <w:rPr>
                <w:lang w:val="en-GB"/>
              </w:rPr>
              <w:t>.</w:t>
            </w:r>
            <w:r w:rsidRPr="00D160FB">
              <w:rPr>
                <w:lang w:val="en-GB"/>
              </w:rPr>
              <w:t>8%</w:t>
            </w:r>
            <w:r w:rsidR="00E666EA" w:rsidRPr="00D160FB">
              <w:rPr>
                <w:lang w:val="en-GB"/>
              </w:rPr>
              <w:t xml:space="preserve">. </w:t>
            </w:r>
            <w:r w:rsidR="003C7339" w:rsidRPr="00D160FB">
              <w:rPr>
                <w:lang w:val="en-GB"/>
              </w:rPr>
              <w:t>The increases w</w:t>
            </w:r>
            <w:r w:rsidR="00905D90" w:rsidRPr="00D160FB">
              <w:rPr>
                <w:lang w:val="en-GB"/>
              </w:rPr>
              <w:t>ere</w:t>
            </w:r>
            <w:r w:rsidR="003C7339" w:rsidRPr="00D160FB">
              <w:rPr>
                <w:lang w:val="en-GB"/>
              </w:rPr>
              <w:t xml:space="preserve"> very high also in</w:t>
            </w:r>
            <w:r w:rsidR="00744237" w:rsidRPr="00D160FB">
              <w:rPr>
                <w:lang w:val="en-GB"/>
              </w:rPr>
              <w:t xml:space="preserve"> </w:t>
            </w:r>
            <w:r w:rsidR="003C7339" w:rsidRPr="00D160FB">
              <w:rPr>
                <w:lang w:val="en-GB"/>
              </w:rPr>
              <w:t>case of countries with the most moderate dynamics. HICP went up by</w:t>
            </w:r>
            <w:r w:rsidR="00905D90" w:rsidRPr="00D160FB">
              <w:rPr>
                <w:lang w:val="en-GB"/>
              </w:rPr>
              <w:t xml:space="preserve"> </w:t>
            </w:r>
            <w:r w:rsidRPr="00D160FB">
              <w:rPr>
                <w:lang w:val="en-GB"/>
              </w:rPr>
              <w:t>5</w:t>
            </w:r>
            <w:r w:rsidR="00905D90" w:rsidRPr="00D160FB">
              <w:rPr>
                <w:lang w:val="en-GB"/>
              </w:rPr>
              <w:t>.</w:t>
            </w:r>
            <w:r w:rsidRPr="00D160FB">
              <w:rPr>
                <w:lang w:val="en-GB"/>
              </w:rPr>
              <w:t>9%</w:t>
            </w:r>
            <w:r w:rsidR="00905D90" w:rsidRPr="00D160FB">
              <w:rPr>
                <w:lang w:val="en-GB"/>
              </w:rPr>
              <w:t xml:space="preserve"> in France</w:t>
            </w:r>
            <w:r w:rsidRPr="00D160FB">
              <w:rPr>
                <w:lang w:val="en-GB"/>
              </w:rPr>
              <w:t>, 6</w:t>
            </w:r>
            <w:r w:rsidR="00744237" w:rsidRPr="00D160FB">
              <w:rPr>
                <w:lang w:val="en-GB"/>
              </w:rPr>
              <w:t>.</w:t>
            </w:r>
            <w:r w:rsidRPr="00D160FB">
              <w:rPr>
                <w:lang w:val="en-GB"/>
              </w:rPr>
              <w:t>1%</w:t>
            </w:r>
            <w:r w:rsidR="00744237" w:rsidRPr="00D160FB">
              <w:rPr>
                <w:lang w:val="en-GB"/>
              </w:rPr>
              <w:t xml:space="preserve"> in Malta and </w:t>
            </w:r>
            <w:r w:rsidRPr="00D160FB">
              <w:rPr>
                <w:lang w:val="en-GB"/>
              </w:rPr>
              <w:t>7</w:t>
            </w:r>
            <w:r w:rsidR="00744237" w:rsidRPr="00D160FB">
              <w:rPr>
                <w:lang w:val="en-GB"/>
              </w:rPr>
              <w:t>.</w:t>
            </w:r>
            <w:r w:rsidRPr="00D160FB">
              <w:rPr>
                <w:lang w:val="en-GB"/>
              </w:rPr>
              <w:t>2%</w:t>
            </w:r>
            <w:r w:rsidR="00744237" w:rsidRPr="00D160FB">
              <w:rPr>
                <w:lang w:val="en-GB"/>
              </w:rPr>
              <w:t xml:space="preserve"> in Finland</w:t>
            </w:r>
            <w:r w:rsidRPr="00D160FB">
              <w:rPr>
                <w:lang w:val="en-GB"/>
              </w:rPr>
              <w:t xml:space="preserve">. </w:t>
            </w:r>
            <w:r w:rsidR="00AD7B6C" w:rsidRPr="00D160FB">
              <w:rPr>
                <w:lang w:val="en-GB"/>
              </w:rPr>
              <w:t xml:space="preserve">The year-on-year dynamics of consumer prices was accelerating in the EU during the year </w:t>
            </w:r>
            <w:r w:rsidRPr="00D160FB">
              <w:rPr>
                <w:lang w:val="en-GB"/>
              </w:rPr>
              <w:t>a</w:t>
            </w:r>
            <w:r w:rsidR="00EC2177" w:rsidRPr="00D160FB">
              <w:rPr>
                <w:lang w:val="en-GB"/>
              </w:rPr>
              <w:t>nd HICP was thus higher by 1</w:t>
            </w:r>
            <w:r w:rsidR="00224CB7" w:rsidRPr="00D160FB">
              <w:rPr>
                <w:lang w:val="en-GB"/>
              </w:rPr>
              <w:t>1</w:t>
            </w:r>
            <w:r w:rsidR="00EC2177" w:rsidRPr="00D160FB">
              <w:rPr>
                <w:lang w:val="en-GB"/>
              </w:rPr>
              <w:t>.0%</w:t>
            </w:r>
            <w:r w:rsidR="00224CB7" w:rsidRPr="00D160FB">
              <w:rPr>
                <w:lang w:val="en-GB"/>
              </w:rPr>
              <w:t xml:space="preserve"> year-on-year</w:t>
            </w:r>
            <w:r w:rsidR="00EC2177" w:rsidRPr="00D160FB">
              <w:rPr>
                <w:lang w:val="en-GB"/>
              </w:rPr>
              <w:t xml:space="preserve"> in Q</w:t>
            </w:r>
            <w:r w:rsidRPr="00D160FB">
              <w:rPr>
                <w:lang w:val="en-GB"/>
              </w:rPr>
              <w:t>4.</w:t>
            </w:r>
            <w:r w:rsidR="00224CB7" w:rsidRPr="00D160FB">
              <w:rPr>
                <w:lang w:val="en-GB"/>
              </w:rPr>
              <w:t xml:space="preserve"> </w:t>
            </w:r>
            <w:r w:rsidR="00CC2AF6" w:rsidRPr="00D160FB">
              <w:rPr>
                <w:lang w:val="en-GB"/>
              </w:rPr>
              <w:t>In Q</w:t>
            </w:r>
            <w:r w:rsidRPr="00D160FB">
              <w:rPr>
                <w:lang w:val="en-GB"/>
              </w:rPr>
              <w:t>4</w:t>
            </w:r>
            <w:r w:rsidR="00CC2AF6" w:rsidRPr="00D160FB">
              <w:rPr>
                <w:lang w:val="en-GB"/>
              </w:rPr>
              <w:t xml:space="preserve">, the consumer prices grew the most year-on-year in Hungary </w:t>
            </w:r>
            <w:r w:rsidRPr="00D160FB">
              <w:rPr>
                <w:lang w:val="en-GB"/>
              </w:rPr>
              <w:t>(23</w:t>
            </w:r>
            <w:r w:rsidR="00CC2AF6" w:rsidRPr="00D160FB">
              <w:rPr>
                <w:lang w:val="en-GB"/>
              </w:rPr>
              <w:t>.</w:t>
            </w:r>
            <w:r w:rsidRPr="00D160FB">
              <w:rPr>
                <w:lang w:val="en-GB"/>
              </w:rPr>
              <w:t>3%), L</w:t>
            </w:r>
            <w:r w:rsidR="00CC2AF6" w:rsidRPr="00D160FB">
              <w:rPr>
                <w:lang w:val="en-GB"/>
              </w:rPr>
              <w:t xml:space="preserve">atvia </w:t>
            </w:r>
            <w:r w:rsidRPr="00D160FB">
              <w:rPr>
                <w:lang w:val="en-GB"/>
              </w:rPr>
              <w:t>(21</w:t>
            </w:r>
            <w:r w:rsidR="00CC2AF6" w:rsidRPr="00D160FB">
              <w:rPr>
                <w:lang w:val="en-GB"/>
              </w:rPr>
              <w:t>.</w:t>
            </w:r>
            <w:r w:rsidRPr="00D160FB">
              <w:rPr>
                <w:lang w:val="en-GB"/>
              </w:rPr>
              <w:t>4%) a</w:t>
            </w:r>
            <w:r w:rsidR="00CC2AF6" w:rsidRPr="00D160FB">
              <w:rPr>
                <w:lang w:val="en-GB"/>
              </w:rPr>
              <w:t xml:space="preserve">nd Lithuania </w:t>
            </w:r>
            <w:r w:rsidRPr="00D160FB">
              <w:rPr>
                <w:lang w:val="en-GB"/>
              </w:rPr>
              <w:t>(21</w:t>
            </w:r>
            <w:r w:rsidR="00CC2AF6" w:rsidRPr="00D160FB">
              <w:rPr>
                <w:lang w:val="en-GB"/>
              </w:rPr>
              <w:t>.</w:t>
            </w:r>
            <w:r w:rsidRPr="00D160FB">
              <w:rPr>
                <w:lang w:val="en-GB"/>
              </w:rPr>
              <w:t xml:space="preserve">2%). </w:t>
            </w:r>
            <w:r w:rsidR="004123CB" w:rsidRPr="00D160FB">
              <w:rPr>
                <w:lang w:val="en-GB"/>
              </w:rPr>
              <w:t xml:space="preserve">Estonia also crossed the twenty percentage level </w:t>
            </w:r>
            <w:r w:rsidRPr="00D160FB">
              <w:rPr>
                <w:lang w:val="en-GB"/>
              </w:rPr>
              <w:t>(20</w:t>
            </w:r>
            <w:r w:rsidR="004123CB" w:rsidRPr="00D160FB">
              <w:rPr>
                <w:lang w:val="en-GB"/>
              </w:rPr>
              <w:t>.</w:t>
            </w:r>
            <w:r w:rsidRPr="00D160FB">
              <w:rPr>
                <w:lang w:val="en-GB"/>
              </w:rPr>
              <w:t>4%) a</w:t>
            </w:r>
            <w:r w:rsidR="004123CB" w:rsidRPr="00D160FB">
              <w:rPr>
                <w:lang w:val="en-GB"/>
              </w:rPr>
              <w:t xml:space="preserve">nd the CR ranked behind only with </w:t>
            </w:r>
            <w:r w:rsidR="00B9074F" w:rsidRPr="00D160FB">
              <w:rPr>
                <w:lang w:val="en-GB"/>
              </w:rPr>
              <w:t xml:space="preserve">a distance </w:t>
            </w:r>
            <w:r w:rsidRPr="00D160FB">
              <w:rPr>
                <w:lang w:val="en-GB"/>
              </w:rPr>
              <w:t>(16</w:t>
            </w:r>
            <w:r w:rsidR="00B9074F" w:rsidRPr="00D160FB">
              <w:rPr>
                <w:lang w:val="en-GB"/>
              </w:rPr>
              <w:t>.</w:t>
            </w:r>
            <w:r w:rsidRPr="00D160FB">
              <w:rPr>
                <w:lang w:val="en-GB"/>
              </w:rPr>
              <w:t xml:space="preserve">5%). </w:t>
            </w:r>
            <w:r w:rsidR="004D6B32" w:rsidRPr="00D160FB">
              <w:rPr>
                <w:lang w:val="en-GB"/>
              </w:rPr>
              <w:t xml:space="preserve">Spain </w:t>
            </w:r>
            <w:r w:rsidRPr="00D160FB">
              <w:rPr>
                <w:lang w:val="en-GB"/>
              </w:rPr>
              <w:t>(6</w:t>
            </w:r>
            <w:r w:rsidR="004D6B32" w:rsidRPr="00D160FB">
              <w:rPr>
                <w:lang w:val="en-GB"/>
              </w:rPr>
              <w:t>.</w:t>
            </w:r>
            <w:r w:rsidRPr="00D160FB">
              <w:rPr>
                <w:lang w:val="en-GB"/>
              </w:rPr>
              <w:t>5%), Franc</w:t>
            </w:r>
            <w:r w:rsidR="004D6B32" w:rsidRPr="00D160FB">
              <w:rPr>
                <w:lang w:val="en-GB"/>
              </w:rPr>
              <w:t xml:space="preserve">e </w:t>
            </w:r>
            <w:r w:rsidRPr="00D160FB">
              <w:rPr>
                <w:lang w:val="en-GB"/>
              </w:rPr>
              <w:t>(7</w:t>
            </w:r>
            <w:r w:rsidR="004D6B32" w:rsidRPr="00D160FB">
              <w:rPr>
                <w:lang w:val="en-GB"/>
              </w:rPr>
              <w:t>.</w:t>
            </w:r>
            <w:r w:rsidRPr="00D160FB">
              <w:rPr>
                <w:lang w:val="en-GB"/>
              </w:rPr>
              <w:t>0%) a</w:t>
            </w:r>
            <w:r w:rsidR="004D6B32" w:rsidRPr="00D160FB">
              <w:rPr>
                <w:lang w:val="en-GB"/>
              </w:rPr>
              <w:t xml:space="preserve">nd Malta </w:t>
            </w:r>
            <w:r w:rsidRPr="00D160FB">
              <w:rPr>
                <w:lang w:val="en-GB"/>
              </w:rPr>
              <w:t>(7</w:t>
            </w:r>
            <w:r w:rsidR="004D6B32" w:rsidRPr="00D160FB">
              <w:rPr>
                <w:lang w:val="en-GB"/>
              </w:rPr>
              <w:t>.</w:t>
            </w:r>
            <w:r w:rsidRPr="00D160FB">
              <w:rPr>
                <w:lang w:val="en-GB"/>
              </w:rPr>
              <w:t>3%)</w:t>
            </w:r>
            <w:r w:rsidR="004D6B32" w:rsidRPr="00D160FB">
              <w:rPr>
                <w:lang w:val="en-GB"/>
              </w:rPr>
              <w:t xml:space="preserve"> recorded the smallest year-on-year increase</w:t>
            </w:r>
            <w:r w:rsidRPr="00D160FB">
              <w:rPr>
                <w:lang w:val="en-GB"/>
              </w:rPr>
              <w:t xml:space="preserve">. </w:t>
            </w:r>
            <w:r w:rsidR="004773A5" w:rsidRPr="00D160FB">
              <w:rPr>
                <w:lang w:val="en-GB"/>
              </w:rPr>
              <w:t xml:space="preserve">Consumer prices increased by </w:t>
            </w:r>
            <w:r w:rsidR="001520D7" w:rsidRPr="00D160FB">
              <w:rPr>
                <w:lang w:val="en-GB"/>
              </w:rPr>
              <w:t>2.5% in the EU compared to Q</w:t>
            </w:r>
            <w:r w:rsidRPr="00D160FB">
              <w:rPr>
                <w:lang w:val="en-GB"/>
              </w:rPr>
              <w:t>3.</w:t>
            </w:r>
            <w:r w:rsidR="001520D7" w:rsidRPr="00D160FB">
              <w:rPr>
                <w:lang w:val="en-GB"/>
              </w:rPr>
              <w:t xml:space="preserve"> They grew the most in Hungary </w:t>
            </w:r>
            <w:r w:rsidRPr="00D160FB">
              <w:rPr>
                <w:lang w:val="en-GB"/>
              </w:rPr>
              <w:t>(6</w:t>
            </w:r>
            <w:r w:rsidR="001520D7" w:rsidRPr="00D160FB">
              <w:rPr>
                <w:lang w:val="en-GB"/>
              </w:rPr>
              <w:t>.</w:t>
            </w:r>
            <w:r w:rsidRPr="00D160FB">
              <w:rPr>
                <w:lang w:val="en-GB"/>
              </w:rPr>
              <w:t>5%), It</w:t>
            </w:r>
            <w:r w:rsidR="001520D7" w:rsidRPr="00D160FB">
              <w:rPr>
                <w:lang w:val="en-GB"/>
              </w:rPr>
              <w:t xml:space="preserve">aly </w:t>
            </w:r>
            <w:r w:rsidRPr="00D160FB">
              <w:rPr>
                <w:lang w:val="en-GB"/>
              </w:rPr>
              <w:t>(5</w:t>
            </w:r>
            <w:r w:rsidR="001520D7" w:rsidRPr="00D160FB">
              <w:rPr>
                <w:lang w:val="en-GB"/>
              </w:rPr>
              <w:t>.</w:t>
            </w:r>
            <w:r w:rsidRPr="00D160FB">
              <w:rPr>
                <w:lang w:val="en-GB"/>
              </w:rPr>
              <w:t>8%) a</w:t>
            </w:r>
            <w:r w:rsidR="001520D7" w:rsidRPr="00D160FB">
              <w:rPr>
                <w:lang w:val="en-GB"/>
              </w:rPr>
              <w:t xml:space="preserve">nd Lithuania </w:t>
            </w:r>
            <w:r w:rsidRPr="00D160FB">
              <w:rPr>
                <w:lang w:val="en-GB"/>
              </w:rPr>
              <w:t>(3</w:t>
            </w:r>
            <w:r w:rsidR="001520D7" w:rsidRPr="00D160FB">
              <w:rPr>
                <w:lang w:val="en-GB"/>
              </w:rPr>
              <w:t>.</w:t>
            </w:r>
            <w:r w:rsidRPr="00D160FB">
              <w:rPr>
                <w:lang w:val="en-GB"/>
              </w:rPr>
              <w:t>7%).</w:t>
            </w:r>
            <w:r w:rsidR="001520D7" w:rsidRPr="00D160FB">
              <w:rPr>
                <w:lang w:val="en-GB"/>
              </w:rPr>
              <w:t xml:space="preserve"> In contrast the quarter-on-quarter decreases were recorded in Malta </w:t>
            </w:r>
            <w:r w:rsidRPr="00D160FB">
              <w:rPr>
                <w:lang w:val="en-GB"/>
              </w:rPr>
              <w:t>(−2</w:t>
            </w:r>
            <w:r w:rsidR="001520D7" w:rsidRPr="00D160FB">
              <w:rPr>
                <w:lang w:val="en-GB"/>
              </w:rPr>
              <w:t>.</w:t>
            </w:r>
            <w:r w:rsidRPr="00D160FB">
              <w:rPr>
                <w:lang w:val="en-GB"/>
              </w:rPr>
              <w:t xml:space="preserve">4%), </w:t>
            </w:r>
            <w:r w:rsidR="001520D7" w:rsidRPr="00D160FB">
              <w:rPr>
                <w:lang w:val="en-GB"/>
              </w:rPr>
              <w:t xml:space="preserve">Cyprus </w:t>
            </w:r>
            <w:r w:rsidRPr="00D160FB">
              <w:rPr>
                <w:lang w:val="en-GB"/>
              </w:rPr>
              <w:t>(−0</w:t>
            </w:r>
            <w:r w:rsidR="001520D7" w:rsidRPr="00D160FB">
              <w:rPr>
                <w:lang w:val="en-GB"/>
              </w:rPr>
              <w:t>.</w:t>
            </w:r>
            <w:r w:rsidRPr="00D160FB">
              <w:rPr>
                <w:lang w:val="en-GB"/>
              </w:rPr>
              <w:t xml:space="preserve">5%), </w:t>
            </w:r>
            <w:r w:rsidR="001520D7" w:rsidRPr="00D160FB">
              <w:rPr>
                <w:lang w:val="en-GB"/>
              </w:rPr>
              <w:t xml:space="preserve">Spain </w:t>
            </w:r>
            <w:r w:rsidRPr="00D160FB">
              <w:rPr>
                <w:lang w:val="en-GB"/>
              </w:rPr>
              <w:t>(−0</w:t>
            </w:r>
            <w:r w:rsidR="001520D7" w:rsidRPr="00D160FB">
              <w:rPr>
                <w:lang w:val="en-GB"/>
              </w:rPr>
              <w:t>.</w:t>
            </w:r>
            <w:r w:rsidRPr="00D160FB">
              <w:rPr>
                <w:lang w:val="en-GB"/>
              </w:rPr>
              <w:t>2%) a</w:t>
            </w:r>
            <w:r w:rsidR="001520D7" w:rsidRPr="00D160FB">
              <w:rPr>
                <w:lang w:val="en-GB"/>
              </w:rPr>
              <w:t xml:space="preserve">nd Estonia </w:t>
            </w:r>
            <w:r w:rsidRPr="00D160FB">
              <w:rPr>
                <w:lang w:val="en-GB"/>
              </w:rPr>
              <w:t>(−0</w:t>
            </w:r>
            <w:r w:rsidR="001520D7" w:rsidRPr="00D160FB">
              <w:rPr>
                <w:lang w:val="en-GB"/>
              </w:rPr>
              <w:t>.</w:t>
            </w:r>
            <w:r w:rsidRPr="00D160FB">
              <w:rPr>
                <w:lang w:val="en-GB"/>
              </w:rPr>
              <w:t>1%).</w:t>
            </w:r>
          </w:p>
        </w:tc>
      </w:tr>
      <w:tr w:rsidR="00435DE8" w:rsidRPr="00D160FB" w14:paraId="4EA84952" w14:textId="77777777" w:rsidTr="00435DE8">
        <w:trPr>
          <w:trHeight w:val="170"/>
        </w:trPr>
        <w:tc>
          <w:tcPr>
            <w:tcW w:w="1804" w:type="dxa"/>
            <w:vMerge w:val="restart"/>
            <w:shd w:val="clear" w:color="auto" w:fill="auto"/>
            <w:tcMar>
              <w:left w:w="0" w:type="dxa"/>
            </w:tcMar>
          </w:tcPr>
          <w:p w14:paraId="599BC84F" w14:textId="77777777" w:rsidR="00435DE8" w:rsidRPr="00D160FB" w:rsidRDefault="00435DE8" w:rsidP="00435DE8">
            <w:pPr>
              <w:pStyle w:val="Marginlie"/>
              <w:rPr>
                <w:spacing w:val="0"/>
                <w:lang w:val="en-GB"/>
              </w:rPr>
            </w:pPr>
          </w:p>
        </w:tc>
        <w:tc>
          <w:tcPr>
            <w:tcW w:w="224" w:type="dxa"/>
            <w:vMerge w:val="restart"/>
            <w:shd w:val="clear" w:color="auto" w:fill="auto"/>
            <w:tcMar>
              <w:left w:w="0" w:type="dxa"/>
            </w:tcMar>
          </w:tcPr>
          <w:p w14:paraId="48605C96"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33CCB0D2" w14:textId="251A46A8" w:rsidR="00435DE8" w:rsidRPr="00D160FB" w:rsidRDefault="00435DE8" w:rsidP="00435DE8">
            <w:pPr>
              <w:spacing w:after="0"/>
              <w:rPr>
                <w:lang w:val="en-GB"/>
              </w:rPr>
            </w:pPr>
            <w:r w:rsidRPr="00D160FB">
              <w:rPr>
                <w:b/>
                <w:sz w:val="18"/>
                <w:szCs w:val="18"/>
                <w:lang w:val="en-GB" w:eastAsia="en-US"/>
              </w:rPr>
              <w:t xml:space="preserve">Chart 12 Prices of real estate </w:t>
            </w:r>
            <w:r w:rsidRPr="00D160FB">
              <w:rPr>
                <w:sz w:val="18"/>
                <w:szCs w:val="18"/>
                <w:lang w:val="en-GB" w:eastAsia="en-US"/>
              </w:rPr>
              <w:t>(year-on-year change, in %)</w:t>
            </w:r>
          </w:p>
        </w:tc>
      </w:tr>
      <w:tr w:rsidR="00435DE8" w:rsidRPr="00D160FB" w14:paraId="733E560F" w14:textId="77777777" w:rsidTr="00435DE8">
        <w:tblPrEx>
          <w:tblCellMar>
            <w:left w:w="70" w:type="dxa"/>
            <w:right w:w="70" w:type="dxa"/>
          </w:tblCellMar>
        </w:tblPrEx>
        <w:trPr>
          <w:trHeight w:val="170"/>
        </w:trPr>
        <w:tc>
          <w:tcPr>
            <w:tcW w:w="1804" w:type="dxa"/>
            <w:vMerge/>
          </w:tcPr>
          <w:p w14:paraId="2911B13F" w14:textId="77777777" w:rsidR="00435DE8" w:rsidRPr="00D160FB" w:rsidRDefault="00435DE8" w:rsidP="00435DE8">
            <w:pPr>
              <w:pStyle w:val="Marginlie"/>
              <w:rPr>
                <w:spacing w:val="0"/>
                <w:lang w:val="en-GB"/>
              </w:rPr>
            </w:pPr>
          </w:p>
        </w:tc>
        <w:tc>
          <w:tcPr>
            <w:tcW w:w="224" w:type="dxa"/>
            <w:vMerge/>
          </w:tcPr>
          <w:p w14:paraId="26C98B4A" w14:textId="77777777" w:rsidR="00435DE8" w:rsidRPr="00D160FB" w:rsidRDefault="00435DE8" w:rsidP="00435DE8">
            <w:pPr>
              <w:pStyle w:val="Textpoznpodarou1"/>
              <w:jc w:val="both"/>
              <w:rPr>
                <w:lang w:val="en-GB"/>
              </w:rPr>
            </w:pPr>
          </w:p>
        </w:tc>
        <w:tc>
          <w:tcPr>
            <w:tcW w:w="7611" w:type="dxa"/>
            <w:shd w:val="clear" w:color="auto" w:fill="auto"/>
          </w:tcPr>
          <w:p w14:paraId="1CF161B6" w14:textId="2BBA5C3F" w:rsidR="00435DE8" w:rsidRPr="00D160FB" w:rsidRDefault="00435DE8" w:rsidP="00435DE8">
            <w:pPr>
              <w:spacing w:after="0"/>
              <w:rPr>
                <w:lang w:val="en-GB"/>
              </w:rPr>
            </w:pPr>
            <w:r>
              <w:rPr>
                <w:noProof/>
              </w:rPr>
              <w:drawing>
                <wp:inline distT="0" distB="0" distL="0" distR="0" wp14:anchorId="2771A44C" wp14:editId="4DB8AF0E">
                  <wp:extent cx="4734425" cy="3378575"/>
                  <wp:effectExtent l="0" t="0" r="0" b="0"/>
                  <wp:docPr id="12063689" name="Graf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35DE8" w:rsidRPr="00D160FB" w14:paraId="5984338D" w14:textId="77777777" w:rsidTr="00435DE8">
        <w:trPr>
          <w:trHeight w:val="170"/>
        </w:trPr>
        <w:tc>
          <w:tcPr>
            <w:tcW w:w="1804" w:type="dxa"/>
            <w:vMerge/>
            <w:tcMar>
              <w:left w:w="0" w:type="dxa"/>
            </w:tcMar>
          </w:tcPr>
          <w:p w14:paraId="39788093" w14:textId="77777777" w:rsidR="00435DE8" w:rsidRPr="00D160FB" w:rsidRDefault="00435DE8" w:rsidP="00435DE8">
            <w:pPr>
              <w:pStyle w:val="Marginlie"/>
              <w:rPr>
                <w:spacing w:val="0"/>
                <w:lang w:val="en-GB"/>
              </w:rPr>
            </w:pPr>
          </w:p>
        </w:tc>
        <w:tc>
          <w:tcPr>
            <w:tcW w:w="224" w:type="dxa"/>
            <w:vMerge/>
            <w:tcMar>
              <w:left w:w="0" w:type="dxa"/>
            </w:tcMar>
          </w:tcPr>
          <w:p w14:paraId="5EE95C72"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398C6179" w14:textId="33FC6D8F" w:rsidR="00435DE8" w:rsidRPr="00435DE8" w:rsidRDefault="00435DE8" w:rsidP="00435DE8">
            <w:pPr>
              <w:rPr>
                <w:sz w:val="14"/>
                <w:szCs w:val="14"/>
                <w:lang w:val="en-GB"/>
              </w:rPr>
            </w:pPr>
            <w:r w:rsidRPr="00D160FB">
              <w:rPr>
                <w:sz w:val="14"/>
                <w:szCs w:val="14"/>
                <w:lang w:val="en-GB"/>
              </w:rPr>
              <w:t>Source: CZS</w:t>
            </w:r>
            <w:r>
              <w:rPr>
                <w:sz w:val="14"/>
                <w:szCs w:val="14"/>
                <w:lang w:val="en-GB"/>
              </w:rPr>
              <w:t>O</w:t>
            </w:r>
          </w:p>
        </w:tc>
      </w:tr>
      <w:tr w:rsidR="00435DE8" w:rsidRPr="00D160FB" w14:paraId="16ED03F6" w14:textId="77777777" w:rsidTr="00435DE8">
        <w:trPr>
          <w:trHeight w:val="145"/>
        </w:trPr>
        <w:tc>
          <w:tcPr>
            <w:tcW w:w="1804" w:type="dxa"/>
            <w:shd w:val="clear" w:color="auto" w:fill="auto"/>
            <w:tcMar>
              <w:left w:w="0" w:type="dxa"/>
            </w:tcMar>
          </w:tcPr>
          <w:p w14:paraId="27ED82CF" w14:textId="30F61D43" w:rsidR="00435DE8" w:rsidRPr="00D160FB" w:rsidRDefault="00435DE8" w:rsidP="00435DE8">
            <w:pPr>
              <w:pStyle w:val="Marginlie"/>
              <w:rPr>
                <w:spacing w:val="0"/>
                <w:lang w:val="en-GB"/>
              </w:rPr>
            </w:pPr>
            <w:r w:rsidRPr="00D160FB">
              <w:rPr>
                <w:spacing w:val="0"/>
                <w:lang w:val="en-GB"/>
              </w:rPr>
              <w:t>Growth of the catalogue prices of flats slowed down at the end of the year…</w:t>
            </w:r>
          </w:p>
        </w:tc>
        <w:tc>
          <w:tcPr>
            <w:tcW w:w="224" w:type="dxa"/>
            <w:shd w:val="clear" w:color="auto" w:fill="auto"/>
            <w:tcMar>
              <w:left w:w="0" w:type="dxa"/>
            </w:tcMar>
          </w:tcPr>
          <w:p w14:paraId="5DC014C4"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2CE98DAD" w14:textId="6A661DE5" w:rsidR="00435DE8" w:rsidRPr="00D160FB" w:rsidRDefault="00435DE8" w:rsidP="00435DE8">
            <w:pPr>
              <w:rPr>
                <w:lang w:val="en-GB"/>
              </w:rPr>
            </w:pPr>
            <w:r w:rsidRPr="00D160FB">
              <w:rPr>
                <w:lang w:val="en-GB"/>
              </w:rPr>
              <w:t xml:space="preserve">The rapid year-on-year surge of prices of flats peaked in year 2022. The Index of the catalogue prices of flats in the CR increased by 20.7% for the whole year. Prices of flats outside Prague went up by 25.2%, while the increase reached 16.9% in Prague. Both the year-on-year and quarter-on-quarter dynamics peaked in Q2 and increases were weakening from then on. Catalogue prices of flats in the CR expanded year-on-year by 18.3% in Q4, prices outside Prague by 19.9% and by 16.9% in Prague. Quarter-on-quarter increase of the catalogue prices weakened to 0.5% in the CR in Q4. It was caused exclusively by the plunge of catalogue prices by 1.2% outside Prague, the first quarter-on-quarter decrease since Q1 2017. Catalogue prices of flats increased by 2.1% in Prague. In case of realised prices of older </w:t>
            </w:r>
            <w:r w:rsidR="00186538" w:rsidRPr="00D160FB">
              <w:rPr>
                <w:lang w:val="en-GB"/>
              </w:rPr>
              <w:t>flats,</w:t>
            </w:r>
            <w:r w:rsidRPr="00D160FB">
              <w:rPr>
                <w:lang w:val="en-GB"/>
              </w:rPr>
              <w:t xml:space="preserve"> the slump of pace was more </w:t>
            </w:r>
            <w:r w:rsidRPr="00D160FB">
              <w:rPr>
                <w:lang w:val="en-GB"/>
              </w:rPr>
              <w:lastRenderedPageBreak/>
              <w:t xml:space="preserve">pronounced at the end of the year. The realised prices of older flats went up by 22.6% in the CR year-on-year for the whole year, mainly due to the rapid surge of prices outside Prague (24.9%). </w:t>
            </w:r>
          </w:p>
        </w:tc>
      </w:tr>
      <w:tr w:rsidR="00435DE8" w:rsidRPr="00D160FB" w14:paraId="6664A9A8" w14:textId="77777777" w:rsidTr="00435DE8">
        <w:trPr>
          <w:trHeight w:val="145"/>
        </w:trPr>
        <w:tc>
          <w:tcPr>
            <w:tcW w:w="1804" w:type="dxa"/>
            <w:shd w:val="clear" w:color="auto" w:fill="auto"/>
            <w:tcMar>
              <w:left w:w="0" w:type="dxa"/>
            </w:tcMar>
          </w:tcPr>
          <w:p w14:paraId="39C07047" w14:textId="1ED6FB6A" w:rsidR="00435DE8" w:rsidRPr="00D160FB" w:rsidRDefault="00435DE8" w:rsidP="00435DE8">
            <w:pPr>
              <w:pStyle w:val="Marginlie"/>
              <w:rPr>
                <w:spacing w:val="0"/>
                <w:lang w:val="en-GB"/>
              </w:rPr>
            </w:pPr>
            <w:r w:rsidRPr="00D160FB">
              <w:rPr>
                <w:spacing w:val="0"/>
                <w:lang w:val="en-GB"/>
              </w:rPr>
              <w:lastRenderedPageBreak/>
              <w:t xml:space="preserve">…year-on-year increases of the realised prices of older flats however dived notably, which indicates cooling of the real estate market. </w:t>
            </w:r>
          </w:p>
        </w:tc>
        <w:tc>
          <w:tcPr>
            <w:tcW w:w="224" w:type="dxa"/>
            <w:shd w:val="clear" w:color="auto" w:fill="auto"/>
            <w:tcMar>
              <w:left w:w="0" w:type="dxa"/>
            </w:tcMar>
          </w:tcPr>
          <w:p w14:paraId="26A020E5"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681AC782" w14:textId="316964F6" w:rsidR="00435DE8" w:rsidRPr="00D160FB" w:rsidRDefault="00435DE8" w:rsidP="00435DE8">
            <w:pPr>
              <w:rPr>
                <w:lang w:val="en-GB"/>
              </w:rPr>
            </w:pPr>
            <w:r w:rsidRPr="00D160FB">
              <w:rPr>
                <w:lang w:val="en-GB"/>
              </w:rPr>
              <w:t xml:space="preserve">Realised prices of older flats were by 14.7% higher in Prague year-on-year last year. The year-on-year dynamics of flats outside Prague however attacked 30% mainly in the first half of the year and the increase maintained its hold high above 20% still in Q3. The realised prices of older flats in the CR however increased by 13.8%, by 15.3% outside Prague and by 8.4% in Prague in Q4 itself. Quarter-on-quarter the </w:t>
            </w:r>
            <w:r w:rsidR="00D22437">
              <w:rPr>
                <w:lang w:val="en-GB"/>
              </w:rPr>
              <w:t xml:space="preserve">realized prices of older </w:t>
            </w:r>
            <w:r w:rsidRPr="00D160FB">
              <w:rPr>
                <w:lang w:val="en-GB"/>
              </w:rPr>
              <w:t xml:space="preserve">flats in the CR recorded decrease of 1.0%, first since Q4 2013. Realised prices of older flats outside Prague were by 1.4% lower compared to Q3 (first decrease since Q3 2013). Small growth of 0.4% manifested only in case of Prague. Realised prices of new flats, which are available only for Prague, describe similar development – their year-on-year increase dived to 2.9% in Q4 and prices lowered quarter-on-quarter by 4.3%. A sharp plunge of demand can be seen from the development described above, associated with the rapid increase of price of mortgage financing. This situation again enables the buyers to negotiate regarding the price after long years. Growth of the catalogue prices did slowdown; the market reality is however mirrored more in the plunge of the realised prices. It can also be observed that the sharp hike of prices of flats outside of Prague, which was evident in the last two years, more profoundly encountered the ceiling of the financial capabilities of the buyers as well as the interest of potential investors.     </w:t>
            </w:r>
          </w:p>
        </w:tc>
      </w:tr>
      <w:tr w:rsidR="00435DE8" w:rsidRPr="00D160FB" w14:paraId="20E8557C" w14:textId="77777777" w:rsidTr="00435DE8">
        <w:trPr>
          <w:trHeight w:val="145"/>
        </w:trPr>
        <w:tc>
          <w:tcPr>
            <w:tcW w:w="1804" w:type="dxa"/>
            <w:shd w:val="clear" w:color="auto" w:fill="auto"/>
            <w:tcMar>
              <w:left w:w="0" w:type="dxa"/>
            </w:tcMar>
          </w:tcPr>
          <w:p w14:paraId="7131CE27" w14:textId="0175A7DA" w:rsidR="00435DE8" w:rsidRPr="00D160FB" w:rsidRDefault="00435DE8" w:rsidP="00435DE8">
            <w:pPr>
              <w:pStyle w:val="Marginlie"/>
              <w:rPr>
                <w:spacing w:val="0"/>
                <w:lang w:val="en-GB"/>
              </w:rPr>
            </w:pPr>
            <w:r w:rsidRPr="00D160FB">
              <w:rPr>
                <w:spacing w:val="0"/>
                <w:lang w:val="en-GB"/>
              </w:rPr>
              <w:t xml:space="preserve">Prices of industrial producers were affected by the sharp surge of prices of materials as well as energies. </w:t>
            </w:r>
          </w:p>
        </w:tc>
        <w:tc>
          <w:tcPr>
            <w:tcW w:w="224" w:type="dxa"/>
            <w:shd w:val="clear" w:color="auto" w:fill="auto"/>
            <w:tcMar>
              <w:left w:w="0" w:type="dxa"/>
            </w:tcMar>
          </w:tcPr>
          <w:p w14:paraId="1EBE9D24"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119F2202" w14:textId="2C3827A6" w:rsidR="00435DE8" w:rsidRPr="00D160FB" w:rsidRDefault="00435DE8" w:rsidP="00435DE8">
            <w:pPr>
              <w:rPr>
                <w:lang w:val="en-GB"/>
              </w:rPr>
            </w:pPr>
            <w:r w:rsidRPr="00D160FB">
              <w:rPr>
                <w:lang w:val="en-GB"/>
              </w:rPr>
              <w:t xml:space="preserve">Prices of industrial producers hiked up by 24.3% last year. Very strong increase was affected by the development of prices of materials and energies, which practically hit the whole industry spectrum. Year-on-year growth of prices of industrial producers peaked in Q2 of the year and then weakened. Increases attained gradually 21.8%, 27.7% and 25.9% in individual quarters. Prices rose by 21.8% year-on-year in Q4 itself.  </w:t>
            </w:r>
          </w:p>
        </w:tc>
      </w:tr>
      <w:tr w:rsidR="00435DE8" w:rsidRPr="00D160FB" w14:paraId="193BDEE8" w14:textId="77777777" w:rsidTr="00435DE8">
        <w:trPr>
          <w:trHeight w:val="145"/>
        </w:trPr>
        <w:tc>
          <w:tcPr>
            <w:tcW w:w="1804" w:type="dxa"/>
            <w:shd w:val="clear" w:color="auto" w:fill="auto"/>
            <w:tcMar>
              <w:left w:w="0" w:type="dxa"/>
            </w:tcMar>
          </w:tcPr>
          <w:p w14:paraId="0C2436B7" w14:textId="3F4CE6EF" w:rsidR="00435DE8" w:rsidRPr="00D160FB" w:rsidRDefault="00435DE8" w:rsidP="00435DE8">
            <w:pPr>
              <w:pStyle w:val="Marginlie"/>
              <w:rPr>
                <w:spacing w:val="0"/>
                <w:lang w:val="en-GB"/>
              </w:rPr>
            </w:pPr>
            <w:r w:rsidRPr="00D160FB">
              <w:rPr>
                <w:spacing w:val="0"/>
                <w:lang w:val="en-GB"/>
              </w:rPr>
              <w:t xml:space="preserve">Increase of the prices of food products exerted the highest influence on the prices of products and services of manufacturing at the end of the year. </w:t>
            </w:r>
          </w:p>
        </w:tc>
        <w:tc>
          <w:tcPr>
            <w:tcW w:w="224" w:type="dxa"/>
            <w:shd w:val="clear" w:color="auto" w:fill="auto"/>
            <w:tcMar>
              <w:left w:w="0" w:type="dxa"/>
            </w:tcMar>
          </w:tcPr>
          <w:p w14:paraId="6453B497"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7A43E1D7" w14:textId="308435AD" w:rsidR="00435DE8" w:rsidRPr="00D160FB" w:rsidRDefault="00435DE8" w:rsidP="00435DE8">
            <w:pPr>
              <w:rPr>
                <w:lang w:val="en-GB"/>
              </w:rPr>
            </w:pPr>
            <w:r w:rsidRPr="00D160FB">
              <w:rPr>
                <w:lang w:val="en-GB"/>
              </w:rPr>
              <w:t xml:space="preserve">Prices of </w:t>
            </w:r>
            <w:r w:rsidR="00186538">
              <w:rPr>
                <w:lang w:val="en-GB"/>
              </w:rPr>
              <w:t xml:space="preserve">manufactured </w:t>
            </w:r>
            <w:r w:rsidRPr="00D160FB">
              <w:rPr>
                <w:lang w:val="en-GB"/>
              </w:rPr>
              <w:t>product</w:t>
            </w:r>
            <w:r w:rsidR="00186538">
              <w:rPr>
                <w:lang w:val="en-GB"/>
              </w:rPr>
              <w:t>s</w:t>
            </w:r>
            <w:r w:rsidRPr="00D160FB">
              <w:rPr>
                <w:lang w:val="en-GB"/>
              </w:rPr>
              <w:t xml:space="preserve"> contributed the most to the total growth last year (19.5%). These were influenced mainly by the sharp surge of prices of coke and refined </w:t>
            </w:r>
            <w:r w:rsidR="00186538">
              <w:rPr>
                <w:lang w:val="en-GB"/>
              </w:rPr>
              <w:t>petroleum</w:t>
            </w:r>
            <w:r w:rsidRPr="00D160FB">
              <w:rPr>
                <w:lang w:val="en-GB"/>
              </w:rPr>
              <w:t xml:space="preserve"> products</w:t>
            </w:r>
            <w:r w:rsidRPr="00D160FB">
              <w:rPr>
                <w:rStyle w:val="Znakapoznpodarou"/>
                <w:lang w:val="en-GB"/>
              </w:rPr>
              <w:footnoteReference w:id="4"/>
            </w:r>
            <w:r w:rsidRPr="00D160FB">
              <w:rPr>
                <w:lang w:val="en-GB"/>
              </w:rPr>
              <w:t xml:space="preserve">. Food products, beverages and tobacco (19.2%) had the second largest impact on the growth of prices of industrial producers and prices of basic metals and </w:t>
            </w:r>
            <w:r w:rsidR="00186538">
              <w:rPr>
                <w:lang w:val="en-GB"/>
              </w:rPr>
              <w:t>fabricated metal</w:t>
            </w:r>
            <w:r w:rsidRPr="00D160FB">
              <w:rPr>
                <w:lang w:val="en-GB"/>
              </w:rPr>
              <w:t xml:space="preserve"> products (22.3%), rubber and plastic products, other non-metal</w:t>
            </w:r>
            <w:r w:rsidR="00186538">
              <w:rPr>
                <w:lang w:val="en-GB"/>
              </w:rPr>
              <w:t>lic</w:t>
            </w:r>
            <w:r w:rsidRPr="00D160FB">
              <w:rPr>
                <w:lang w:val="en-GB"/>
              </w:rPr>
              <w:t xml:space="preserve"> mineral products (19.7%) and chemical</w:t>
            </w:r>
            <w:r w:rsidR="00186538">
              <w:rPr>
                <w:lang w:val="en-GB"/>
              </w:rPr>
              <w:t xml:space="preserve">s and chemical </w:t>
            </w:r>
            <w:r w:rsidRPr="00D160FB">
              <w:rPr>
                <w:lang w:val="en-GB"/>
              </w:rPr>
              <w:t>products (35.2%) also strongly contributed. Prices of wood, paper and print</w:t>
            </w:r>
            <w:r w:rsidR="00186538">
              <w:rPr>
                <w:lang w:val="en-GB"/>
              </w:rPr>
              <w:t>ing</w:t>
            </w:r>
            <w:r w:rsidRPr="00D160FB">
              <w:rPr>
                <w:lang w:val="en-GB"/>
              </w:rPr>
              <w:t xml:space="preserve"> (24.8%), textiles, </w:t>
            </w:r>
            <w:r w:rsidR="00186538">
              <w:rPr>
                <w:lang w:val="en-GB"/>
              </w:rPr>
              <w:t>clothes</w:t>
            </w:r>
            <w:r w:rsidRPr="00D160FB">
              <w:rPr>
                <w:lang w:val="en-GB"/>
              </w:rPr>
              <w:t xml:space="preserve"> and leather (13.1%) and machinery and equipment (11.6%) also grew strongly last year. Increase of prices of furniture and other </w:t>
            </w:r>
            <w:r w:rsidR="002B03C2">
              <w:rPr>
                <w:lang w:val="en-GB"/>
              </w:rPr>
              <w:t xml:space="preserve">manufactured </w:t>
            </w:r>
            <w:r w:rsidRPr="00D160FB">
              <w:rPr>
                <w:lang w:val="en-GB"/>
              </w:rPr>
              <w:t xml:space="preserve">products (8.9%), computer, electronic and optical </w:t>
            </w:r>
            <w:r w:rsidR="002B03C2">
              <w:rPr>
                <w:lang w:val="en-GB"/>
              </w:rPr>
              <w:t>products</w:t>
            </w:r>
            <w:r w:rsidRPr="00D160FB">
              <w:rPr>
                <w:lang w:val="en-GB"/>
              </w:rPr>
              <w:t xml:space="preserve"> (6.9%</w:t>
            </w:r>
            <w:r w:rsidR="00186538" w:rsidRPr="00D160FB">
              <w:rPr>
                <w:lang w:val="en-GB"/>
              </w:rPr>
              <w:t>), electrical</w:t>
            </w:r>
            <w:r w:rsidRPr="00D160FB">
              <w:rPr>
                <w:lang w:val="en-GB"/>
              </w:rPr>
              <w:t xml:space="preserve"> equipment (6.3%), basic pharmaceutical products (6.0%) were relatively milder. Prices of manufactur</w:t>
            </w:r>
            <w:r w:rsidR="002B03C2">
              <w:rPr>
                <w:lang w:val="en-GB"/>
              </w:rPr>
              <w:t>ed products</w:t>
            </w:r>
            <w:r w:rsidRPr="00D160FB">
              <w:rPr>
                <w:lang w:val="en-GB"/>
              </w:rPr>
              <w:t xml:space="preserve"> rose by 16.0% year-on-year in Q4 2022, which was the weakest increase within the last year. The strong basis from the end of year 2021, when the sharp hike of prices of materials was already apparent, also had partially effect on the weakening. Still growing increase of prices of food products, beverages and tobacco (25.7%) added the most to the growth. The influence of coke and </w:t>
            </w:r>
            <w:r w:rsidR="00186538">
              <w:rPr>
                <w:lang w:val="en-GB"/>
              </w:rPr>
              <w:t>refined petroleum</w:t>
            </w:r>
            <w:r w:rsidRPr="00D160FB">
              <w:rPr>
                <w:lang w:val="en-GB"/>
              </w:rPr>
              <w:t xml:space="preserve"> products in contrast notably weakened. Rubber and plastic products, other non-metal</w:t>
            </w:r>
            <w:r w:rsidR="002B03C2">
              <w:rPr>
                <w:lang w:val="en-GB"/>
              </w:rPr>
              <w:t>lic</w:t>
            </w:r>
            <w:r w:rsidRPr="00D160FB">
              <w:rPr>
                <w:lang w:val="en-GB"/>
              </w:rPr>
              <w:t xml:space="preserve"> mineral products (20.1%) maintained a strong effect. Similarly to the prices of </w:t>
            </w:r>
            <w:r w:rsidR="002B03C2">
              <w:rPr>
                <w:lang w:val="en-GB"/>
              </w:rPr>
              <w:t>petroleum</w:t>
            </w:r>
            <w:r w:rsidRPr="00D160FB">
              <w:rPr>
                <w:lang w:val="en-GB"/>
              </w:rPr>
              <w:t xml:space="preserve">, the year-on-year growth of prices of basic metals and </w:t>
            </w:r>
            <w:r w:rsidR="00186538">
              <w:rPr>
                <w:lang w:val="en-GB"/>
              </w:rPr>
              <w:t>fabricated metal</w:t>
            </w:r>
            <w:r w:rsidRPr="00D160FB">
              <w:rPr>
                <w:lang w:val="en-GB"/>
              </w:rPr>
              <w:t xml:space="preserve"> products weakened (13.1%).</w:t>
            </w:r>
          </w:p>
        </w:tc>
      </w:tr>
      <w:tr w:rsidR="00435DE8" w:rsidRPr="00D160FB" w14:paraId="557ED1DD" w14:textId="77777777" w:rsidTr="00435DE8">
        <w:trPr>
          <w:trHeight w:val="145"/>
        </w:trPr>
        <w:tc>
          <w:tcPr>
            <w:tcW w:w="1804" w:type="dxa"/>
            <w:shd w:val="clear" w:color="auto" w:fill="auto"/>
            <w:tcMar>
              <w:left w:w="0" w:type="dxa"/>
            </w:tcMar>
          </w:tcPr>
          <w:p w14:paraId="28E3300B" w14:textId="3BD53653" w:rsidR="00435DE8" w:rsidRPr="00D160FB" w:rsidRDefault="00435DE8" w:rsidP="00435DE8">
            <w:pPr>
              <w:pStyle w:val="Marginlie"/>
              <w:rPr>
                <w:spacing w:val="0"/>
                <w:lang w:val="en-GB"/>
              </w:rPr>
            </w:pPr>
            <w:r w:rsidRPr="00D160FB">
              <w:rPr>
                <w:spacing w:val="0"/>
                <w:lang w:val="en-GB"/>
              </w:rPr>
              <w:t xml:space="preserve">Year-on-year increase of prices of electricity mildly slowed down at the end of the year.  </w:t>
            </w:r>
          </w:p>
        </w:tc>
        <w:tc>
          <w:tcPr>
            <w:tcW w:w="224" w:type="dxa"/>
            <w:shd w:val="clear" w:color="auto" w:fill="auto"/>
            <w:tcMar>
              <w:left w:w="0" w:type="dxa"/>
            </w:tcMar>
          </w:tcPr>
          <w:p w14:paraId="2EB6CD98"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35FA1184" w14:textId="1CB3105D" w:rsidR="00435DE8" w:rsidRPr="00D160FB" w:rsidRDefault="00435DE8" w:rsidP="00435DE8">
            <w:pPr>
              <w:rPr>
                <w:lang w:val="en-GB"/>
              </w:rPr>
            </w:pPr>
            <w:r w:rsidRPr="00D160FB">
              <w:rPr>
                <w:lang w:val="en-GB"/>
              </w:rPr>
              <w:t xml:space="preserve">Prices of electricity, gas, steam and air conditioning hiked up by 50.7% last year. Year-on-year growth of prices accelerated here for the entire year until Q3. The year-on-year increase slightly slowed down to 54.3% in Q4, it was however partially the effect of </w:t>
            </w:r>
            <w:r w:rsidRPr="00D160FB">
              <w:rPr>
                <w:lang w:val="en-GB"/>
              </w:rPr>
              <w:lastRenderedPageBreak/>
              <w:t xml:space="preserve">comparative basis from the preceding year, when the acceleration dynamics of prices of electricity was already strongly evident. Prices of mining and quarrying were in total higher by 27.5% last year. It was mostly the result of the surge of prices of </w:t>
            </w:r>
            <w:r w:rsidR="002B03C2">
              <w:rPr>
                <w:lang w:val="en-GB"/>
              </w:rPr>
              <w:t>crude petroleum</w:t>
            </w:r>
            <w:r w:rsidRPr="00D160FB">
              <w:rPr>
                <w:lang w:val="en-GB"/>
              </w:rPr>
              <w:t xml:space="preserve"> and natural gas (70.4%), but prices of other materials, e.g. the building materials, which were included into other mining and quarrying</w:t>
            </w:r>
            <w:r w:rsidR="002B03C2">
              <w:rPr>
                <w:lang w:val="en-GB"/>
              </w:rPr>
              <w:t xml:space="preserve"> products</w:t>
            </w:r>
            <w:r w:rsidRPr="00D160FB">
              <w:rPr>
                <w:lang w:val="en-GB"/>
              </w:rPr>
              <w:t xml:space="preserve"> also grew strongly (17.9%). The increase weakened also for prices of mining and quarrying year-on-year in Q4 (23.3%).  </w:t>
            </w:r>
          </w:p>
        </w:tc>
      </w:tr>
      <w:tr w:rsidR="00435DE8" w:rsidRPr="00D160FB" w14:paraId="48B70D60" w14:textId="77777777" w:rsidTr="00435DE8">
        <w:trPr>
          <w:trHeight w:val="145"/>
        </w:trPr>
        <w:tc>
          <w:tcPr>
            <w:tcW w:w="1804" w:type="dxa"/>
            <w:shd w:val="clear" w:color="auto" w:fill="auto"/>
            <w:tcMar>
              <w:left w:w="0" w:type="dxa"/>
            </w:tcMar>
          </w:tcPr>
          <w:p w14:paraId="7D45EE1D" w14:textId="4C59B404" w:rsidR="00435DE8" w:rsidRPr="00D160FB" w:rsidRDefault="00435DE8" w:rsidP="00435DE8">
            <w:pPr>
              <w:pStyle w:val="Marginlie"/>
              <w:rPr>
                <w:spacing w:val="0"/>
                <w:lang w:val="en-GB"/>
              </w:rPr>
            </w:pPr>
            <w:r w:rsidRPr="00D160FB">
              <w:rPr>
                <w:spacing w:val="0"/>
                <w:lang w:val="en-GB"/>
              </w:rPr>
              <w:lastRenderedPageBreak/>
              <w:t xml:space="preserve">Prices of industrial producers went sharply up in the EU. </w:t>
            </w:r>
          </w:p>
        </w:tc>
        <w:tc>
          <w:tcPr>
            <w:tcW w:w="224" w:type="dxa"/>
            <w:shd w:val="clear" w:color="auto" w:fill="auto"/>
            <w:tcMar>
              <w:left w:w="0" w:type="dxa"/>
            </w:tcMar>
          </w:tcPr>
          <w:p w14:paraId="7ECCBEC6"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0FBFB608" w14:textId="55F0A5A8" w:rsidR="00435DE8" w:rsidRPr="00D160FB" w:rsidRDefault="00435DE8" w:rsidP="00435DE8">
            <w:pPr>
              <w:rPr>
                <w:lang w:val="en-GB"/>
              </w:rPr>
            </w:pPr>
            <w:r w:rsidRPr="00D160FB">
              <w:rPr>
                <w:lang w:val="en-GB"/>
              </w:rPr>
              <w:t>Industrial producer prices</w:t>
            </w:r>
            <w:r w:rsidRPr="00D160FB">
              <w:rPr>
                <w:rStyle w:val="Znakapoznpodarou"/>
                <w:lang w:val="en-GB"/>
              </w:rPr>
              <w:footnoteReference w:id="5"/>
            </w:r>
            <w:r w:rsidRPr="00D160FB">
              <w:rPr>
                <w:lang w:val="en-GB"/>
              </w:rPr>
              <w:t xml:space="preserve"> jumped up by 34.3% in the EU last year, while they continued in the very high increase of 12.4% from year 2021. Prices of mining and quarrying were by 69.7% higher, manufactur</w:t>
            </w:r>
            <w:r w:rsidR="00BE779C">
              <w:rPr>
                <w:lang w:val="en-GB"/>
              </w:rPr>
              <w:t>ed products</w:t>
            </w:r>
            <w:r w:rsidRPr="00D160FB">
              <w:rPr>
                <w:lang w:val="en-GB"/>
              </w:rPr>
              <w:t xml:space="preserve"> by 17.6% and electricity, gas, steam and air conditioning by 94.9%. Prices of industrial producers grew the most in Romania (58.1%), Hungary (53.1%) and Latvia (49.5%) last year. Prices in Malta (8.8%), Sweden (20.4%) and Portugal (20.6%) featured the lowest increase. The year-on-year dynamics of prices of industrial producers was strengthening until Q3 and the increase weakened to 27.9% in Q4. At the same time the prices dropped quarter-on-quarter for the first time since Q2 2020 (−0.3%). The slowdown of the year-on-year increase concerned all divisions. Prices of mining and quarrying were by 39.9% higher year-on-year, </w:t>
            </w:r>
            <w:r w:rsidR="003B7B37">
              <w:rPr>
                <w:lang w:val="en-GB"/>
              </w:rPr>
              <w:t xml:space="preserve">manufactured </w:t>
            </w:r>
            <w:r w:rsidRPr="00D160FB">
              <w:rPr>
                <w:lang w:val="en-GB"/>
              </w:rPr>
              <w:t>products</w:t>
            </w:r>
            <w:r w:rsidR="003B7B37">
              <w:rPr>
                <w:lang w:val="en-GB"/>
              </w:rPr>
              <w:t xml:space="preserve"> </w:t>
            </w:r>
            <w:r w:rsidRPr="00D160FB">
              <w:rPr>
                <w:lang w:val="en-GB"/>
              </w:rPr>
              <w:t>by 15.3% and electricity, gas, steam and air conditioning by 64.0%. Prices of industrial producers in Hungary (64.7%), Latvia (53.1%) and Romania (46.6%) grew the most year-on-year at the end of the year. In contrast, the prices fell year-on-year in Ireland (−6.1%) and the smallest increases were recorded in Malta (8.1%) and in Portugal (10.8%).</w:t>
            </w:r>
          </w:p>
        </w:tc>
      </w:tr>
      <w:tr w:rsidR="00435DE8" w:rsidRPr="00D160FB" w14:paraId="292744FD" w14:textId="77777777" w:rsidTr="00435DE8">
        <w:trPr>
          <w:trHeight w:val="170"/>
        </w:trPr>
        <w:tc>
          <w:tcPr>
            <w:tcW w:w="1804" w:type="dxa"/>
            <w:vMerge w:val="restart"/>
            <w:shd w:val="clear" w:color="auto" w:fill="auto"/>
            <w:tcMar>
              <w:left w:w="0" w:type="dxa"/>
            </w:tcMar>
          </w:tcPr>
          <w:p w14:paraId="3188E5C1" w14:textId="77777777" w:rsidR="00435DE8" w:rsidRPr="00D160FB" w:rsidRDefault="00435DE8" w:rsidP="00435DE8">
            <w:pPr>
              <w:pStyle w:val="Marginlie"/>
              <w:rPr>
                <w:spacing w:val="0"/>
                <w:lang w:val="en-GB"/>
              </w:rPr>
            </w:pPr>
          </w:p>
        </w:tc>
        <w:tc>
          <w:tcPr>
            <w:tcW w:w="224" w:type="dxa"/>
            <w:vMerge w:val="restart"/>
            <w:shd w:val="clear" w:color="auto" w:fill="auto"/>
            <w:tcMar>
              <w:left w:w="0" w:type="dxa"/>
            </w:tcMar>
          </w:tcPr>
          <w:p w14:paraId="6BE2FAB2" w14:textId="77777777" w:rsidR="00435DE8" w:rsidRPr="00D160FB" w:rsidRDefault="00435DE8" w:rsidP="00435DE8">
            <w:pPr>
              <w:pStyle w:val="Textpoznpodarou1"/>
              <w:jc w:val="both"/>
              <w:rPr>
                <w:highlight w:val="yellow"/>
                <w:lang w:val="en-GB"/>
              </w:rPr>
            </w:pPr>
          </w:p>
        </w:tc>
        <w:tc>
          <w:tcPr>
            <w:tcW w:w="7611" w:type="dxa"/>
            <w:shd w:val="clear" w:color="auto" w:fill="auto"/>
            <w:tcMar>
              <w:left w:w="0" w:type="dxa"/>
            </w:tcMar>
          </w:tcPr>
          <w:p w14:paraId="7DB879D8" w14:textId="674CE4D3" w:rsidR="00435DE8" w:rsidRPr="00D160FB" w:rsidRDefault="00435DE8" w:rsidP="00435DE8">
            <w:pPr>
              <w:spacing w:after="0"/>
              <w:rPr>
                <w:b/>
                <w:szCs w:val="20"/>
                <w:lang w:val="en-GB"/>
              </w:rPr>
            </w:pPr>
            <w:r w:rsidRPr="00D160FB">
              <w:rPr>
                <w:b/>
                <w:sz w:val="18"/>
                <w:szCs w:val="18"/>
                <w:lang w:val="en-GB"/>
              </w:rPr>
              <w:t xml:space="preserve">Chart 13 </w:t>
            </w:r>
            <w:r w:rsidRPr="00D160FB">
              <w:rPr>
                <w:b/>
                <w:szCs w:val="20"/>
                <w:lang w:val="en-GB" w:eastAsia="en-US"/>
              </w:rPr>
              <w:t xml:space="preserve">Prices of main groups of industrial producers </w:t>
            </w:r>
            <w:r w:rsidRPr="00D160FB">
              <w:rPr>
                <w:bCs/>
                <w:szCs w:val="20"/>
                <w:lang w:val="en-GB" w:eastAsia="en-US"/>
              </w:rPr>
              <w:t>(year-on-year change, in %, based on CPA classification)</w:t>
            </w:r>
            <w:r w:rsidRPr="00D160FB">
              <w:rPr>
                <w:b/>
                <w:szCs w:val="20"/>
                <w:lang w:val="en-GB" w:eastAsia="en-US"/>
              </w:rPr>
              <w:t xml:space="preserve"> </w:t>
            </w:r>
          </w:p>
        </w:tc>
      </w:tr>
      <w:tr w:rsidR="00435DE8" w:rsidRPr="00D160FB" w14:paraId="67C13DFF" w14:textId="77777777" w:rsidTr="00435DE8">
        <w:tblPrEx>
          <w:tblCellMar>
            <w:left w:w="70" w:type="dxa"/>
            <w:right w:w="70" w:type="dxa"/>
          </w:tblCellMar>
        </w:tblPrEx>
        <w:trPr>
          <w:trHeight w:val="170"/>
        </w:trPr>
        <w:tc>
          <w:tcPr>
            <w:tcW w:w="1804" w:type="dxa"/>
            <w:vMerge/>
          </w:tcPr>
          <w:p w14:paraId="628E5894" w14:textId="77777777" w:rsidR="00435DE8" w:rsidRPr="00D160FB" w:rsidRDefault="00435DE8" w:rsidP="00435DE8">
            <w:pPr>
              <w:pStyle w:val="Marginlie"/>
              <w:rPr>
                <w:spacing w:val="0"/>
                <w:lang w:val="en-GB"/>
              </w:rPr>
            </w:pPr>
          </w:p>
        </w:tc>
        <w:tc>
          <w:tcPr>
            <w:tcW w:w="224" w:type="dxa"/>
            <w:vMerge/>
          </w:tcPr>
          <w:p w14:paraId="09E9083A" w14:textId="77777777" w:rsidR="00435DE8" w:rsidRPr="00D160FB" w:rsidRDefault="00435DE8" w:rsidP="00435DE8">
            <w:pPr>
              <w:pStyle w:val="Textpoznpodarou1"/>
              <w:jc w:val="both"/>
              <w:rPr>
                <w:lang w:val="en-GB"/>
              </w:rPr>
            </w:pPr>
          </w:p>
        </w:tc>
        <w:tc>
          <w:tcPr>
            <w:tcW w:w="7611" w:type="dxa"/>
            <w:shd w:val="clear" w:color="auto" w:fill="auto"/>
          </w:tcPr>
          <w:p w14:paraId="4BED401C" w14:textId="2200B8D3" w:rsidR="00435DE8" w:rsidRPr="00D160FB" w:rsidRDefault="00435DE8" w:rsidP="00435DE8">
            <w:pPr>
              <w:spacing w:after="0"/>
              <w:rPr>
                <w:lang w:val="en-GB"/>
              </w:rPr>
            </w:pPr>
            <w:r>
              <w:rPr>
                <w:noProof/>
              </w:rPr>
              <w:drawing>
                <wp:inline distT="0" distB="0" distL="0" distR="0" wp14:anchorId="10BF4A6D" wp14:editId="1596EDEC">
                  <wp:extent cx="4743950" cy="3381750"/>
                  <wp:effectExtent l="0" t="0" r="0" b="0"/>
                  <wp:docPr id="853759090" name="Graf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35DE8" w:rsidRPr="00D160FB" w14:paraId="0D20FFE4" w14:textId="77777777" w:rsidTr="00435DE8">
        <w:trPr>
          <w:trHeight w:val="170"/>
        </w:trPr>
        <w:tc>
          <w:tcPr>
            <w:tcW w:w="1804" w:type="dxa"/>
            <w:vMerge/>
            <w:tcMar>
              <w:left w:w="0" w:type="dxa"/>
            </w:tcMar>
          </w:tcPr>
          <w:p w14:paraId="7B7458F1" w14:textId="77777777" w:rsidR="00435DE8" w:rsidRPr="00D160FB" w:rsidRDefault="00435DE8" w:rsidP="00435DE8">
            <w:pPr>
              <w:pStyle w:val="Marginlie"/>
              <w:rPr>
                <w:spacing w:val="0"/>
                <w:lang w:val="en-GB"/>
              </w:rPr>
            </w:pPr>
          </w:p>
        </w:tc>
        <w:tc>
          <w:tcPr>
            <w:tcW w:w="224" w:type="dxa"/>
            <w:vMerge/>
            <w:tcMar>
              <w:left w:w="0" w:type="dxa"/>
            </w:tcMar>
          </w:tcPr>
          <w:p w14:paraId="398518AD"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421079E4" w14:textId="233479F6" w:rsidR="00435DE8" w:rsidRPr="00D160FB" w:rsidRDefault="00435DE8" w:rsidP="00435DE8">
            <w:pPr>
              <w:rPr>
                <w:b/>
                <w:bCs/>
                <w:sz w:val="16"/>
                <w:szCs w:val="16"/>
                <w:lang w:val="en-GB"/>
              </w:rPr>
            </w:pPr>
            <w:r w:rsidRPr="00D160FB">
              <w:rPr>
                <w:sz w:val="14"/>
                <w:szCs w:val="14"/>
                <w:lang w:val="en-GB"/>
              </w:rPr>
              <w:t>Source: CZSO</w:t>
            </w:r>
          </w:p>
        </w:tc>
      </w:tr>
      <w:tr w:rsidR="00435DE8" w:rsidRPr="00D160FB" w14:paraId="55B9C3EE" w14:textId="77777777" w:rsidTr="00435DE8">
        <w:trPr>
          <w:trHeight w:val="145"/>
        </w:trPr>
        <w:tc>
          <w:tcPr>
            <w:tcW w:w="1804" w:type="dxa"/>
            <w:shd w:val="clear" w:color="auto" w:fill="auto"/>
            <w:tcMar>
              <w:left w:w="0" w:type="dxa"/>
            </w:tcMar>
          </w:tcPr>
          <w:p w14:paraId="46057C0F" w14:textId="78949843" w:rsidR="00435DE8" w:rsidRPr="00D160FB" w:rsidRDefault="00435DE8" w:rsidP="00435DE8">
            <w:pPr>
              <w:pStyle w:val="Marginlie"/>
              <w:rPr>
                <w:spacing w:val="0"/>
                <w:lang w:val="en-GB"/>
              </w:rPr>
            </w:pPr>
            <w:r w:rsidRPr="00D160FB">
              <w:rPr>
                <w:spacing w:val="0"/>
                <w:lang w:val="en-GB"/>
              </w:rPr>
              <w:t xml:space="preserve">Prices of construction works grew strongly last year. </w:t>
            </w:r>
          </w:p>
        </w:tc>
        <w:tc>
          <w:tcPr>
            <w:tcW w:w="224" w:type="dxa"/>
            <w:shd w:val="clear" w:color="auto" w:fill="auto"/>
            <w:tcMar>
              <w:left w:w="0" w:type="dxa"/>
            </w:tcMar>
          </w:tcPr>
          <w:p w14:paraId="5B75280F"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388EB4C5" w14:textId="1551FBAF" w:rsidR="00435DE8" w:rsidRPr="00D160FB" w:rsidRDefault="00435DE8" w:rsidP="00435DE8">
            <w:pPr>
              <w:rPr>
                <w:lang w:val="en-GB"/>
              </w:rPr>
            </w:pPr>
            <w:r w:rsidRPr="00D160FB">
              <w:rPr>
                <w:lang w:val="en-GB"/>
              </w:rPr>
              <w:t xml:space="preserve">Prices of construction works went up in total by 12.3% last year. In that prices of </w:t>
            </w:r>
            <w:r w:rsidR="003B7B37">
              <w:rPr>
                <w:lang w:val="en-GB"/>
              </w:rPr>
              <w:t xml:space="preserve">material inputs of construction output </w:t>
            </w:r>
            <w:r w:rsidRPr="00D160FB">
              <w:rPr>
                <w:lang w:val="en-GB"/>
              </w:rPr>
              <w:t xml:space="preserve">rose by 20.7%. Year-on-year growth of prices of construction works peaked in Q2 and then slightly weakened. Prices of construction works grew by 12.0% year-in-year and by 1.2% quarter-on-quarter in Q4. Prices of </w:t>
            </w:r>
            <w:r w:rsidR="003B7B37">
              <w:rPr>
                <w:lang w:val="en-GB"/>
              </w:rPr>
              <w:lastRenderedPageBreak/>
              <w:t xml:space="preserve">material inputs of construction output </w:t>
            </w:r>
            <w:r w:rsidRPr="00D160FB">
              <w:rPr>
                <w:lang w:val="en-GB"/>
              </w:rPr>
              <w:t xml:space="preserve">were by 16.7% higher year-on-year and stagnated quarter-on-quarter.  </w:t>
            </w:r>
          </w:p>
        </w:tc>
      </w:tr>
      <w:tr w:rsidR="00435DE8" w:rsidRPr="00D160FB" w14:paraId="6A01922F" w14:textId="77777777" w:rsidTr="00435DE8">
        <w:trPr>
          <w:trHeight w:val="145"/>
        </w:trPr>
        <w:tc>
          <w:tcPr>
            <w:tcW w:w="1804" w:type="dxa"/>
            <w:shd w:val="clear" w:color="auto" w:fill="auto"/>
            <w:tcMar>
              <w:left w:w="0" w:type="dxa"/>
            </w:tcMar>
          </w:tcPr>
          <w:p w14:paraId="529E5D8C" w14:textId="7947911B" w:rsidR="00435DE8" w:rsidRPr="00D160FB" w:rsidRDefault="00435DE8" w:rsidP="00435DE8">
            <w:pPr>
              <w:pStyle w:val="Marginlie"/>
              <w:rPr>
                <w:spacing w:val="0"/>
                <w:lang w:val="en-GB"/>
              </w:rPr>
            </w:pPr>
            <w:r w:rsidRPr="00D160FB">
              <w:rPr>
                <w:spacing w:val="0"/>
                <w:lang w:val="en-GB"/>
              </w:rPr>
              <w:lastRenderedPageBreak/>
              <w:t xml:space="preserve">Prices of market services grew strongly under the influence of </w:t>
            </w:r>
            <w:r w:rsidR="00D840AF">
              <w:rPr>
                <w:lang w:val="en-GB"/>
              </w:rPr>
              <w:t>l</w:t>
            </w:r>
            <w:r w:rsidR="00D840AF" w:rsidRPr="007E4DAA">
              <w:rPr>
                <w:lang w:val="en-GB"/>
              </w:rPr>
              <w:t>and transport services and transport services via pipelines</w:t>
            </w:r>
            <w:r w:rsidR="00D840AF" w:rsidRPr="00D160FB">
              <w:rPr>
                <w:spacing w:val="0"/>
                <w:lang w:val="en-GB"/>
              </w:rPr>
              <w:t xml:space="preserve"> </w:t>
            </w:r>
            <w:r w:rsidRPr="00D160FB">
              <w:rPr>
                <w:spacing w:val="0"/>
                <w:lang w:val="en-GB"/>
              </w:rPr>
              <w:t xml:space="preserve">and warehousing and support </w:t>
            </w:r>
            <w:r w:rsidR="00D840AF">
              <w:rPr>
                <w:spacing w:val="0"/>
                <w:lang w:val="en-GB"/>
              </w:rPr>
              <w:t>services</w:t>
            </w:r>
            <w:r w:rsidRPr="00D160FB">
              <w:rPr>
                <w:spacing w:val="0"/>
                <w:lang w:val="en-GB"/>
              </w:rPr>
              <w:t xml:space="preserve"> for transportation.  </w:t>
            </w:r>
          </w:p>
        </w:tc>
        <w:tc>
          <w:tcPr>
            <w:tcW w:w="224" w:type="dxa"/>
            <w:shd w:val="clear" w:color="auto" w:fill="auto"/>
            <w:tcMar>
              <w:left w:w="0" w:type="dxa"/>
            </w:tcMar>
          </w:tcPr>
          <w:p w14:paraId="2077A6C4"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29457E0D" w14:textId="483211A0" w:rsidR="00435DE8" w:rsidRPr="00D160FB" w:rsidRDefault="00435DE8" w:rsidP="00435DE8">
            <w:pPr>
              <w:rPr>
                <w:lang w:val="en-GB"/>
              </w:rPr>
            </w:pPr>
            <w:r w:rsidRPr="00D160FB">
              <w:rPr>
                <w:lang w:val="en-GB"/>
              </w:rPr>
              <w:t xml:space="preserve">Prices of market services expanded in total by 5.8% last year. The increase gained pace markedly compared to the previous year, which was mainly caused by the prices of warehousing and support </w:t>
            </w:r>
            <w:r w:rsidR="007E4DAA">
              <w:rPr>
                <w:lang w:val="en-GB"/>
              </w:rPr>
              <w:t>services</w:t>
            </w:r>
            <w:r w:rsidRPr="00D160FB">
              <w:rPr>
                <w:lang w:val="en-GB"/>
              </w:rPr>
              <w:t xml:space="preserve"> for transportation, </w:t>
            </w:r>
            <w:r w:rsidR="007E4DAA" w:rsidRPr="007E4DAA">
              <w:rPr>
                <w:lang w:val="en-GB"/>
              </w:rPr>
              <w:tab/>
            </w:r>
            <w:r w:rsidR="007E4DAA">
              <w:rPr>
                <w:lang w:val="en-GB"/>
              </w:rPr>
              <w:t>l</w:t>
            </w:r>
            <w:r w:rsidR="007E4DAA" w:rsidRPr="007E4DAA">
              <w:rPr>
                <w:lang w:val="en-GB"/>
              </w:rPr>
              <w:t xml:space="preserve">and transport services and transport services via pipelines </w:t>
            </w:r>
            <w:r w:rsidRPr="00D160FB">
              <w:rPr>
                <w:lang w:val="en-GB"/>
              </w:rPr>
              <w:t>and then advertising and market research</w:t>
            </w:r>
            <w:r w:rsidR="007E4DAA">
              <w:rPr>
                <w:lang w:val="en-GB"/>
              </w:rPr>
              <w:t xml:space="preserve"> services</w:t>
            </w:r>
            <w:r w:rsidRPr="00D160FB">
              <w:rPr>
                <w:lang w:val="en-GB"/>
              </w:rPr>
              <w:t xml:space="preserve">. Rise of prices of warehousing and support </w:t>
            </w:r>
            <w:r w:rsidR="007E4DAA">
              <w:rPr>
                <w:lang w:val="en-GB"/>
              </w:rPr>
              <w:t>services</w:t>
            </w:r>
            <w:r w:rsidRPr="00D160FB">
              <w:rPr>
                <w:lang w:val="en-GB"/>
              </w:rPr>
              <w:t xml:space="preserve"> for transportation (15.1%) contributed the most to the total increase of prices of market services. Higher prices of advertising and market research </w:t>
            </w:r>
            <w:r w:rsidR="007E4DAA" w:rsidRPr="00D160FB">
              <w:rPr>
                <w:lang w:val="en-GB"/>
              </w:rPr>
              <w:t xml:space="preserve">services </w:t>
            </w:r>
            <w:r w:rsidRPr="00D160FB">
              <w:rPr>
                <w:lang w:val="en-GB"/>
              </w:rPr>
              <w:t xml:space="preserve">by 17.4% and </w:t>
            </w:r>
            <w:r w:rsidR="007E4DAA">
              <w:rPr>
                <w:lang w:val="en-GB"/>
              </w:rPr>
              <w:t>l</w:t>
            </w:r>
            <w:r w:rsidR="007E4DAA" w:rsidRPr="007E4DAA">
              <w:rPr>
                <w:lang w:val="en-GB"/>
              </w:rPr>
              <w:t>and transport services and transport services via pipelines</w:t>
            </w:r>
            <w:r w:rsidR="007E4DAA" w:rsidRPr="00D160FB">
              <w:rPr>
                <w:lang w:val="en-GB"/>
              </w:rPr>
              <w:t xml:space="preserve"> </w:t>
            </w:r>
            <w:r w:rsidRPr="00D160FB">
              <w:rPr>
                <w:lang w:val="en-GB"/>
              </w:rPr>
              <w:t xml:space="preserve">by 6.2% was also significant. Increase of prices in the area of </w:t>
            </w:r>
            <w:r w:rsidR="007E4DAA">
              <w:rPr>
                <w:lang w:val="en-GB"/>
              </w:rPr>
              <w:t xml:space="preserve">computer </w:t>
            </w:r>
            <w:r w:rsidRPr="00D160FB">
              <w:rPr>
                <w:lang w:val="en-GB"/>
              </w:rPr>
              <w:t>programming</w:t>
            </w:r>
            <w:r w:rsidR="007E4DAA">
              <w:rPr>
                <w:lang w:val="en-GB"/>
              </w:rPr>
              <w:t xml:space="preserve">, consultancy and </w:t>
            </w:r>
            <w:r w:rsidRPr="00D160FB">
              <w:rPr>
                <w:lang w:val="en-GB"/>
              </w:rPr>
              <w:t xml:space="preserve">related </w:t>
            </w:r>
            <w:r w:rsidR="007E4DAA">
              <w:rPr>
                <w:lang w:val="en-GB"/>
              </w:rPr>
              <w:t>services</w:t>
            </w:r>
            <w:r w:rsidRPr="00D160FB">
              <w:rPr>
                <w:lang w:val="en-GB"/>
              </w:rPr>
              <w:t xml:space="preserve"> (5.1%), </w:t>
            </w:r>
            <w:r w:rsidR="007E4DAA">
              <w:rPr>
                <w:lang w:val="en-GB"/>
              </w:rPr>
              <w:t xml:space="preserve">employment </w:t>
            </w:r>
            <w:r w:rsidRPr="00D160FB">
              <w:rPr>
                <w:lang w:val="en-GB"/>
              </w:rPr>
              <w:t>services (15.1%), real estate</w:t>
            </w:r>
            <w:r w:rsidR="007E4DAA">
              <w:rPr>
                <w:lang w:val="en-GB"/>
              </w:rPr>
              <w:t xml:space="preserve"> services</w:t>
            </w:r>
            <w:r w:rsidRPr="00D160FB">
              <w:rPr>
                <w:lang w:val="en-GB"/>
              </w:rPr>
              <w:t xml:space="preserve"> (3.1%), architectural and engineering services and technical testing and analysis (4.2%), rental and leasing </w:t>
            </w:r>
            <w:r w:rsidR="007E4DAA">
              <w:rPr>
                <w:lang w:val="en-GB"/>
              </w:rPr>
              <w:t>services</w:t>
            </w:r>
            <w:r w:rsidRPr="00D160FB">
              <w:rPr>
                <w:lang w:val="en-GB"/>
              </w:rPr>
              <w:t xml:space="preserve"> (8.7%) or legal and accounting services (5.5%) also had an effect. The growth of prices was strengthening nearly in all areas and only prices of telecommunication services decreased (−0.7%). </w:t>
            </w:r>
          </w:p>
        </w:tc>
      </w:tr>
      <w:tr w:rsidR="00435DE8" w:rsidRPr="00D160FB" w14:paraId="4670B16A" w14:textId="77777777" w:rsidTr="00435DE8">
        <w:trPr>
          <w:trHeight w:val="145"/>
        </w:trPr>
        <w:tc>
          <w:tcPr>
            <w:tcW w:w="1804" w:type="dxa"/>
            <w:shd w:val="clear" w:color="auto" w:fill="auto"/>
            <w:tcMar>
              <w:left w:w="0" w:type="dxa"/>
            </w:tcMar>
          </w:tcPr>
          <w:p w14:paraId="595210A1" w14:textId="45620E64" w:rsidR="00435DE8" w:rsidRPr="00D160FB" w:rsidRDefault="00435DE8" w:rsidP="00435DE8">
            <w:pPr>
              <w:pStyle w:val="Marginlie"/>
              <w:rPr>
                <w:spacing w:val="0"/>
                <w:lang w:val="en-GB"/>
              </w:rPr>
            </w:pPr>
            <w:r w:rsidRPr="00D160FB">
              <w:rPr>
                <w:spacing w:val="0"/>
                <w:lang w:val="en-GB"/>
              </w:rPr>
              <w:t xml:space="preserve">Acceleration of price dynamics continued for market services in Q4. </w:t>
            </w:r>
          </w:p>
        </w:tc>
        <w:tc>
          <w:tcPr>
            <w:tcW w:w="224" w:type="dxa"/>
            <w:shd w:val="clear" w:color="auto" w:fill="auto"/>
            <w:tcMar>
              <w:left w:w="0" w:type="dxa"/>
            </w:tcMar>
          </w:tcPr>
          <w:p w14:paraId="3C54DE7C"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1EE80767" w14:textId="709359AC" w:rsidR="00435DE8" w:rsidRPr="00D160FB" w:rsidRDefault="00435DE8" w:rsidP="00435DE8">
            <w:pPr>
              <w:rPr>
                <w:lang w:val="en-GB"/>
              </w:rPr>
            </w:pPr>
            <w:r w:rsidRPr="00D160FB">
              <w:rPr>
                <w:lang w:val="en-GB"/>
              </w:rPr>
              <w:t xml:space="preserve">The year-on-year increases of prices of market services accelerated during the year and the increase reached 6.7% in Q4. Prices of </w:t>
            </w:r>
            <w:r w:rsidR="007E4DAA">
              <w:rPr>
                <w:lang w:val="en-GB"/>
              </w:rPr>
              <w:t>l</w:t>
            </w:r>
            <w:r w:rsidR="007E4DAA" w:rsidRPr="007E4DAA">
              <w:rPr>
                <w:lang w:val="en-GB"/>
              </w:rPr>
              <w:t>and transport services and transport services via pipelines</w:t>
            </w:r>
            <w:r w:rsidR="007E4DAA" w:rsidRPr="00D160FB">
              <w:rPr>
                <w:lang w:val="en-GB"/>
              </w:rPr>
              <w:t xml:space="preserve"> </w:t>
            </w:r>
            <w:r w:rsidRPr="00D160FB">
              <w:rPr>
                <w:lang w:val="en-GB"/>
              </w:rPr>
              <w:t xml:space="preserve">(7.7%) and warehousing and support </w:t>
            </w:r>
            <w:r w:rsidR="007E4DAA">
              <w:rPr>
                <w:lang w:val="en-GB"/>
              </w:rPr>
              <w:t>services</w:t>
            </w:r>
            <w:r w:rsidRPr="00D160FB">
              <w:rPr>
                <w:lang w:val="en-GB"/>
              </w:rPr>
              <w:t xml:space="preserve"> for transportation (15.2%), advertising and market research </w:t>
            </w:r>
            <w:r w:rsidR="007E4DAA" w:rsidRPr="00D160FB">
              <w:rPr>
                <w:lang w:val="en-GB"/>
              </w:rPr>
              <w:t xml:space="preserve">services </w:t>
            </w:r>
            <w:r w:rsidRPr="00D160FB">
              <w:rPr>
                <w:lang w:val="en-GB"/>
              </w:rPr>
              <w:t xml:space="preserve">(15.0%) and services in the area of </w:t>
            </w:r>
            <w:r w:rsidR="007E4DAA">
              <w:rPr>
                <w:lang w:val="en-GB"/>
              </w:rPr>
              <w:t xml:space="preserve">computer </w:t>
            </w:r>
            <w:r w:rsidRPr="00D160FB">
              <w:rPr>
                <w:lang w:val="en-GB"/>
              </w:rPr>
              <w:t xml:space="preserve">programming and related consultancy (7.7%) provided the largest influence on the total year-on-year growth. Among other areas, prices of </w:t>
            </w:r>
            <w:r w:rsidR="007E4DAA">
              <w:rPr>
                <w:lang w:val="en-GB"/>
              </w:rPr>
              <w:t xml:space="preserve">employment </w:t>
            </w:r>
            <w:r w:rsidRPr="00D160FB">
              <w:rPr>
                <w:lang w:val="en-GB"/>
              </w:rPr>
              <w:t>services</w:t>
            </w:r>
            <w:r w:rsidR="007E4DAA">
              <w:rPr>
                <w:lang w:val="en-GB"/>
              </w:rPr>
              <w:t xml:space="preserve"> </w:t>
            </w:r>
            <w:r w:rsidRPr="00D160FB">
              <w:rPr>
                <w:lang w:val="en-GB"/>
              </w:rPr>
              <w:t>(18.5%), architectural and engineering services and technical testing and analysis (5.6%) or real estate</w:t>
            </w:r>
            <w:r w:rsidR="007E4DAA">
              <w:rPr>
                <w:lang w:val="en-GB"/>
              </w:rPr>
              <w:t xml:space="preserve"> services</w:t>
            </w:r>
            <w:r w:rsidRPr="00D160FB">
              <w:rPr>
                <w:lang w:val="en-GB"/>
              </w:rPr>
              <w:t xml:space="preserve"> (3.2%) also contributed significantly.</w:t>
            </w:r>
          </w:p>
        </w:tc>
      </w:tr>
      <w:tr w:rsidR="00435DE8" w:rsidRPr="00D160FB" w14:paraId="56F0F3FF" w14:textId="77777777" w:rsidTr="00435DE8">
        <w:trPr>
          <w:trHeight w:val="145"/>
        </w:trPr>
        <w:tc>
          <w:tcPr>
            <w:tcW w:w="1804" w:type="dxa"/>
            <w:shd w:val="clear" w:color="auto" w:fill="auto"/>
            <w:tcMar>
              <w:left w:w="0" w:type="dxa"/>
            </w:tcMar>
          </w:tcPr>
          <w:p w14:paraId="6C5315C8" w14:textId="1EE2F978" w:rsidR="00435DE8" w:rsidRPr="00D160FB" w:rsidRDefault="00435DE8" w:rsidP="00435DE8">
            <w:pPr>
              <w:pStyle w:val="Marginlie"/>
              <w:rPr>
                <w:spacing w:val="0"/>
                <w:lang w:val="en-GB"/>
              </w:rPr>
            </w:pPr>
            <w:r w:rsidRPr="00D160FB">
              <w:rPr>
                <w:spacing w:val="0"/>
                <w:lang w:val="en-GB"/>
              </w:rPr>
              <w:t>Prices of agricultural product</w:t>
            </w:r>
            <w:r w:rsidR="00D840AF">
              <w:rPr>
                <w:spacing w:val="0"/>
                <w:lang w:val="en-GB"/>
              </w:rPr>
              <w:t>s</w:t>
            </w:r>
            <w:r w:rsidRPr="00D160FB">
              <w:rPr>
                <w:spacing w:val="0"/>
                <w:lang w:val="en-GB"/>
              </w:rPr>
              <w:t xml:space="preserve"> grew rapidly last year. </w:t>
            </w:r>
          </w:p>
        </w:tc>
        <w:tc>
          <w:tcPr>
            <w:tcW w:w="224" w:type="dxa"/>
            <w:shd w:val="clear" w:color="auto" w:fill="auto"/>
            <w:tcMar>
              <w:left w:w="0" w:type="dxa"/>
            </w:tcMar>
          </w:tcPr>
          <w:p w14:paraId="4A779789"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68FD429A" w14:textId="6820642D" w:rsidR="00435DE8" w:rsidRPr="00D160FB" w:rsidRDefault="00435DE8" w:rsidP="00435DE8">
            <w:pPr>
              <w:rPr>
                <w:spacing w:val="-2"/>
                <w:lang w:val="en-GB"/>
              </w:rPr>
            </w:pPr>
            <w:r w:rsidRPr="00D160FB">
              <w:rPr>
                <w:spacing w:val="-2"/>
                <w:lang w:val="en-GB"/>
              </w:rPr>
              <w:t>Prices of agricultural product</w:t>
            </w:r>
            <w:r w:rsidR="004D17A2">
              <w:rPr>
                <w:spacing w:val="-2"/>
                <w:lang w:val="en-GB"/>
              </w:rPr>
              <w:t>s</w:t>
            </w:r>
            <w:r w:rsidRPr="00D160FB">
              <w:rPr>
                <w:spacing w:val="-2"/>
                <w:lang w:val="en-GB"/>
              </w:rPr>
              <w:t xml:space="preserve"> including fish</w:t>
            </w:r>
            <w:r w:rsidR="004D17A2">
              <w:rPr>
                <w:spacing w:val="-2"/>
                <w:lang w:val="en-GB"/>
              </w:rPr>
              <w:t>es</w:t>
            </w:r>
            <w:r w:rsidRPr="00D160FB">
              <w:rPr>
                <w:spacing w:val="-2"/>
                <w:lang w:val="en-GB"/>
              </w:rPr>
              <w:t xml:space="preserve"> hiked up by 31.8%. Very strong growth was the result of large surge of costs on energies, fuels or also the prices of fertilisers. Owing to the geopolitical situation, considerable growth of prices of some agricultural commodities also occurred on the world markets. The year-on-year growth of prices peaked in Q2 and then weakened also in case of the </w:t>
            </w:r>
            <w:r w:rsidR="004D17A2">
              <w:rPr>
                <w:spacing w:val="-2"/>
                <w:lang w:val="en-GB"/>
              </w:rPr>
              <w:t>crop</w:t>
            </w:r>
            <w:r w:rsidRPr="00D160FB">
              <w:rPr>
                <w:spacing w:val="-2"/>
                <w:lang w:val="en-GB"/>
              </w:rPr>
              <w:t xml:space="preserve"> product</w:t>
            </w:r>
            <w:r w:rsidR="004D17A2">
              <w:rPr>
                <w:spacing w:val="-2"/>
                <w:lang w:val="en-GB"/>
              </w:rPr>
              <w:t>s</w:t>
            </w:r>
            <w:r w:rsidRPr="00D160FB">
              <w:rPr>
                <w:spacing w:val="-2"/>
                <w:lang w:val="en-GB"/>
              </w:rPr>
              <w:t>. Prices grew here by 28.0% year-on-year in Q4.</w:t>
            </w:r>
          </w:p>
        </w:tc>
      </w:tr>
      <w:tr w:rsidR="00435DE8" w:rsidRPr="00D160FB" w14:paraId="764C89F0" w14:textId="77777777" w:rsidTr="00435DE8">
        <w:trPr>
          <w:trHeight w:val="145"/>
        </w:trPr>
        <w:tc>
          <w:tcPr>
            <w:tcW w:w="1804" w:type="dxa"/>
            <w:shd w:val="clear" w:color="auto" w:fill="auto"/>
            <w:tcMar>
              <w:left w:w="0" w:type="dxa"/>
            </w:tcMar>
          </w:tcPr>
          <w:p w14:paraId="74CD669C" w14:textId="752F8099" w:rsidR="00435DE8" w:rsidRPr="00D160FB" w:rsidRDefault="00435DE8" w:rsidP="00435DE8">
            <w:pPr>
              <w:pStyle w:val="Marginlie"/>
              <w:rPr>
                <w:spacing w:val="0"/>
                <w:lang w:val="en-GB"/>
              </w:rPr>
            </w:pPr>
            <w:r w:rsidRPr="00D160FB">
              <w:rPr>
                <w:spacing w:val="0"/>
                <w:lang w:val="en-GB"/>
              </w:rPr>
              <w:t xml:space="preserve">Year-on-year dynamics moderated for the </w:t>
            </w:r>
            <w:r w:rsidR="00D840AF">
              <w:rPr>
                <w:spacing w:val="0"/>
                <w:lang w:val="en-GB"/>
              </w:rPr>
              <w:t>crop</w:t>
            </w:r>
            <w:r w:rsidRPr="00D160FB">
              <w:rPr>
                <w:spacing w:val="0"/>
                <w:lang w:val="en-GB"/>
              </w:rPr>
              <w:t xml:space="preserve"> production at the end of the year. </w:t>
            </w:r>
          </w:p>
        </w:tc>
        <w:tc>
          <w:tcPr>
            <w:tcW w:w="224" w:type="dxa"/>
            <w:shd w:val="clear" w:color="auto" w:fill="auto"/>
            <w:tcMar>
              <w:left w:w="0" w:type="dxa"/>
            </w:tcMar>
          </w:tcPr>
          <w:p w14:paraId="06E65ADF"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4E38DB94" w14:textId="037E5A4D" w:rsidR="00435DE8" w:rsidRPr="00D160FB" w:rsidRDefault="00435DE8" w:rsidP="00435DE8">
            <w:pPr>
              <w:rPr>
                <w:spacing w:val="-2"/>
                <w:lang w:val="en-GB"/>
              </w:rPr>
            </w:pPr>
            <w:r w:rsidRPr="00D160FB">
              <w:rPr>
                <w:spacing w:val="-2"/>
                <w:lang w:val="en-GB"/>
              </w:rPr>
              <w:t xml:space="preserve">Prices of </w:t>
            </w:r>
            <w:r w:rsidR="004D17A2">
              <w:rPr>
                <w:spacing w:val="-2"/>
                <w:lang w:val="en-GB"/>
              </w:rPr>
              <w:t>crop</w:t>
            </w:r>
            <w:r w:rsidR="004D17A2" w:rsidRPr="00D160FB">
              <w:rPr>
                <w:spacing w:val="-2"/>
                <w:lang w:val="en-GB"/>
              </w:rPr>
              <w:t xml:space="preserve"> product</w:t>
            </w:r>
            <w:r w:rsidR="004D17A2">
              <w:rPr>
                <w:spacing w:val="-2"/>
                <w:lang w:val="en-GB"/>
              </w:rPr>
              <w:t>s</w:t>
            </w:r>
            <w:r w:rsidRPr="00D160FB">
              <w:rPr>
                <w:spacing w:val="-2"/>
                <w:lang w:val="en-GB"/>
              </w:rPr>
              <w:t xml:space="preserve"> were by 37.1% higher last year. Prices of cereals went up by 48.9%, in those prices of </w:t>
            </w:r>
            <w:r w:rsidR="004D17A2">
              <w:rPr>
                <w:spacing w:val="-2"/>
                <w:lang w:val="en-GB"/>
              </w:rPr>
              <w:t xml:space="preserve">soft </w:t>
            </w:r>
            <w:r w:rsidRPr="00D160FB">
              <w:rPr>
                <w:spacing w:val="-2"/>
                <w:lang w:val="en-GB"/>
              </w:rPr>
              <w:t>wheat by 50.8%, rye by 67.8%, barley by 46.7% and grain maize by 38.8%. Prices of industrial crop</w:t>
            </w:r>
            <w:r w:rsidR="004D17A2">
              <w:rPr>
                <w:spacing w:val="-2"/>
                <w:lang w:val="en-GB"/>
              </w:rPr>
              <w:t>s</w:t>
            </w:r>
            <w:r w:rsidRPr="00D160FB">
              <w:rPr>
                <w:spacing w:val="-2"/>
                <w:lang w:val="en-GB"/>
              </w:rPr>
              <w:t xml:space="preserve"> also surged rapidly (33.0%), especially due to the effect of prices of oil </w:t>
            </w:r>
            <w:r w:rsidR="004D17A2">
              <w:rPr>
                <w:spacing w:val="-2"/>
                <w:lang w:val="en-GB"/>
              </w:rPr>
              <w:t>seeds</w:t>
            </w:r>
            <w:r w:rsidRPr="00D160FB">
              <w:rPr>
                <w:spacing w:val="-2"/>
                <w:lang w:val="en-GB"/>
              </w:rPr>
              <w:t xml:space="preserve"> (40.2%). Prices of forage plants rose by 7.7%, vegetables and </w:t>
            </w:r>
            <w:r w:rsidR="004D17A2">
              <w:rPr>
                <w:spacing w:val="-2"/>
                <w:lang w:val="en-GB"/>
              </w:rPr>
              <w:t>horticultural</w:t>
            </w:r>
            <w:r w:rsidRPr="00D160FB">
              <w:rPr>
                <w:spacing w:val="-2"/>
                <w:lang w:val="en-GB"/>
              </w:rPr>
              <w:t xml:space="preserve"> products by 19.0% and potatoes by 28.4%. On the contrary prices of fruit</w:t>
            </w:r>
            <w:r w:rsidR="004D17A2">
              <w:rPr>
                <w:spacing w:val="-2"/>
                <w:lang w:val="en-GB"/>
              </w:rPr>
              <w:t>s</w:t>
            </w:r>
            <w:r w:rsidRPr="00D160FB">
              <w:rPr>
                <w:spacing w:val="-2"/>
                <w:lang w:val="en-GB"/>
              </w:rPr>
              <w:t xml:space="preserve"> (−2.4%) as well as </w:t>
            </w:r>
            <w:r w:rsidR="004D17A2">
              <w:rPr>
                <w:spacing w:val="-2"/>
                <w:lang w:val="en-GB"/>
              </w:rPr>
              <w:t>wine</w:t>
            </w:r>
            <w:r w:rsidRPr="00D160FB">
              <w:rPr>
                <w:spacing w:val="-2"/>
                <w:lang w:val="en-GB"/>
              </w:rPr>
              <w:t xml:space="preserve"> (−1.0%) fell. The year-on-year price growth of the </w:t>
            </w:r>
            <w:r w:rsidR="004D17A2">
              <w:rPr>
                <w:spacing w:val="-2"/>
                <w:lang w:val="en-GB"/>
              </w:rPr>
              <w:t>crop</w:t>
            </w:r>
            <w:r w:rsidR="004D17A2" w:rsidRPr="00D160FB">
              <w:rPr>
                <w:spacing w:val="-2"/>
                <w:lang w:val="en-GB"/>
              </w:rPr>
              <w:t xml:space="preserve"> product</w:t>
            </w:r>
            <w:r w:rsidR="004D17A2">
              <w:rPr>
                <w:spacing w:val="-2"/>
                <w:lang w:val="en-GB"/>
              </w:rPr>
              <w:t>s</w:t>
            </w:r>
            <w:r w:rsidR="004D17A2" w:rsidRPr="00D160FB">
              <w:rPr>
                <w:spacing w:val="-2"/>
                <w:lang w:val="en-GB"/>
              </w:rPr>
              <w:t xml:space="preserve"> </w:t>
            </w:r>
            <w:r w:rsidRPr="00D160FB">
              <w:rPr>
                <w:spacing w:val="-2"/>
                <w:lang w:val="en-GB"/>
              </w:rPr>
              <w:t xml:space="preserve">reached the highest level in Q2 and then slowed down. Prices swelled by 23.5% here year-on-year in Q4. Prices of cereals jumped up by 41.8%, in that </w:t>
            </w:r>
            <w:r w:rsidR="004D17A2">
              <w:rPr>
                <w:spacing w:val="-2"/>
                <w:lang w:val="en-GB"/>
              </w:rPr>
              <w:t xml:space="preserve">soft </w:t>
            </w:r>
            <w:r w:rsidRPr="00D160FB">
              <w:rPr>
                <w:spacing w:val="-2"/>
                <w:lang w:val="en-GB"/>
              </w:rPr>
              <w:t>wheat by 41.6%, rye by 61.1%, barley by 43.6% and corn by 36.0%. Year-on-year dynamics moderated to a large extent for the industrial crop</w:t>
            </w:r>
            <w:r w:rsidR="004D17A2">
              <w:rPr>
                <w:spacing w:val="-2"/>
                <w:lang w:val="en-GB"/>
              </w:rPr>
              <w:t>s</w:t>
            </w:r>
            <w:r w:rsidRPr="00D160FB">
              <w:rPr>
                <w:spacing w:val="-2"/>
                <w:lang w:val="en-GB"/>
              </w:rPr>
              <w:t xml:space="preserve"> (11.4%), mostly under the effect of the development of prices of oil </w:t>
            </w:r>
            <w:r w:rsidR="004D17A2">
              <w:rPr>
                <w:spacing w:val="-2"/>
                <w:lang w:val="en-GB"/>
              </w:rPr>
              <w:t>seeds</w:t>
            </w:r>
            <w:r w:rsidRPr="00D160FB">
              <w:rPr>
                <w:spacing w:val="-2"/>
                <w:lang w:val="en-GB"/>
              </w:rPr>
              <w:t xml:space="preserve"> (17.4%). Growth of prices of the forage plants slowed down to 3.1%. Prices of vegetables and </w:t>
            </w:r>
            <w:r w:rsidR="004D17A2">
              <w:rPr>
                <w:spacing w:val="-2"/>
                <w:lang w:val="en-GB"/>
              </w:rPr>
              <w:t>horticultural</w:t>
            </w:r>
            <w:r w:rsidRPr="00D160FB">
              <w:rPr>
                <w:spacing w:val="-2"/>
                <w:lang w:val="en-GB"/>
              </w:rPr>
              <w:t xml:space="preserve"> products rose by 18.6% year-on-year and potatoes by 30.6%. Prices of fruit</w:t>
            </w:r>
            <w:r w:rsidR="004D17A2">
              <w:rPr>
                <w:spacing w:val="-2"/>
                <w:lang w:val="en-GB"/>
              </w:rPr>
              <w:t>s</w:t>
            </w:r>
            <w:r w:rsidRPr="00D160FB">
              <w:rPr>
                <w:spacing w:val="-2"/>
                <w:lang w:val="en-GB"/>
              </w:rPr>
              <w:t xml:space="preserve"> on the contrary considerably fell (−12.8%) and prices of </w:t>
            </w:r>
            <w:r w:rsidR="004D17A2">
              <w:rPr>
                <w:spacing w:val="-2"/>
                <w:lang w:val="en-GB"/>
              </w:rPr>
              <w:t>wine</w:t>
            </w:r>
            <w:r w:rsidRPr="00D160FB">
              <w:rPr>
                <w:spacing w:val="-2"/>
                <w:lang w:val="en-GB"/>
              </w:rPr>
              <w:t xml:space="preserve"> were also lower (−4.3%).</w:t>
            </w:r>
          </w:p>
        </w:tc>
      </w:tr>
      <w:tr w:rsidR="00435DE8" w:rsidRPr="00D160FB" w14:paraId="3C6EBCA4" w14:textId="77777777" w:rsidTr="00435DE8">
        <w:trPr>
          <w:trHeight w:val="145"/>
        </w:trPr>
        <w:tc>
          <w:tcPr>
            <w:tcW w:w="1804" w:type="dxa"/>
            <w:shd w:val="clear" w:color="auto" w:fill="auto"/>
            <w:tcMar>
              <w:left w:w="0" w:type="dxa"/>
            </w:tcMar>
          </w:tcPr>
          <w:p w14:paraId="7154BFD5" w14:textId="60F01BDE" w:rsidR="00435DE8" w:rsidRPr="00D160FB" w:rsidRDefault="00435DE8" w:rsidP="00435DE8">
            <w:pPr>
              <w:pStyle w:val="Marginlie"/>
              <w:rPr>
                <w:spacing w:val="0"/>
                <w:lang w:val="en-GB"/>
              </w:rPr>
            </w:pPr>
            <w:r w:rsidRPr="00D160FB">
              <w:rPr>
                <w:spacing w:val="0"/>
                <w:lang w:val="en-GB"/>
              </w:rPr>
              <w:t>Year-on-year growth of the prices of animal product</w:t>
            </w:r>
            <w:r w:rsidR="00D840AF">
              <w:rPr>
                <w:spacing w:val="0"/>
                <w:lang w:val="en-GB"/>
              </w:rPr>
              <w:t>s</w:t>
            </w:r>
            <w:r w:rsidRPr="00D160FB">
              <w:rPr>
                <w:spacing w:val="0"/>
                <w:lang w:val="en-GB"/>
              </w:rPr>
              <w:t xml:space="preserve"> accelerated during the year. </w:t>
            </w:r>
          </w:p>
        </w:tc>
        <w:tc>
          <w:tcPr>
            <w:tcW w:w="224" w:type="dxa"/>
            <w:shd w:val="clear" w:color="auto" w:fill="auto"/>
            <w:tcMar>
              <w:left w:w="0" w:type="dxa"/>
            </w:tcMar>
          </w:tcPr>
          <w:p w14:paraId="5B505420"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33B8324E" w14:textId="46C3A61E" w:rsidR="00435DE8" w:rsidRPr="00D160FB" w:rsidRDefault="00435DE8" w:rsidP="00435DE8">
            <w:pPr>
              <w:rPr>
                <w:spacing w:val="-2"/>
                <w:lang w:val="en-GB"/>
              </w:rPr>
            </w:pPr>
            <w:r w:rsidRPr="00D160FB">
              <w:rPr>
                <w:spacing w:val="-2"/>
                <w:lang w:val="en-GB"/>
              </w:rPr>
              <w:t xml:space="preserve">Prices of </w:t>
            </w:r>
            <w:r w:rsidR="004D17A2">
              <w:rPr>
                <w:spacing w:val="-2"/>
                <w:lang w:val="en-GB"/>
              </w:rPr>
              <w:t>a</w:t>
            </w:r>
            <w:r w:rsidR="004D17A2" w:rsidRPr="004D17A2">
              <w:rPr>
                <w:spacing w:val="-2"/>
                <w:lang w:val="en-GB"/>
              </w:rPr>
              <w:t xml:space="preserve">nimals and animal products </w:t>
            </w:r>
            <w:r w:rsidRPr="00D160FB">
              <w:rPr>
                <w:spacing w:val="-2"/>
                <w:lang w:val="en-GB"/>
              </w:rPr>
              <w:t xml:space="preserve">swelled by 24.4% last year. Strong growth struck the whole category. Prices of animals increased by 22.8%, in that they grew by 23.5% for cattle, by 24.4% for pigs and piglets and prices of poultry were by 19.5% higher. Prices of animal products increased by 25.7% last year. Prices of milk went up by 25.4% and eggs by 28.2%. Year-on-year growth of the prices of </w:t>
            </w:r>
            <w:r w:rsidR="002B0EDA">
              <w:rPr>
                <w:spacing w:val="-2"/>
                <w:lang w:val="en-GB"/>
              </w:rPr>
              <w:t>a</w:t>
            </w:r>
            <w:r w:rsidR="002B0EDA" w:rsidRPr="004D17A2">
              <w:rPr>
                <w:spacing w:val="-2"/>
                <w:lang w:val="en-GB"/>
              </w:rPr>
              <w:t xml:space="preserve">nimals and animal products </w:t>
            </w:r>
            <w:r w:rsidRPr="00D160FB">
              <w:rPr>
                <w:spacing w:val="-2"/>
                <w:lang w:val="en-GB"/>
              </w:rPr>
              <w:t xml:space="preserve">was </w:t>
            </w:r>
            <w:r w:rsidRPr="00D160FB">
              <w:rPr>
                <w:spacing w:val="-2"/>
                <w:lang w:val="en-GB"/>
              </w:rPr>
              <w:lastRenderedPageBreak/>
              <w:t>accelerating for the entire year up to 36.6% in Q4. Prices of animals were 35.8% higher year-on-year at the end of the year, in that price of cattle by 21.7%, pigs and piglets by 49.4% and poultry by 33.7%. Prices of animal products jumped by 37.3% year-on-year in Q4. Prices of milk hiked up by 35.5% and eggs by 58.1%.</w:t>
            </w:r>
          </w:p>
        </w:tc>
      </w:tr>
      <w:tr w:rsidR="00435DE8" w:rsidRPr="00D160FB" w14:paraId="425852F3" w14:textId="77777777" w:rsidTr="00435DE8">
        <w:trPr>
          <w:trHeight w:val="145"/>
        </w:trPr>
        <w:tc>
          <w:tcPr>
            <w:tcW w:w="1804" w:type="dxa"/>
            <w:shd w:val="clear" w:color="auto" w:fill="auto"/>
            <w:tcMar>
              <w:left w:w="0" w:type="dxa"/>
            </w:tcMar>
          </w:tcPr>
          <w:p w14:paraId="7F47C567" w14:textId="5938C61B" w:rsidR="00435DE8" w:rsidRPr="00D160FB" w:rsidRDefault="00435DE8" w:rsidP="00435DE8">
            <w:pPr>
              <w:pStyle w:val="Marginlie"/>
              <w:rPr>
                <w:spacing w:val="0"/>
                <w:lang w:val="en-GB"/>
              </w:rPr>
            </w:pPr>
            <w:r w:rsidRPr="00D160FB">
              <w:rPr>
                <w:spacing w:val="0"/>
                <w:lang w:val="en-GB"/>
              </w:rPr>
              <w:lastRenderedPageBreak/>
              <w:t xml:space="preserve">Prices of export strongly grew year-on-year throughout the whole year. </w:t>
            </w:r>
          </w:p>
        </w:tc>
        <w:tc>
          <w:tcPr>
            <w:tcW w:w="224" w:type="dxa"/>
            <w:shd w:val="clear" w:color="auto" w:fill="auto"/>
            <w:tcMar>
              <w:left w:w="0" w:type="dxa"/>
            </w:tcMar>
          </w:tcPr>
          <w:p w14:paraId="7F6CFAD9"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12E04F8B" w14:textId="4DCD78D0" w:rsidR="00435DE8" w:rsidRPr="00D160FB" w:rsidRDefault="00435DE8" w:rsidP="00435DE8">
            <w:pPr>
              <w:rPr>
                <w:lang w:val="en-GB"/>
              </w:rPr>
            </w:pPr>
            <w:r w:rsidRPr="00D160FB">
              <w:rPr>
                <w:lang w:val="en-GB"/>
              </w:rPr>
              <w:t>Prices of export of goods increased in total by 12.7% last year. The exchange rate forces hampered the year-on-year growth of prices of export throughout the entire year because the koruna foreign exchange per euro appreciated year-on-year</w:t>
            </w:r>
            <w:r w:rsidRPr="00D160FB">
              <w:rPr>
                <w:rStyle w:val="Znakapoznpodarou"/>
                <w:lang w:val="en-GB"/>
              </w:rPr>
              <w:footnoteReference w:id="6"/>
            </w:r>
            <w:r w:rsidRPr="00D160FB">
              <w:rPr>
                <w:lang w:val="en-GB"/>
              </w:rPr>
              <w:t>. Prices of mineral fuels and lubricants strengthened the most on average for the entire year 2022 (120.1%), followed by food and live animals (21.3%), semi-finished products</w:t>
            </w:r>
            <w:r w:rsidRPr="00D160FB">
              <w:rPr>
                <w:rStyle w:val="Znakapoznpodarou"/>
                <w:lang w:val="en-GB"/>
              </w:rPr>
              <w:footnoteReference w:id="7"/>
            </w:r>
            <w:r w:rsidRPr="00D160FB">
              <w:rPr>
                <w:lang w:val="en-GB"/>
              </w:rPr>
              <w:t xml:space="preserve"> (18.9%) and other materials</w:t>
            </w:r>
            <w:r w:rsidRPr="00D160FB">
              <w:rPr>
                <w:rStyle w:val="Znakapoznpodarou"/>
                <w:lang w:val="en-GB"/>
              </w:rPr>
              <w:footnoteReference w:id="8"/>
            </w:r>
            <w:r w:rsidRPr="00D160FB">
              <w:rPr>
                <w:lang w:val="en-GB"/>
              </w:rPr>
              <w:t xml:space="preserve"> (18.0%). The year-on-year dynamics of prices of export peaked in Q2 and the increase shrank to 9.8% in Q4. Prices of mineral fuels surged the most in Q4 (64.3%), increase for food and live animals (20.8%), semi-finished products (14.0%), chemical</w:t>
            </w:r>
            <w:r w:rsidR="002B0EDA">
              <w:rPr>
                <w:lang w:val="en-GB"/>
              </w:rPr>
              <w:t>s and related</w:t>
            </w:r>
            <w:r w:rsidRPr="00D160FB">
              <w:rPr>
                <w:lang w:val="en-GB"/>
              </w:rPr>
              <w:t xml:space="preserve"> products (12.1%) and beverages and tobacco (11.3%) was strong. Prices of </w:t>
            </w:r>
            <w:r w:rsidR="002B0EDA">
              <w:rPr>
                <w:lang w:val="en-GB"/>
              </w:rPr>
              <w:t>m</w:t>
            </w:r>
            <w:r w:rsidR="002B0EDA" w:rsidRPr="002B0EDA">
              <w:rPr>
                <w:lang w:val="en-GB"/>
              </w:rPr>
              <w:t>iscellaneous manufactured articles</w:t>
            </w:r>
            <w:r w:rsidRPr="00D160FB">
              <w:rPr>
                <w:lang w:val="en-GB"/>
              </w:rPr>
              <w:t xml:space="preserve"> (4.3%) and machinery and transport equipment (2.3%) were higher. Prices of other materials were falling year-on-year (−1.6%).  </w:t>
            </w:r>
          </w:p>
        </w:tc>
      </w:tr>
      <w:tr w:rsidR="00435DE8" w:rsidRPr="00D160FB" w14:paraId="46C3D910" w14:textId="77777777" w:rsidTr="00435DE8">
        <w:trPr>
          <w:trHeight w:val="145"/>
        </w:trPr>
        <w:tc>
          <w:tcPr>
            <w:tcW w:w="1804" w:type="dxa"/>
            <w:shd w:val="clear" w:color="auto" w:fill="auto"/>
            <w:tcMar>
              <w:left w:w="0" w:type="dxa"/>
            </w:tcMar>
          </w:tcPr>
          <w:p w14:paraId="51730ABE" w14:textId="507E21D3" w:rsidR="00435DE8" w:rsidRPr="00D160FB" w:rsidRDefault="00435DE8" w:rsidP="00435DE8">
            <w:pPr>
              <w:pStyle w:val="Marginlie"/>
              <w:rPr>
                <w:spacing w:val="0"/>
                <w:lang w:val="en-GB"/>
              </w:rPr>
            </w:pPr>
            <w:r w:rsidRPr="00D160FB">
              <w:rPr>
                <w:spacing w:val="0"/>
                <w:lang w:val="en-GB"/>
              </w:rPr>
              <w:t xml:space="preserve">The terms of trade were negative for the whole year. </w:t>
            </w:r>
          </w:p>
        </w:tc>
        <w:tc>
          <w:tcPr>
            <w:tcW w:w="224" w:type="dxa"/>
            <w:shd w:val="clear" w:color="auto" w:fill="auto"/>
            <w:tcMar>
              <w:left w:w="0" w:type="dxa"/>
            </w:tcMar>
          </w:tcPr>
          <w:p w14:paraId="45700C64" w14:textId="77777777" w:rsidR="00435DE8" w:rsidRPr="00D160FB" w:rsidRDefault="00435DE8" w:rsidP="00435DE8">
            <w:pPr>
              <w:pStyle w:val="Textpoznpodarou1"/>
              <w:jc w:val="both"/>
              <w:rPr>
                <w:lang w:val="en-GB"/>
              </w:rPr>
            </w:pPr>
          </w:p>
        </w:tc>
        <w:tc>
          <w:tcPr>
            <w:tcW w:w="7611" w:type="dxa"/>
            <w:shd w:val="clear" w:color="auto" w:fill="auto"/>
            <w:tcMar>
              <w:left w:w="0" w:type="dxa"/>
            </w:tcMar>
          </w:tcPr>
          <w:p w14:paraId="76982B58" w14:textId="32337CCA" w:rsidR="00435DE8" w:rsidRPr="00D160FB" w:rsidRDefault="00435DE8" w:rsidP="00435DE8">
            <w:pPr>
              <w:rPr>
                <w:lang w:val="en-GB"/>
              </w:rPr>
            </w:pPr>
            <w:r w:rsidRPr="00D160FB">
              <w:rPr>
                <w:lang w:val="en-GB"/>
              </w:rPr>
              <w:t xml:space="preserve">Import prices increased by 17.2% last year. Prices of import of mineral fuels and lubricants (104.4%) surged the most, followed by beverages and tobacco (16.6%) and semi-finished products (16.6%). Prices of food and live animals (14.7%), </w:t>
            </w:r>
            <w:r w:rsidR="002B0EDA" w:rsidRPr="00D160FB">
              <w:rPr>
                <w:lang w:val="en-GB"/>
              </w:rPr>
              <w:t>chemical</w:t>
            </w:r>
            <w:r w:rsidR="002B0EDA">
              <w:rPr>
                <w:lang w:val="en-GB"/>
              </w:rPr>
              <w:t>s and related</w:t>
            </w:r>
            <w:r w:rsidR="002B0EDA" w:rsidRPr="00D160FB">
              <w:rPr>
                <w:lang w:val="en-GB"/>
              </w:rPr>
              <w:t xml:space="preserve"> products</w:t>
            </w:r>
            <w:r w:rsidRPr="00D160FB">
              <w:rPr>
                <w:lang w:val="en-GB"/>
              </w:rPr>
              <w:t xml:space="preserve"> (12.3%) and other materials (10.8%) also featured a </w:t>
            </w:r>
            <w:r w:rsidR="002B0EDA" w:rsidRPr="00D160FB">
              <w:rPr>
                <w:lang w:val="en-GB"/>
              </w:rPr>
              <w:t>double-digit</w:t>
            </w:r>
            <w:r w:rsidRPr="00D160FB">
              <w:rPr>
                <w:lang w:val="en-GB"/>
              </w:rPr>
              <w:t xml:space="preserve"> increase. Year-on-year dynamics of prices of import strengthened until Q3. The increase then moderated to 11.8% in Q4. Prices of mineral fuels (46.8%) and further food and live animals (21.5%), beverages and tobacco (20.6%), </w:t>
            </w:r>
            <w:r w:rsidR="002B0EDA">
              <w:rPr>
                <w:lang w:val="en-GB"/>
              </w:rPr>
              <w:t>m</w:t>
            </w:r>
            <w:r w:rsidR="002B0EDA" w:rsidRPr="002B0EDA">
              <w:rPr>
                <w:lang w:val="en-GB"/>
              </w:rPr>
              <w:t>iscellaneous manufactured articles</w:t>
            </w:r>
            <w:r w:rsidR="002B0EDA" w:rsidRPr="00D160FB">
              <w:rPr>
                <w:lang w:val="en-GB"/>
              </w:rPr>
              <w:t xml:space="preserve"> </w:t>
            </w:r>
            <w:r w:rsidRPr="00D160FB">
              <w:rPr>
                <w:lang w:val="en-GB"/>
              </w:rPr>
              <w:t xml:space="preserve">(11.6%) and semi-finished products (10.0%) grew the most year-on-year in Q4. Increase for other materials (6.6%) and </w:t>
            </w:r>
            <w:r w:rsidR="002B0EDA" w:rsidRPr="00D160FB">
              <w:rPr>
                <w:lang w:val="en-GB"/>
              </w:rPr>
              <w:t>chemical</w:t>
            </w:r>
            <w:r w:rsidR="002B0EDA">
              <w:rPr>
                <w:lang w:val="en-GB"/>
              </w:rPr>
              <w:t>s and related</w:t>
            </w:r>
            <w:r w:rsidR="002B0EDA" w:rsidRPr="00D160FB">
              <w:rPr>
                <w:lang w:val="en-GB"/>
              </w:rPr>
              <w:t xml:space="preserve"> products </w:t>
            </w:r>
            <w:r w:rsidRPr="00D160FB">
              <w:rPr>
                <w:lang w:val="en-GB"/>
              </w:rPr>
              <w:t xml:space="preserve">(5.9%) was also large and prices of machinery and transport equipment were also slightly higher (2.4%). Terms of trade of the foreign trade with goods were markedly negative last year and arrived at 96.2%. Terms of trade with beverages and tobacco (91.0%) and </w:t>
            </w:r>
            <w:r w:rsidR="002B0EDA">
              <w:rPr>
                <w:lang w:val="en-GB"/>
              </w:rPr>
              <w:t>m</w:t>
            </w:r>
            <w:r w:rsidR="002B0EDA" w:rsidRPr="002B0EDA">
              <w:rPr>
                <w:lang w:val="en-GB"/>
              </w:rPr>
              <w:t>iscellaneous manufactured articles</w:t>
            </w:r>
            <w:r w:rsidRPr="00D160FB">
              <w:rPr>
                <w:lang w:val="en-GB"/>
              </w:rPr>
              <w:t xml:space="preserve"> (96.7%) were markedly negative last year. In contrast they were strongly positive for mineral fuels (107.7%), other materials (106.5%) and food and live animals (105.8%). The terms of trade attained 98.2% in Q4 itself. Terms of trade were negative for trade with beverages and tobacco (92.3%), other materials (92.3%), </w:t>
            </w:r>
            <w:r w:rsidR="002B0EDA">
              <w:rPr>
                <w:lang w:val="en-GB"/>
              </w:rPr>
              <w:t>m</w:t>
            </w:r>
            <w:r w:rsidR="002B0EDA" w:rsidRPr="002B0EDA">
              <w:rPr>
                <w:lang w:val="en-GB"/>
              </w:rPr>
              <w:t>iscellaneous manufactured articles</w:t>
            </w:r>
            <w:r w:rsidR="002B0EDA" w:rsidRPr="00D160FB">
              <w:rPr>
                <w:lang w:val="en-GB"/>
              </w:rPr>
              <w:t xml:space="preserve"> </w:t>
            </w:r>
            <w:r w:rsidRPr="00D160FB">
              <w:rPr>
                <w:lang w:val="en-GB"/>
              </w:rPr>
              <w:t xml:space="preserve">(93.5%), food and live animals (99.4%) and machinery and transport equipment (99.9%). On the contrary the terms of trade were positive in case of mineral fuels (111.9%), </w:t>
            </w:r>
            <w:r w:rsidR="002B0EDA" w:rsidRPr="00D160FB">
              <w:rPr>
                <w:lang w:val="en-GB"/>
              </w:rPr>
              <w:t>chemical</w:t>
            </w:r>
            <w:r w:rsidR="002B0EDA">
              <w:rPr>
                <w:lang w:val="en-GB"/>
              </w:rPr>
              <w:t>s and related</w:t>
            </w:r>
            <w:r w:rsidR="002B0EDA" w:rsidRPr="00D160FB">
              <w:rPr>
                <w:lang w:val="en-GB"/>
              </w:rPr>
              <w:t xml:space="preserve"> products </w:t>
            </w:r>
            <w:r w:rsidRPr="00D160FB">
              <w:rPr>
                <w:lang w:val="en-GB"/>
              </w:rPr>
              <w:t xml:space="preserve">(105.9%) and semi-finished products (103.6%).   </w:t>
            </w:r>
          </w:p>
        </w:tc>
      </w:tr>
    </w:tbl>
    <w:p w14:paraId="626B0BA9" w14:textId="77777777" w:rsidR="0087722C" w:rsidRPr="00D160FB" w:rsidRDefault="0087722C" w:rsidP="0087722C">
      <w:pPr>
        <w:pStyle w:val="Nadpis11"/>
        <w:rPr>
          <w:b w:val="0"/>
          <w:sz w:val="2"/>
          <w:szCs w:val="2"/>
          <w:lang w:val="en-GB"/>
        </w:rPr>
      </w:pPr>
    </w:p>
    <w:p w14:paraId="24BE6C1E" w14:textId="77777777" w:rsidR="0087722C" w:rsidRPr="00D160FB" w:rsidRDefault="0087722C" w:rsidP="0087722C">
      <w:pPr>
        <w:pStyle w:val="Nadpis11"/>
        <w:spacing w:after="0"/>
        <w:rPr>
          <w:b w:val="0"/>
          <w:sz w:val="2"/>
          <w:szCs w:val="2"/>
          <w:lang w:val="en-GB"/>
        </w:rPr>
      </w:pPr>
    </w:p>
    <w:p w14:paraId="38468288" w14:textId="77777777" w:rsidR="0087722C" w:rsidRPr="00D160FB" w:rsidRDefault="0087722C" w:rsidP="0087722C">
      <w:pPr>
        <w:pStyle w:val="Nadpis11"/>
        <w:rPr>
          <w:b w:val="0"/>
          <w:sz w:val="2"/>
          <w:szCs w:val="2"/>
          <w:lang w:val="en-GB"/>
        </w:rPr>
      </w:pPr>
    </w:p>
    <w:p w14:paraId="6F53A4E4" w14:textId="5AD32988" w:rsidR="0087722C" w:rsidRPr="00D160FB" w:rsidRDefault="0087722C">
      <w:pPr>
        <w:spacing w:after="0" w:line="240" w:lineRule="auto"/>
        <w:jc w:val="left"/>
        <w:rPr>
          <w:rFonts w:eastAsia="MS Gothic"/>
          <w:b/>
          <w:bCs/>
          <w:color w:val="71818C"/>
          <w:sz w:val="32"/>
          <w:szCs w:val="28"/>
          <w:lang w:val="en-GB"/>
        </w:rPr>
      </w:pPr>
    </w:p>
    <w:bookmarkEnd w:id="1"/>
    <w:sectPr w:rsidR="0087722C" w:rsidRPr="00D160FB" w:rsidSect="009E0BC9">
      <w:headerReference w:type="even" r:id="rId15"/>
      <w:headerReference w:type="default" r:id="rId16"/>
      <w:footerReference w:type="even" r:id="rId17"/>
      <w:footerReference w:type="default" r:id="rId18"/>
      <w:pgSz w:w="11906" w:h="16838" w:code="9"/>
      <w:pgMar w:top="1134" w:right="1134" w:bottom="1418" w:left="1134" w:header="680" w:footer="737"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233F8F99" w14:textId="11D7B352" w:rsidR="00E37C1C" w:rsidRPr="00EC1984" w:rsidRDefault="00E37C1C" w:rsidP="00EC1984">
      <w:pPr>
        <w:pStyle w:val="Textpoznpodarou"/>
        <w:jc w:val="both"/>
        <w:rPr>
          <w:sz w:val="16"/>
          <w:szCs w:val="16"/>
          <w:lang w:val="en-GB"/>
        </w:rPr>
      </w:pPr>
      <w:r w:rsidRPr="000A4298">
        <w:rPr>
          <w:rStyle w:val="Znakapoznpodarou"/>
          <w:sz w:val="16"/>
          <w:szCs w:val="16"/>
        </w:rPr>
        <w:footnoteRef/>
      </w:r>
      <w:r>
        <w:rPr>
          <w:sz w:val="16"/>
          <w:szCs w:val="16"/>
        </w:rPr>
        <w:t xml:space="preserve"> </w:t>
      </w:r>
      <w:r>
        <w:rPr>
          <w:sz w:val="16"/>
          <w:szCs w:val="16"/>
          <w:lang w:val="en-GB"/>
        </w:rPr>
        <w:t xml:space="preserve">Imputed rentals </w:t>
      </w:r>
      <w:proofErr w:type="gramStart"/>
      <w:r>
        <w:rPr>
          <w:sz w:val="16"/>
          <w:szCs w:val="16"/>
          <w:lang w:val="en-GB"/>
        </w:rPr>
        <w:t>expresses</w:t>
      </w:r>
      <w:proofErr w:type="gramEnd"/>
      <w:r>
        <w:rPr>
          <w:sz w:val="16"/>
          <w:szCs w:val="16"/>
          <w:lang w:val="en-GB"/>
        </w:rPr>
        <w:t xml:space="preserve"> the cost of owner living. Apart from prices of housing themselves, it also contains the cost of construction and renovation and further fees. More at</w:t>
      </w:r>
      <w:r w:rsidRPr="00B10B82">
        <w:rPr>
          <w:sz w:val="16"/>
          <w:szCs w:val="16"/>
          <w:lang w:val="en-GB"/>
        </w:rPr>
        <w:t xml:space="preserve">: </w:t>
      </w:r>
      <w:hyperlink r:id="rId1" w:history="1">
        <w:r>
          <w:rPr>
            <w:rStyle w:val="Hypertextovodkaz"/>
            <w:sz w:val="16"/>
            <w:szCs w:val="16"/>
            <w:lang w:val="en-GB"/>
          </w:rPr>
          <w:t>https://www.czso.cz/csu/czso/methodological-note-to-consumer-price-index-imputed-rentals</w:t>
        </w:r>
      </w:hyperlink>
      <w:r w:rsidRPr="00B10B82">
        <w:rPr>
          <w:rStyle w:val="Hypertextovodkaz"/>
          <w:sz w:val="16"/>
          <w:szCs w:val="16"/>
          <w:u w:val="none"/>
          <w:lang w:val="en-GB"/>
        </w:rPr>
        <w:t>.</w:t>
      </w:r>
    </w:p>
  </w:footnote>
  <w:footnote w:id="2">
    <w:p w14:paraId="5874A66A" w14:textId="6FF32ACE" w:rsidR="00E37C1C" w:rsidRPr="00E353D7" w:rsidRDefault="00E37C1C" w:rsidP="00E353D7">
      <w:pPr>
        <w:pStyle w:val="Textpoznpodarou"/>
        <w:jc w:val="both"/>
        <w:rPr>
          <w:sz w:val="16"/>
          <w:szCs w:val="16"/>
          <w:lang w:val="en-GB"/>
        </w:rPr>
      </w:pPr>
      <w:r w:rsidRPr="00E353D7">
        <w:rPr>
          <w:rStyle w:val="Znakapoznpodarou"/>
          <w:sz w:val="16"/>
          <w:szCs w:val="16"/>
          <w:lang w:val="en-GB"/>
        </w:rPr>
        <w:footnoteRef/>
      </w:r>
      <w:r w:rsidRPr="00E353D7">
        <w:rPr>
          <w:sz w:val="16"/>
          <w:szCs w:val="16"/>
          <w:lang w:val="en-GB"/>
        </w:rPr>
        <w:t xml:space="preserve"> </w:t>
      </w:r>
      <w:r>
        <w:rPr>
          <w:sz w:val="16"/>
          <w:szCs w:val="16"/>
          <w:lang w:val="en-GB"/>
        </w:rPr>
        <w:t xml:space="preserve">Consists of personal care services and personal needs and supplements, social care, insurance and further financial services etc. </w:t>
      </w:r>
    </w:p>
  </w:footnote>
  <w:footnote w:id="3">
    <w:p w14:paraId="0E211571" w14:textId="79D098A0" w:rsidR="00E37C1C" w:rsidRPr="00E353D7" w:rsidRDefault="00E37C1C" w:rsidP="00681797">
      <w:pPr>
        <w:pStyle w:val="Textpoznpodarou"/>
        <w:jc w:val="both"/>
        <w:rPr>
          <w:sz w:val="16"/>
          <w:szCs w:val="16"/>
          <w:lang w:val="en-GB"/>
        </w:rPr>
      </w:pPr>
      <w:r w:rsidRPr="00E353D7">
        <w:rPr>
          <w:rStyle w:val="Znakapoznpodarou"/>
          <w:sz w:val="16"/>
          <w:szCs w:val="16"/>
          <w:lang w:val="en-GB"/>
        </w:rPr>
        <w:footnoteRef/>
      </w:r>
      <w:r w:rsidRPr="00E353D7">
        <w:rPr>
          <w:sz w:val="16"/>
          <w:szCs w:val="16"/>
          <w:lang w:val="en-GB"/>
        </w:rPr>
        <w:t xml:space="preserve"> </w:t>
      </w:r>
      <w:r>
        <w:rPr>
          <w:sz w:val="16"/>
          <w:szCs w:val="16"/>
          <w:lang w:val="en-GB"/>
        </w:rPr>
        <w:t xml:space="preserve">Contrary to the consumer price index, which is compiled by the CZSO for the Czech economy, </w:t>
      </w:r>
      <w:r w:rsidRPr="00B10B82">
        <w:rPr>
          <w:sz w:val="16"/>
          <w:szCs w:val="16"/>
          <w:lang w:val="en-GB"/>
        </w:rPr>
        <w:t>HICP</w:t>
      </w:r>
      <w:r>
        <w:rPr>
          <w:sz w:val="16"/>
          <w:szCs w:val="16"/>
          <w:lang w:val="en-GB"/>
        </w:rPr>
        <w:t xml:space="preserve"> does not consists of imputed rentals, which is the main reason for the difference between the HICP and Consumer price index. </w:t>
      </w:r>
    </w:p>
  </w:footnote>
  <w:footnote w:id="4">
    <w:p w14:paraId="264036DE" w14:textId="17C72C65" w:rsidR="00E37C1C" w:rsidRPr="006B4B60" w:rsidRDefault="00E37C1C" w:rsidP="006B4B60">
      <w:pPr>
        <w:pStyle w:val="Textpoznpodarou"/>
        <w:jc w:val="both"/>
        <w:rPr>
          <w:sz w:val="16"/>
          <w:szCs w:val="16"/>
          <w:lang w:val="en-GB"/>
        </w:rPr>
      </w:pPr>
      <w:r w:rsidRPr="005F66A4">
        <w:rPr>
          <w:rStyle w:val="Znakapoznpodarou"/>
          <w:sz w:val="16"/>
          <w:szCs w:val="16"/>
        </w:rPr>
        <w:footnoteRef/>
      </w:r>
      <w:r w:rsidRPr="005F66A4">
        <w:rPr>
          <w:sz w:val="16"/>
          <w:szCs w:val="16"/>
        </w:rPr>
        <w:t xml:space="preserve"> </w:t>
      </w:r>
      <w:r w:rsidRPr="006B4B60">
        <w:rPr>
          <w:sz w:val="16"/>
          <w:szCs w:val="16"/>
          <w:lang w:val="en-GB"/>
        </w:rPr>
        <w:t>Precise values of the indicator are not given due to the protection of individual data.</w:t>
      </w:r>
    </w:p>
  </w:footnote>
  <w:footnote w:id="5">
    <w:p w14:paraId="08859993" w14:textId="5BB59337" w:rsidR="00E37C1C" w:rsidRPr="000C5F73" w:rsidRDefault="00E37C1C" w:rsidP="006B4B60">
      <w:pPr>
        <w:pStyle w:val="Textpoznpodarou"/>
        <w:rPr>
          <w:sz w:val="16"/>
          <w:szCs w:val="16"/>
        </w:rPr>
      </w:pPr>
      <w:r w:rsidRPr="000C5F73">
        <w:rPr>
          <w:rStyle w:val="Znakapoznpodarou"/>
          <w:sz w:val="16"/>
          <w:szCs w:val="16"/>
        </w:rPr>
        <w:footnoteRef/>
      </w:r>
      <w:r w:rsidRPr="000C5F73">
        <w:rPr>
          <w:sz w:val="16"/>
          <w:szCs w:val="16"/>
        </w:rPr>
        <w:t xml:space="preserve"> </w:t>
      </w:r>
      <w:r w:rsidRPr="00350728">
        <w:rPr>
          <w:sz w:val="16"/>
          <w:szCs w:val="16"/>
          <w:lang w:val="en-GB"/>
        </w:rPr>
        <w:t>Excluding prices of water supply and waste management.</w:t>
      </w:r>
    </w:p>
  </w:footnote>
  <w:footnote w:id="6">
    <w:p w14:paraId="0861555A" w14:textId="08F86826" w:rsidR="00E37C1C" w:rsidRPr="00BF14A6" w:rsidRDefault="00E37C1C" w:rsidP="00375CB9">
      <w:pPr>
        <w:pStyle w:val="Textpoznpodarou"/>
        <w:jc w:val="both"/>
        <w:rPr>
          <w:sz w:val="16"/>
          <w:szCs w:val="16"/>
          <w:lang w:val="en-GB"/>
        </w:rPr>
      </w:pPr>
      <w:r w:rsidRPr="00C11C5A">
        <w:rPr>
          <w:rStyle w:val="Znakapoznpodarou"/>
          <w:sz w:val="16"/>
          <w:szCs w:val="16"/>
        </w:rPr>
        <w:footnoteRef/>
      </w:r>
      <w:r>
        <w:rPr>
          <w:sz w:val="16"/>
          <w:szCs w:val="16"/>
        </w:rPr>
        <w:t xml:space="preserve"> </w:t>
      </w:r>
      <w:r>
        <w:rPr>
          <w:sz w:val="16"/>
          <w:szCs w:val="16"/>
          <w:lang w:val="en-GB"/>
        </w:rPr>
        <w:t>Based on the CNB data, th</w:t>
      </w:r>
      <w:r w:rsidRPr="00A25E62">
        <w:rPr>
          <w:sz w:val="16"/>
          <w:szCs w:val="16"/>
          <w:lang w:val="en-GB"/>
        </w:rPr>
        <w:t xml:space="preserve">e average koruna foreign </w:t>
      </w:r>
      <w:r>
        <w:rPr>
          <w:sz w:val="16"/>
          <w:szCs w:val="16"/>
          <w:lang w:val="en-GB"/>
        </w:rPr>
        <w:t>e</w:t>
      </w:r>
      <w:r w:rsidRPr="00A25E62">
        <w:rPr>
          <w:sz w:val="16"/>
          <w:szCs w:val="16"/>
          <w:lang w:val="en-GB"/>
        </w:rPr>
        <w:t xml:space="preserve">xchange per euro reached </w:t>
      </w:r>
      <w:r>
        <w:rPr>
          <w:sz w:val="16"/>
          <w:szCs w:val="16"/>
          <w:lang w:val="en-GB"/>
        </w:rPr>
        <w:t xml:space="preserve">24.387 CZK/EUR in Q4 2022. It was 25.377 CZK/EUR in year 2021. The average was 24.565 CZK EUR for the whole year 2022 (25.645 CZK/EUR in the preceding year). Koruna foreign </w:t>
      </w:r>
      <w:r w:rsidRPr="00BF14A6">
        <w:rPr>
          <w:sz w:val="16"/>
          <w:szCs w:val="16"/>
          <w:lang w:val="en-GB"/>
        </w:rPr>
        <w:t>exchange per dollar depreciated year-on-year. The average was 22.192 CZK/USD in Q4 2021 and 23.923 CZK/USD this year</w:t>
      </w:r>
      <w:r>
        <w:rPr>
          <w:sz w:val="16"/>
          <w:szCs w:val="16"/>
          <w:lang w:val="en-GB"/>
        </w:rPr>
        <w:t>.</w:t>
      </w:r>
      <w:r w:rsidRPr="00BF14A6">
        <w:rPr>
          <w:sz w:val="16"/>
          <w:szCs w:val="16"/>
          <w:lang w:val="en-GB"/>
        </w:rPr>
        <w:t xml:space="preserve"> Last year’s total average attained 23.360 CZK/USD and 21.682 CZK/USD in year 2021.</w:t>
      </w:r>
    </w:p>
  </w:footnote>
  <w:footnote w:id="7">
    <w:p w14:paraId="191412F9" w14:textId="61F9D9DA" w:rsidR="00E37C1C" w:rsidRPr="00455B02" w:rsidRDefault="00E37C1C" w:rsidP="00F45EE4">
      <w:pPr>
        <w:pStyle w:val="Textpoznpodarou"/>
        <w:jc w:val="both"/>
        <w:rPr>
          <w:sz w:val="16"/>
          <w:szCs w:val="16"/>
          <w:lang w:val="en-GB"/>
        </w:rPr>
      </w:pPr>
      <w:r w:rsidRPr="00BF14A6">
        <w:rPr>
          <w:rStyle w:val="Znakapoznpodarou"/>
          <w:sz w:val="16"/>
          <w:szCs w:val="16"/>
          <w:lang w:val="en-GB"/>
        </w:rPr>
        <w:footnoteRef/>
      </w:r>
      <w:r w:rsidRPr="00BF14A6">
        <w:rPr>
          <w:sz w:val="16"/>
          <w:szCs w:val="16"/>
          <w:lang w:val="en-GB"/>
        </w:rPr>
        <w:t xml:space="preserve"> SITC 6 – manufactured</w:t>
      </w:r>
      <w:r w:rsidRPr="00217809">
        <w:rPr>
          <w:sz w:val="16"/>
          <w:szCs w:val="16"/>
          <w:lang w:val="en-GB"/>
        </w:rPr>
        <w:t xml:space="preserve"> goods classified chiefly by material</w:t>
      </w:r>
      <w:r>
        <w:rPr>
          <w:sz w:val="16"/>
          <w:szCs w:val="16"/>
          <w:lang w:val="en-GB"/>
        </w:rPr>
        <w:t>.</w:t>
      </w:r>
    </w:p>
  </w:footnote>
  <w:footnote w:id="8">
    <w:p w14:paraId="3228938E" w14:textId="5E4B3140" w:rsidR="00E37C1C" w:rsidRPr="00455B02" w:rsidRDefault="00E37C1C" w:rsidP="00F45EE4">
      <w:pPr>
        <w:pStyle w:val="Textpoznpodarou"/>
        <w:jc w:val="both"/>
        <w:rPr>
          <w:sz w:val="16"/>
          <w:szCs w:val="16"/>
          <w:lang w:val="en-GB"/>
        </w:rPr>
      </w:pPr>
      <w:r w:rsidRPr="00455B02">
        <w:rPr>
          <w:rStyle w:val="Znakapoznpodarou"/>
          <w:sz w:val="16"/>
          <w:szCs w:val="16"/>
          <w:lang w:val="en-GB"/>
        </w:rPr>
        <w:footnoteRef/>
      </w:r>
      <w:r w:rsidRPr="00455B02">
        <w:rPr>
          <w:sz w:val="16"/>
          <w:szCs w:val="16"/>
          <w:lang w:val="en-GB"/>
        </w:rPr>
        <w:t xml:space="preserve"> SITC 2 – </w:t>
      </w:r>
      <w:r w:rsidRPr="00A25E62">
        <w:rPr>
          <w:sz w:val="16"/>
          <w:szCs w:val="16"/>
          <w:lang w:val="en-GB"/>
        </w:rPr>
        <w:t xml:space="preserve">crude materials inedible, except fuels.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0BC9"/>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ethodological-note-to-consumer-price-index-imputed-renta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2'!$C$26:$C$49</c:f>
              <c:numCache>
                <c:formatCode>General</c:formatCode>
                <c:ptCount val="24"/>
                <c:pt idx="0">
                  <c:v>2.4000000000000057</c:v>
                </c:pt>
                <c:pt idx="1">
                  <c:v>2.2000000000000028</c:v>
                </c:pt>
                <c:pt idx="2" formatCode="0.0">
                  <c:v>2.5</c:v>
                </c:pt>
                <c:pt idx="3" formatCode="0.0">
                  <c:v>2.6</c:v>
                </c:pt>
                <c:pt idx="4" formatCode="0.0">
                  <c:v>1.9</c:v>
                </c:pt>
                <c:pt idx="5" formatCode="0.0">
                  <c:v>2.2999999999999998</c:v>
                </c:pt>
                <c:pt idx="6" formatCode="0.0">
                  <c:v>2.4</c:v>
                </c:pt>
                <c:pt idx="7" formatCode="0.0">
                  <c:v>2.1</c:v>
                </c:pt>
                <c:pt idx="8" formatCode="0.0">
                  <c:v>2.7</c:v>
                </c:pt>
                <c:pt idx="9" formatCode="0.0">
                  <c:v>2.8</c:v>
                </c:pt>
                <c:pt idx="10" formatCode="0.0">
                  <c:v>2.8</c:v>
                </c:pt>
                <c:pt idx="11" formatCode="0.0">
                  <c:v>3</c:v>
                </c:pt>
                <c:pt idx="12" formatCode="0.0">
                  <c:v>3.6</c:v>
                </c:pt>
                <c:pt idx="13" formatCode="0.0">
                  <c:v>3.1</c:v>
                </c:pt>
                <c:pt idx="14" formatCode="0.0">
                  <c:v>3.3</c:v>
                </c:pt>
                <c:pt idx="15" formatCode="0.0">
                  <c:v>2.6</c:v>
                </c:pt>
                <c:pt idx="16" formatCode="0.0">
                  <c:v>2.2000000000000002</c:v>
                </c:pt>
                <c:pt idx="17" formatCode="0.0">
                  <c:v>2.9</c:v>
                </c:pt>
                <c:pt idx="18" formatCode="0.0">
                  <c:v>4.0999999999999996</c:v>
                </c:pt>
                <c:pt idx="19" formatCode="0.0">
                  <c:v>6.1</c:v>
                </c:pt>
                <c:pt idx="20" formatCode="0.0">
                  <c:v>11.2</c:v>
                </c:pt>
                <c:pt idx="21" formatCode="0.0">
                  <c:v>15.8</c:v>
                </c:pt>
                <c:pt idx="22" formatCode="0.0">
                  <c:v>17.600000000000001</c:v>
                </c:pt>
                <c:pt idx="23" formatCode="0.0">
                  <c:v>15.7</c:v>
                </c:pt>
              </c:numCache>
            </c:numRef>
          </c:val>
          <c:extLst>
            <c:ext xmlns:c16="http://schemas.microsoft.com/office/drawing/2014/chart" uri="{C3380CC4-5D6E-409C-BE32-E72D297353CC}">
              <c16:uniqueId val="{00000000-E70E-4DD5-BF36-F045C7F463A2}"/>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2'!$D$26:$D$49</c:f>
              <c:numCache>
                <c:formatCode>General</c:formatCode>
                <c:ptCount val="24"/>
                <c:pt idx="0">
                  <c:v>4.2000000000000028</c:v>
                </c:pt>
                <c:pt idx="1">
                  <c:v>4.5</c:v>
                </c:pt>
                <c:pt idx="2" formatCode="0.0">
                  <c:v>5.7</c:v>
                </c:pt>
                <c:pt idx="3" formatCode="0.0">
                  <c:v>6.3</c:v>
                </c:pt>
                <c:pt idx="4" formatCode="0.0">
                  <c:v>2.9</c:v>
                </c:pt>
                <c:pt idx="5" formatCode="#\ ##0.0_ ;\-#\ ##0.0\ ">
                  <c:v>2.2999999999999998</c:v>
                </c:pt>
                <c:pt idx="6" formatCode="0.0">
                  <c:v>0.6</c:v>
                </c:pt>
                <c:pt idx="7" formatCode="0.0">
                  <c:v>-0.5</c:v>
                </c:pt>
                <c:pt idx="8" formatCode="0.0">
                  <c:v>1</c:v>
                </c:pt>
                <c:pt idx="9" formatCode="0.0">
                  <c:v>2.5</c:v>
                </c:pt>
                <c:pt idx="10" formatCode="0.0">
                  <c:v>3.5</c:v>
                </c:pt>
                <c:pt idx="11" formatCode="0.0">
                  <c:v>4.3</c:v>
                </c:pt>
                <c:pt idx="12" formatCode="0.0">
                  <c:v>6.1</c:v>
                </c:pt>
                <c:pt idx="13" formatCode="0.0">
                  <c:v>6.5</c:v>
                </c:pt>
                <c:pt idx="14" formatCode="0.0">
                  <c:v>4</c:v>
                </c:pt>
                <c:pt idx="15" formatCode="0.0">
                  <c:v>1.7</c:v>
                </c:pt>
                <c:pt idx="16" formatCode="0.0">
                  <c:v>0.3</c:v>
                </c:pt>
                <c:pt idx="17" formatCode="0.0">
                  <c:v>-0.8</c:v>
                </c:pt>
                <c:pt idx="18" formatCode="0.0">
                  <c:v>1.4</c:v>
                </c:pt>
                <c:pt idx="19" formatCode="0.0">
                  <c:v>2.2999999999999998</c:v>
                </c:pt>
                <c:pt idx="20" formatCode="0.0">
                  <c:v>6.7</c:v>
                </c:pt>
                <c:pt idx="21" formatCode="0.0">
                  <c:v>14.6</c:v>
                </c:pt>
                <c:pt idx="22" formatCode="0.0">
                  <c:v>20</c:v>
                </c:pt>
                <c:pt idx="23" formatCode="0.0">
                  <c:v>25.5</c:v>
                </c:pt>
              </c:numCache>
            </c:numRef>
          </c:val>
          <c:smooth val="0"/>
          <c:extLst>
            <c:ext xmlns:c16="http://schemas.microsoft.com/office/drawing/2014/chart" uri="{C3380CC4-5D6E-409C-BE32-E72D297353CC}">
              <c16:uniqueId val="{00000001-E70E-4DD5-BF36-F045C7F463A2}"/>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2'!$F$26:$F$49</c:f>
              <c:numCache>
                <c:formatCode>General</c:formatCode>
                <c:ptCount val="24"/>
                <c:pt idx="0">
                  <c:v>0.79999999999999716</c:v>
                </c:pt>
                <c:pt idx="1">
                  <c:v>1.5</c:v>
                </c:pt>
                <c:pt idx="2" formatCode="0.0">
                  <c:v>2.1</c:v>
                </c:pt>
                <c:pt idx="3" formatCode="0.0">
                  <c:v>2.2000000000000002</c:v>
                </c:pt>
                <c:pt idx="4" formatCode="0.0">
                  <c:v>2.2999999999999998</c:v>
                </c:pt>
                <c:pt idx="5" formatCode="0.0">
                  <c:v>2.6</c:v>
                </c:pt>
                <c:pt idx="6" formatCode="0.0">
                  <c:v>3.2</c:v>
                </c:pt>
                <c:pt idx="7" formatCode="0.0">
                  <c:v>3.8</c:v>
                </c:pt>
                <c:pt idx="8" formatCode="0.0">
                  <c:v>5.4</c:v>
                </c:pt>
                <c:pt idx="9" formatCode="0.0">
                  <c:v>5.7</c:v>
                </c:pt>
                <c:pt idx="10" formatCode="0.0">
                  <c:v>5.2</c:v>
                </c:pt>
                <c:pt idx="11" formatCode="0.0">
                  <c:v>5</c:v>
                </c:pt>
                <c:pt idx="12" formatCode="0.0">
                  <c:v>4.2</c:v>
                </c:pt>
                <c:pt idx="13" formatCode="0.0">
                  <c:v>3.2</c:v>
                </c:pt>
                <c:pt idx="14" formatCode="0.0">
                  <c:v>2.7</c:v>
                </c:pt>
                <c:pt idx="15" formatCode="0.0">
                  <c:v>1.4</c:v>
                </c:pt>
                <c:pt idx="16" formatCode="0.0">
                  <c:v>0.6</c:v>
                </c:pt>
                <c:pt idx="17" formatCode="0.0">
                  <c:v>1.3</c:v>
                </c:pt>
                <c:pt idx="18" formatCode="0.0">
                  <c:v>3.6</c:v>
                </c:pt>
                <c:pt idx="19" formatCode="0.0">
                  <c:v>5.6</c:v>
                </c:pt>
                <c:pt idx="20" formatCode="0.0">
                  <c:v>16</c:v>
                </c:pt>
                <c:pt idx="21" formatCode="0.0">
                  <c:v>21.4</c:v>
                </c:pt>
                <c:pt idx="22" formatCode="0.0">
                  <c:v>23.6</c:v>
                </c:pt>
                <c:pt idx="23" formatCode="0.0">
                  <c:v>14.9</c:v>
                </c:pt>
              </c:numCache>
            </c:numRef>
          </c:val>
          <c:smooth val="0"/>
          <c:extLst>
            <c:ext xmlns:c16="http://schemas.microsoft.com/office/drawing/2014/chart" uri="{C3380CC4-5D6E-409C-BE32-E72D297353CC}">
              <c16:uniqueId val="{00000002-E70E-4DD5-BF36-F045C7F463A2}"/>
            </c:ext>
          </c:extLst>
        </c:ser>
        <c:ser>
          <c:idx val="4"/>
          <c:order val="3"/>
          <c:tx>
            <c:strRef>
              <c:f>'Ceny 2'!$G$5</c:f>
              <c:strCache>
                <c:ptCount val="1"/>
                <c:pt idx="0">
                  <c:v>Transportation</c:v>
                </c:pt>
              </c:strCache>
            </c:strRef>
          </c:tx>
          <c:spPr>
            <a:ln w="19050">
              <a:solidFill>
                <a:srgbClr val="FFC000"/>
              </a:solidFill>
            </a:ln>
          </c:spPr>
          <c:marker>
            <c:symbol val="none"/>
          </c:marker>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2'!$G$26:$G$49</c:f>
              <c:numCache>
                <c:formatCode>General</c:formatCode>
                <c:ptCount val="24"/>
                <c:pt idx="0">
                  <c:v>6</c:v>
                </c:pt>
                <c:pt idx="1">
                  <c:v>3.9000000000000057</c:v>
                </c:pt>
                <c:pt idx="2" formatCode="0.0">
                  <c:v>2.5</c:v>
                </c:pt>
                <c:pt idx="3" formatCode="0.0">
                  <c:v>2.5</c:v>
                </c:pt>
                <c:pt idx="4" formatCode="0.0">
                  <c:v>1</c:v>
                </c:pt>
                <c:pt idx="5" formatCode="0.0">
                  <c:v>3</c:v>
                </c:pt>
                <c:pt idx="6" formatCode="0.0">
                  <c:v>4.5</c:v>
                </c:pt>
                <c:pt idx="7" formatCode="0.0">
                  <c:v>2.6</c:v>
                </c:pt>
                <c:pt idx="8" formatCode="0.0">
                  <c:v>0.6</c:v>
                </c:pt>
                <c:pt idx="9" formatCode="0.0">
                  <c:v>0.8</c:v>
                </c:pt>
                <c:pt idx="10" formatCode="0.0">
                  <c:v>-0.2</c:v>
                </c:pt>
                <c:pt idx="11" formatCode="0.0">
                  <c:v>0.5</c:v>
                </c:pt>
                <c:pt idx="12">
                  <c:v>1.7</c:v>
                </c:pt>
                <c:pt idx="13" formatCode="0.0">
                  <c:v>-3.4</c:v>
                </c:pt>
                <c:pt idx="14" formatCode="0.0">
                  <c:v>-0.2</c:v>
                </c:pt>
                <c:pt idx="15" formatCode="0.0">
                  <c:v>0.6</c:v>
                </c:pt>
                <c:pt idx="16" formatCode="0.0">
                  <c:v>2.4</c:v>
                </c:pt>
                <c:pt idx="17" formatCode="0.0">
                  <c:v>9.1</c:v>
                </c:pt>
                <c:pt idx="18" formatCode="0.0">
                  <c:v>8.8000000000000007</c:v>
                </c:pt>
                <c:pt idx="19" formatCode="0.0">
                  <c:v>13.1</c:v>
                </c:pt>
                <c:pt idx="20" formatCode="0.0">
                  <c:v>17.2</c:v>
                </c:pt>
                <c:pt idx="21" formatCode="0.0">
                  <c:v>22.7</c:v>
                </c:pt>
                <c:pt idx="22" formatCode="0.0">
                  <c:v>19.7</c:v>
                </c:pt>
                <c:pt idx="23" formatCode="0.0">
                  <c:v>13.1</c:v>
                </c:pt>
              </c:numCache>
            </c:numRef>
          </c:val>
          <c:smooth val="0"/>
          <c:extLst>
            <c:ext xmlns:c16="http://schemas.microsoft.com/office/drawing/2014/chart" uri="{C3380CC4-5D6E-409C-BE32-E72D297353CC}">
              <c16:uniqueId val="{00000003-E70E-4DD5-BF36-F045C7F463A2}"/>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2'!$H$26:$H$49</c:f>
              <c:numCache>
                <c:formatCode>###\ ###\ ##0.0</c:formatCode>
                <c:ptCount val="24"/>
                <c:pt idx="0">
                  <c:v>5.2000000000000028</c:v>
                </c:pt>
                <c:pt idx="1">
                  <c:v>5.7999999999999972</c:v>
                </c:pt>
                <c:pt idx="2">
                  <c:v>6.2999999999999972</c:v>
                </c:pt>
                <c:pt idx="3" formatCode="0.0">
                  <c:v>5.6</c:v>
                </c:pt>
                <c:pt idx="4" formatCode="0.0">
                  <c:v>3.5</c:v>
                </c:pt>
                <c:pt idx="5" formatCode="0.0">
                  <c:v>3.6</c:v>
                </c:pt>
                <c:pt idx="6" formatCode="0.0">
                  <c:v>3.5</c:v>
                </c:pt>
                <c:pt idx="7" formatCode="0.0">
                  <c:v>3.7</c:v>
                </c:pt>
                <c:pt idx="8" formatCode="0.0">
                  <c:v>3.8</c:v>
                </c:pt>
                <c:pt idx="9" formatCode="0.0">
                  <c:v>4</c:v>
                </c:pt>
                <c:pt idx="10" formatCode="0.0">
                  <c:v>4.5</c:v>
                </c:pt>
                <c:pt idx="11" formatCode="0.0">
                  <c:v>4.5999999999999996</c:v>
                </c:pt>
                <c:pt idx="12" formatCode="0.0">
                  <c:v>5.5</c:v>
                </c:pt>
                <c:pt idx="13" formatCode="0.0">
                  <c:v>5.0999999999999996</c:v>
                </c:pt>
                <c:pt idx="14" formatCode="0.0">
                  <c:v>4.9000000000000004</c:v>
                </c:pt>
                <c:pt idx="15" formatCode="0.0">
                  <c:v>4.3</c:v>
                </c:pt>
                <c:pt idx="16" formatCode="0.0">
                  <c:v>3</c:v>
                </c:pt>
                <c:pt idx="17" formatCode="0.0">
                  <c:v>2.9</c:v>
                </c:pt>
                <c:pt idx="18" formatCode="0.0">
                  <c:v>4.5999999999999996</c:v>
                </c:pt>
                <c:pt idx="19" formatCode="0.0">
                  <c:v>6.8</c:v>
                </c:pt>
                <c:pt idx="20" formatCode="0.0">
                  <c:v>12.3</c:v>
                </c:pt>
                <c:pt idx="21" formatCode="0.0">
                  <c:v>21.4</c:v>
                </c:pt>
                <c:pt idx="22" formatCode="0.0">
                  <c:v>24.3</c:v>
                </c:pt>
                <c:pt idx="23" formatCode="0.0">
                  <c:v>25.6</c:v>
                </c:pt>
              </c:numCache>
            </c:numRef>
          </c:val>
          <c:smooth val="0"/>
          <c:extLst xmlns:c15="http://schemas.microsoft.com/office/drawing/2012/chart">
            <c:ext xmlns:c16="http://schemas.microsoft.com/office/drawing/2014/chart" uri="{C3380CC4-5D6E-409C-BE32-E72D297353CC}">
              <c16:uniqueId val="{00000004-E70E-4DD5-BF36-F045C7F463A2}"/>
            </c:ext>
          </c:extLst>
        </c:ser>
        <c:ser>
          <c:idx val="6"/>
          <c:order val="6"/>
          <c:tx>
            <c:strRef>
              <c:f>'Ceny 2'!$I$5</c:f>
              <c:strCache>
                <c:ptCount val="1"/>
                <c:pt idx="0">
                  <c:v>Recreation and culture</c:v>
                </c:pt>
              </c:strCache>
            </c:strRef>
          </c:tx>
          <c:spPr>
            <a:ln w="22225">
              <a:solidFill>
                <a:srgbClr val="FF0000"/>
              </a:solidFill>
            </a:ln>
          </c:spPr>
          <c:marker>
            <c:symbol val="none"/>
          </c:marker>
          <c:cat>
            <c:multiLvlStrRef>
              <c:f>'Ceny 2'!$A$26:$B$49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2'!$I$26:$I$49</c:f>
              <c:numCache>
                <c:formatCode>###\ ###\ ##0.0</c:formatCode>
                <c:ptCount val="24"/>
                <c:pt idx="0">
                  <c:v>0.7</c:v>
                </c:pt>
                <c:pt idx="1">
                  <c:v>1.1000000000000001</c:v>
                </c:pt>
                <c:pt idx="2">
                  <c:v>1.3</c:v>
                </c:pt>
                <c:pt idx="3">
                  <c:v>0.9</c:v>
                </c:pt>
                <c:pt idx="4" formatCode="General">
                  <c:v>0.5</c:v>
                </c:pt>
                <c:pt idx="5" formatCode="General">
                  <c:v>0.59999999999999432</c:v>
                </c:pt>
                <c:pt idx="6" formatCode="General">
                  <c:v>2.2000000000000028</c:v>
                </c:pt>
                <c:pt idx="7" formatCode="General">
                  <c:v>0.5</c:v>
                </c:pt>
                <c:pt idx="8" formatCode="General">
                  <c:v>1.7000000000000028</c:v>
                </c:pt>
                <c:pt idx="9" formatCode="General">
                  <c:v>1</c:v>
                </c:pt>
                <c:pt idx="10" formatCode="General">
                  <c:v>1.7000000000000028</c:v>
                </c:pt>
                <c:pt idx="11" formatCode="General">
                  <c:v>2.0999999999999943</c:v>
                </c:pt>
                <c:pt idx="12" formatCode="General">
                  <c:v>2.0999999999999943</c:v>
                </c:pt>
                <c:pt idx="13" formatCode="General">
                  <c:v>2</c:v>
                </c:pt>
                <c:pt idx="14" formatCode="General">
                  <c:v>2.2000000000000028</c:v>
                </c:pt>
                <c:pt idx="15" formatCode="General">
                  <c:v>2.5</c:v>
                </c:pt>
                <c:pt idx="16" formatCode="General">
                  <c:v>1.4000000000000057</c:v>
                </c:pt>
                <c:pt idx="17" formatCode="General">
                  <c:v>2</c:v>
                </c:pt>
                <c:pt idx="18" formatCode="General">
                  <c:v>3.0999999999999943</c:v>
                </c:pt>
                <c:pt idx="19" formatCode="General">
                  <c:v>5.2999999999999972</c:v>
                </c:pt>
                <c:pt idx="20" formatCode="General">
                  <c:v>8.5</c:v>
                </c:pt>
                <c:pt idx="21" formatCode="General">
                  <c:v>11.299999999999997</c:v>
                </c:pt>
                <c:pt idx="22" formatCode="General">
                  <c:v>12.599999999999994</c:v>
                </c:pt>
                <c:pt idx="23" formatCode="0.0">
                  <c:v>13.2</c:v>
                </c:pt>
              </c:numCache>
            </c:numRef>
          </c:val>
          <c:smooth val="0"/>
          <c:extLst>
            <c:ext xmlns:c16="http://schemas.microsoft.com/office/drawing/2014/chart" uri="{C3380CC4-5D6E-409C-BE32-E72D297353CC}">
              <c16:uniqueId val="{00000005-E70E-4DD5-BF36-F045C7F463A2}"/>
            </c:ext>
          </c:extLst>
        </c:ser>
        <c:dLbls>
          <c:showLegendKey val="0"/>
          <c:showVal val="0"/>
          <c:showCatName val="0"/>
          <c:showSerName val="0"/>
          <c:showPercent val="0"/>
          <c:showBubbleSize val="0"/>
        </c:dLbls>
        <c:marker val="1"/>
        <c:smooth val="0"/>
        <c:axId val="130513536"/>
        <c:axId val="130531712"/>
        <c:extLst>
          <c:ext xmlns:c15="http://schemas.microsoft.com/office/drawing/2012/chart" uri="{02D57815-91ED-43cb-92C2-25804820EDAC}">
            <c15:filteredLineSeries>
              <c15:ser>
                <c:idx val="5"/>
                <c:order val="4"/>
                <c:tx>
                  <c:strRef>
                    <c:extLst>
                      <c:ext uri="{02D57815-91ED-43cb-92C2-25804820EDAC}">
                        <c15:formulaRef>
                          <c15:sqref>'Ceny 2'!$E$5</c15:sqref>
                        </c15:formulaRef>
                      </c:ext>
                    </c:extLst>
                    <c:strCache>
                      <c:ptCount val="1"/>
                      <c:pt idx="0">
                        <c:v>Alcoholic beverages and tobacco</c:v>
                      </c:pt>
                    </c:strCache>
                  </c:strRef>
                </c:tx>
                <c:spPr>
                  <a:ln w="22225">
                    <a:solidFill>
                      <a:schemeClr val="accent2"/>
                    </a:solidFill>
                  </a:ln>
                </c:spPr>
                <c:marker>
                  <c:symbol val="none"/>
                </c:marker>
                <c:cat>
                  <c:multiLvlStrRef>
                    <c:extLst>
                      <c:ext uri="{02D57815-91ED-43cb-92C2-25804820EDAC}">
                        <c15:formulaRef>
                          <c15:sqref>'Ceny 2'!$A$26:$B$49</c15:sqref>
                        </c15:formulaRef>
                      </c:ext>
                    </c:extLst>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extLst>
                      <c:ext uri="{02D57815-91ED-43cb-92C2-25804820EDAC}">
                        <c15:formulaRef>
                          <c15:sqref>'Ceny 2'!$E$26:$E$49</c15:sqref>
                        </c15:formulaRef>
                      </c:ext>
                    </c:extLst>
                    <c:numCache>
                      <c:formatCode>General</c:formatCode>
                      <c:ptCount val="24"/>
                      <c:pt idx="0">
                        <c:v>3.4000000000000057</c:v>
                      </c:pt>
                      <c:pt idx="1">
                        <c:v>0.79999999999999716</c:v>
                      </c:pt>
                      <c:pt idx="2" formatCode="0.0">
                        <c:v>1.3</c:v>
                      </c:pt>
                      <c:pt idx="3" formatCode="0.0">
                        <c:v>1.5</c:v>
                      </c:pt>
                      <c:pt idx="4" formatCode="0.0">
                        <c:v>2.5</c:v>
                      </c:pt>
                      <c:pt idx="5" formatCode="0.0">
                        <c:v>3.6</c:v>
                      </c:pt>
                      <c:pt idx="6" formatCode="0.0">
                        <c:v>2.8</c:v>
                      </c:pt>
                      <c:pt idx="7" formatCode="0.0">
                        <c:v>3.1</c:v>
                      </c:pt>
                      <c:pt idx="8" formatCode="0.0">
                        <c:v>3.3</c:v>
                      </c:pt>
                      <c:pt idx="9" formatCode="0.0">
                        <c:v>1.7</c:v>
                      </c:pt>
                      <c:pt idx="10" formatCode="0.0">
                        <c:v>1.9</c:v>
                      </c:pt>
                      <c:pt idx="11" formatCode="0.0">
                        <c:v>1.8</c:v>
                      </c:pt>
                      <c:pt idx="12">
                        <c:v>3.5</c:v>
                      </c:pt>
                      <c:pt idx="13" formatCode="0.0">
                        <c:v>6.6</c:v>
                      </c:pt>
                      <c:pt idx="14" formatCode="0.0">
                        <c:v>10.3</c:v>
                      </c:pt>
                      <c:pt idx="15" formatCode="0.0">
                        <c:v>9.9</c:v>
                      </c:pt>
                      <c:pt idx="16" formatCode="0.0">
                        <c:v>9.9</c:v>
                      </c:pt>
                      <c:pt idx="17" formatCode="0.0">
                        <c:v>9.8000000000000007</c:v>
                      </c:pt>
                      <c:pt idx="18" formatCode="0.0">
                        <c:v>6.5</c:v>
                      </c:pt>
                      <c:pt idx="19" formatCode="0.0">
                        <c:v>7.7</c:v>
                      </c:pt>
                      <c:pt idx="20" formatCode="0.0">
                        <c:v>7.1</c:v>
                      </c:pt>
                      <c:pt idx="21" formatCode="0.0">
                        <c:v>5.6</c:v>
                      </c:pt>
                      <c:pt idx="22" formatCode="0.0">
                        <c:v>6.3</c:v>
                      </c:pt>
                      <c:pt idx="23" formatCode="0.0">
                        <c:v>6</c:v>
                      </c:pt>
                    </c:numCache>
                  </c:numRef>
                </c:val>
                <c:smooth val="0"/>
                <c:extLst>
                  <c:ext xmlns:c16="http://schemas.microsoft.com/office/drawing/2014/chart" uri="{C3380CC4-5D6E-409C-BE32-E72D297353CC}">
                    <c16:uniqueId val="{00000006-E70E-4DD5-BF36-F045C7F463A2}"/>
                  </c:ext>
                </c:extLst>
              </c15:ser>
            </c15:filteredLineSeries>
          </c:ext>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4"/>
      </c:valAx>
      <c:spPr>
        <a:ln>
          <a:solidFill>
            <a:schemeClr val="tx1"/>
          </a:solidFill>
        </a:ln>
      </c:spPr>
    </c:plotArea>
    <c:legend>
      <c:legendPos val="b"/>
      <c:layout>
        <c:manualLayout>
          <c:xMode val="edge"/>
          <c:yMode val="edge"/>
          <c:x val="5.6562816616008108E-2"/>
          <c:y val="0.87970674321738151"/>
          <c:w val="0.9271700861195542"/>
          <c:h val="0.1057713243277177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1'!$C$26:$C$49</c:f>
              <c:numCache>
                <c:formatCode>General</c:formatCode>
                <c:ptCount val="24"/>
                <c:pt idx="0">
                  <c:v>17.200000000000003</c:v>
                </c:pt>
                <c:pt idx="1">
                  <c:v>18.700000000000003</c:v>
                </c:pt>
                <c:pt idx="2">
                  <c:v>15.799999999999997</c:v>
                </c:pt>
                <c:pt idx="3">
                  <c:v>12</c:v>
                </c:pt>
                <c:pt idx="4">
                  <c:v>9.2000000000000028</c:v>
                </c:pt>
                <c:pt idx="5">
                  <c:v>8</c:v>
                </c:pt>
                <c:pt idx="6">
                  <c:v>9.4000000000000057</c:v>
                </c:pt>
                <c:pt idx="7">
                  <c:v>11.400000000000006</c:v>
                </c:pt>
                <c:pt idx="8">
                  <c:v>11.299999999999997</c:v>
                </c:pt>
                <c:pt idx="9">
                  <c:v>10.599999999999994</c:v>
                </c:pt>
                <c:pt idx="10">
                  <c:v>9.5</c:v>
                </c:pt>
                <c:pt idx="11">
                  <c:v>9.4000000000000057</c:v>
                </c:pt>
                <c:pt idx="12">
                  <c:v>10.599999999999994</c:v>
                </c:pt>
                <c:pt idx="13">
                  <c:v>10.200000000000003</c:v>
                </c:pt>
                <c:pt idx="14">
                  <c:v>11.200000000000003</c:v>
                </c:pt>
                <c:pt idx="15">
                  <c:v>13.299999999999997</c:v>
                </c:pt>
                <c:pt idx="16">
                  <c:v>15.200000000000003</c:v>
                </c:pt>
                <c:pt idx="17">
                  <c:v>17.900000000000006</c:v>
                </c:pt>
                <c:pt idx="18">
                  <c:v>21.299999999999997</c:v>
                </c:pt>
                <c:pt idx="19">
                  <c:v>25.200000000000003</c:v>
                </c:pt>
                <c:pt idx="20">
                  <c:v>27.299999999999997</c:v>
                </c:pt>
                <c:pt idx="21">
                  <c:v>27.599999999999994</c:v>
                </c:pt>
                <c:pt idx="22">
                  <c:v>23.400000000000006</c:v>
                </c:pt>
                <c:pt idx="23">
                  <c:v>13.799999999999997</c:v>
                </c:pt>
              </c:numCache>
            </c:numRef>
          </c:val>
          <c:extLst>
            <c:ext xmlns:c16="http://schemas.microsoft.com/office/drawing/2014/chart" uri="{C3380CC4-5D6E-409C-BE32-E72D297353CC}">
              <c16:uniqueId val="{00000000-E820-4CD9-A37D-6AF33A4648CE}"/>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1'!$D$26:$D$49</c:f>
              <c:numCache>
                <c:formatCode>General</c:formatCode>
                <c:ptCount val="24"/>
                <c:pt idx="0">
                  <c:v>16.200000000000003</c:v>
                </c:pt>
                <c:pt idx="1">
                  <c:v>19</c:v>
                </c:pt>
                <c:pt idx="2">
                  <c:v>16.400000000000006</c:v>
                </c:pt>
                <c:pt idx="3">
                  <c:v>11.099999999999994</c:v>
                </c:pt>
                <c:pt idx="4">
                  <c:v>8.2999999999999972</c:v>
                </c:pt>
                <c:pt idx="5">
                  <c:v>4</c:v>
                </c:pt>
                <c:pt idx="6">
                  <c:v>6</c:v>
                </c:pt>
                <c:pt idx="7">
                  <c:v>8.7000000000000028</c:v>
                </c:pt>
                <c:pt idx="8">
                  <c:v>9.4000000000000057</c:v>
                </c:pt>
                <c:pt idx="9">
                  <c:v>8.7000000000000028</c:v>
                </c:pt>
                <c:pt idx="10">
                  <c:v>6.5</c:v>
                </c:pt>
                <c:pt idx="11">
                  <c:v>7.0999999999999943</c:v>
                </c:pt>
                <c:pt idx="12">
                  <c:v>6.2000000000000028</c:v>
                </c:pt>
                <c:pt idx="13">
                  <c:v>8</c:v>
                </c:pt>
                <c:pt idx="14">
                  <c:v>9.4000000000000057</c:v>
                </c:pt>
                <c:pt idx="15">
                  <c:v>10.599999999999994</c:v>
                </c:pt>
                <c:pt idx="16">
                  <c:v>14.299999999999997</c:v>
                </c:pt>
                <c:pt idx="17">
                  <c:v>15.799999999999997</c:v>
                </c:pt>
                <c:pt idx="18">
                  <c:v>16.599999999999994</c:v>
                </c:pt>
                <c:pt idx="19">
                  <c:v>20</c:v>
                </c:pt>
                <c:pt idx="20">
                  <c:v>19</c:v>
                </c:pt>
                <c:pt idx="21">
                  <c:v>16.700000000000003</c:v>
                </c:pt>
                <c:pt idx="22">
                  <c:v>15.599999999999994</c:v>
                </c:pt>
                <c:pt idx="23">
                  <c:v>8.4000000000000057</c:v>
                </c:pt>
              </c:numCache>
            </c:numRef>
          </c:val>
          <c:extLst>
            <c:ext xmlns:c16="http://schemas.microsoft.com/office/drawing/2014/chart" uri="{C3380CC4-5D6E-409C-BE32-E72D297353CC}">
              <c16:uniqueId val="{00000001-E820-4CD9-A37D-6AF33A4648CE}"/>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1'!$E$26:$E$49</c:f>
              <c:numCache>
                <c:formatCode>General</c:formatCode>
                <c:ptCount val="24"/>
                <c:pt idx="0" formatCode="0.0">
                  <c:v>9.5238095238095184</c:v>
                </c:pt>
                <c:pt idx="1">
                  <c:v>9.5278969957081472</c:v>
                </c:pt>
                <c:pt idx="2">
                  <c:v>12.542087542087543</c:v>
                </c:pt>
                <c:pt idx="3">
                  <c:v>12.469237079573418</c:v>
                </c:pt>
                <c:pt idx="4">
                  <c:v>12.801932367149746</c:v>
                </c:pt>
                <c:pt idx="5">
                  <c:v>12.225705329153584</c:v>
                </c:pt>
                <c:pt idx="6">
                  <c:v>9.498878085265531</c:v>
                </c:pt>
                <c:pt idx="7">
                  <c:v>8.4609773887673185</c:v>
                </c:pt>
                <c:pt idx="8">
                  <c:v>7.4232690935046435</c:v>
                </c:pt>
                <c:pt idx="9">
                  <c:v>5.7262569832402335</c:v>
                </c:pt>
                <c:pt idx="10">
                  <c:v>5.1912568306010911</c:v>
                </c:pt>
                <c:pt idx="11">
                  <c:v>5.5144586415601964</c:v>
                </c:pt>
                <c:pt idx="12">
                  <c:v>6.0465116279069662</c:v>
                </c:pt>
                <c:pt idx="13">
                  <c:v>7.1334214002641829</c:v>
                </c:pt>
                <c:pt idx="14">
                  <c:v>7.9870129870129887</c:v>
                </c:pt>
                <c:pt idx="15">
                  <c:v>7.6481835564053569</c:v>
                </c:pt>
                <c:pt idx="16">
                  <c:v>7.6441102756892292</c:v>
                </c:pt>
                <c:pt idx="17">
                  <c:v>7.9531442663378584</c:v>
                </c:pt>
                <c:pt idx="18">
                  <c:v>9.3205051112447421</c:v>
                </c:pt>
                <c:pt idx="19">
                  <c:v>12.433392539964473</c:v>
                </c:pt>
                <c:pt idx="20">
                  <c:v>16.880093131548307</c:v>
                </c:pt>
                <c:pt idx="21">
                  <c:v>24.671616219303274</c:v>
                </c:pt>
                <c:pt idx="22">
                  <c:v>22.937293729372925</c:v>
                </c:pt>
                <c:pt idx="23">
                  <c:v>18.325434439178508</c:v>
                </c:pt>
              </c:numCache>
            </c:numRef>
          </c:val>
          <c:smooth val="0"/>
          <c:extLst>
            <c:ext xmlns:c16="http://schemas.microsoft.com/office/drawing/2014/chart" uri="{C3380CC4-5D6E-409C-BE32-E72D297353CC}">
              <c16:uniqueId val="{00000002-E820-4CD9-A37D-6AF33A4648CE}"/>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1'!$A$26:$B$49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2017</c:v>
                  </c:pt>
                  <c:pt idx="4">
                    <c:v>2018</c:v>
                  </c:pt>
                  <c:pt idx="8">
                    <c:v>2019</c:v>
                  </c:pt>
                  <c:pt idx="12">
                    <c:v>2020</c:v>
                  </c:pt>
                  <c:pt idx="16">
                    <c:v>2021</c:v>
                  </c:pt>
                  <c:pt idx="20">
                    <c:v>2022</c:v>
                  </c:pt>
                </c:lvl>
              </c:multiLvlStrCache>
            </c:multiLvlStrRef>
          </c:cat>
          <c:val>
            <c:numRef>
              <c:f>'Ceny 1'!$F$26:$F$49</c:f>
              <c:numCache>
                <c:formatCode>General</c:formatCode>
                <c:ptCount val="24"/>
                <c:pt idx="0" formatCode="0.0">
                  <c:v>13.636363636363626</c:v>
                </c:pt>
                <c:pt idx="1">
                  <c:v>14.589905362776051</c:v>
                </c:pt>
                <c:pt idx="2">
                  <c:v>18.266253869969049</c:v>
                </c:pt>
                <c:pt idx="3">
                  <c:v>18.773373223635019</c:v>
                </c:pt>
                <c:pt idx="4">
                  <c:v>15.071428571428555</c:v>
                </c:pt>
                <c:pt idx="5">
                  <c:v>14.24638678596007</c:v>
                </c:pt>
                <c:pt idx="6">
                  <c:v>10.732984293193695</c:v>
                </c:pt>
                <c:pt idx="7">
                  <c:v>8.7531486146095574</c:v>
                </c:pt>
                <c:pt idx="8">
                  <c:v>8.3178150217256359</c:v>
                </c:pt>
                <c:pt idx="9">
                  <c:v>4.9397590361445651</c:v>
                </c:pt>
                <c:pt idx="10">
                  <c:v>3.3096926713947994</c:v>
                </c:pt>
                <c:pt idx="11">
                  <c:v>2.9530978575564575</c:v>
                </c:pt>
                <c:pt idx="12">
                  <c:v>3.5530085959885298</c:v>
                </c:pt>
                <c:pt idx="13">
                  <c:v>5.2812858783008068</c:v>
                </c:pt>
                <c:pt idx="14">
                  <c:v>6.2356979405034281</c:v>
                </c:pt>
                <c:pt idx="15">
                  <c:v>5.1743532058492718</c:v>
                </c:pt>
                <c:pt idx="16">
                  <c:v>4.759269507470961</c:v>
                </c:pt>
                <c:pt idx="17">
                  <c:v>4.5256270447110012</c:v>
                </c:pt>
                <c:pt idx="18">
                  <c:v>6.2466343564889826</c:v>
                </c:pt>
                <c:pt idx="19">
                  <c:v>9.1443850267379503</c:v>
                </c:pt>
                <c:pt idx="20">
                  <c:v>12.255678816693077</c:v>
                </c:pt>
                <c:pt idx="21">
                  <c:v>19.718309859154942</c:v>
                </c:pt>
                <c:pt idx="22">
                  <c:v>18.499746578813998</c:v>
                </c:pt>
                <c:pt idx="23">
                  <c:v>16.903478686918177</c:v>
                </c:pt>
              </c:numCache>
            </c:numRef>
          </c:val>
          <c:smooth val="0"/>
          <c:extLst>
            <c:ext xmlns:c16="http://schemas.microsoft.com/office/drawing/2014/chart" uri="{C3380CC4-5D6E-409C-BE32-E72D297353CC}">
              <c16:uniqueId val="{00000003-E820-4CD9-A37D-6AF33A4648CE}"/>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ax val="28"/>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4"/>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91551808092412446"/>
          <c:h val="0.68283314851777921"/>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4'!$A$54:$B$125</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2017</c:v>
                  </c:pt>
                  <c:pt idx="12">
                    <c:v>2018</c:v>
                  </c:pt>
                  <c:pt idx="24">
                    <c:v>2019</c:v>
                  </c:pt>
                  <c:pt idx="36">
                    <c:v>2020</c:v>
                  </c:pt>
                  <c:pt idx="48">
                    <c:v>2021</c:v>
                  </c:pt>
                  <c:pt idx="60">
                    <c:v>2022</c:v>
                  </c:pt>
                </c:lvl>
              </c:multiLvlStrCache>
            </c:multiLvlStrRef>
          </c:cat>
          <c:val>
            <c:numRef>
              <c:f>'Ceny 4'!$C$54:$C$125</c:f>
              <c:numCache>
                <c:formatCode>General</c:formatCode>
                <c:ptCount val="72"/>
                <c:pt idx="0">
                  <c:v>2.0999999999999943</c:v>
                </c:pt>
                <c:pt idx="1">
                  <c:v>3.0999999999999943</c:v>
                </c:pt>
                <c:pt idx="2" formatCode="0.0">
                  <c:v>3</c:v>
                </c:pt>
                <c:pt idx="3" formatCode="0.0">
                  <c:v>3.2000000000000028</c:v>
                </c:pt>
                <c:pt idx="4">
                  <c:v>2.2999999999999972</c:v>
                </c:pt>
                <c:pt idx="5">
                  <c:v>1.2999999999999972</c:v>
                </c:pt>
                <c:pt idx="6">
                  <c:v>1.1000000000000001</c:v>
                </c:pt>
                <c:pt idx="7">
                  <c:v>1.4</c:v>
                </c:pt>
                <c:pt idx="8">
                  <c:v>1.7</c:v>
                </c:pt>
                <c:pt idx="9">
                  <c:v>1.1000000000000001</c:v>
                </c:pt>
                <c:pt idx="10">
                  <c:v>0.9</c:v>
                </c:pt>
                <c:pt idx="11">
                  <c:v>0.7</c:v>
                </c:pt>
                <c:pt idx="12">
                  <c:v>0.5</c:v>
                </c:pt>
                <c:pt idx="13">
                  <c:v>-0.3</c:v>
                </c:pt>
                <c:pt idx="14">
                  <c:v>0.1</c:v>
                </c:pt>
                <c:pt idx="15">
                  <c:v>0</c:v>
                </c:pt>
                <c:pt idx="16">
                  <c:v>1.5</c:v>
                </c:pt>
                <c:pt idx="17">
                  <c:v>2.9</c:v>
                </c:pt>
                <c:pt idx="18">
                  <c:v>3.4</c:v>
                </c:pt>
                <c:pt idx="19">
                  <c:v>3.3</c:v>
                </c:pt>
                <c:pt idx="20">
                  <c:v>3.2</c:v>
                </c:pt>
                <c:pt idx="21">
                  <c:v>3.9</c:v>
                </c:pt>
                <c:pt idx="22">
                  <c:v>3.9</c:v>
                </c:pt>
                <c:pt idx="23">
                  <c:v>2.4</c:v>
                </c:pt>
                <c:pt idx="24">
                  <c:v>2.9</c:v>
                </c:pt>
                <c:pt idx="25">
                  <c:v>3.6</c:v>
                </c:pt>
                <c:pt idx="26">
                  <c:v>3.8</c:v>
                </c:pt>
                <c:pt idx="27">
                  <c:v>4.3</c:v>
                </c:pt>
                <c:pt idx="28">
                  <c:v>3.8</c:v>
                </c:pt>
                <c:pt idx="29">
                  <c:v>2.5</c:v>
                </c:pt>
                <c:pt idx="30">
                  <c:v>2.1</c:v>
                </c:pt>
                <c:pt idx="31">
                  <c:v>2.1</c:v>
                </c:pt>
                <c:pt idx="32">
                  <c:v>1.9</c:v>
                </c:pt>
                <c:pt idx="33">
                  <c:v>0.9</c:v>
                </c:pt>
                <c:pt idx="34">
                  <c:v>0.9</c:v>
                </c:pt>
                <c:pt idx="35">
                  <c:v>2.1</c:v>
                </c:pt>
                <c:pt idx="36">
                  <c:v>2.4</c:v>
                </c:pt>
                <c:pt idx="37">
                  <c:v>1.4</c:v>
                </c:pt>
                <c:pt idx="38">
                  <c:v>0.4</c:v>
                </c:pt>
                <c:pt idx="39">
                  <c:v>-0.8</c:v>
                </c:pt>
                <c:pt idx="40">
                  <c:v>-0.9</c:v>
                </c:pt>
                <c:pt idx="41">
                  <c:v>-0.3</c:v>
                </c:pt>
                <c:pt idx="42">
                  <c:v>-0.1</c:v>
                </c:pt>
                <c:pt idx="43">
                  <c:v>-0.5</c:v>
                </c:pt>
                <c:pt idx="44">
                  <c:v>-0.4</c:v>
                </c:pt>
                <c:pt idx="45">
                  <c:v>0.3</c:v>
                </c:pt>
                <c:pt idx="46">
                  <c:v>-0.1</c:v>
                </c:pt>
                <c:pt idx="47">
                  <c:v>0</c:v>
                </c:pt>
                <c:pt idx="48">
                  <c:v>0</c:v>
                </c:pt>
                <c:pt idx="49">
                  <c:v>1.4</c:v>
                </c:pt>
                <c:pt idx="50">
                  <c:v>3.3</c:v>
                </c:pt>
                <c:pt idx="51">
                  <c:v>4.5999999999999996</c:v>
                </c:pt>
                <c:pt idx="52">
                  <c:v>5.0999999999999996</c:v>
                </c:pt>
                <c:pt idx="53">
                  <c:v>6.1</c:v>
                </c:pt>
                <c:pt idx="54">
                  <c:v>7.8</c:v>
                </c:pt>
                <c:pt idx="55">
                  <c:v>9.3000000000000007</c:v>
                </c:pt>
                <c:pt idx="56">
                  <c:v>9.9</c:v>
                </c:pt>
                <c:pt idx="57">
                  <c:v>11.6</c:v>
                </c:pt>
                <c:pt idx="58">
                  <c:v>13.5</c:v>
                </c:pt>
                <c:pt idx="59">
                  <c:v>13.2</c:v>
                </c:pt>
                <c:pt idx="60">
                  <c:v>19.399999999999999</c:v>
                </c:pt>
                <c:pt idx="61">
                  <c:v>21.3</c:v>
                </c:pt>
                <c:pt idx="62">
                  <c:v>24.7</c:v>
                </c:pt>
                <c:pt idx="63">
                  <c:v>26.6</c:v>
                </c:pt>
                <c:pt idx="64">
                  <c:v>27.9</c:v>
                </c:pt>
                <c:pt idx="65">
                  <c:v>28.5</c:v>
                </c:pt>
                <c:pt idx="66">
                  <c:v>26.8</c:v>
                </c:pt>
                <c:pt idx="67">
                  <c:v>25.2</c:v>
                </c:pt>
                <c:pt idx="68">
                  <c:v>25.8</c:v>
                </c:pt>
                <c:pt idx="69">
                  <c:v>24.1</c:v>
                </c:pt>
                <c:pt idx="70">
                  <c:v>21.3</c:v>
                </c:pt>
                <c:pt idx="71">
                  <c:v>20.100000000000001</c:v>
                </c:pt>
              </c:numCache>
            </c:numRef>
          </c:val>
          <c:extLst>
            <c:ext xmlns:c16="http://schemas.microsoft.com/office/drawing/2014/chart" uri="{C3380CC4-5D6E-409C-BE32-E72D297353CC}">
              <c16:uniqueId val="{00000000-B77D-45A0-AD00-D7744C50E98F}"/>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4'!$A$54:$B$125</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2017</c:v>
                  </c:pt>
                  <c:pt idx="12">
                    <c:v>2018</c:v>
                  </c:pt>
                  <c:pt idx="24">
                    <c:v>2019</c:v>
                  </c:pt>
                  <c:pt idx="36">
                    <c:v>2020</c:v>
                  </c:pt>
                  <c:pt idx="48">
                    <c:v>2021</c:v>
                  </c:pt>
                  <c:pt idx="60">
                    <c:v>2022</c:v>
                  </c:pt>
                </c:lvl>
              </c:multiLvlStrCache>
            </c:multiLvlStrRef>
          </c:cat>
          <c:val>
            <c:numRef>
              <c:f>'Ceny 4'!$D$54:$D$125</c:f>
              <c:numCache>
                <c:formatCode>General</c:formatCode>
                <c:ptCount val="72"/>
                <c:pt idx="0">
                  <c:v>2.2999999999999972</c:v>
                </c:pt>
                <c:pt idx="1">
                  <c:v>5.7999999999999972</c:v>
                </c:pt>
                <c:pt idx="2" formatCode="0.0">
                  <c:v>6.2000000000000028</c:v>
                </c:pt>
                <c:pt idx="3" formatCode="0.0">
                  <c:v>6.4000000000000057</c:v>
                </c:pt>
                <c:pt idx="4">
                  <c:v>4.2999999999999972</c:v>
                </c:pt>
                <c:pt idx="5">
                  <c:v>4.0999999999999943</c:v>
                </c:pt>
                <c:pt idx="6">
                  <c:v>2.9</c:v>
                </c:pt>
                <c:pt idx="7">
                  <c:v>1.7</c:v>
                </c:pt>
                <c:pt idx="8">
                  <c:v>1.9</c:v>
                </c:pt>
                <c:pt idx="9">
                  <c:v>3.4</c:v>
                </c:pt>
                <c:pt idx="10">
                  <c:v>3.3</c:v>
                </c:pt>
                <c:pt idx="11">
                  <c:v>3.6</c:v>
                </c:pt>
                <c:pt idx="12">
                  <c:v>6.7</c:v>
                </c:pt>
                <c:pt idx="13">
                  <c:v>5</c:v>
                </c:pt>
                <c:pt idx="14">
                  <c:v>4.3</c:v>
                </c:pt>
                <c:pt idx="15">
                  <c:v>4.5999999999999996</c:v>
                </c:pt>
                <c:pt idx="16">
                  <c:v>7.4</c:v>
                </c:pt>
                <c:pt idx="17">
                  <c:v>8</c:v>
                </c:pt>
                <c:pt idx="18">
                  <c:v>8.4</c:v>
                </c:pt>
                <c:pt idx="19">
                  <c:v>10.1</c:v>
                </c:pt>
                <c:pt idx="20">
                  <c:v>9.9</c:v>
                </c:pt>
                <c:pt idx="21">
                  <c:v>9</c:v>
                </c:pt>
                <c:pt idx="22">
                  <c:v>9.1999999999999993</c:v>
                </c:pt>
                <c:pt idx="23">
                  <c:v>8.3000000000000007</c:v>
                </c:pt>
                <c:pt idx="24">
                  <c:v>7.9</c:v>
                </c:pt>
                <c:pt idx="25">
                  <c:v>7.4</c:v>
                </c:pt>
                <c:pt idx="26">
                  <c:v>8</c:v>
                </c:pt>
                <c:pt idx="27">
                  <c:v>8.4</c:v>
                </c:pt>
                <c:pt idx="28">
                  <c:v>7.5</c:v>
                </c:pt>
                <c:pt idx="29">
                  <c:v>7.1</c:v>
                </c:pt>
                <c:pt idx="30">
                  <c:v>6.9</c:v>
                </c:pt>
                <c:pt idx="31">
                  <c:v>6.8</c:v>
                </c:pt>
                <c:pt idx="32">
                  <c:v>6.6</c:v>
                </c:pt>
                <c:pt idx="33">
                  <c:v>3.6</c:v>
                </c:pt>
                <c:pt idx="34">
                  <c:v>3.2</c:v>
                </c:pt>
                <c:pt idx="35">
                  <c:v>4.3</c:v>
                </c:pt>
                <c:pt idx="36">
                  <c:v>-2.1</c:v>
                </c:pt>
                <c:pt idx="37">
                  <c:v>-1.8</c:v>
                </c:pt>
                <c:pt idx="38">
                  <c:v>-2.6</c:v>
                </c:pt>
                <c:pt idx="39">
                  <c:v>-3.7</c:v>
                </c:pt>
                <c:pt idx="40">
                  <c:v>-3.1</c:v>
                </c:pt>
                <c:pt idx="41">
                  <c:v>-3.6</c:v>
                </c:pt>
                <c:pt idx="42">
                  <c:v>-3.5</c:v>
                </c:pt>
                <c:pt idx="43">
                  <c:v>-3.5</c:v>
                </c:pt>
                <c:pt idx="44">
                  <c:v>-3.7</c:v>
                </c:pt>
                <c:pt idx="45">
                  <c:v>-1.9</c:v>
                </c:pt>
                <c:pt idx="46">
                  <c:v>-1.8</c:v>
                </c:pt>
                <c:pt idx="47">
                  <c:v>-2.2000000000000002</c:v>
                </c:pt>
                <c:pt idx="48">
                  <c:v>-0.3</c:v>
                </c:pt>
                <c:pt idx="49">
                  <c:v>-0.8</c:v>
                </c:pt>
                <c:pt idx="50">
                  <c:v>-0.3</c:v>
                </c:pt>
                <c:pt idx="51">
                  <c:v>1</c:v>
                </c:pt>
                <c:pt idx="52">
                  <c:v>0.3</c:v>
                </c:pt>
                <c:pt idx="53">
                  <c:v>1.1000000000000001</c:v>
                </c:pt>
                <c:pt idx="54">
                  <c:v>2</c:v>
                </c:pt>
                <c:pt idx="55">
                  <c:v>3.6</c:v>
                </c:pt>
                <c:pt idx="56">
                  <c:v>4.3</c:v>
                </c:pt>
                <c:pt idx="57">
                  <c:v>12.7</c:v>
                </c:pt>
                <c:pt idx="58">
                  <c:v>14</c:v>
                </c:pt>
                <c:pt idx="59">
                  <c:v>14.6</c:v>
                </c:pt>
                <c:pt idx="60">
                  <c:v>24.2</c:v>
                </c:pt>
                <c:pt idx="61">
                  <c:v>25.1</c:v>
                </c:pt>
                <c:pt idx="62">
                  <c:v>26.3</c:v>
                </c:pt>
                <c:pt idx="63">
                  <c:v>28.3</c:v>
                </c:pt>
                <c:pt idx="64">
                  <c:v>34</c:v>
                </c:pt>
                <c:pt idx="65">
                  <c:v>33.299999999999997</c:v>
                </c:pt>
                <c:pt idx="66">
                  <c:v>30.4</c:v>
                </c:pt>
                <c:pt idx="67">
                  <c:v>28.8</c:v>
                </c:pt>
                <c:pt idx="68">
                  <c:v>31.3</c:v>
                </c:pt>
                <c:pt idx="69">
                  <c:v>24.5</c:v>
                </c:pt>
                <c:pt idx="70">
                  <c:v>23.5</c:v>
                </c:pt>
                <c:pt idx="71">
                  <c:v>21.9</c:v>
                </c:pt>
              </c:numCache>
            </c:numRef>
          </c:val>
          <c:smooth val="0"/>
          <c:extLst>
            <c:ext xmlns:c16="http://schemas.microsoft.com/office/drawing/2014/chart" uri="{C3380CC4-5D6E-409C-BE32-E72D297353CC}">
              <c16:uniqueId val="{00000001-B77D-45A0-AD00-D7744C50E98F}"/>
            </c:ext>
          </c:extLst>
        </c:ser>
        <c:ser>
          <c:idx val="2"/>
          <c:order val="2"/>
          <c:tx>
            <c:strRef>
              <c:f>'Ceny 4'!$E$5</c:f>
              <c:strCache>
                <c:ptCount val="1"/>
                <c:pt idx="0">
                  <c:v>Manufacturing</c:v>
                </c:pt>
              </c:strCache>
            </c:strRef>
          </c:tx>
          <c:spPr>
            <a:ln w="19050">
              <a:solidFill>
                <a:srgbClr val="BD1B21"/>
              </a:solidFill>
            </a:ln>
          </c:spPr>
          <c:marker>
            <c:symbol val="none"/>
          </c:marker>
          <c:cat>
            <c:multiLvlStrRef>
              <c:f>'Ceny 4'!$A$54:$B$125</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2017</c:v>
                  </c:pt>
                  <c:pt idx="12">
                    <c:v>2018</c:v>
                  </c:pt>
                  <c:pt idx="24">
                    <c:v>2019</c:v>
                  </c:pt>
                  <c:pt idx="36">
                    <c:v>2020</c:v>
                  </c:pt>
                  <c:pt idx="48">
                    <c:v>2021</c:v>
                  </c:pt>
                  <c:pt idx="60">
                    <c:v>2022</c:v>
                  </c:pt>
                </c:lvl>
              </c:multiLvlStrCache>
            </c:multiLvlStrRef>
          </c:cat>
          <c:val>
            <c:numRef>
              <c:f>'Ceny 4'!$E$54:$E$125</c:f>
              <c:numCache>
                <c:formatCode>General</c:formatCode>
                <c:ptCount val="72"/>
                <c:pt idx="0">
                  <c:v>2.5999999999999943</c:v>
                </c:pt>
                <c:pt idx="1">
                  <c:v>4</c:v>
                </c:pt>
                <c:pt idx="2" formatCode="0.0">
                  <c:v>3.7999999999999972</c:v>
                </c:pt>
                <c:pt idx="3" formatCode="0.0">
                  <c:v>4</c:v>
                </c:pt>
                <c:pt idx="4">
                  <c:v>2.7999999999999972</c:v>
                </c:pt>
                <c:pt idx="5">
                  <c:v>1.5</c:v>
                </c:pt>
                <c:pt idx="6">
                  <c:v>1.4</c:v>
                </c:pt>
                <c:pt idx="7">
                  <c:v>2</c:v>
                </c:pt>
                <c:pt idx="8">
                  <c:v>2.1</c:v>
                </c:pt>
                <c:pt idx="9">
                  <c:v>1.4</c:v>
                </c:pt>
                <c:pt idx="10">
                  <c:v>1.1000000000000001</c:v>
                </c:pt>
                <c:pt idx="11">
                  <c:v>0.9</c:v>
                </c:pt>
                <c:pt idx="12">
                  <c:v>0.2</c:v>
                </c:pt>
                <c:pt idx="13">
                  <c:v>-0.9</c:v>
                </c:pt>
                <c:pt idx="14">
                  <c:v>-0.5</c:v>
                </c:pt>
                <c:pt idx="15">
                  <c:v>-0.5</c:v>
                </c:pt>
                <c:pt idx="16">
                  <c:v>1.3</c:v>
                </c:pt>
                <c:pt idx="17">
                  <c:v>2.8</c:v>
                </c:pt>
                <c:pt idx="18">
                  <c:v>3.4</c:v>
                </c:pt>
                <c:pt idx="19">
                  <c:v>3.2</c:v>
                </c:pt>
                <c:pt idx="20">
                  <c:v>3</c:v>
                </c:pt>
                <c:pt idx="21">
                  <c:v>3.8</c:v>
                </c:pt>
                <c:pt idx="22">
                  <c:v>3.9</c:v>
                </c:pt>
                <c:pt idx="23">
                  <c:v>2.2000000000000002</c:v>
                </c:pt>
                <c:pt idx="24">
                  <c:v>1.9</c:v>
                </c:pt>
                <c:pt idx="25">
                  <c:v>2.9</c:v>
                </c:pt>
                <c:pt idx="26">
                  <c:v>3</c:v>
                </c:pt>
                <c:pt idx="27">
                  <c:v>3.5</c:v>
                </c:pt>
                <c:pt idx="28">
                  <c:v>2.9</c:v>
                </c:pt>
                <c:pt idx="29">
                  <c:v>1.4</c:v>
                </c:pt>
                <c:pt idx="30">
                  <c:v>0.9</c:v>
                </c:pt>
                <c:pt idx="31">
                  <c:v>0.8</c:v>
                </c:pt>
                <c:pt idx="32">
                  <c:v>0.7</c:v>
                </c:pt>
                <c:pt idx="33">
                  <c:v>-0.4</c:v>
                </c:pt>
                <c:pt idx="34">
                  <c:v>-0.7</c:v>
                </c:pt>
                <c:pt idx="35">
                  <c:v>0.8</c:v>
                </c:pt>
                <c:pt idx="36">
                  <c:v>1.2</c:v>
                </c:pt>
                <c:pt idx="37">
                  <c:v>-0.1</c:v>
                </c:pt>
                <c:pt idx="38">
                  <c:v>-1.2</c:v>
                </c:pt>
                <c:pt idx="39">
                  <c:v>-2.5</c:v>
                </c:pt>
                <c:pt idx="40">
                  <c:v>-2.6</c:v>
                </c:pt>
                <c:pt idx="41">
                  <c:v>-1.9</c:v>
                </c:pt>
                <c:pt idx="42">
                  <c:v>-1.6</c:v>
                </c:pt>
                <c:pt idx="43">
                  <c:v>-2</c:v>
                </c:pt>
                <c:pt idx="44">
                  <c:v>-1.9</c:v>
                </c:pt>
                <c:pt idx="45">
                  <c:v>-1.1000000000000001</c:v>
                </c:pt>
                <c:pt idx="46">
                  <c:v>-1.4</c:v>
                </c:pt>
                <c:pt idx="47">
                  <c:v>-1.2</c:v>
                </c:pt>
                <c:pt idx="48">
                  <c:v>-0.3</c:v>
                </c:pt>
                <c:pt idx="49">
                  <c:v>1.6</c:v>
                </c:pt>
                <c:pt idx="50">
                  <c:v>4.0999999999999996</c:v>
                </c:pt>
                <c:pt idx="51">
                  <c:v>5.6</c:v>
                </c:pt>
                <c:pt idx="52">
                  <c:v>6.3</c:v>
                </c:pt>
                <c:pt idx="53">
                  <c:v>7.4</c:v>
                </c:pt>
                <c:pt idx="54">
                  <c:v>9.5</c:v>
                </c:pt>
                <c:pt idx="55">
                  <c:v>11.4</c:v>
                </c:pt>
                <c:pt idx="56">
                  <c:v>12</c:v>
                </c:pt>
                <c:pt idx="57">
                  <c:v>13.4</c:v>
                </c:pt>
                <c:pt idx="58">
                  <c:v>15.4</c:v>
                </c:pt>
                <c:pt idx="59">
                  <c:v>14.7</c:v>
                </c:pt>
                <c:pt idx="60">
                  <c:v>15.5</c:v>
                </c:pt>
                <c:pt idx="61">
                  <c:v>16.600000000000001</c:v>
                </c:pt>
                <c:pt idx="62">
                  <c:v>20.3</c:v>
                </c:pt>
                <c:pt idx="63">
                  <c:v>22.3</c:v>
                </c:pt>
                <c:pt idx="64">
                  <c:v>24.6</c:v>
                </c:pt>
                <c:pt idx="65">
                  <c:v>25.8</c:v>
                </c:pt>
                <c:pt idx="66">
                  <c:v>22.7</c:v>
                </c:pt>
                <c:pt idx="67">
                  <c:v>20</c:v>
                </c:pt>
                <c:pt idx="68">
                  <c:v>18.899999999999999</c:v>
                </c:pt>
                <c:pt idx="69">
                  <c:v>18.399999999999999</c:v>
                </c:pt>
                <c:pt idx="70">
                  <c:v>15.7</c:v>
                </c:pt>
                <c:pt idx="71">
                  <c:v>14</c:v>
                </c:pt>
              </c:numCache>
            </c:numRef>
          </c:val>
          <c:smooth val="0"/>
          <c:extLst>
            <c:ext xmlns:c16="http://schemas.microsoft.com/office/drawing/2014/chart" uri="{C3380CC4-5D6E-409C-BE32-E72D297353CC}">
              <c16:uniqueId val="{00000002-B77D-45A0-AD00-D7744C50E98F}"/>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4'!$A$54:$B$125</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2017</c:v>
                  </c:pt>
                  <c:pt idx="12">
                    <c:v>2018</c:v>
                  </c:pt>
                  <c:pt idx="24">
                    <c:v>2019</c:v>
                  </c:pt>
                  <c:pt idx="36">
                    <c:v>2020</c:v>
                  </c:pt>
                  <c:pt idx="48">
                    <c:v>2021</c:v>
                  </c:pt>
                  <c:pt idx="60">
                    <c:v>2022</c:v>
                  </c:pt>
                </c:lvl>
              </c:multiLvlStrCache>
            </c:multiLvlStrRef>
          </c:cat>
          <c:val>
            <c:numRef>
              <c:f>'Ceny 4'!$F$54:$F$125</c:f>
              <c:numCache>
                <c:formatCode>General</c:formatCode>
                <c:ptCount val="72"/>
                <c:pt idx="0">
                  <c:v>-1.0999999999999943</c:v>
                </c:pt>
                <c:pt idx="1">
                  <c:v>-1.2000000000000028</c:v>
                </c:pt>
                <c:pt idx="2" formatCode="0.0">
                  <c:v>-1.2000000000000028</c:v>
                </c:pt>
                <c:pt idx="3" formatCode="0.0">
                  <c:v>-1.4000000000000057</c:v>
                </c:pt>
                <c:pt idx="4">
                  <c:v>-1.2999999999999972</c:v>
                </c:pt>
                <c:pt idx="5">
                  <c:v>-1.0999999999999943</c:v>
                </c:pt>
                <c:pt idx="6">
                  <c:v>-1.1000000000000001</c:v>
                </c:pt>
                <c:pt idx="7">
                  <c:v>-1.3</c:v>
                </c:pt>
                <c:pt idx="8">
                  <c:v>-1.1000000000000001</c:v>
                </c:pt>
                <c:pt idx="9">
                  <c:v>-1.1000000000000001</c:v>
                </c:pt>
                <c:pt idx="10">
                  <c:v>-1.1000000000000001</c:v>
                </c:pt>
                <c:pt idx="11">
                  <c:v>-1.1000000000000001</c:v>
                </c:pt>
                <c:pt idx="12">
                  <c:v>1.5</c:v>
                </c:pt>
                <c:pt idx="13">
                  <c:v>1.6</c:v>
                </c:pt>
                <c:pt idx="14">
                  <c:v>1.6</c:v>
                </c:pt>
                <c:pt idx="15">
                  <c:v>1.7</c:v>
                </c:pt>
                <c:pt idx="16">
                  <c:v>1.7</c:v>
                </c:pt>
                <c:pt idx="17">
                  <c:v>2.2999999999999998</c:v>
                </c:pt>
                <c:pt idx="18">
                  <c:v>2.2999999999999998</c:v>
                </c:pt>
                <c:pt idx="19">
                  <c:v>2.6</c:v>
                </c:pt>
                <c:pt idx="20">
                  <c:v>2.7</c:v>
                </c:pt>
                <c:pt idx="21">
                  <c:v>2.8</c:v>
                </c:pt>
                <c:pt idx="22">
                  <c:v>2.8</c:v>
                </c:pt>
                <c:pt idx="23">
                  <c:v>2.8</c:v>
                </c:pt>
                <c:pt idx="24">
                  <c:v>7.2</c:v>
                </c:pt>
                <c:pt idx="25">
                  <c:v>7.5</c:v>
                </c:pt>
                <c:pt idx="26">
                  <c:v>8.4</c:v>
                </c:pt>
                <c:pt idx="27">
                  <c:v>8.1999999999999993</c:v>
                </c:pt>
                <c:pt idx="28">
                  <c:v>8.6</c:v>
                </c:pt>
                <c:pt idx="29">
                  <c:v>7.9</c:v>
                </c:pt>
                <c:pt idx="30">
                  <c:v>8</c:v>
                </c:pt>
                <c:pt idx="31">
                  <c:v>7.7</c:v>
                </c:pt>
                <c:pt idx="32">
                  <c:v>7.7</c:v>
                </c:pt>
                <c:pt idx="33">
                  <c:v>7.5</c:v>
                </c:pt>
                <c:pt idx="34">
                  <c:v>8.6999999999999993</c:v>
                </c:pt>
                <c:pt idx="35">
                  <c:v>8.8000000000000007</c:v>
                </c:pt>
                <c:pt idx="36">
                  <c:v>9.3000000000000007</c:v>
                </c:pt>
                <c:pt idx="37">
                  <c:v>9</c:v>
                </c:pt>
                <c:pt idx="38">
                  <c:v>8.3000000000000007</c:v>
                </c:pt>
                <c:pt idx="39">
                  <c:v>8.6</c:v>
                </c:pt>
                <c:pt idx="40">
                  <c:v>8</c:v>
                </c:pt>
                <c:pt idx="41">
                  <c:v>8</c:v>
                </c:pt>
                <c:pt idx="42">
                  <c:v>7.7</c:v>
                </c:pt>
                <c:pt idx="43">
                  <c:v>7.9</c:v>
                </c:pt>
                <c:pt idx="44">
                  <c:v>7.7</c:v>
                </c:pt>
                <c:pt idx="45">
                  <c:v>7</c:v>
                </c:pt>
                <c:pt idx="46">
                  <c:v>5.8</c:v>
                </c:pt>
                <c:pt idx="47">
                  <c:v>5.6</c:v>
                </c:pt>
                <c:pt idx="48">
                  <c:v>0.4</c:v>
                </c:pt>
                <c:pt idx="49">
                  <c:v>0.4</c:v>
                </c:pt>
                <c:pt idx="50">
                  <c:v>0.1</c:v>
                </c:pt>
                <c:pt idx="51">
                  <c:v>-0.1</c:v>
                </c:pt>
                <c:pt idx="52">
                  <c:v>0.2</c:v>
                </c:pt>
                <c:pt idx="53">
                  <c:v>0.2</c:v>
                </c:pt>
                <c:pt idx="54">
                  <c:v>0.5</c:v>
                </c:pt>
                <c:pt idx="55">
                  <c:v>0.7</c:v>
                </c:pt>
                <c:pt idx="56">
                  <c:v>1.2</c:v>
                </c:pt>
                <c:pt idx="57">
                  <c:v>3.7</c:v>
                </c:pt>
                <c:pt idx="58">
                  <c:v>5.6</c:v>
                </c:pt>
                <c:pt idx="59">
                  <c:v>7.1</c:v>
                </c:pt>
                <c:pt idx="60">
                  <c:v>40.6</c:v>
                </c:pt>
                <c:pt idx="61">
                  <c:v>45.5</c:v>
                </c:pt>
                <c:pt idx="62">
                  <c:v>48.9</c:v>
                </c:pt>
                <c:pt idx="63">
                  <c:v>51.4</c:v>
                </c:pt>
                <c:pt idx="64">
                  <c:v>45.8</c:v>
                </c:pt>
                <c:pt idx="65">
                  <c:v>44.6</c:v>
                </c:pt>
                <c:pt idx="66">
                  <c:v>49.8</c:v>
                </c:pt>
                <c:pt idx="67">
                  <c:v>54.3</c:v>
                </c:pt>
                <c:pt idx="68">
                  <c:v>64</c:v>
                </c:pt>
                <c:pt idx="69">
                  <c:v>56.8</c:v>
                </c:pt>
                <c:pt idx="70">
                  <c:v>52.6</c:v>
                </c:pt>
                <c:pt idx="71">
                  <c:v>53.5</c:v>
                </c:pt>
              </c:numCache>
            </c:numRef>
          </c:val>
          <c:smooth val="0"/>
          <c:extLst>
            <c:ext xmlns:c16="http://schemas.microsoft.com/office/drawing/2014/chart" uri="{C3380CC4-5D6E-409C-BE32-E72D297353CC}">
              <c16:uniqueId val="{00000003-B77D-45A0-AD00-D7744C50E98F}"/>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4'!$A$54:$B$125</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2017</c:v>
                  </c:pt>
                  <c:pt idx="12">
                    <c:v>2018</c:v>
                  </c:pt>
                  <c:pt idx="24">
                    <c:v>2019</c:v>
                  </c:pt>
                  <c:pt idx="36">
                    <c:v>2020</c:v>
                  </c:pt>
                  <c:pt idx="48">
                    <c:v>2021</c:v>
                  </c:pt>
                  <c:pt idx="60">
                    <c:v>2022</c:v>
                  </c:pt>
                </c:lvl>
              </c:multiLvlStrCache>
            </c:multiLvlStrRef>
          </c:cat>
          <c:val>
            <c:numRef>
              <c:f>'Ceny 4'!$G$54:$G$125</c:f>
              <c:numCache>
                <c:formatCode>General</c:formatCode>
                <c:ptCount val="72"/>
                <c:pt idx="0">
                  <c:v>2.0999999999999943</c:v>
                </c:pt>
                <c:pt idx="1">
                  <c:v>2.0999999999999943</c:v>
                </c:pt>
                <c:pt idx="2" formatCode="0.0">
                  <c:v>2.0999999999999943</c:v>
                </c:pt>
                <c:pt idx="3" formatCode="0.0">
                  <c:v>1</c:v>
                </c:pt>
                <c:pt idx="4">
                  <c:v>1</c:v>
                </c:pt>
                <c:pt idx="5">
                  <c:v>1</c:v>
                </c:pt>
                <c:pt idx="6">
                  <c:v>1</c:v>
                </c:pt>
                <c:pt idx="7">
                  <c:v>1</c:v>
                </c:pt>
                <c:pt idx="8">
                  <c:v>1</c:v>
                </c:pt>
                <c:pt idx="9">
                  <c:v>1</c:v>
                </c:pt>
                <c:pt idx="10">
                  <c:v>1</c:v>
                </c:pt>
                <c:pt idx="11">
                  <c:v>1</c:v>
                </c:pt>
                <c:pt idx="12">
                  <c:v>1.9</c:v>
                </c:pt>
                <c:pt idx="13">
                  <c:v>1.9</c:v>
                </c:pt>
                <c:pt idx="14">
                  <c:v>1.9</c:v>
                </c:pt>
                <c:pt idx="15">
                  <c:v>1.9</c:v>
                </c:pt>
                <c:pt idx="16">
                  <c:v>1.9</c:v>
                </c:pt>
                <c:pt idx="17">
                  <c:v>1.9</c:v>
                </c:pt>
                <c:pt idx="18">
                  <c:v>1.9</c:v>
                </c:pt>
                <c:pt idx="19">
                  <c:v>1.9</c:v>
                </c:pt>
                <c:pt idx="20">
                  <c:v>1.9</c:v>
                </c:pt>
                <c:pt idx="21">
                  <c:v>1.9</c:v>
                </c:pt>
                <c:pt idx="22">
                  <c:v>1.9</c:v>
                </c:pt>
                <c:pt idx="23">
                  <c:v>1.9</c:v>
                </c:pt>
                <c:pt idx="24">
                  <c:v>2.9</c:v>
                </c:pt>
                <c:pt idx="25">
                  <c:v>2.9</c:v>
                </c:pt>
                <c:pt idx="26">
                  <c:v>2.9</c:v>
                </c:pt>
                <c:pt idx="27">
                  <c:v>2.9</c:v>
                </c:pt>
                <c:pt idx="28">
                  <c:v>2.9</c:v>
                </c:pt>
                <c:pt idx="29">
                  <c:v>2.9</c:v>
                </c:pt>
                <c:pt idx="30">
                  <c:v>2.9</c:v>
                </c:pt>
                <c:pt idx="31">
                  <c:v>2.9</c:v>
                </c:pt>
                <c:pt idx="32">
                  <c:v>2.9</c:v>
                </c:pt>
                <c:pt idx="33">
                  <c:v>2.9</c:v>
                </c:pt>
                <c:pt idx="34">
                  <c:v>2.9</c:v>
                </c:pt>
                <c:pt idx="35">
                  <c:v>2.9</c:v>
                </c:pt>
                <c:pt idx="36">
                  <c:v>5.4</c:v>
                </c:pt>
                <c:pt idx="37">
                  <c:v>5.4</c:v>
                </c:pt>
                <c:pt idx="38">
                  <c:v>5.4</c:v>
                </c:pt>
                <c:pt idx="39">
                  <c:v>5.4</c:v>
                </c:pt>
                <c:pt idx="40">
                  <c:v>6.4</c:v>
                </c:pt>
                <c:pt idx="41">
                  <c:v>6.4</c:v>
                </c:pt>
                <c:pt idx="42">
                  <c:v>6.4</c:v>
                </c:pt>
                <c:pt idx="43">
                  <c:v>6.4</c:v>
                </c:pt>
                <c:pt idx="44">
                  <c:v>6.4</c:v>
                </c:pt>
                <c:pt idx="45">
                  <c:v>6.4</c:v>
                </c:pt>
                <c:pt idx="46">
                  <c:v>6.4</c:v>
                </c:pt>
                <c:pt idx="47">
                  <c:v>6.4</c:v>
                </c:pt>
                <c:pt idx="48">
                  <c:v>6.9</c:v>
                </c:pt>
                <c:pt idx="49">
                  <c:v>6.9</c:v>
                </c:pt>
                <c:pt idx="50">
                  <c:v>6.9</c:v>
                </c:pt>
                <c:pt idx="51">
                  <c:v>6.9</c:v>
                </c:pt>
                <c:pt idx="52">
                  <c:v>5.9</c:v>
                </c:pt>
                <c:pt idx="53">
                  <c:v>5.9</c:v>
                </c:pt>
                <c:pt idx="54">
                  <c:v>5.9</c:v>
                </c:pt>
                <c:pt idx="55">
                  <c:v>5.9</c:v>
                </c:pt>
                <c:pt idx="56">
                  <c:v>5.9</c:v>
                </c:pt>
                <c:pt idx="57">
                  <c:v>5.9</c:v>
                </c:pt>
                <c:pt idx="58">
                  <c:v>5.9</c:v>
                </c:pt>
                <c:pt idx="59">
                  <c:v>5.9</c:v>
                </c:pt>
                <c:pt idx="60">
                  <c:v>5.3</c:v>
                </c:pt>
                <c:pt idx="61">
                  <c:v>5.3</c:v>
                </c:pt>
                <c:pt idx="62">
                  <c:v>5.3</c:v>
                </c:pt>
                <c:pt idx="63">
                  <c:v>5.3</c:v>
                </c:pt>
                <c:pt idx="64">
                  <c:v>5.3</c:v>
                </c:pt>
                <c:pt idx="65">
                  <c:v>5.3</c:v>
                </c:pt>
                <c:pt idx="66">
                  <c:v>5.3</c:v>
                </c:pt>
                <c:pt idx="67">
                  <c:v>5.3</c:v>
                </c:pt>
                <c:pt idx="68">
                  <c:v>5.3</c:v>
                </c:pt>
                <c:pt idx="69">
                  <c:v>5.3</c:v>
                </c:pt>
                <c:pt idx="70">
                  <c:v>5.3</c:v>
                </c:pt>
                <c:pt idx="71">
                  <c:v>5.3</c:v>
                </c:pt>
              </c:numCache>
            </c:numRef>
          </c:val>
          <c:smooth val="0"/>
          <c:extLst>
            <c:ext xmlns:c16="http://schemas.microsoft.com/office/drawing/2014/chart" uri="{C3380CC4-5D6E-409C-BE32-E72D297353CC}">
              <c16:uniqueId val="{00000004-B77D-45A0-AD00-D7744C50E98F}"/>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65"/>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5"/>
      </c:valAx>
      <c:spPr>
        <a:ln>
          <a:solidFill>
            <a:schemeClr val="tx1"/>
          </a:solidFill>
        </a:ln>
      </c:spPr>
    </c:plotArea>
    <c:legend>
      <c:legendPos val="b"/>
      <c:layout>
        <c:manualLayout>
          <c:xMode val="edge"/>
          <c:yMode val="edge"/>
          <c:x val="4.7919139114029445E-2"/>
          <c:y val="0.82577215938493387"/>
          <c:w val="0.91970088217624568"/>
          <c:h val="0.1575613218008427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11</TotalTime>
  <Pages>8</Pages>
  <Words>3977</Words>
  <Characters>23466</Characters>
  <Application>Microsoft Office Word</Application>
  <DocSecurity>0</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