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B1" w:rsidRDefault="004229B1" w:rsidP="004229B1">
      <w:pPr>
        <w:pStyle w:val="Nadpis3"/>
        <w:rPr>
          <w:sz w:val="32"/>
          <w:szCs w:val="32"/>
        </w:rPr>
      </w:pPr>
      <w:r w:rsidRPr="00516F86">
        <w:rPr>
          <w:sz w:val="32"/>
          <w:szCs w:val="32"/>
        </w:rPr>
        <w:t xml:space="preserve">3. </w:t>
      </w:r>
      <w:r>
        <w:rPr>
          <w:sz w:val="32"/>
          <w:szCs w:val="32"/>
        </w:rPr>
        <w:t>Cizinci vzdělávající se v ČR podle druhu vzdělávacího zařízení</w:t>
      </w:r>
    </w:p>
    <w:p w:rsidR="004229B1" w:rsidRDefault="004229B1" w:rsidP="004229B1"/>
    <w:p w:rsidR="004229B1" w:rsidRPr="00262F9A" w:rsidRDefault="004229B1" w:rsidP="004229B1">
      <w:pPr>
        <w:spacing w:after="120" w:line="360" w:lineRule="auto"/>
        <w:jc w:val="both"/>
        <w:rPr>
          <w:b/>
          <w:sz w:val="28"/>
          <w:szCs w:val="28"/>
        </w:rPr>
      </w:pPr>
      <w:r w:rsidRPr="00262F9A">
        <w:rPr>
          <w:b/>
          <w:sz w:val="28"/>
          <w:szCs w:val="28"/>
        </w:rPr>
        <w:t>3.1 Mateřské školy</w:t>
      </w:r>
      <w:r w:rsidRPr="00262F9A">
        <w:rPr>
          <w:b/>
          <w:sz w:val="28"/>
          <w:szCs w:val="28"/>
        </w:rPr>
        <w:tab/>
      </w:r>
    </w:p>
    <w:p w:rsidR="004229B1" w:rsidRDefault="004229B1" w:rsidP="004229B1">
      <w:pPr>
        <w:spacing w:after="120" w:line="360" w:lineRule="auto"/>
        <w:jc w:val="both"/>
      </w:pPr>
      <w:r>
        <w:tab/>
        <w:t xml:space="preserve">Podle údajů MŠMT navštěvovalo ve školním roce 2016/2017 mateřskou školu v České republice celkem 362 653 dětí. Podíl dětí-cizinců činil 2,6 % neboli 9 494 z celkového počtu, z čehož 5 971 dětí (62,9 %) připadalo na cizince z evropských zemí (z toho 2 712 na cizince z členských zemí EU). Děti mající státní občanství jiných zemí (mimo Evropu) se na celkovém počtu dětí-cizinců v mateřských školách podílely s 37,1 %.  </w:t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t xml:space="preserve">Srovnáme-li uvedené počty s předchozím obdobím, je zřejmé, že oproti školnímu roku 2015/2016 došlo u všech zmíněných skupin cizinců k meziročnímu nárůstu. Celkový počet cizinců navštěvujících mateřskou školu tak meziročně vzrostl o 14,4 p. b. Nejvyšší meziroční přírůstek (o 17,6 p. b.) byl zaznamenán u skupiny cizinců z mimoevropských zemí. Celkově vzrostl počet cizinců z třetích zemí (tj. všech cizinců mimo EU-28) meziročně o 16,5 p. b.  </w:t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rPr>
          <w:noProof/>
        </w:rPr>
        <w:drawing>
          <wp:inline distT="0" distB="0" distL="0" distR="0" wp14:anchorId="46D46A99" wp14:editId="5E0A3843">
            <wp:extent cx="4762500" cy="3933825"/>
            <wp:effectExtent l="0" t="0" r="0" b="0"/>
            <wp:docPr id="4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t>Podíváme-li se na dostupné statistické údaje z hlediska dlouhodobější retrospektivy, je vidět, že v období uplynulých 10 let se počty dětí-cizinců navštěvujících některou z mateřských škol na území ČR zvýšily více než třikrát (z 3 078 ve školním roce 2007/2008 na 9 494 ve školním roce 2016/2017), přičemž za celé sledované období markantněji vzrostly počty cizinců z evropských zemí (z 1 754 na 5 971, tj. 3,4 krát). Oproti tomu počty cizinců ze zemí mimo Evropu vrostly pouze mírněji (z 1 324 na 3 523, tj. 2,7 krát).</w:t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491D4386" wp14:editId="02B435B7">
            <wp:extent cx="5235575" cy="4036060"/>
            <wp:effectExtent l="0" t="0" r="0" b="0"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t xml:space="preserve">Z hlediska složení podle státního občanství převažují mezi dětmi-cizinci v mateřských </w:t>
      </w:r>
      <w:proofErr w:type="gramStart"/>
      <w:r>
        <w:t>školách  cizinci</w:t>
      </w:r>
      <w:proofErr w:type="gramEnd"/>
      <w:r>
        <w:t xml:space="preserve"> z třetích zemí, kteří ve školním roce 2016/2017 tvořili 71,4 % z celkového počtu cizinců navštěvujících mateřské školy. Jde zejména o občany Vietnamu (26,9 % z celkového počtu cizinců v mateřských školách ve školním roce 2016/2017), Ukrajiny (23,7 %) a Ruska (6,2 %). Mezi cizinci ze zemí EU převažují občané Slovenska (18,1 %).</w:t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t>Během uplynulých 10 let je vidět významný početní nárůst zejména u občanů Ukrajiny. Počet těchto státních příslušníků vzrostl z necelých 600 ve školním roce 2007/2008 na 2 254 ve školním roce 2016/2017.</w:t>
      </w:r>
    </w:p>
    <w:p w:rsidR="004229B1" w:rsidRDefault="004229B1" w:rsidP="004229B1">
      <w:pPr>
        <w:spacing w:after="120" w:line="360" w:lineRule="auto"/>
        <w:ind w:firstLine="708"/>
        <w:jc w:val="both"/>
      </w:pPr>
      <w:r>
        <w:t>Drtivá převaha dětí-cizinců v mateřských školách (93,7 %) pobývá v ČR na základě uděleného povolení k trvalému pobytu.</w:t>
      </w:r>
    </w:p>
    <w:p w:rsidR="004229B1" w:rsidRDefault="004229B1" w:rsidP="004229B1">
      <w:pPr>
        <w:spacing w:after="120" w:line="360" w:lineRule="auto"/>
        <w:jc w:val="both"/>
      </w:pPr>
    </w:p>
    <w:p w:rsidR="004229B1" w:rsidRPr="00262F9A" w:rsidRDefault="004229B1" w:rsidP="004229B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62F9A">
        <w:rPr>
          <w:rFonts w:cs="Arial"/>
          <w:b/>
          <w:sz w:val="28"/>
          <w:szCs w:val="28"/>
        </w:rPr>
        <w:t>3.2 Základní školy</w:t>
      </w:r>
    </w:p>
    <w:p w:rsidR="004229B1" w:rsidRDefault="004229B1" w:rsidP="004229B1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Cs w:val="20"/>
        </w:rPr>
        <w:t>Z údajů MŠMT vyplývá, že ve školním roce 2016/2017 bylo v České republice evidováno celkem 906 188 žáků základních škol. Cizinci se na tomto počtu podíleli s 2,2 %. Celkem 6 549 (tj. 32,4 % z celkového počtu 20 237 cizinců) připadalo na žáky mající občanství některé členské země EU. Zbytek, tj. 13 688 osob reprezentovali cizinci z třetích zemí, z nichž větší část, 7 791, pocházela z Evropy (mimo EU).</w:t>
      </w:r>
      <w:r>
        <w:rPr>
          <w:rFonts w:cs="Arial"/>
          <w:sz w:val="28"/>
          <w:szCs w:val="28"/>
        </w:rPr>
        <w:t xml:space="preserve"> 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 w:val="24"/>
        </w:rPr>
        <w:tab/>
      </w:r>
      <w:r>
        <w:rPr>
          <w:rFonts w:cs="Arial"/>
          <w:szCs w:val="20"/>
        </w:rPr>
        <w:t xml:space="preserve">Na základě meziročního srovnání je patrné, že celkový počet cizinců-žáků základních škol ve školním roce 2016/2017 výrazně vzrostl. Na celkovém meziročním zvýšení, o 10,7 p. b., se významnou měrou podílel růst počtu cizinců ze třetích zemí. Tato skupina cizinců-žáků základních škol vzrostla o 1 272 </w:t>
      </w:r>
      <w:r>
        <w:rPr>
          <w:rFonts w:cs="Arial"/>
          <w:szCs w:val="20"/>
        </w:rPr>
        <w:lastRenderedPageBreak/>
        <w:t>osob. Oproti tomu počet cizinců ze zemí EU-28 se v období 2015/2016 - 2016/2017 navýšil pouze o 684 osob.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Podíváme-li se zpětně na delší časové období (posledních deseti let), je vidět, že od školního roku 2007/2008 počet cizinců na základních školách markantně vrostl (z 12 963 osob na 20 237 osob ve školním roce 2016/2017). Zvýšil se tak i podíl cizinců z celkového počtu žáků na základních školách, a </w:t>
      </w:r>
      <w:proofErr w:type="gramStart"/>
      <w:r>
        <w:rPr>
          <w:rFonts w:cs="Arial"/>
          <w:szCs w:val="20"/>
        </w:rPr>
        <w:t>to z 1,5</w:t>
      </w:r>
      <w:proofErr w:type="gramEnd"/>
      <w:r>
        <w:rPr>
          <w:rFonts w:cs="Arial"/>
          <w:szCs w:val="20"/>
        </w:rPr>
        <w:t xml:space="preserve"> % na 2,2 %. Stejně jako v případě dětí-cizinců navštěvujících mateřské školy, byl i u žáků základních škol zaznamenán výraznější nárůst ve skupině cizinců ze třetích zemí. Mezi školními roky 2007/2008 – 2016/2017 počet těchto žáků vzrostl o 41,7 p. b. (tj. o 4 031 osob) Oproti tomu skupina žáků-cizinců majících občanství některé země EU se početně navýšila pouze o jednu čtvrtinu. Podíl cizinců z třetích zemí na celkovém počtu cizinců-žáků základních škol v ČR se však ve sledovaném období snížil, a </w:t>
      </w:r>
      <w:proofErr w:type="gramStart"/>
      <w:r>
        <w:rPr>
          <w:rFonts w:cs="Arial"/>
          <w:szCs w:val="20"/>
        </w:rPr>
        <w:t>to z  74</w:t>
      </w:r>
      <w:proofErr w:type="gramEnd"/>
      <w:r>
        <w:rPr>
          <w:rFonts w:cs="Arial"/>
          <w:szCs w:val="20"/>
        </w:rPr>
        <w:t xml:space="preserve"> % ve školním roce 2007/2008 na 67,6 % ve školním roce 2016/2017. </w:t>
      </w:r>
    </w:p>
    <w:p w:rsidR="004229B1" w:rsidRPr="003C66A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Obdobně jako u skupiny dětí navštěvujících mateřské školy, i mezi cizinci-žáky základních škol převažují občané třetích zemí. Nejvyšší podíly mají občané Ukrajiny (26,3 % z celkového počtu cizinců navštěvujících základní školu), Vietnamu (19,8 %) a Ruska (7,3 %). Mezi příslušníky zemí EU-28 jsou nejvíce zastoupenou skupinou občané Slovenska (22,3 %). Z níže uvedeného grafu je patrný početní vývoj cizinců-žáků základních škol podle vybraných státních občanství od školního roku 2007/2008. S výjimkou Vietnamců a Moldavanů, u nichž je zřejmý pokles v období hospodářské krize, přetrvávající až do roku 2013, počty příslušníků ostatních uvedených státních občanství kontinuálně rostly.  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noProof/>
        </w:rPr>
        <w:drawing>
          <wp:inline distT="0" distB="0" distL="0" distR="0" wp14:anchorId="567D4C46" wp14:editId="1FE40C60">
            <wp:extent cx="5105400" cy="3883025"/>
            <wp:effectExtent l="0" t="0" r="0" b="0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Poněkud nižší je u cizinců navštěvujících základní školu zastoupení těch, kteří v ČR získali trvalý pobyt. Zatímco u předchozí skupiny (cizinců v mateřských školách) dosahoval tento podíl více než 90 %, mezi cizinci-žáky základních škol činil tento podíl ve školním roce 2016/2017 jen 76,9 %.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</w:p>
    <w:p w:rsidR="004229B1" w:rsidRPr="00262F9A" w:rsidRDefault="004229B1" w:rsidP="004229B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62F9A">
        <w:rPr>
          <w:rFonts w:cs="Arial"/>
          <w:b/>
          <w:sz w:val="28"/>
          <w:szCs w:val="28"/>
        </w:rPr>
        <w:t>3.3</w:t>
      </w:r>
      <w:r w:rsidRPr="00262F9A">
        <w:rPr>
          <w:rFonts w:cs="Arial"/>
          <w:sz w:val="28"/>
          <w:szCs w:val="28"/>
        </w:rPr>
        <w:t xml:space="preserve"> </w:t>
      </w:r>
      <w:r w:rsidRPr="00262F9A">
        <w:rPr>
          <w:rFonts w:cs="Arial"/>
          <w:b/>
          <w:sz w:val="28"/>
          <w:szCs w:val="28"/>
        </w:rPr>
        <w:t>Střední školy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Ve školním roce 2016/2017 bylo podle údajů MŠMT na středních školách v České republice evidováno celkem 424 805 žáků, z nichž 9 063 (2,1 %) připadalo na cizince. Mezi cizinci-žáky středních škol převažují občané třetích zemí, jejichž počet dosáhl v uvedeném školním roce 6 642 osob, neboli 73,3 % z celkového počtu cizinců-žáků středních škol (většinu z těchto cizinců, 4 046 osob, reprezentovali občané evropských zemí nepatřících do EU). Dohromady 2 421 osob (neboli 26,7 % z celkového počtu cizinců-žáků středních škol) pak připadalo na občany  EU-28. 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Z meziročního srovnání je patrné, že celkový počet cizinců-žáků středních škol ve školním roce 2016/2017 mírně vzrostl, a to z 8 763 osob na 9 063 neboli o 3,4 p. b. Na tomto zvýšení se nejmarkantněji podílela skupina cizinců-</w:t>
      </w:r>
      <w:proofErr w:type="spellStart"/>
      <w:r>
        <w:rPr>
          <w:rFonts w:cs="Arial"/>
          <w:szCs w:val="20"/>
        </w:rPr>
        <w:t>třetizemců</w:t>
      </w:r>
      <w:proofErr w:type="spellEnd"/>
      <w:r>
        <w:rPr>
          <w:rFonts w:cs="Arial"/>
          <w:szCs w:val="20"/>
        </w:rPr>
        <w:t>, pocházejících z evropských zemí (tzn. Evropanů z nečlenských zemí EU), jejichž počet se meziročně navýšil o 8 p. b. Oproti tomu skupina cizinců z mimoevropských zemí se početně meziročně snížila o 3,8 p. b. Počet občanů zemí EU-28 pak mírně meziročně vzrostl, a to z 2 317 osob na 2 421 osob, neboli o 4,5 p. b.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 retrospektivního pohledu za delší časové období je vidět, že během uplynulých deseti let se počty cizinců studujících na našich středních školách viditelně navýšily. Od školního roku 2007/2008, kdy bylo evidováno celkem 6 317 cizinců-žáků středních škol, vzrostl jejich počet v uplynulém školním roce na více než devět tisíc, přičemž podíl cizinců z celkového počtu žáků na středních školách se </w:t>
      </w:r>
      <w:proofErr w:type="gramStart"/>
      <w:r>
        <w:rPr>
          <w:rFonts w:cs="Arial"/>
          <w:szCs w:val="20"/>
        </w:rPr>
        <w:t>zvýšil z 1,1</w:t>
      </w:r>
      <w:proofErr w:type="gramEnd"/>
      <w:r>
        <w:rPr>
          <w:rFonts w:cs="Arial"/>
          <w:szCs w:val="20"/>
        </w:rPr>
        <w:t xml:space="preserve"> % na 2,1 %. Výrazný nárůst byl zaznamenán zejména u skupiny cizinců ze třetích zemí, a to největší u skupiny cizinců z evropských zemí mimo EU-28. U posledně zmíněné skupiny činil během uplynulého desetiletého období tento nárůst téměř 1 600 osob. Viditelný nárůst je rovněž patrný u žáků středních škol-občanů členských zemí EU-28, kde počty těchto žáků vzrostly o 55 p. b. (z 1 566 na 2 421).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Stejně jako u předchozích skupin žáků, tj. žáků mateřských a základních škol, převažují i mezi cizinci na středních školách občané třetích zemí, a to Ukrajiny, Vietnamu, a Ruska. Ve školním roce 2016/2017 reprezentovali cizinci z těchto tří zemí celkem 59 % z celkového počtu cizinců studujících střední školu v ČR. Mezi občany zemí EU-28 mají tradičně dominantní pozici občané Slovenska, na které ve školním roce 2016/2017 připadala bezmála pětina (19,6 %) z celkového počtu cizinců-žáků středních škol v ČR. 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Nejvíce cizinců, více než třetina (35,4 %) z celkového počtu cizinců-žáků středních škol studovala ve školním roce 2016/2017 na gymnáziu. S odstupem následovaly střední školy zaměřené na ekonomiku a administrativu (11,3 %) a gastronomii, hotelnictví a turismus (10 %) - podrobněji viz tabulka 1.</w:t>
      </w:r>
    </w:p>
    <w:p w:rsidR="004229B1" w:rsidRDefault="004229B1" w:rsidP="004229B1">
      <w:pPr>
        <w:spacing w:line="240" w:lineRule="auto"/>
        <w:jc w:val="both"/>
        <w:rPr>
          <w:rFonts w:cs="Arial"/>
          <w:b/>
          <w:szCs w:val="20"/>
        </w:rPr>
      </w:pPr>
    </w:p>
    <w:p w:rsidR="004229B1" w:rsidRDefault="004229B1" w:rsidP="004229B1">
      <w:pPr>
        <w:spacing w:line="240" w:lineRule="auto"/>
        <w:jc w:val="both"/>
        <w:rPr>
          <w:rFonts w:cs="Arial"/>
          <w:b/>
          <w:szCs w:val="20"/>
        </w:rPr>
      </w:pPr>
    </w:p>
    <w:p w:rsidR="004229B1" w:rsidRPr="00612C38" w:rsidRDefault="004229B1" w:rsidP="004229B1">
      <w:pPr>
        <w:spacing w:line="240" w:lineRule="auto"/>
        <w:jc w:val="both"/>
        <w:rPr>
          <w:rFonts w:cs="Arial"/>
          <w:szCs w:val="20"/>
        </w:rPr>
      </w:pPr>
      <w:bookmarkStart w:id="0" w:name="_GoBack"/>
      <w:bookmarkEnd w:id="0"/>
      <w:r w:rsidRPr="00432CF2">
        <w:rPr>
          <w:rFonts w:cs="Arial"/>
          <w:b/>
          <w:szCs w:val="20"/>
        </w:rPr>
        <w:lastRenderedPageBreak/>
        <w:t xml:space="preserve">Tabulka 1: Cizinci-žáci středních škol podle skupin oborů KKOV ve školním roce </w:t>
      </w:r>
      <w:r>
        <w:rPr>
          <w:rFonts w:cs="Arial"/>
          <w:b/>
          <w:szCs w:val="20"/>
        </w:rPr>
        <w:t>2016/201</w:t>
      </w:r>
      <w:r>
        <w:rPr>
          <w:rFonts w:cs="Arial"/>
          <w:szCs w:val="20"/>
        </w:rPr>
        <w:t>7</w:t>
      </w:r>
    </w:p>
    <w:tbl>
      <w:tblPr>
        <w:tblW w:w="5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960"/>
        <w:gridCol w:w="960"/>
      </w:tblGrid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F62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skupiny oborů vzdělávání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F62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%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Informatické obory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Strojírenství a strojírenská výroba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6,0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Elektrotechnika, tel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komunikační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a výpočetní technika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Stavebnictví, geodézie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a kartografie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Zdravotnictví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</w:t>
            </w: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mika a administrativa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Podnikání v oborech, odvětví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Gastronomie, hotelnictví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a turismus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Právo, právní a veřejnosprávní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Osobní a provozní služby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Obecně odborná příprava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Obecná příprava (gymnázia)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3 213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35,4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Umění a užité umění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 w:rsidRPr="006F625F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</w:tr>
      <w:tr w:rsidR="004229B1" w:rsidRPr="006F625F" w:rsidTr="002169B6">
        <w:trPr>
          <w:trHeight w:val="30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F62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F62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9 065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B1" w:rsidRPr="006F625F" w:rsidRDefault="004229B1" w:rsidP="002169B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F62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4229B1" w:rsidRDefault="004229B1" w:rsidP="004229B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</w:t>
      </w: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6"/>
          <w:szCs w:val="16"/>
        </w:rPr>
        <w:t xml:space="preserve">Pozn.: Jedná se o studia, ne o fyzické osoby                     </w:t>
      </w:r>
    </w:p>
    <w:p w:rsidR="004229B1" w:rsidRDefault="004229B1" w:rsidP="004229B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</w:t>
      </w:r>
      <w:r>
        <w:rPr>
          <w:rFonts w:cs="Arial"/>
          <w:sz w:val="16"/>
          <w:szCs w:val="16"/>
        </w:rPr>
        <w:t xml:space="preserve"> Zdroj: MŠMT </w:t>
      </w:r>
    </w:p>
    <w:p w:rsidR="004229B1" w:rsidRDefault="004229B1" w:rsidP="004229B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</w:t>
      </w:r>
    </w:p>
    <w:p w:rsidR="004229B1" w:rsidRPr="006F625F" w:rsidRDefault="004229B1" w:rsidP="004229B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Celkem 73,5 % z celkového počtu cizinců-žáků středních škol mělo v minulém školním roce v ČR udělen trvalý pobyt, což je ve srovnání s cizinci-žáky mateřských škol výrazně méně (o 22,2 p. b.).  Srovnáme-li odpovídající číslo za cizince-žáky základních škol, je rozdíl viditelně nižší a činí pouze 3,4 p. b. 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4229B1" w:rsidRPr="00262F9A" w:rsidRDefault="004229B1" w:rsidP="004229B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62F9A">
        <w:rPr>
          <w:rFonts w:cs="Arial"/>
          <w:b/>
          <w:sz w:val="28"/>
          <w:szCs w:val="28"/>
        </w:rPr>
        <w:t>3.4 Vysoké školy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b/>
          <w:sz w:val="24"/>
        </w:rPr>
        <w:tab/>
      </w:r>
      <w:r w:rsidRPr="001019C6">
        <w:rPr>
          <w:rFonts w:cs="Arial"/>
          <w:szCs w:val="20"/>
        </w:rPr>
        <w:t>V roce 2016</w:t>
      </w:r>
      <w:r>
        <w:rPr>
          <w:rFonts w:cs="Arial"/>
          <w:szCs w:val="20"/>
        </w:rPr>
        <w:t xml:space="preserve"> studovalo podle údajů MŠMT některou z vysokých škol v ČR celkem 311 383 studentů; z toho počet zahraničních studentů činil 43 622 osob a dosáhl tak 14 %. Největší část ze zahraničních studentů vysokých škol připadala na občany Evropské unie, kteří tvořili 26 135 osob, tj. 60 %. Občané třetích zemí reprezentovali čtyři desetiny (17 487) z celkového počtu zahraničních studentů vysokých škol v ČR.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Z hlediska meziročního srovnání je patrné, že celkový počet cizinců-studentů vysokých škol mezi roky 2015 – 2016 viditelně vzrostl, a to o 3,6 p. b. (tj. o zhruba 1 500 osob), přičemž skupina cizinců-občanů zemí EU-28 vzrostla pouze mírně, o 0,8 p. b. (o 196 osob), a skupina cizinců z třetích zemí zaznamenala růst o 8,1 p. b. (o 1 309 osob).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Během uplynulého desetiletého období je u cizinců studujících na vysokých školách v ČR patrný celkem dynamický vývoj. V roce 2007 dosahoval jejich počet jen 27 580, v následujícím roce se však již přehoupl přes 30 tisíc a rostoucí trend pokračoval i v dalších letech, včetně let ekonomické krize, až do roku </w:t>
      </w:r>
      <w:r>
        <w:rPr>
          <w:rFonts w:cs="Arial"/>
          <w:szCs w:val="20"/>
        </w:rPr>
        <w:lastRenderedPageBreak/>
        <w:t>2016, kdy dosáhl zmíněných 43 622 osob. Ve srovnání s rokem 2007 tak v loňském roce studovalo na českých vysokých školách o zhruba 16 tisíc zahraničních studentů více, což představuje zvýšení o 58,2 p. b.</w:t>
      </w:r>
    </w:p>
    <w:p w:rsidR="004229B1" w:rsidRPr="00FD4FAE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Nadpoloviční většinu, 53,4 %, z celkového počtu cizinců-studentů vysokých škol, tvořily v roce 2016 ženy. Jejich podíl se tak od roku 2007 zvýšil o 2,2 p. b.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Cs w:val="20"/>
        </w:rPr>
        <w:t>Zatímco počty zahraničních studentů-občanů zemí EU rostly jen do roku 2011, a poté do roku 2015 meziročně klesaly, počty studentů-cizinců ze třetích zemí rostly po celé sledované období. Na poklesu počtu cizinců ze zemí EU se významnou měrou podílel úbytek počtu studentů přicházejících ze Slovenska.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Z hlediska zastoupení zahraničních studentů podle státního občanství dominují mezi cizinci-studenty vysokých škol u nás stále občané Slovenska, jejichž počet dosáhl v roce 2016 celkem 22 200 osob. Počty studentů z dalších členských zemí EU nedosahují ani tisíce osob (v roce 2016 připadaly nejvyšší počty na Němce – 655 a občany Velké Británie – 602). Mezi cizinci-studenty vysokých škol z třetích zemí převažovali v roce 2016 občané Ruska (5 906), Ukrajiny (2 908) a Kazachstánu (1 618), jejichž podíl činil dohromady 59,7 % z celkového počtu studentů-cizinců ze třetích zemí.</w:t>
      </w:r>
    </w:p>
    <w:p w:rsidR="004229B1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noProof/>
        </w:rPr>
        <w:drawing>
          <wp:inline distT="0" distB="0" distL="0" distR="0" wp14:anchorId="0ABB7B6C" wp14:editId="557A88B8">
            <wp:extent cx="4906645" cy="3528060"/>
            <wp:effectExtent l="0" t="0" r="8255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29B1" w:rsidRPr="00612C38" w:rsidRDefault="004229B1" w:rsidP="004229B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Z výše uvedeného grafu je patrné, že zatímco počty slovenských studentů v posledních letech (od roku 2012) klesají, počty studentů přicházejících z post-sovětských států (Ruska, Ukrajiny, Kazachstánu) kontinuálně rostou.  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 w:rsidRPr="00652637">
        <w:rPr>
          <w:rFonts w:cs="Arial"/>
          <w:szCs w:val="20"/>
        </w:rPr>
        <w:t>Drtivá většina z</w:t>
      </w:r>
      <w:r>
        <w:rPr>
          <w:rFonts w:cs="Arial"/>
          <w:szCs w:val="20"/>
        </w:rPr>
        <w:t>ahraničních studentů studuje v Č</w:t>
      </w:r>
      <w:r w:rsidRPr="00652637">
        <w:rPr>
          <w:rFonts w:cs="Arial"/>
          <w:szCs w:val="20"/>
        </w:rPr>
        <w:t>R na veřejných vysokých školách. V</w:t>
      </w:r>
      <w:r>
        <w:rPr>
          <w:rFonts w:cs="Arial"/>
          <w:szCs w:val="20"/>
        </w:rPr>
        <w:t> </w:t>
      </w:r>
      <w:r w:rsidRPr="00652637">
        <w:rPr>
          <w:rFonts w:cs="Arial"/>
          <w:szCs w:val="20"/>
        </w:rPr>
        <w:t>roc</w:t>
      </w:r>
      <w:r>
        <w:rPr>
          <w:rFonts w:cs="Arial"/>
          <w:szCs w:val="20"/>
        </w:rPr>
        <w:t xml:space="preserve">e 2016 studovalo na některé z českých veřejných vysokých škol celkem 37 795 zahraničních studentů, což představovalo 86,6 % z jejich celkového počtu. Nejvíce (8 636) zahraničních studentů studovalo na veřejných vysokých školách technické vědy a nauky, zdravotnické, lékařské a farmaceutické vědy a nauky </w:t>
      </w:r>
      <w:r>
        <w:rPr>
          <w:rFonts w:cs="Arial"/>
          <w:szCs w:val="20"/>
        </w:rPr>
        <w:lastRenderedPageBreak/>
        <w:t>(8 044) a ekonomické vědy a nauky (7 708). Nejvyšší procentní zastoupení z celkového počtu všech studujících měli na veřejných školách cizinci v oboru Zdravotnictví, lékařské a farmaceutické vědy a nauky, kde jejich podíl dosáhl v roce 2016  26,3 %. Vyššího procentního zastoupení dosáhli zahraniční studenti rovněž v oborech Přírodní vědy a nauky (18,4 %) a Vědy a nauky o kultuře a umění (16,6 %). Podíváme-li se na cizince-studenty soukromých vysokých škol v ČR, je vidět, že nejvíce zahraničních studentů studuje v oborech Ekonomické vědy a nauky (470 v roce 2016) a Humanitní a společenské vědy a nauky (467). Nejvyšších podílů z celkového počtu studujících na soukromých vysokých školách pak dosahují cizinci v oborech Přírodní vědy a nauky (28,2 %) a Humanitní a společenské vědy a nauky (25,8 %).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Nejvíce cizinců, 20 407 z celkového počtu 43 622 cizinců studujících na vysokých školách v ČR, studovalo v roce 2016 presenční formu studia v bakalářském studijním programu. Naopak nejméně cizinců (11) bylo evidováno v distanční a kombinované formě studia, v magisterském studijním programu.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Celkem 6 354 neboli 14,6 % z celkového počtu zahraničních studentů vysokých škol v ĆR připadalo v roce 2016 na samoplátce. V porovnání s rokem 2015 se jejich počet navýšil o 739 osob, přičemž podíl samoplátců vzrostl o 1,3 p. b. Nejvyšší počty zahraničních studentů platících za studium na vysoké škole u nás byly v roce 2016 zaznamenány v případě občanů Velké Británie (580, tj. 96,3 % z celkového počtu britských studentů vysokých škol u nás), Německa (475, neboli 72,5 %), Ruska (353, neboli 6,0 %), Indie (346, neboli 68,7 %) a Portugalska (326, neboli 93,4 %). Oproti tomu relativně nízké počty samoplátců připadají na občany Slovenska, kde v roce 2016 dosáhly pouze 0,5 % z celkového počtu Slováků studujících vysokou školu v ČR.</w:t>
      </w:r>
    </w:p>
    <w:p w:rsidR="004229B1" w:rsidRDefault="004229B1" w:rsidP="004229B1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 regionálního pohledu odpovídá zastoupení zahraničních studentů úměrně velikosti měst a počtu vysokých škol, které jsou na jeho území koncentrovány. Nejvíce zahraničních studentů tak bylo v roce 2016 registrováno v Praze, kde studovalo celkem 20 976 (48 %) z celkového počtu cizinců-studentů vysokých škol. Následovalo Brno s 13 343 (30,6 %) zahraničních studentů. Na dalších místech žebříčku se pak s odstupem umístily Olomouc (1 911 osob, tj. 4,4 % z celkového počtu zahraničních studentů VŠ), Ostrava (1 577 osob, čili 3,6 %), Hradec Králové (1 112, čili 2,5 %) a Plzeň (1 073, čili 2,5 %). </w:t>
      </w:r>
    </w:p>
    <w:p w:rsidR="00A50D73" w:rsidRDefault="00A50D73" w:rsidP="009941A7">
      <w:pPr>
        <w:pStyle w:val="Obsahpoloky"/>
      </w:pPr>
    </w:p>
    <w:sectPr w:rsidR="00A50D73" w:rsidSect="006F541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7" w:rsidRDefault="00C40237" w:rsidP="00E71A58">
      <w:r>
        <w:separator/>
      </w:r>
    </w:p>
  </w:endnote>
  <w:endnote w:type="continuationSeparator" w:id="0">
    <w:p w:rsidR="00C40237" w:rsidRDefault="00C4023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9" w:rsidRPr="00932443" w:rsidRDefault="00825927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40608A01" wp14:editId="529B25B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6985" b="635"/>
          <wp:wrapNone/>
          <wp:docPr id="14" name="Picture 14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4229B1">
      <w:rPr>
        <w:szCs w:val="16"/>
      </w:rPr>
      <w:t>6</w:t>
    </w:r>
    <w:r w:rsidR="005647BF" w:rsidRPr="00932443">
      <w:rPr>
        <w:szCs w:val="16"/>
      </w:rPr>
      <w:fldChar w:fldCharType="end"/>
    </w:r>
    <w:r w:rsidR="004229B1">
      <w:rPr>
        <w:szCs w:val="16"/>
      </w:rPr>
      <w:tab/>
      <w:t>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C6" w:rsidRPr="00932443" w:rsidRDefault="00825927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3915BD2" wp14:editId="1A7C5BB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7620"/>
          <wp:wrapNone/>
          <wp:docPr id="12" name="Picture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9941A7">
      <w:rPr>
        <w:rStyle w:val="ZpatChar"/>
        <w:szCs w:val="16"/>
      </w:rPr>
      <w:t>2017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4229B1">
      <w:rPr>
        <w:rStyle w:val="ZpatChar"/>
        <w:szCs w:val="16"/>
      </w:rPr>
      <w:t>7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7" w:rsidRDefault="00C40237" w:rsidP="00E71A58">
      <w:r>
        <w:separator/>
      </w:r>
    </w:p>
  </w:footnote>
  <w:footnote w:type="continuationSeparator" w:id="0">
    <w:p w:rsidR="00C40237" w:rsidRDefault="00C4023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74" w:rsidRPr="006F5416" w:rsidRDefault="006F5416" w:rsidP="00937AE2">
    <w:pPr>
      <w:pStyle w:val="Zhlav"/>
    </w:pPr>
    <w:r w:rsidRPr="006F5416">
      <w:t>Název publikace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2E" w:rsidRPr="006F5416" w:rsidRDefault="00BA0A98" w:rsidP="00937AE2">
    <w:pPr>
      <w:pStyle w:val="Zhlav"/>
    </w:pPr>
    <w:r>
      <w:t>Život cizinců v ČR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25633C"/>
    <w:multiLevelType w:val="hybridMultilevel"/>
    <w:tmpl w:val="0A92EB64"/>
    <w:lvl w:ilvl="0" w:tplc="D478A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3"/>
    <w:rsid w:val="0000209D"/>
    <w:rsid w:val="00004D5A"/>
    <w:rsid w:val="000056D5"/>
    <w:rsid w:val="0000767A"/>
    <w:rsid w:val="00010702"/>
    <w:rsid w:val="000216BC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0E13"/>
    <w:rsid w:val="000D5637"/>
    <w:rsid w:val="000E6FBD"/>
    <w:rsid w:val="00100F5C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77B30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05DCE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4BBD"/>
    <w:rsid w:val="00285412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12B52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94031"/>
    <w:rsid w:val="003A2B4D"/>
    <w:rsid w:val="003A478C"/>
    <w:rsid w:val="003A5525"/>
    <w:rsid w:val="003A6B38"/>
    <w:rsid w:val="003B5A32"/>
    <w:rsid w:val="003C3490"/>
    <w:rsid w:val="003D00E9"/>
    <w:rsid w:val="003D6920"/>
    <w:rsid w:val="003E4C91"/>
    <w:rsid w:val="003F313C"/>
    <w:rsid w:val="003F551C"/>
    <w:rsid w:val="003F7D23"/>
    <w:rsid w:val="00407C13"/>
    <w:rsid w:val="00410638"/>
    <w:rsid w:val="004229B1"/>
    <w:rsid w:val="00432A58"/>
    <w:rsid w:val="00434617"/>
    <w:rsid w:val="00440900"/>
    <w:rsid w:val="004441A0"/>
    <w:rsid w:val="00460FB3"/>
    <w:rsid w:val="00476240"/>
    <w:rsid w:val="00476439"/>
    <w:rsid w:val="0047735C"/>
    <w:rsid w:val="00477655"/>
    <w:rsid w:val="004776BC"/>
    <w:rsid w:val="0048139F"/>
    <w:rsid w:val="00481E40"/>
    <w:rsid w:val="00484ECE"/>
    <w:rsid w:val="004915CB"/>
    <w:rsid w:val="004924DC"/>
    <w:rsid w:val="004977B2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531"/>
    <w:rsid w:val="00807C82"/>
    <w:rsid w:val="00816905"/>
    <w:rsid w:val="00821FF6"/>
    <w:rsid w:val="00825927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7E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41A7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065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4AA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A0A98"/>
    <w:rsid w:val="00BB46F3"/>
    <w:rsid w:val="00BB4CB1"/>
    <w:rsid w:val="00BB4F98"/>
    <w:rsid w:val="00BC1EEF"/>
    <w:rsid w:val="00BC7154"/>
    <w:rsid w:val="00BD366B"/>
    <w:rsid w:val="00BD6D50"/>
    <w:rsid w:val="00BD7EC4"/>
    <w:rsid w:val="00BE18B9"/>
    <w:rsid w:val="00BE2495"/>
    <w:rsid w:val="00BF1578"/>
    <w:rsid w:val="00C156D5"/>
    <w:rsid w:val="00C21F94"/>
    <w:rsid w:val="00C27913"/>
    <w:rsid w:val="00C33B68"/>
    <w:rsid w:val="00C369CF"/>
    <w:rsid w:val="00C36A79"/>
    <w:rsid w:val="00C40237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95A00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C6D"/>
    <w:rsid w:val="00D50F46"/>
    <w:rsid w:val="00D66223"/>
    <w:rsid w:val="00D8084C"/>
    <w:rsid w:val="00DA7C0C"/>
    <w:rsid w:val="00DB2EC8"/>
    <w:rsid w:val="00DB4431"/>
    <w:rsid w:val="00DC5B3B"/>
    <w:rsid w:val="00DD129F"/>
    <w:rsid w:val="00DF42FF"/>
    <w:rsid w:val="00DF4F96"/>
    <w:rsid w:val="00E01C0E"/>
    <w:rsid w:val="00E03481"/>
    <w:rsid w:val="00E03F9A"/>
    <w:rsid w:val="00E04694"/>
    <w:rsid w:val="00E12B1E"/>
    <w:rsid w:val="00E17262"/>
    <w:rsid w:val="00E253A2"/>
    <w:rsid w:val="00E3309D"/>
    <w:rsid w:val="00E47C01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84BBD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284BBD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284BBD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284BB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84BBD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284BBD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284BBD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284BBD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84BBD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284BBD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284BBD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84BBD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84BBD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84BBD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284BBD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284BBD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284BB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84BBD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284BBD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284BBD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284BBD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84BBD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284BBD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284BBD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84BBD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84BBD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SO~1\AppData\Local\Temp\Publikace%20cb%20CZ_2017-08-1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Dokumenty\grafy%202015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Dokumenty\grafy%202015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Dokumenty\grafy%202015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Dokumenty\grafy%202015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Graf 3: Vývoj počtu cizinců v mateřských školách </a:t>
            </a:r>
            <a:r>
              <a:rPr lang="cs-CZ" sz="1400" baseline="0"/>
              <a:t> ve školních letech 2007/2008 - 2016/2017</a:t>
            </a: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81131289463335"/>
          <c:y val="0.17524622981449353"/>
          <c:w val="0.70534323131218424"/>
          <c:h val="0.65401434990117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List7!$B$4</c:f>
              <c:strCache>
                <c:ptCount val="1"/>
                <c:pt idx="0">
                  <c:v>celkem</c:v>
                </c:pt>
              </c:strCache>
            </c:strRef>
          </c:tx>
          <c:invertIfNegative val="0"/>
          <c:cat>
            <c:strRef>
              <c:f>List7!$C$3:$J$3</c:f>
              <c:strCache>
                <c:ptCount val="8"/>
                <c:pt idx="0">
                  <c:v>2007/2008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</c:strCache>
            </c:strRef>
          </c:cat>
          <c:val>
            <c:numRef>
              <c:f>List7!$C$4:$J$4</c:f>
              <c:numCache>
                <c:formatCode>#,##0</c:formatCode>
                <c:ptCount val="8"/>
                <c:pt idx="0">
                  <c:v>3073</c:v>
                </c:pt>
                <c:pt idx="1">
                  <c:v>4233</c:v>
                </c:pt>
                <c:pt idx="2">
                  <c:v>4714</c:v>
                </c:pt>
                <c:pt idx="3">
                  <c:v>5434</c:v>
                </c:pt>
                <c:pt idx="4">
                  <c:v>6307</c:v>
                </c:pt>
                <c:pt idx="5">
                  <c:v>7214</c:v>
                </c:pt>
                <c:pt idx="6">
                  <c:v>8302</c:v>
                </c:pt>
                <c:pt idx="7">
                  <c:v>9494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62880"/>
        <c:axId val="45164416"/>
      </c:barChart>
      <c:catAx>
        <c:axId val="451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45164416"/>
        <c:crosses val="autoZero"/>
        <c:auto val="1"/>
        <c:lblAlgn val="ctr"/>
        <c:lblOffset val="100"/>
        <c:noMultiLvlLbl val="0"/>
      </c:catAx>
      <c:valAx>
        <c:axId val="451644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5162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Graf 4: Cizinci</a:t>
            </a:r>
            <a:r>
              <a:rPr lang="cs-CZ" sz="1400" baseline="0"/>
              <a:t> v mateřských školách ve školních letech 2007/2008 -2016/2017 z hlediska státní příslušnosti (vybraných skupin zemí)</a:t>
            </a: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57809543418344"/>
          <c:y val="0.22470678676070116"/>
          <c:w val="0.58361943699696339"/>
          <c:h val="0.696421448649784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List7!$B$31</c:f>
              <c:strCache>
                <c:ptCount val="1"/>
                <c:pt idx="0">
                  <c:v>občané EU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List7!$C$30:$F$30</c:f>
              <c:strCache>
                <c:ptCount val="4"/>
                <c:pt idx="0">
                  <c:v>2007/2008</c:v>
                </c:pt>
                <c:pt idx="1">
                  <c:v>2012/2013</c:v>
                </c:pt>
                <c:pt idx="2">
                  <c:v>2014/2015</c:v>
                </c:pt>
                <c:pt idx="3">
                  <c:v>2016/2017</c:v>
                </c:pt>
              </c:strCache>
            </c:strRef>
          </c:cat>
          <c:val>
            <c:numRef>
              <c:f>List7!$C$31:$F$31</c:f>
              <c:numCache>
                <c:formatCode>#,##0</c:formatCode>
                <c:ptCount val="4"/>
                <c:pt idx="0" formatCode="General">
                  <c:v>772</c:v>
                </c:pt>
                <c:pt idx="1">
                  <c:v>1391</c:v>
                </c:pt>
                <c:pt idx="2">
                  <c:v>2110</c:v>
                </c:pt>
                <c:pt idx="3">
                  <c:v>2712</c:v>
                </c:pt>
              </c:numCache>
            </c:numRef>
          </c:val>
        </c:ser>
        <c:ser>
          <c:idx val="1"/>
          <c:order val="1"/>
          <c:tx>
            <c:strRef>
              <c:f>List7!$B$32</c:f>
              <c:strCache>
                <c:ptCount val="1"/>
                <c:pt idx="0">
                  <c:v>občané ostatních evropských zemí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List7!$C$30:$F$30</c:f>
              <c:strCache>
                <c:ptCount val="4"/>
                <c:pt idx="0">
                  <c:v>2007/2008</c:v>
                </c:pt>
                <c:pt idx="1">
                  <c:v>2012/2013</c:v>
                </c:pt>
                <c:pt idx="2">
                  <c:v>2014/2015</c:v>
                </c:pt>
                <c:pt idx="3">
                  <c:v>2016/2017</c:v>
                </c:pt>
              </c:strCache>
            </c:strRef>
          </c:cat>
          <c:val>
            <c:numRef>
              <c:f>List7!$C$32:$F$32</c:f>
              <c:numCache>
                <c:formatCode>#,##0</c:formatCode>
                <c:ptCount val="4"/>
                <c:pt idx="0" formatCode="General">
                  <c:v>982</c:v>
                </c:pt>
                <c:pt idx="1">
                  <c:v>1920</c:v>
                </c:pt>
                <c:pt idx="2">
                  <c:v>2509</c:v>
                </c:pt>
                <c:pt idx="3">
                  <c:v>3259</c:v>
                </c:pt>
              </c:numCache>
            </c:numRef>
          </c:val>
        </c:ser>
        <c:ser>
          <c:idx val="2"/>
          <c:order val="2"/>
          <c:tx>
            <c:strRef>
              <c:f>List7!$B$33</c:f>
              <c:strCache>
                <c:ptCount val="1"/>
                <c:pt idx="0">
                  <c:v>občané mimoevropských zemí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List7!$C$30:$F$30</c:f>
              <c:strCache>
                <c:ptCount val="4"/>
                <c:pt idx="0">
                  <c:v>2007/2008</c:v>
                </c:pt>
                <c:pt idx="1">
                  <c:v>2012/2013</c:v>
                </c:pt>
                <c:pt idx="2">
                  <c:v>2014/2015</c:v>
                </c:pt>
                <c:pt idx="3">
                  <c:v>2016/2017</c:v>
                </c:pt>
              </c:strCache>
            </c:strRef>
          </c:cat>
          <c:val>
            <c:numRef>
              <c:f>List7!$C$33:$F$33</c:f>
              <c:numCache>
                <c:formatCode>#,##0</c:formatCode>
                <c:ptCount val="4"/>
                <c:pt idx="0">
                  <c:v>1324</c:v>
                </c:pt>
                <c:pt idx="1">
                  <c:v>2123</c:v>
                </c:pt>
                <c:pt idx="2">
                  <c:v>2595</c:v>
                </c:pt>
                <c:pt idx="3">
                  <c:v>3523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192704"/>
        <c:axId val="45194240"/>
      </c:barChart>
      <c:catAx>
        <c:axId val="4519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45194240"/>
        <c:crosses val="autoZero"/>
        <c:auto val="1"/>
        <c:lblAlgn val="ctr"/>
        <c:lblOffset val="100"/>
        <c:noMultiLvlLbl val="0"/>
      </c:catAx>
      <c:valAx>
        <c:axId val="4519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9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08381542261555"/>
          <c:y val="0.45241642018930356"/>
          <c:w val="0.28635749903180918"/>
          <c:h val="0.2849191551769914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Graf 5: Cizinci-žáci základních škol podle vybraných státních</a:t>
            </a:r>
            <a:r>
              <a:rPr lang="cs-CZ" sz="1400" baseline="0"/>
              <a:t> občanství - vývoj od školního roku 2007/2008</a:t>
            </a: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43285214348207"/>
          <c:y val="0.24798040995545795"/>
          <c:w val="0.70633245844269466"/>
          <c:h val="0.573718941968715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List7!$C$56</c:f>
              <c:strCache>
                <c:ptCount val="1"/>
                <c:pt idx="0">
                  <c:v>2007/2008</c:v>
                </c:pt>
              </c:strCache>
            </c:strRef>
          </c:tx>
          <c:invertIfNegative val="0"/>
          <c:cat>
            <c:strRef>
              <c:f>List7!$B$57:$B$63</c:f>
              <c:strCache>
                <c:ptCount val="7"/>
                <c:pt idx="0">
                  <c:v>Ukrajina</c:v>
                </c:pt>
                <c:pt idx="1">
                  <c:v>Slovensko</c:v>
                </c:pt>
                <c:pt idx="2">
                  <c:v>Vietnam</c:v>
                </c:pt>
                <c:pt idx="3">
                  <c:v>Rusko</c:v>
                </c:pt>
                <c:pt idx="4">
                  <c:v>Bulharsko</c:v>
                </c:pt>
                <c:pt idx="5">
                  <c:v>Moldavsko</c:v>
                </c:pt>
                <c:pt idx="6">
                  <c:v>Polsko</c:v>
                </c:pt>
              </c:strCache>
            </c:strRef>
          </c:cat>
          <c:val>
            <c:numRef>
              <c:f>List7!$C$57:$C$63</c:f>
              <c:numCache>
                <c:formatCode>#,##0</c:formatCode>
                <c:ptCount val="7"/>
                <c:pt idx="0">
                  <c:v>2957</c:v>
                </c:pt>
                <c:pt idx="1">
                  <c:v>2455</c:v>
                </c:pt>
                <c:pt idx="2">
                  <c:v>3373</c:v>
                </c:pt>
                <c:pt idx="3">
                  <c:v>905</c:v>
                </c:pt>
                <c:pt idx="4">
                  <c:v>145</c:v>
                </c:pt>
                <c:pt idx="5">
                  <c:v>347</c:v>
                </c:pt>
                <c:pt idx="6">
                  <c:v>182</c:v>
                </c:pt>
              </c:numCache>
            </c:numRef>
          </c:val>
        </c:ser>
        <c:ser>
          <c:idx val="1"/>
          <c:order val="1"/>
          <c:tx>
            <c:strRef>
              <c:f>List7!$D$56</c:f>
              <c:strCache>
                <c:ptCount val="1"/>
                <c:pt idx="0">
                  <c:v>2012/2013</c:v>
                </c:pt>
              </c:strCache>
            </c:strRef>
          </c:tx>
          <c:invertIfNegative val="0"/>
          <c:cat>
            <c:strRef>
              <c:f>List7!$B$57:$B$63</c:f>
              <c:strCache>
                <c:ptCount val="7"/>
                <c:pt idx="0">
                  <c:v>Ukrajina</c:v>
                </c:pt>
                <c:pt idx="1">
                  <c:v>Slovensko</c:v>
                </c:pt>
                <c:pt idx="2">
                  <c:v>Vietnam</c:v>
                </c:pt>
                <c:pt idx="3">
                  <c:v>Rusko</c:v>
                </c:pt>
                <c:pt idx="4">
                  <c:v>Bulharsko</c:v>
                </c:pt>
                <c:pt idx="5">
                  <c:v>Moldavsko</c:v>
                </c:pt>
                <c:pt idx="6">
                  <c:v>Polsko</c:v>
                </c:pt>
              </c:strCache>
            </c:strRef>
          </c:cat>
          <c:val>
            <c:numRef>
              <c:f>List7!$D$57:$D$63</c:f>
              <c:numCache>
                <c:formatCode>#,##0</c:formatCode>
                <c:ptCount val="7"/>
                <c:pt idx="0">
                  <c:v>3422</c:v>
                </c:pt>
                <c:pt idx="1">
                  <c:v>3285</c:v>
                </c:pt>
                <c:pt idx="2">
                  <c:v>2763</c:v>
                </c:pt>
                <c:pt idx="3">
                  <c:v>1266</c:v>
                </c:pt>
                <c:pt idx="4">
                  <c:v>298</c:v>
                </c:pt>
                <c:pt idx="5">
                  <c:v>301</c:v>
                </c:pt>
                <c:pt idx="6">
                  <c:v>262</c:v>
                </c:pt>
              </c:numCache>
            </c:numRef>
          </c:val>
        </c:ser>
        <c:ser>
          <c:idx val="2"/>
          <c:order val="2"/>
          <c:tx>
            <c:strRef>
              <c:f>List7!$E$56</c:f>
              <c:strCache>
                <c:ptCount val="1"/>
                <c:pt idx="0">
                  <c:v>2014/2015</c:v>
                </c:pt>
              </c:strCache>
            </c:strRef>
          </c:tx>
          <c:invertIfNegative val="0"/>
          <c:cat>
            <c:strRef>
              <c:f>List7!$B$57:$B$63</c:f>
              <c:strCache>
                <c:ptCount val="7"/>
                <c:pt idx="0">
                  <c:v>Ukrajina</c:v>
                </c:pt>
                <c:pt idx="1">
                  <c:v>Slovensko</c:v>
                </c:pt>
                <c:pt idx="2">
                  <c:v>Vietnam</c:v>
                </c:pt>
                <c:pt idx="3">
                  <c:v>Rusko</c:v>
                </c:pt>
                <c:pt idx="4">
                  <c:v>Bulharsko</c:v>
                </c:pt>
                <c:pt idx="5">
                  <c:v>Moldavsko</c:v>
                </c:pt>
                <c:pt idx="6">
                  <c:v>Polsko</c:v>
                </c:pt>
              </c:strCache>
            </c:strRef>
          </c:cat>
          <c:val>
            <c:numRef>
              <c:f>List7!$E$57:$E$63</c:f>
              <c:numCache>
                <c:formatCode>#,##0</c:formatCode>
                <c:ptCount val="7"/>
                <c:pt idx="0">
                  <c:v>4039</c:v>
                </c:pt>
                <c:pt idx="1">
                  <c:v>3775</c:v>
                </c:pt>
                <c:pt idx="2">
                  <c:v>3220</c:v>
                </c:pt>
                <c:pt idx="3">
                  <c:v>1321</c:v>
                </c:pt>
                <c:pt idx="4">
                  <c:v>385</c:v>
                </c:pt>
                <c:pt idx="5">
                  <c:v>339</c:v>
                </c:pt>
                <c:pt idx="6">
                  <c:v>302</c:v>
                </c:pt>
              </c:numCache>
            </c:numRef>
          </c:val>
        </c:ser>
        <c:ser>
          <c:idx val="3"/>
          <c:order val="3"/>
          <c:tx>
            <c:strRef>
              <c:f>List7!$F$56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List7!$B$57:$B$63</c:f>
              <c:strCache>
                <c:ptCount val="7"/>
                <c:pt idx="0">
                  <c:v>Ukrajina</c:v>
                </c:pt>
                <c:pt idx="1">
                  <c:v>Slovensko</c:v>
                </c:pt>
                <c:pt idx="2">
                  <c:v>Vietnam</c:v>
                </c:pt>
                <c:pt idx="3">
                  <c:v>Rusko</c:v>
                </c:pt>
                <c:pt idx="4">
                  <c:v>Bulharsko</c:v>
                </c:pt>
                <c:pt idx="5">
                  <c:v>Moldavsko</c:v>
                </c:pt>
                <c:pt idx="6">
                  <c:v>Polsko</c:v>
                </c:pt>
              </c:strCache>
            </c:strRef>
          </c:cat>
          <c:val>
            <c:numRef>
              <c:f>List7!$F$57:$F$63</c:f>
              <c:numCache>
                <c:formatCode>#,##0</c:formatCode>
                <c:ptCount val="7"/>
                <c:pt idx="0">
                  <c:v>5332</c:v>
                </c:pt>
                <c:pt idx="1">
                  <c:v>4505</c:v>
                </c:pt>
                <c:pt idx="2">
                  <c:v>4003</c:v>
                </c:pt>
                <c:pt idx="3">
                  <c:v>1484</c:v>
                </c:pt>
                <c:pt idx="4">
                  <c:v>511</c:v>
                </c:pt>
                <c:pt idx="5">
                  <c:v>398</c:v>
                </c:pt>
                <c:pt idx="6">
                  <c:v>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17664"/>
        <c:axId val="45219200"/>
      </c:barChart>
      <c:catAx>
        <c:axId val="4521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45219200"/>
        <c:crosses val="autoZero"/>
        <c:auto val="1"/>
        <c:lblAlgn val="ctr"/>
        <c:lblOffset val="100"/>
        <c:noMultiLvlLbl val="0"/>
      </c:catAx>
      <c:valAx>
        <c:axId val="452192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52176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Graf 6: Cizinci-studenti vysokých škol podle vybraných státních občanství - vývoj od roku 2007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941961623729072"/>
          <c:y val="0.1841850006677048"/>
          <c:w val="0.76856876385597439"/>
          <c:h val="0.72405072710601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List7!$C$85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cat>
            <c:strRef>
              <c:f>List7!$B$86:$B$90</c:f>
              <c:strCache>
                <c:ptCount val="5"/>
                <c:pt idx="0">
                  <c:v>Slovensko</c:v>
                </c:pt>
                <c:pt idx="1">
                  <c:v>Rusko</c:v>
                </c:pt>
                <c:pt idx="2">
                  <c:v>Ukrajina</c:v>
                </c:pt>
                <c:pt idx="3">
                  <c:v>Kazachstán</c:v>
                </c:pt>
                <c:pt idx="4">
                  <c:v>Vietnam</c:v>
                </c:pt>
              </c:strCache>
            </c:strRef>
          </c:cat>
          <c:val>
            <c:numRef>
              <c:f>List7!$C$86:$C$90</c:f>
              <c:numCache>
                <c:formatCode>General</c:formatCode>
                <c:ptCount val="5"/>
                <c:pt idx="0">
                  <c:v>18350</c:v>
                </c:pt>
                <c:pt idx="1">
                  <c:v>1375</c:v>
                </c:pt>
                <c:pt idx="2">
                  <c:v>844</c:v>
                </c:pt>
                <c:pt idx="3">
                  <c:v>325</c:v>
                </c:pt>
                <c:pt idx="4">
                  <c:v>626</c:v>
                </c:pt>
              </c:numCache>
            </c:numRef>
          </c:val>
        </c:ser>
        <c:ser>
          <c:idx val="1"/>
          <c:order val="1"/>
          <c:tx>
            <c:strRef>
              <c:f>List7!$D$85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List7!$B$86:$B$90</c:f>
              <c:strCache>
                <c:ptCount val="5"/>
                <c:pt idx="0">
                  <c:v>Slovensko</c:v>
                </c:pt>
                <c:pt idx="1">
                  <c:v>Rusko</c:v>
                </c:pt>
                <c:pt idx="2">
                  <c:v>Ukrajina</c:v>
                </c:pt>
                <c:pt idx="3">
                  <c:v>Kazachstán</c:v>
                </c:pt>
                <c:pt idx="4">
                  <c:v>Vietnam</c:v>
                </c:pt>
              </c:strCache>
            </c:strRef>
          </c:cat>
          <c:val>
            <c:numRef>
              <c:f>List7!$D$86:$D$90</c:f>
              <c:numCache>
                <c:formatCode>General</c:formatCode>
                <c:ptCount val="5"/>
                <c:pt idx="0">
                  <c:v>24050</c:v>
                </c:pt>
                <c:pt idx="1">
                  <c:v>3386</c:v>
                </c:pt>
                <c:pt idx="2">
                  <c:v>1737</c:v>
                </c:pt>
                <c:pt idx="3">
                  <c:v>1158</c:v>
                </c:pt>
                <c:pt idx="4">
                  <c:v>851</c:v>
                </c:pt>
              </c:numCache>
            </c:numRef>
          </c:val>
        </c:ser>
        <c:ser>
          <c:idx val="2"/>
          <c:order val="2"/>
          <c:tx>
            <c:strRef>
              <c:f>List7!$E$85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List7!$B$86:$B$90</c:f>
              <c:strCache>
                <c:ptCount val="5"/>
                <c:pt idx="0">
                  <c:v>Slovensko</c:v>
                </c:pt>
                <c:pt idx="1">
                  <c:v>Rusko</c:v>
                </c:pt>
                <c:pt idx="2">
                  <c:v>Ukrajina</c:v>
                </c:pt>
                <c:pt idx="3">
                  <c:v>Kazachstán</c:v>
                </c:pt>
                <c:pt idx="4">
                  <c:v>Vietnam</c:v>
                </c:pt>
              </c:strCache>
            </c:strRef>
          </c:cat>
          <c:val>
            <c:numRef>
              <c:f>List7!$E$86:$E$90</c:f>
              <c:numCache>
                <c:formatCode>General</c:formatCode>
                <c:ptCount val="5"/>
                <c:pt idx="0">
                  <c:v>22658</c:v>
                </c:pt>
                <c:pt idx="1">
                  <c:v>4287</c:v>
                </c:pt>
                <c:pt idx="2">
                  <c:v>2214</c:v>
                </c:pt>
                <c:pt idx="3">
                  <c:v>1422</c:v>
                </c:pt>
                <c:pt idx="4">
                  <c:v>854</c:v>
                </c:pt>
              </c:numCache>
            </c:numRef>
          </c:val>
        </c:ser>
        <c:ser>
          <c:idx val="3"/>
          <c:order val="3"/>
          <c:tx>
            <c:strRef>
              <c:f>List7!$F$85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List7!$B$86:$B$90</c:f>
              <c:strCache>
                <c:ptCount val="5"/>
                <c:pt idx="0">
                  <c:v>Slovensko</c:v>
                </c:pt>
                <c:pt idx="1">
                  <c:v>Rusko</c:v>
                </c:pt>
                <c:pt idx="2">
                  <c:v>Ukrajina</c:v>
                </c:pt>
                <c:pt idx="3">
                  <c:v>Kazachstán</c:v>
                </c:pt>
                <c:pt idx="4">
                  <c:v>Vietnam</c:v>
                </c:pt>
              </c:strCache>
            </c:strRef>
          </c:cat>
          <c:val>
            <c:numRef>
              <c:f>List7!$F$86:$F$90</c:f>
              <c:numCache>
                <c:formatCode>General</c:formatCode>
                <c:ptCount val="5"/>
                <c:pt idx="0">
                  <c:v>22200</c:v>
                </c:pt>
                <c:pt idx="1">
                  <c:v>5210</c:v>
                </c:pt>
                <c:pt idx="2">
                  <c:v>2908</c:v>
                </c:pt>
                <c:pt idx="3">
                  <c:v>1618</c:v>
                </c:pt>
                <c:pt idx="4">
                  <c:v>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280448"/>
        <c:axId val="86282240"/>
      </c:barChart>
      <c:catAx>
        <c:axId val="8628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86282240"/>
        <c:crosses val="autoZero"/>
        <c:auto val="1"/>
        <c:lblAlgn val="ctr"/>
        <c:lblOffset val="100"/>
        <c:noMultiLvlLbl val="0"/>
      </c:catAx>
      <c:valAx>
        <c:axId val="8628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80448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0.76755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43388" y="375285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0.80781</cdr:x>
      <cdr:y>0.85472</cdr:y>
    </cdr:from>
    <cdr:to>
      <cdr:x>1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843339" y="3362325"/>
          <a:ext cx="914400" cy="571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0.80781</cdr:x>
      <cdr:y>0.90557</cdr:y>
    </cdr:from>
    <cdr:to>
      <cdr:x>1</cdr:x>
      <cdr:y>1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3843339" y="3562351"/>
          <a:ext cx="914400" cy="3714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Zdroj:</a:t>
          </a:r>
          <a:r>
            <a:rPr lang="cs-CZ" sz="1000" baseline="0"/>
            <a:t> MŠMT</a:t>
          </a:r>
          <a:endParaRPr lang="cs-CZ" sz="10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0.82313</cdr:x>
      <cdr:y>0.90969</cdr:y>
    </cdr:from>
    <cdr:to>
      <cdr:x>0.96979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33838" y="3262314"/>
          <a:ext cx="718735" cy="323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Zdroj: MŠMT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</cdr:x>
      <cdr:y>0.87936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657600" y="3124199"/>
          <a:ext cx="91440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Zdroj : MŠMT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0.808</cdr:x>
      <cdr:y>0.93503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848100" y="3152776"/>
          <a:ext cx="914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       </a:t>
          </a:r>
          <a:r>
            <a:rPr lang="cs-CZ" sz="900"/>
            <a:t>Zdroj: MŠMT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1082-C6A9-433A-975B-14169615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CZ_2017-08-14.dotx</Template>
  <TotalTime>3</TotalTime>
  <Pages>7</Pages>
  <Words>2071</Words>
  <Characters>12222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14265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Marešová</dc:creator>
  <cp:lastModifiedBy>Jarmila Marešová</cp:lastModifiedBy>
  <cp:revision>3</cp:revision>
  <cp:lastPrinted>2014-07-17T14:07:00Z</cp:lastPrinted>
  <dcterms:created xsi:type="dcterms:W3CDTF">2017-12-05T13:06:00Z</dcterms:created>
  <dcterms:modified xsi:type="dcterms:W3CDTF">2017-12-05T13:08:00Z</dcterms:modified>
</cp:coreProperties>
</file>