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7A" w:rsidRPr="005115CA" w:rsidRDefault="005115CA" w:rsidP="005115CA">
      <w:pPr>
        <w:pStyle w:val="Nadpis1"/>
      </w:pPr>
      <w:bookmarkStart w:id="0" w:name="_GoBack"/>
      <w:bookmarkEnd w:id="0"/>
      <w:r>
        <w:t xml:space="preserve">2. </w:t>
      </w:r>
      <w:r w:rsidR="00351143" w:rsidRPr="005115CA">
        <w:t>Souhrnné výsledky zdravotnických účtů</w:t>
      </w:r>
    </w:p>
    <w:p w:rsidR="00351143" w:rsidRPr="00351143" w:rsidRDefault="00351143" w:rsidP="00525D52">
      <w:pPr>
        <w:spacing w:before="120"/>
        <w:rPr>
          <w:bCs/>
        </w:rPr>
      </w:pPr>
      <w:r w:rsidRPr="00351143">
        <w:rPr>
          <w:bCs/>
        </w:rPr>
        <w:t xml:space="preserve">V této části textu publikace jsou uvedeny základní informace vycházející ze zpracování zdravotnických účtů </w:t>
      </w:r>
      <w:r w:rsidR="00235297">
        <w:rPr>
          <w:bCs/>
        </w:rPr>
        <w:t>České republiky</w:t>
      </w:r>
      <w:r w:rsidRPr="00351143">
        <w:rPr>
          <w:bCs/>
        </w:rPr>
        <w:t xml:space="preserve"> z pohl</w:t>
      </w:r>
      <w:r>
        <w:rPr>
          <w:bCs/>
        </w:rPr>
        <w:t>edu jej</w:t>
      </w:r>
      <w:r w:rsidR="00792CF4">
        <w:rPr>
          <w:bCs/>
        </w:rPr>
        <w:t>i</w:t>
      </w:r>
      <w:r>
        <w:rPr>
          <w:bCs/>
        </w:rPr>
        <w:t>ch tří rozměrů</w:t>
      </w:r>
      <w:r w:rsidR="008D0F35">
        <w:rPr>
          <w:bCs/>
        </w:rPr>
        <w:t>,</w:t>
      </w:r>
      <w:r>
        <w:rPr>
          <w:bCs/>
        </w:rPr>
        <w:t xml:space="preserve"> </w:t>
      </w:r>
      <w:r w:rsidR="00792CF4">
        <w:rPr>
          <w:bCs/>
        </w:rPr>
        <w:t xml:space="preserve">což jsou </w:t>
      </w:r>
      <w:r w:rsidRPr="00351143">
        <w:rPr>
          <w:bCs/>
        </w:rPr>
        <w:t xml:space="preserve">zdroje financování, druh zdravotní péče a typ jejího poskytovatele. Otázky metodického charakteru týkající se užívaných pojmů či metodických nástrojů (klasifikací apod.), které není nutno s ohledem na srozumitelnost textu řešit bezprostředně na místě, jsou blíže </w:t>
      </w:r>
      <w:r>
        <w:rPr>
          <w:bCs/>
        </w:rPr>
        <w:t xml:space="preserve">specifikovány </w:t>
      </w:r>
      <w:r w:rsidR="00EF1FD0">
        <w:rPr>
          <w:bCs/>
        </w:rPr>
        <w:t>v</w:t>
      </w:r>
      <w:r w:rsidR="00792CF4">
        <w:rPr>
          <w:bCs/>
        </w:rPr>
        <w:t> </w:t>
      </w:r>
      <w:r w:rsidRPr="00351143">
        <w:rPr>
          <w:bCs/>
        </w:rPr>
        <w:t>metodické</w:t>
      </w:r>
      <w:r>
        <w:rPr>
          <w:bCs/>
        </w:rPr>
        <w:t xml:space="preserve"> pří</w:t>
      </w:r>
      <w:r w:rsidR="008C37B1">
        <w:rPr>
          <w:bCs/>
        </w:rPr>
        <w:t>loze.</w:t>
      </w:r>
    </w:p>
    <w:p w:rsidR="00110E3B" w:rsidRPr="005115CA" w:rsidRDefault="005115CA" w:rsidP="005115CA">
      <w:pPr>
        <w:pStyle w:val="Nadpis2"/>
        <w:spacing w:before="120" w:after="120"/>
      </w:pPr>
      <w:r w:rsidRPr="005115CA">
        <w:t xml:space="preserve">2.1 </w:t>
      </w:r>
      <w:r w:rsidR="008D0F35" w:rsidRPr="005115CA">
        <w:t>Nová metodika zdravotnických účtů</w:t>
      </w:r>
    </w:p>
    <w:p w:rsidR="00351143" w:rsidRPr="00D16045" w:rsidRDefault="00351143" w:rsidP="00525D52">
      <w:pPr>
        <w:pStyle w:val="Nadpisvlastn1"/>
        <w:spacing w:after="0" w:line="288" w:lineRule="auto"/>
        <w:rPr>
          <w:b w:val="0"/>
          <w:sz w:val="20"/>
        </w:rPr>
      </w:pPr>
      <w:bookmarkStart w:id="1" w:name="OLE_LINK9"/>
      <w:bookmarkStart w:id="2" w:name="OLE_LINK116"/>
      <w:r w:rsidRPr="00D8061D">
        <w:rPr>
          <w:b w:val="0"/>
          <w:sz w:val="20"/>
          <w:szCs w:val="22"/>
        </w:rPr>
        <w:t>V </w:t>
      </w:r>
      <w:r w:rsidRPr="00D8061D">
        <w:rPr>
          <w:b w:val="0"/>
          <w:sz w:val="20"/>
        </w:rPr>
        <w:t>souladu s metodickým manuálem jsou do zdravotnických účtů zahrnovány výdaje související se zdravotní péčí o</w:t>
      </w:r>
      <w:r w:rsidR="00C87B15">
        <w:rPr>
          <w:b w:val="0"/>
          <w:sz w:val="20"/>
        </w:rPr>
        <w:t xml:space="preserve"> naše občany na území České republiky</w:t>
      </w:r>
      <w:r w:rsidRPr="00D8061D">
        <w:rPr>
          <w:b w:val="0"/>
          <w:sz w:val="20"/>
        </w:rPr>
        <w:t xml:space="preserve">. </w:t>
      </w:r>
      <w:r w:rsidR="003B600A">
        <w:rPr>
          <w:b w:val="0"/>
          <w:sz w:val="20"/>
        </w:rPr>
        <w:t>V</w:t>
      </w:r>
      <w:r w:rsidRPr="00D8061D">
        <w:rPr>
          <w:b w:val="0"/>
          <w:sz w:val="20"/>
        </w:rPr>
        <w:t>ýdaje</w:t>
      </w:r>
      <w:r w:rsidR="003B600A">
        <w:rPr>
          <w:b w:val="0"/>
          <w:sz w:val="20"/>
        </w:rPr>
        <w:t xml:space="preserve"> na zdravotní péči</w:t>
      </w:r>
      <w:r w:rsidRPr="00D8061D">
        <w:rPr>
          <w:b w:val="0"/>
          <w:sz w:val="20"/>
        </w:rPr>
        <w:t xml:space="preserve"> můžeme</w:t>
      </w:r>
      <w:r w:rsidR="002E6166">
        <w:rPr>
          <w:b w:val="0"/>
          <w:sz w:val="20"/>
        </w:rPr>
        <w:t xml:space="preserve"> členit na běžné</w:t>
      </w:r>
      <w:r w:rsidRPr="00D8061D">
        <w:rPr>
          <w:b w:val="0"/>
          <w:sz w:val="20"/>
        </w:rPr>
        <w:t xml:space="preserve"> (provozní) a kapitálové (investiční</w:t>
      </w:r>
      <w:r w:rsidRPr="00D16045">
        <w:rPr>
          <w:b w:val="0"/>
          <w:sz w:val="20"/>
        </w:rPr>
        <w:t>)</w:t>
      </w:r>
      <w:r w:rsidR="003B600A" w:rsidRPr="00D16045">
        <w:rPr>
          <w:b w:val="0"/>
          <w:sz w:val="20"/>
        </w:rPr>
        <w:t xml:space="preserve">. Údaje o investičních výdajích jsou </w:t>
      </w:r>
      <w:r w:rsidR="00525D52" w:rsidRPr="00D16045">
        <w:rPr>
          <w:b w:val="0"/>
          <w:sz w:val="20"/>
        </w:rPr>
        <w:t xml:space="preserve">v rámci zdravotnických účtů </w:t>
      </w:r>
      <w:r w:rsidR="003B600A" w:rsidRPr="00D16045">
        <w:rPr>
          <w:b w:val="0"/>
          <w:sz w:val="20"/>
        </w:rPr>
        <w:t>k dispozici pouze z</w:t>
      </w:r>
      <w:r w:rsidR="00525D52" w:rsidRPr="00D16045">
        <w:rPr>
          <w:b w:val="0"/>
          <w:sz w:val="20"/>
        </w:rPr>
        <w:t>a</w:t>
      </w:r>
      <w:r w:rsidR="003B600A" w:rsidRPr="00D16045">
        <w:rPr>
          <w:b w:val="0"/>
          <w:sz w:val="20"/>
        </w:rPr>
        <w:t xml:space="preserve"> </w:t>
      </w:r>
      <w:r w:rsidR="00525D52" w:rsidRPr="00D16045">
        <w:rPr>
          <w:b w:val="0"/>
          <w:sz w:val="20"/>
        </w:rPr>
        <w:t xml:space="preserve">pořízení dlouhodobého hmotného majetku financovaného přímo ze </w:t>
      </w:r>
      <w:r w:rsidR="003B600A" w:rsidRPr="00D16045">
        <w:rPr>
          <w:b w:val="0"/>
          <w:sz w:val="20"/>
        </w:rPr>
        <w:t xml:space="preserve">státního </w:t>
      </w:r>
      <w:r w:rsidR="00525D52" w:rsidRPr="00D16045">
        <w:rPr>
          <w:b w:val="0"/>
          <w:sz w:val="20"/>
        </w:rPr>
        <w:t xml:space="preserve">nebo </w:t>
      </w:r>
      <w:r w:rsidR="003B600A" w:rsidRPr="00D16045">
        <w:rPr>
          <w:b w:val="0"/>
          <w:sz w:val="20"/>
        </w:rPr>
        <w:t>místních rozpočtů.</w:t>
      </w:r>
      <w:r w:rsidR="004D5B75" w:rsidRPr="00D16045">
        <w:rPr>
          <w:b w:val="0"/>
          <w:sz w:val="20"/>
        </w:rPr>
        <w:t xml:space="preserve"> </w:t>
      </w:r>
    </w:p>
    <w:p w:rsidR="00351143" w:rsidRPr="00D8061D" w:rsidRDefault="00351143" w:rsidP="00525D52">
      <w:pPr>
        <w:pStyle w:val="Nadpisvlastn1"/>
        <w:spacing w:after="0" w:line="288" w:lineRule="auto"/>
        <w:rPr>
          <w:b w:val="0"/>
          <w:sz w:val="20"/>
        </w:rPr>
      </w:pPr>
      <w:r w:rsidRPr="00D16045">
        <w:rPr>
          <w:b w:val="0"/>
          <w:sz w:val="20"/>
        </w:rPr>
        <w:t xml:space="preserve">V období </w:t>
      </w:r>
      <w:r w:rsidR="002E6166" w:rsidRPr="00D16045">
        <w:rPr>
          <w:b w:val="0"/>
          <w:sz w:val="20"/>
        </w:rPr>
        <w:t xml:space="preserve">let 2010 - 2014 </w:t>
      </w:r>
      <w:r w:rsidR="00792CF4" w:rsidRPr="00D16045">
        <w:rPr>
          <w:b w:val="0"/>
          <w:sz w:val="20"/>
        </w:rPr>
        <w:t xml:space="preserve">v propočtu </w:t>
      </w:r>
      <w:r w:rsidR="002E6166" w:rsidRPr="00D16045">
        <w:rPr>
          <w:b w:val="0"/>
          <w:sz w:val="20"/>
        </w:rPr>
        <w:t>dle</w:t>
      </w:r>
      <w:r w:rsidRPr="00D16045">
        <w:rPr>
          <w:b w:val="0"/>
          <w:sz w:val="20"/>
        </w:rPr>
        <w:t xml:space="preserve"> nové metodiky </w:t>
      </w:r>
      <w:r w:rsidR="00525D52" w:rsidRPr="00D16045">
        <w:rPr>
          <w:b w:val="0"/>
          <w:sz w:val="20"/>
        </w:rPr>
        <w:t xml:space="preserve">zdravotnických účtů </w:t>
      </w:r>
      <w:r w:rsidR="009E1A46" w:rsidRPr="00D16045">
        <w:rPr>
          <w:b w:val="0"/>
          <w:sz w:val="20"/>
        </w:rPr>
        <w:t xml:space="preserve">stouply </w:t>
      </w:r>
      <w:r w:rsidR="009E1A46" w:rsidRPr="00D16045">
        <w:rPr>
          <w:sz w:val="20"/>
        </w:rPr>
        <w:t xml:space="preserve">celkové </w:t>
      </w:r>
      <w:r w:rsidR="00472B65" w:rsidRPr="00D16045">
        <w:rPr>
          <w:sz w:val="20"/>
        </w:rPr>
        <w:t>výdaje</w:t>
      </w:r>
      <w:r w:rsidR="00472B65" w:rsidRPr="00D16045">
        <w:rPr>
          <w:b w:val="0"/>
          <w:sz w:val="20"/>
        </w:rPr>
        <w:t xml:space="preserve"> </w:t>
      </w:r>
      <w:r w:rsidR="009E1A46" w:rsidRPr="00D16045">
        <w:rPr>
          <w:b w:val="0"/>
          <w:sz w:val="20"/>
        </w:rPr>
        <w:t xml:space="preserve">na zdravotní péči z 339,9 mld. Kč </w:t>
      </w:r>
      <w:r w:rsidR="00D74732" w:rsidRPr="00D16045">
        <w:rPr>
          <w:b w:val="0"/>
          <w:sz w:val="20"/>
        </w:rPr>
        <w:t xml:space="preserve">v roce 2010 </w:t>
      </w:r>
      <w:r w:rsidR="009E1A46" w:rsidRPr="00D16045">
        <w:rPr>
          <w:b w:val="0"/>
          <w:sz w:val="20"/>
        </w:rPr>
        <w:t>na 350,4 mld. Kč</w:t>
      </w:r>
      <w:r w:rsidR="00D74732" w:rsidRPr="00D16045">
        <w:rPr>
          <w:b w:val="0"/>
          <w:sz w:val="20"/>
        </w:rPr>
        <w:t xml:space="preserve"> v roce 2014</w:t>
      </w:r>
      <w:r w:rsidR="009E1A46" w:rsidRPr="00D16045">
        <w:rPr>
          <w:b w:val="0"/>
          <w:sz w:val="20"/>
        </w:rPr>
        <w:t>. B</w:t>
      </w:r>
      <w:r w:rsidR="002E6166" w:rsidRPr="00D16045">
        <w:rPr>
          <w:b w:val="0"/>
          <w:sz w:val="20"/>
        </w:rPr>
        <w:t xml:space="preserve">ěžné výdaje </w:t>
      </w:r>
      <w:r w:rsidRPr="00D16045">
        <w:rPr>
          <w:b w:val="0"/>
          <w:sz w:val="20"/>
        </w:rPr>
        <w:t>na zdravotní péči</w:t>
      </w:r>
      <w:r w:rsidR="001E57BC" w:rsidRPr="00D16045">
        <w:rPr>
          <w:b w:val="0"/>
          <w:sz w:val="20"/>
        </w:rPr>
        <w:t xml:space="preserve"> se</w:t>
      </w:r>
      <w:r w:rsidRPr="00D16045">
        <w:rPr>
          <w:b w:val="0"/>
          <w:sz w:val="20"/>
        </w:rPr>
        <w:t xml:space="preserve"> zvýšily z  334,5 mld.</w:t>
      </w:r>
      <w:r w:rsidR="00235297" w:rsidRPr="00D16045">
        <w:rPr>
          <w:b w:val="0"/>
          <w:sz w:val="20"/>
        </w:rPr>
        <w:t xml:space="preserve"> </w:t>
      </w:r>
      <w:r w:rsidRPr="00D16045">
        <w:rPr>
          <w:b w:val="0"/>
          <w:sz w:val="20"/>
        </w:rPr>
        <w:t>Kč na 346,9 mld.</w:t>
      </w:r>
      <w:r w:rsidR="00235297" w:rsidRPr="00D16045">
        <w:rPr>
          <w:b w:val="0"/>
          <w:sz w:val="20"/>
        </w:rPr>
        <w:t xml:space="preserve"> </w:t>
      </w:r>
      <w:r w:rsidRPr="00D16045">
        <w:rPr>
          <w:b w:val="0"/>
          <w:sz w:val="20"/>
        </w:rPr>
        <w:t>Kč, tj.</w:t>
      </w:r>
      <w:r w:rsidR="001E57BC" w:rsidRPr="00D16045">
        <w:rPr>
          <w:b w:val="0"/>
          <w:sz w:val="20"/>
        </w:rPr>
        <w:t> </w:t>
      </w:r>
      <w:r w:rsidRPr="00D16045">
        <w:rPr>
          <w:b w:val="0"/>
          <w:sz w:val="20"/>
        </w:rPr>
        <w:t>o</w:t>
      </w:r>
      <w:r w:rsidR="001E57BC" w:rsidRPr="00D16045">
        <w:rPr>
          <w:b w:val="0"/>
          <w:sz w:val="20"/>
        </w:rPr>
        <w:t> </w:t>
      </w:r>
      <w:r w:rsidRPr="00D16045">
        <w:rPr>
          <w:b w:val="0"/>
          <w:sz w:val="20"/>
        </w:rPr>
        <w:t>3,7</w:t>
      </w:r>
      <w:r w:rsidR="008D0F35" w:rsidRPr="00D16045">
        <w:rPr>
          <w:b w:val="0"/>
          <w:sz w:val="20"/>
        </w:rPr>
        <w:t> </w:t>
      </w:r>
      <w:r w:rsidRPr="00D16045">
        <w:rPr>
          <w:b w:val="0"/>
          <w:sz w:val="20"/>
        </w:rPr>
        <w:t>% (ročně průměrně o 0,9</w:t>
      </w:r>
      <w:r w:rsidR="00BB2349" w:rsidRPr="00D16045">
        <w:rPr>
          <w:b w:val="0"/>
          <w:sz w:val="20"/>
        </w:rPr>
        <w:t> </w:t>
      </w:r>
      <w:r w:rsidRPr="00D16045">
        <w:rPr>
          <w:b w:val="0"/>
          <w:sz w:val="20"/>
        </w:rPr>
        <w:t>%). Dynamika vývoje počtu obyvatel ČR byla v porovnání s tímto tempem nižší (přírůstek středního stavu poč</w:t>
      </w:r>
      <w:r w:rsidR="002E6166" w:rsidRPr="00D16045">
        <w:rPr>
          <w:b w:val="0"/>
          <w:sz w:val="20"/>
        </w:rPr>
        <w:t>tu obyvatel činil 0,1 %)</w:t>
      </w:r>
      <w:r w:rsidR="00BB2349" w:rsidRPr="00D16045">
        <w:rPr>
          <w:b w:val="0"/>
          <w:sz w:val="20"/>
        </w:rPr>
        <w:t>,</w:t>
      </w:r>
      <w:r w:rsidR="002E6166" w:rsidRPr="00D16045">
        <w:rPr>
          <w:b w:val="0"/>
          <w:sz w:val="20"/>
        </w:rPr>
        <w:t xml:space="preserve"> a</w:t>
      </w:r>
      <w:r w:rsidR="00BB2349" w:rsidRPr="00D16045">
        <w:rPr>
          <w:b w:val="0"/>
          <w:sz w:val="20"/>
        </w:rPr>
        <w:t> </w:t>
      </w:r>
      <w:r w:rsidR="002E6166" w:rsidRPr="00D16045">
        <w:rPr>
          <w:b w:val="0"/>
          <w:sz w:val="20"/>
        </w:rPr>
        <w:t xml:space="preserve">tak </w:t>
      </w:r>
      <w:r w:rsidRPr="00D16045">
        <w:rPr>
          <w:b w:val="0"/>
          <w:sz w:val="20"/>
        </w:rPr>
        <w:t>průměrné běž</w:t>
      </w:r>
      <w:r w:rsidR="002E6166" w:rsidRPr="00D16045">
        <w:rPr>
          <w:b w:val="0"/>
          <w:sz w:val="20"/>
        </w:rPr>
        <w:t xml:space="preserve">né výdaje </w:t>
      </w:r>
      <w:r w:rsidR="00472B65" w:rsidRPr="00D16045">
        <w:rPr>
          <w:b w:val="0"/>
          <w:sz w:val="20"/>
        </w:rPr>
        <w:t xml:space="preserve">na zdravotní péči </w:t>
      </w:r>
      <w:r w:rsidR="002E6166" w:rsidRPr="00D16045">
        <w:rPr>
          <w:b w:val="0"/>
          <w:sz w:val="20"/>
        </w:rPr>
        <w:t xml:space="preserve">na </w:t>
      </w:r>
      <w:r w:rsidR="00BB2349" w:rsidRPr="00D16045">
        <w:rPr>
          <w:b w:val="0"/>
          <w:sz w:val="20"/>
        </w:rPr>
        <w:t xml:space="preserve">jednoho </w:t>
      </w:r>
      <w:r w:rsidR="002E6166" w:rsidRPr="00D16045">
        <w:rPr>
          <w:b w:val="0"/>
          <w:sz w:val="20"/>
        </w:rPr>
        <w:t xml:space="preserve">obyvatele vzrostly z 31 812 Kč na </w:t>
      </w:r>
      <w:r w:rsidRPr="00D16045">
        <w:rPr>
          <w:b w:val="0"/>
          <w:sz w:val="20"/>
        </w:rPr>
        <w:t>32 962 Kč ročně (tj. o 3,6</w:t>
      </w:r>
      <w:r w:rsidR="00BB2349" w:rsidRPr="00D16045">
        <w:rPr>
          <w:b w:val="0"/>
          <w:sz w:val="20"/>
        </w:rPr>
        <w:t> </w:t>
      </w:r>
      <w:r w:rsidRPr="00D16045">
        <w:rPr>
          <w:b w:val="0"/>
          <w:sz w:val="20"/>
        </w:rPr>
        <w:t xml:space="preserve">%). Celkové kapitálové výdaje </w:t>
      </w:r>
      <w:r w:rsidR="00D74732" w:rsidRPr="00D16045">
        <w:rPr>
          <w:b w:val="0"/>
          <w:sz w:val="20"/>
        </w:rPr>
        <w:t>financované přímo ze státního nebo místních rozpočtů</w:t>
      </w:r>
      <w:r w:rsidR="00D74732">
        <w:rPr>
          <w:b w:val="0"/>
          <w:sz w:val="20"/>
        </w:rPr>
        <w:t xml:space="preserve"> </w:t>
      </w:r>
      <w:r w:rsidRPr="00D8061D">
        <w:rPr>
          <w:b w:val="0"/>
          <w:sz w:val="20"/>
        </w:rPr>
        <w:t>v oblasti zdravotní péče naopak v uvedeném období poklesly</w:t>
      </w:r>
      <w:r w:rsidR="00280AA1" w:rsidRPr="00D8061D">
        <w:rPr>
          <w:b w:val="0"/>
          <w:sz w:val="20"/>
        </w:rPr>
        <w:t xml:space="preserve"> z 5,3 mld. Kč na 3,5 mld. Kč (</w:t>
      </w:r>
      <w:r w:rsidR="002E6166">
        <w:rPr>
          <w:b w:val="0"/>
          <w:sz w:val="20"/>
        </w:rPr>
        <w:t>o 33,6</w:t>
      </w:r>
      <w:r w:rsidR="00BB2349">
        <w:rPr>
          <w:b w:val="0"/>
          <w:sz w:val="20"/>
        </w:rPr>
        <w:t> </w:t>
      </w:r>
      <w:r w:rsidR="002E6166">
        <w:rPr>
          <w:b w:val="0"/>
          <w:sz w:val="20"/>
        </w:rPr>
        <w:t>%).</w:t>
      </w:r>
    </w:p>
    <w:p w:rsidR="00971B07" w:rsidRDefault="00351143" w:rsidP="00525D52">
      <w:pPr>
        <w:pStyle w:val="Nadpisvlastn1"/>
        <w:spacing w:after="0" w:line="288" w:lineRule="auto"/>
        <w:rPr>
          <w:b w:val="0"/>
          <w:sz w:val="20"/>
        </w:rPr>
      </w:pPr>
      <w:r w:rsidRPr="00D8061D">
        <w:rPr>
          <w:b w:val="0"/>
          <w:sz w:val="20"/>
        </w:rPr>
        <w:t>V</w:t>
      </w:r>
      <w:r w:rsidR="002E6166">
        <w:rPr>
          <w:b w:val="0"/>
          <w:sz w:val="20"/>
        </w:rPr>
        <w:t xml:space="preserve"> porovnání s vývojem  hlavního </w:t>
      </w:r>
      <w:r w:rsidRPr="00D8061D">
        <w:rPr>
          <w:b w:val="0"/>
          <w:sz w:val="20"/>
        </w:rPr>
        <w:t xml:space="preserve">makro </w:t>
      </w:r>
      <w:r w:rsidR="002E6166">
        <w:rPr>
          <w:b w:val="0"/>
          <w:sz w:val="20"/>
        </w:rPr>
        <w:t xml:space="preserve">ukazatele ekonomického výkonu - </w:t>
      </w:r>
      <w:r w:rsidRPr="00D8061D">
        <w:rPr>
          <w:b w:val="0"/>
          <w:sz w:val="20"/>
        </w:rPr>
        <w:t xml:space="preserve">HDP, celkové výdaje </w:t>
      </w:r>
      <w:r w:rsidR="00BB2349">
        <w:rPr>
          <w:b w:val="0"/>
          <w:sz w:val="20"/>
        </w:rPr>
        <w:t xml:space="preserve">na </w:t>
      </w:r>
      <w:r w:rsidRPr="00D8061D">
        <w:rPr>
          <w:b w:val="0"/>
          <w:sz w:val="20"/>
        </w:rPr>
        <w:t xml:space="preserve">zdravotní </w:t>
      </w:r>
      <w:r w:rsidR="00BB2349" w:rsidRPr="00D8061D">
        <w:rPr>
          <w:b w:val="0"/>
          <w:sz w:val="20"/>
        </w:rPr>
        <w:t>péč</w:t>
      </w:r>
      <w:r w:rsidR="00BB2349">
        <w:rPr>
          <w:b w:val="0"/>
          <w:sz w:val="20"/>
        </w:rPr>
        <w:t>i</w:t>
      </w:r>
      <w:r w:rsidR="00BB2349" w:rsidRPr="00D8061D">
        <w:rPr>
          <w:b w:val="0"/>
          <w:sz w:val="20"/>
        </w:rPr>
        <w:t xml:space="preserve"> </w:t>
      </w:r>
      <w:r w:rsidRPr="00D8061D">
        <w:rPr>
          <w:b w:val="0"/>
          <w:sz w:val="20"/>
        </w:rPr>
        <w:t>(včetně kapitálových) zaostávaly a jejich podíl na HDP se v uvedených letech snížil z</w:t>
      </w:r>
      <w:r w:rsidR="009B6AB1" w:rsidRPr="00D8061D">
        <w:rPr>
          <w:b w:val="0"/>
          <w:sz w:val="20"/>
        </w:rPr>
        <w:t> 8,6</w:t>
      </w:r>
      <w:r w:rsidRPr="00D8061D">
        <w:rPr>
          <w:b w:val="0"/>
          <w:sz w:val="20"/>
        </w:rPr>
        <w:t xml:space="preserve"> % na 8,2</w:t>
      </w:r>
      <w:r w:rsidR="00BB2349">
        <w:rPr>
          <w:b w:val="0"/>
          <w:sz w:val="20"/>
        </w:rPr>
        <w:t> </w:t>
      </w:r>
      <w:r w:rsidRPr="00D8061D">
        <w:rPr>
          <w:b w:val="0"/>
          <w:sz w:val="20"/>
        </w:rPr>
        <w:t xml:space="preserve">% (propočteno v metodice SHA 2011) </w:t>
      </w:r>
      <w:r w:rsidR="00D74E62">
        <w:rPr>
          <w:b w:val="0"/>
          <w:sz w:val="20"/>
        </w:rPr>
        <w:t>respektive</w:t>
      </w:r>
      <w:r w:rsidRPr="00D8061D">
        <w:rPr>
          <w:b w:val="0"/>
          <w:sz w:val="20"/>
        </w:rPr>
        <w:t xml:space="preserve"> z</w:t>
      </w:r>
      <w:r w:rsidR="008D0F35">
        <w:rPr>
          <w:b w:val="0"/>
          <w:sz w:val="20"/>
        </w:rPr>
        <w:t>e</w:t>
      </w:r>
      <w:r w:rsidRPr="00D8061D">
        <w:rPr>
          <w:b w:val="0"/>
          <w:sz w:val="20"/>
        </w:rPr>
        <w:t> 7,</w:t>
      </w:r>
      <w:r w:rsidR="009B6AB1" w:rsidRPr="00D8061D">
        <w:rPr>
          <w:b w:val="0"/>
          <w:sz w:val="20"/>
        </w:rPr>
        <w:t>2</w:t>
      </w:r>
      <w:r w:rsidR="002E6166">
        <w:rPr>
          <w:b w:val="0"/>
          <w:sz w:val="20"/>
        </w:rPr>
        <w:t xml:space="preserve"> % </w:t>
      </w:r>
      <w:r w:rsidRPr="00D8061D">
        <w:rPr>
          <w:b w:val="0"/>
          <w:sz w:val="20"/>
        </w:rPr>
        <w:t xml:space="preserve">na </w:t>
      </w:r>
      <w:r w:rsidR="009B6AB1" w:rsidRPr="00D8061D">
        <w:rPr>
          <w:b w:val="0"/>
          <w:sz w:val="20"/>
        </w:rPr>
        <w:t>6,9</w:t>
      </w:r>
      <w:r w:rsidRPr="00D8061D">
        <w:rPr>
          <w:b w:val="0"/>
          <w:sz w:val="20"/>
        </w:rPr>
        <w:t xml:space="preserve"> % (propočteno v</w:t>
      </w:r>
      <w:r w:rsidR="00BB2349">
        <w:rPr>
          <w:b w:val="0"/>
          <w:sz w:val="20"/>
        </w:rPr>
        <w:t xml:space="preserve"> původní </w:t>
      </w:r>
      <w:r w:rsidRPr="00D8061D">
        <w:rPr>
          <w:b w:val="0"/>
          <w:sz w:val="20"/>
        </w:rPr>
        <w:t>metodice SHA 0.1) – viz</w:t>
      </w:r>
      <w:r w:rsidR="008D0F35">
        <w:rPr>
          <w:b w:val="0"/>
          <w:sz w:val="20"/>
        </w:rPr>
        <w:t xml:space="preserve"> </w:t>
      </w:r>
      <w:r w:rsidR="00BB2349">
        <w:rPr>
          <w:b w:val="0"/>
          <w:sz w:val="20"/>
        </w:rPr>
        <w:t>graf</w:t>
      </w:r>
      <w:r w:rsidRPr="00D8061D">
        <w:rPr>
          <w:b w:val="0"/>
          <w:sz w:val="20"/>
        </w:rPr>
        <w:t xml:space="preserve"> č. 2.1.</w:t>
      </w:r>
    </w:p>
    <w:p w:rsidR="00D74732" w:rsidRDefault="00D61787" w:rsidP="00D74732">
      <w:pPr>
        <w:pStyle w:val="Normlnweb"/>
        <w:spacing w:before="240" w:beforeAutospacing="0" w:after="0" w:afterAutospacing="0" w:line="288" w:lineRule="auto"/>
        <w:rPr>
          <w:rFonts w:cs="Arial"/>
          <w:b/>
          <w:sz w:val="18"/>
          <w:szCs w:val="18"/>
        </w:rPr>
      </w:pPr>
      <w:r w:rsidRPr="00D74732">
        <w:rPr>
          <w:rFonts w:cs="Arial"/>
          <w:b/>
          <w:sz w:val="18"/>
          <w:szCs w:val="18"/>
        </w:rPr>
        <w:t xml:space="preserve">Graf č. 2.1 Vývoj výdajů na zdravotní péči </w:t>
      </w:r>
      <w:r w:rsidR="009B7BE5">
        <w:rPr>
          <w:rFonts w:cs="Arial"/>
          <w:b/>
          <w:sz w:val="18"/>
          <w:szCs w:val="18"/>
        </w:rPr>
        <w:t xml:space="preserve">v ČR </w:t>
      </w:r>
      <w:r w:rsidRPr="00D74732">
        <w:rPr>
          <w:rFonts w:cs="Arial"/>
          <w:b/>
          <w:sz w:val="18"/>
          <w:szCs w:val="18"/>
        </w:rPr>
        <w:t>a jejich podílu na HDP</w:t>
      </w:r>
      <w:r w:rsidR="00D74732">
        <w:rPr>
          <w:rFonts w:cs="Arial"/>
          <w:b/>
          <w:sz w:val="18"/>
          <w:szCs w:val="18"/>
        </w:rPr>
        <w:t xml:space="preserve">, </w:t>
      </w:r>
      <w:r w:rsidRPr="00D74732">
        <w:rPr>
          <w:rFonts w:cs="Arial"/>
          <w:b/>
          <w:sz w:val="18"/>
          <w:szCs w:val="18"/>
        </w:rPr>
        <w:t xml:space="preserve">2010 </w:t>
      </w:r>
      <w:r w:rsidR="00D74732">
        <w:rPr>
          <w:rFonts w:cs="Arial"/>
          <w:b/>
          <w:sz w:val="18"/>
          <w:szCs w:val="18"/>
        </w:rPr>
        <w:t>-</w:t>
      </w:r>
      <w:r w:rsidRPr="00D74732">
        <w:rPr>
          <w:rFonts w:cs="Arial"/>
          <w:b/>
          <w:sz w:val="18"/>
          <w:szCs w:val="18"/>
        </w:rPr>
        <w:t>2014</w:t>
      </w:r>
      <w:r w:rsidR="00D74732">
        <w:rPr>
          <w:rFonts w:cs="Arial"/>
          <w:b/>
          <w:sz w:val="18"/>
          <w:szCs w:val="18"/>
        </w:rPr>
        <w:t xml:space="preserve"> (mld. Kč; %) - </w:t>
      </w:r>
      <w:r w:rsidR="00711CC0" w:rsidRPr="00D74732">
        <w:rPr>
          <w:rFonts w:cs="Arial"/>
          <w:b/>
          <w:sz w:val="18"/>
          <w:szCs w:val="18"/>
        </w:rPr>
        <w:t xml:space="preserve"> </w:t>
      </w:r>
      <w:r w:rsidR="00D74732">
        <w:rPr>
          <w:rFonts w:cs="Arial"/>
          <w:b/>
          <w:sz w:val="18"/>
          <w:szCs w:val="18"/>
        </w:rPr>
        <w:t xml:space="preserve">                                </w:t>
      </w:r>
    </w:p>
    <w:p w:rsidR="00D61787" w:rsidRPr="00D74732" w:rsidRDefault="00D74732" w:rsidP="00D74732">
      <w:pPr>
        <w:pStyle w:val="Normlnweb"/>
        <w:spacing w:before="0" w:beforeAutospacing="0" w:after="0" w:afterAutospacing="0" w:line="288" w:lineRule="auto"/>
        <w:rPr>
          <w:rFonts w:cs="Arial"/>
          <w:b/>
          <w:i/>
          <w:sz w:val="18"/>
          <w:szCs w:val="18"/>
        </w:rPr>
      </w:pPr>
      <w:r w:rsidRPr="00D74732">
        <w:rPr>
          <w:rFonts w:cs="Arial"/>
          <w:b/>
          <w:i/>
          <w:sz w:val="18"/>
          <w:szCs w:val="18"/>
        </w:rPr>
        <w:t xml:space="preserve">                  </w:t>
      </w:r>
      <w:r w:rsidR="00711CC0" w:rsidRPr="00D74732">
        <w:rPr>
          <w:rFonts w:cs="Arial"/>
          <w:b/>
          <w:i/>
          <w:sz w:val="18"/>
          <w:szCs w:val="18"/>
        </w:rPr>
        <w:t xml:space="preserve">srovnání hodnot </w:t>
      </w:r>
      <w:r w:rsidR="00D61787" w:rsidRPr="00D74732">
        <w:rPr>
          <w:rFonts w:cs="Arial"/>
          <w:b/>
          <w:i/>
          <w:sz w:val="18"/>
          <w:szCs w:val="18"/>
        </w:rPr>
        <w:t>podle metodiky SHA 1.</w:t>
      </w:r>
      <w:r w:rsidR="004D5B75" w:rsidRPr="00D74732">
        <w:rPr>
          <w:rFonts w:cs="Arial"/>
          <w:b/>
          <w:i/>
          <w:sz w:val="18"/>
          <w:szCs w:val="18"/>
        </w:rPr>
        <w:t>0</w:t>
      </w:r>
      <w:r w:rsidR="00D61787" w:rsidRPr="00D74732">
        <w:rPr>
          <w:rFonts w:cs="Arial"/>
          <w:b/>
          <w:i/>
          <w:sz w:val="18"/>
          <w:szCs w:val="18"/>
        </w:rPr>
        <w:t xml:space="preserve"> a </w:t>
      </w:r>
      <w:r w:rsidRPr="00D74732">
        <w:rPr>
          <w:rFonts w:cs="Arial"/>
          <w:b/>
          <w:i/>
          <w:sz w:val="18"/>
          <w:szCs w:val="18"/>
        </w:rPr>
        <w:t xml:space="preserve">nové metodiky </w:t>
      </w:r>
      <w:r w:rsidR="00D61787" w:rsidRPr="00D74732">
        <w:rPr>
          <w:rFonts w:cs="Arial"/>
          <w:b/>
          <w:i/>
          <w:sz w:val="18"/>
          <w:szCs w:val="18"/>
        </w:rPr>
        <w:t>SHA 2011</w:t>
      </w:r>
    </w:p>
    <w:p w:rsidR="00D61787" w:rsidRPr="004D5B75" w:rsidRDefault="00D61787" w:rsidP="00351143">
      <w:pPr>
        <w:pStyle w:val="Nadpisvlastn1"/>
        <w:spacing w:before="0" w:after="0" w:line="288" w:lineRule="auto"/>
        <w:rPr>
          <w:b w:val="0"/>
          <w:sz w:val="16"/>
          <w:szCs w:val="16"/>
        </w:rPr>
      </w:pPr>
    </w:p>
    <w:p w:rsidR="00D61787" w:rsidRPr="00D8061D" w:rsidRDefault="00D61787" w:rsidP="00351143">
      <w:pPr>
        <w:pStyle w:val="Nadpisvlastn1"/>
        <w:spacing w:before="0" w:after="0" w:line="288" w:lineRule="auto"/>
        <w:rPr>
          <w:b w:val="0"/>
          <w:sz w:val="20"/>
        </w:rPr>
      </w:pPr>
      <w:r>
        <w:rPr>
          <w:noProof/>
        </w:rPr>
        <w:drawing>
          <wp:inline distT="0" distB="0" distL="0" distR="0" wp14:anchorId="77743B32" wp14:editId="410FED11">
            <wp:extent cx="5972175" cy="277177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732" w:rsidRPr="004E52F2" w:rsidRDefault="00D74732" w:rsidP="00D74732">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351143" w:rsidRDefault="00280AA1" w:rsidP="00D74732">
      <w:pPr>
        <w:pStyle w:val="nazevtabulky"/>
        <w:keepNext w:val="0"/>
        <w:spacing w:before="120" w:after="0" w:line="288" w:lineRule="auto"/>
        <w:rPr>
          <w:b w:val="0"/>
        </w:rPr>
      </w:pPr>
      <w:r w:rsidRPr="00642B40">
        <w:rPr>
          <w:b w:val="0"/>
        </w:rPr>
        <w:t xml:space="preserve">Jak je patrné, širší </w:t>
      </w:r>
      <w:r w:rsidR="00D74E62">
        <w:rPr>
          <w:b w:val="0"/>
        </w:rPr>
        <w:t xml:space="preserve">pojetí </w:t>
      </w:r>
      <w:r w:rsidRPr="00642B40">
        <w:rPr>
          <w:b w:val="0"/>
        </w:rPr>
        <w:t>zdravotní</w:t>
      </w:r>
      <w:r w:rsidR="008D0F35">
        <w:rPr>
          <w:b w:val="0"/>
        </w:rPr>
        <w:t xml:space="preserve"> </w:t>
      </w:r>
      <w:r w:rsidR="00D74E62">
        <w:rPr>
          <w:b w:val="0"/>
        </w:rPr>
        <w:t>péče</w:t>
      </w:r>
      <w:r w:rsidR="00D74E62" w:rsidRPr="00642B40">
        <w:rPr>
          <w:b w:val="0"/>
        </w:rPr>
        <w:t xml:space="preserve"> </w:t>
      </w:r>
      <w:r>
        <w:rPr>
          <w:b w:val="0"/>
        </w:rPr>
        <w:t xml:space="preserve">dle nové metodiky </w:t>
      </w:r>
      <w:r w:rsidRPr="00642B40">
        <w:rPr>
          <w:b w:val="0"/>
        </w:rPr>
        <w:t xml:space="preserve">SHA mělo v podílu výdajů </w:t>
      </w:r>
      <w:r w:rsidR="00D74E62">
        <w:rPr>
          <w:b w:val="0"/>
        </w:rPr>
        <w:t xml:space="preserve">na </w:t>
      </w:r>
      <w:r w:rsidRPr="00642B40">
        <w:rPr>
          <w:b w:val="0"/>
        </w:rPr>
        <w:t>zdravotní péč</w:t>
      </w:r>
      <w:r w:rsidR="00D74E62">
        <w:rPr>
          <w:b w:val="0"/>
        </w:rPr>
        <w:t>i</w:t>
      </w:r>
      <w:r w:rsidRPr="00642B40">
        <w:rPr>
          <w:b w:val="0"/>
        </w:rPr>
        <w:t xml:space="preserve"> na </w:t>
      </w:r>
      <w:r w:rsidR="00D74E62">
        <w:rPr>
          <w:b w:val="0"/>
        </w:rPr>
        <w:t xml:space="preserve">celkovém </w:t>
      </w:r>
      <w:r w:rsidRPr="00642B40">
        <w:rPr>
          <w:b w:val="0"/>
        </w:rPr>
        <w:t>HDP dopad ve výši 1,</w:t>
      </w:r>
      <w:r w:rsidR="009B6AB1">
        <w:rPr>
          <w:b w:val="0"/>
        </w:rPr>
        <w:t>3</w:t>
      </w:r>
      <w:r w:rsidR="00D74E62">
        <w:rPr>
          <w:b w:val="0"/>
        </w:rPr>
        <w:t xml:space="preserve"> procentního bodu.</w:t>
      </w:r>
      <w:r w:rsidR="00D74E62" w:rsidRPr="00642B40">
        <w:rPr>
          <w:b w:val="0"/>
        </w:rPr>
        <w:t xml:space="preserve"> </w:t>
      </w:r>
      <w:r w:rsidRPr="00642B40">
        <w:rPr>
          <w:b w:val="0"/>
        </w:rPr>
        <w:t>I přes svůj širší záběr výdaje na zdravotní péči v posledních dvou letech</w:t>
      </w:r>
      <w:r w:rsidR="00D74E62">
        <w:rPr>
          <w:b w:val="0"/>
        </w:rPr>
        <w:t>,</w:t>
      </w:r>
      <w:r w:rsidRPr="00642B40">
        <w:rPr>
          <w:b w:val="0"/>
        </w:rPr>
        <w:t xml:space="preserve"> </w:t>
      </w:r>
      <w:r w:rsidR="00DB5A07">
        <w:rPr>
          <w:b w:val="0"/>
        </w:rPr>
        <w:t xml:space="preserve">ovlivněných </w:t>
      </w:r>
      <w:r w:rsidRPr="00642B40">
        <w:rPr>
          <w:b w:val="0"/>
        </w:rPr>
        <w:t>návrat</w:t>
      </w:r>
      <w:r>
        <w:rPr>
          <w:b w:val="0"/>
        </w:rPr>
        <w:t>em</w:t>
      </w:r>
      <w:r w:rsidRPr="00642B40">
        <w:rPr>
          <w:b w:val="0"/>
        </w:rPr>
        <w:t xml:space="preserve"> hospodářského oživení, neudržely rostoucí tempo ukazatele ekonomického výkonu a jejich podíl </w:t>
      </w:r>
      <w:r w:rsidR="00D74732" w:rsidRPr="00D74732">
        <w:rPr>
          <w:b w:val="0"/>
        </w:rPr>
        <w:t xml:space="preserve">v relaci k hodnotě HDP </w:t>
      </w:r>
      <w:r w:rsidRPr="00642B40">
        <w:rPr>
          <w:b w:val="0"/>
        </w:rPr>
        <w:t>klesal</w:t>
      </w:r>
      <w:r w:rsidR="009B6AB1">
        <w:rPr>
          <w:b w:val="0"/>
        </w:rPr>
        <w:t>.</w:t>
      </w:r>
    </w:p>
    <w:p w:rsidR="00280AA1" w:rsidRPr="00FD459E" w:rsidRDefault="00FD459E" w:rsidP="00FD459E">
      <w:pPr>
        <w:pStyle w:val="Nadpis2"/>
        <w:spacing w:before="120" w:after="120"/>
      </w:pPr>
      <w:r>
        <w:lastRenderedPageBreak/>
        <w:t xml:space="preserve">2.2 </w:t>
      </w:r>
      <w:r w:rsidR="00280AA1" w:rsidRPr="00FD459E">
        <w:t xml:space="preserve">Výdaje na zdravotní péči dle </w:t>
      </w:r>
      <w:r w:rsidR="00416832" w:rsidRPr="00FD459E">
        <w:t xml:space="preserve">zdrojů </w:t>
      </w:r>
      <w:r w:rsidR="00280AA1" w:rsidRPr="00FD459E">
        <w:t xml:space="preserve">financování </w:t>
      </w:r>
    </w:p>
    <w:p w:rsidR="00280AA1" w:rsidRPr="00D8061D" w:rsidRDefault="00280AA1" w:rsidP="00057E34">
      <w:pPr>
        <w:pStyle w:val="Nadpisvlastn1"/>
        <w:spacing w:before="0" w:after="0" w:line="288" w:lineRule="auto"/>
        <w:rPr>
          <w:b w:val="0"/>
          <w:sz w:val="20"/>
        </w:rPr>
      </w:pPr>
      <w:r w:rsidRPr="00D8061D">
        <w:rPr>
          <w:b w:val="0"/>
          <w:sz w:val="20"/>
        </w:rPr>
        <w:t>Na otázku o zdroji</w:t>
      </w:r>
      <w:r w:rsidR="00382071">
        <w:rPr>
          <w:b w:val="0"/>
          <w:sz w:val="20"/>
        </w:rPr>
        <w:t xml:space="preserve"> </w:t>
      </w:r>
      <w:r w:rsidR="00416832">
        <w:rPr>
          <w:b w:val="0"/>
          <w:sz w:val="20"/>
        </w:rPr>
        <w:t>financování</w:t>
      </w:r>
      <w:r w:rsidR="00416832" w:rsidRPr="00D8061D">
        <w:rPr>
          <w:b w:val="0"/>
          <w:sz w:val="20"/>
        </w:rPr>
        <w:t xml:space="preserve"> </w:t>
      </w:r>
      <w:r w:rsidR="00382071">
        <w:rPr>
          <w:b w:val="0"/>
          <w:sz w:val="20"/>
        </w:rPr>
        <w:t>zdravotní péče odpovídá</w:t>
      </w:r>
      <w:r w:rsidRPr="00D8061D">
        <w:rPr>
          <w:b w:val="0"/>
          <w:sz w:val="20"/>
        </w:rPr>
        <w:t xml:space="preserve"> první z</w:t>
      </w:r>
      <w:r w:rsidR="00416832">
        <w:rPr>
          <w:b w:val="0"/>
          <w:sz w:val="20"/>
        </w:rPr>
        <w:t>e tří</w:t>
      </w:r>
      <w:r w:rsidRPr="00D8061D">
        <w:rPr>
          <w:b w:val="0"/>
          <w:sz w:val="20"/>
        </w:rPr>
        <w:t> výše zmíněných</w:t>
      </w:r>
      <w:r w:rsidR="00BB1A3B">
        <w:rPr>
          <w:b w:val="0"/>
          <w:sz w:val="20"/>
        </w:rPr>
        <w:t xml:space="preserve"> </w:t>
      </w:r>
      <w:r w:rsidRPr="00D8061D">
        <w:rPr>
          <w:b w:val="0"/>
          <w:sz w:val="20"/>
        </w:rPr>
        <w:t>pohledů – systém či způsob financování (v manuálu SHA 2011 „</w:t>
      </w:r>
      <w:proofErr w:type="spellStart"/>
      <w:r w:rsidRPr="00D8061D">
        <w:rPr>
          <w:b w:val="0"/>
          <w:sz w:val="20"/>
        </w:rPr>
        <w:t>financing</w:t>
      </w:r>
      <w:proofErr w:type="spellEnd"/>
      <w:r w:rsidRPr="00D8061D">
        <w:rPr>
          <w:b w:val="0"/>
          <w:sz w:val="20"/>
        </w:rPr>
        <w:t xml:space="preserve"> </w:t>
      </w:r>
      <w:proofErr w:type="spellStart"/>
      <w:r w:rsidRPr="00D8061D">
        <w:rPr>
          <w:b w:val="0"/>
          <w:sz w:val="20"/>
        </w:rPr>
        <w:t>scheme</w:t>
      </w:r>
      <w:proofErr w:type="spellEnd"/>
      <w:r w:rsidRPr="00D8061D">
        <w:rPr>
          <w:b w:val="0"/>
          <w:sz w:val="20"/>
        </w:rPr>
        <w:t xml:space="preserve">“). </w:t>
      </w:r>
      <w:r w:rsidR="00382071">
        <w:rPr>
          <w:b w:val="0"/>
          <w:sz w:val="20"/>
        </w:rPr>
        <w:t>Nový manuál SHA 2011 rozeznává</w:t>
      </w:r>
      <w:r w:rsidRPr="00D8061D">
        <w:rPr>
          <w:b w:val="0"/>
          <w:sz w:val="20"/>
        </w:rPr>
        <w:t xml:space="preserve"> tři základní systémy financování zdravotní péče a to: </w:t>
      </w:r>
    </w:p>
    <w:p w:rsidR="00280AA1" w:rsidRPr="00D8061D" w:rsidRDefault="003E59FD" w:rsidP="00B13753">
      <w:pPr>
        <w:pStyle w:val="Nadpisvlastn1"/>
        <w:numPr>
          <w:ilvl w:val="0"/>
          <w:numId w:val="18"/>
        </w:numPr>
        <w:spacing w:before="60" w:after="0" w:line="288" w:lineRule="auto"/>
        <w:ind w:left="357" w:hanging="357"/>
        <w:rPr>
          <w:b w:val="0"/>
          <w:sz w:val="20"/>
        </w:rPr>
      </w:pPr>
      <w:r>
        <w:rPr>
          <w:b w:val="0"/>
          <w:sz w:val="20"/>
        </w:rPr>
        <w:t>veřejné zdroje</w:t>
      </w:r>
      <w:r w:rsidR="00280AA1" w:rsidRPr="00D8061D">
        <w:rPr>
          <w:b w:val="0"/>
          <w:sz w:val="20"/>
        </w:rPr>
        <w:t xml:space="preserve"> (veřejné</w:t>
      </w:r>
      <w:r>
        <w:rPr>
          <w:b w:val="0"/>
          <w:sz w:val="20"/>
        </w:rPr>
        <w:t xml:space="preserve"> rozpočty a povinné příspěvkové</w:t>
      </w:r>
      <w:r w:rsidR="00280AA1" w:rsidRPr="00D8061D">
        <w:rPr>
          <w:b w:val="0"/>
          <w:sz w:val="20"/>
        </w:rPr>
        <w:t xml:space="preserve"> zdravotní pojištění)</w:t>
      </w:r>
    </w:p>
    <w:p w:rsidR="00280AA1" w:rsidRPr="00D8061D" w:rsidRDefault="003E59FD" w:rsidP="00B13753">
      <w:pPr>
        <w:pStyle w:val="Nadpisvlastn1"/>
        <w:numPr>
          <w:ilvl w:val="0"/>
          <w:numId w:val="18"/>
        </w:numPr>
        <w:spacing w:before="60" w:after="0" w:line="288" w:lineRule="auto"/>
        <w:ind w:left="357" w:hanging="357"/>
        <w:rPr>
          <w:b w:val="0"/>
          <w:sz w:val="20"/>
        </w:rPr>
      </w:pPr>
      <w:r>
        <w:rPr>
          <w:b w:val="0"/>
          <w:sz w:val="20"/>
        </w:rPr>
        <w:t>soukromé zdroje bez přímých plateb domácností</w:t>
      </w:r>
    </w:p>
    <w:p w:rsidR="00280AA1" w:rsidRPr="00D8061D" w:rsidRDefault="00280AA1" w:rsidP="00B13753">
      <w:pPr>
        <w:pStyle w:val="Nadpisvlastn1"/>
        <w:numPr>
          <w:ilvl w:val="0"/>
          <w:numId w:val="18"/>
        </w:numPr>
        <w:spacing w:before="60" w:after="0" w:line="288" w:lineRule="auto"/>
        <w:ind w:left="357" w:hanging="357"/>
        <w:rPr>
          <w:b w:val="0"/>
          <w:sz w:val="20"/>
        </w:rPr>
      </w:pPr>
      <w:r w:rsidRPr="00D8061D">
        <w:rPr>
          <w:b w:val="0"/>
          <w:sz w:val="20"/>
        </w:rPr>
        <w:t>přímé platby domácností</w:t>
      </w:r>
    </w:p>
    <w:p w:rsidR="00280AA1" w:rsidRPr="00D8061D" w:rsidRDefault="00280AA1" w:rsidP="00280AA1">
      <w:pPr>
        <w:pStyle w:val="Nadpisvlastn1"/>
        <w:spacing w:after="0" w:line="288" w:lineRule="auto"/>
        <w:rPr>
          <w:b w:val="0"/>
          <w:sz w:val="20"/>
        </w:rPr>
      </w:pPr>
      <w:r w:rsidRPr="00D8061D">
        <w:rPr>
          <w:b w:val="0"/>
          <w:sz w:val="20"/>
        </w:rPr>
        <w:t>Do první skupiny patří veřejné rozpočty (státní</w:t>
      </w:r>
      <w:r w:rsidR="00815550">
        <w:rPr>
          <w:b w:val="0"/>
          <w:sz w:val="20"/>
        </w:rPr>
        <w:t xml:space="preserve"> rozpočet</w:t>
      </w:r>
      <w:r w:rsidR="007844D0">
        <w:rPr>
          <w:b w:val="0"/>
          <w:sz w:val="20"/>
        </w:rPr>
        <w:t xml:space="preserve"> a rozpočty územních samospráv</w:t>
      </w:r>
      <w:r w:rsidRPr="00D8061D">
        <w:rPr>
          <w:b w:val="0"/>
          <w:sz w:val="20"/>
        </w:rPr>
        <w:t xml:space="preserve"> </w:t>
      </w:r>
      <w:r w:rsidR="002C0F43">
        <w:rPr>
          <w:b w:val="0"/>
          <w:sz w:val="20"/>
        </w:rPr>
        <w:t xml:space="preserve">- </w:t>
      </w:r>
      <w:r w:rsidRPr="00D8061D">
        <w:rPr>
          <w:b w:val="0"/>
          <w:sz w:val="20"/>
        </w:rPr>
        <w:t>místní</w:t>
      </w:r>
      <w:r w:rsidR="00815550">
        <w:rPr>
          <w:b w:val="0"/>
          <w:sz w:val="20"/>
        </w:rPr>
        <w:t xml:space="preserve"> rozpočty</w:t>
      </w:r>
      <w:r w:rsidRPr="00D8061D">
        <w:rPr>
          <w:b w:val="0"/>
          <w:sz w:val="20"/>
        </w:rPr>
        <w:t>) a</w:t>
      </w:r>
      <w:r w:rsidR="007844D0">
        <w:rPr>
          <w:b w:val="0"/>
          <w:sz w:val="20"/>
        </w:rPr>
        <w:t> </w:t>
      </w:r>
      <w:r w:rsidRPr="00D8061D">
        <w:rPr>
          <w:b w:val="0"/>
          <w:sz w:val="20"/>
        </w:rPr>
        <w:t xml:space="preserve">povinné zdravotní pojištění. Do </w:t>
      </w:r>
      <w:r w:rsidR="00057E34">
        <w:rPr>
          <w:b w:val="0"/>
          <w:sz w:val="20"/>
        </w:rPr>
        <w:t xml:space="preserve">soukromých zdrojů (bez přímých plateb domácností) </w:t>
      </w:r>
      <w:r w:rsidR="00057E34" w:rsidRPr="00D8061D">
        <w:rPr>
          <w:b w:val="0"/>
          <w:sz w:val="20"/>
        </w:rPr>
        <w:t xml:space="preserve">jsou zahrnuty </w:t>
      </w:r>
      <w:r w:rsidRPr="00D8061D">
        <w:rPr>
          <w:b w:val="0"/>
          <w:sz w:val="20"/>
        </w:rPr>
        <w:t>dobrovoln</w:t>
      </w:r>
      <w:r w:rsidR="00057E34">
        <w:rPr>
          <w:b w:val="0"/>
          <w:sz w:val="20"/>
        </w:rPr>
        <w:t>é</w:t>
      </w:r>
      <w:r w:rsidRPr="00D8061D">
        <w:rPr>
          <w:b w:val="0"/>
          <w:sz w:val="20"/>
        </w:rPr>
        <w:t xml:space="preserve"> </w:t>
      </w:r>
      <w:r w:rsidR="00815550">
        <w:rPr>
          <w:b w:val="0"/>
          <w:sz w:val="20"/>
        </w:rPr>
        <w:t>platb</w:t>
      </w:r>
      <w:r w:rsidR="00057E34">
        <w:rPr>
          <w:b w:val="0"/>
          <w:sz w:val="20"/>
        </w:rPr>
        <w:t>y</w:t>
      </w:r>
      <w:r w:rsidR="00815550">
        <w:rPr>
          <w:b w:val="0"/>
          <w:sz w:val="20"/>
        </w:rPr>
        <w:t xml:space="preserve"> na zdravotní péči</w:t>
      </w:r>
      <w:r w:rsidR="00815550" w:rsidRPr="00D8061D">
        <w:rPr>
          <w:b w:val="0"/>
          <w:sz w:val="20"/>
        </w:rPr>
        <w:t xml:space="preserve"> </w:t>
      </w:r>
      <w:r w:rsidRPr="00D8061D">
        <w:rPr>
          <w:b w:val="0"/>
          <w:sz w:val="20"/>
        </w:rPr>
        <w:t>neziskov</w:t>
      </w:r>
      <w:r w:rsidR="00057E34">
        <w:rPr>
          <w:b w:val="0"/>
          <w:sz w:val="20"/>
        </w:rPr>
        <w:t>ých</w:t>
      </w:r>
      <w:r w:rsidRPr="00D8061D">
        <w:rPr>
          <w:b w:val="0"/>
          <w:sz w:val="20"/>
        </w:rPr>
        <w:t xml:space="preserve"> instituc</w:t>
      </w:r>
      <w:r w:rsidR="00057E34">
        <w:rPr>
          <w:b w:val="0"/>
          <w:sz w:val="20"/>
        </w:rPr>
        <w:t>í</w:t>
      </w:r>
      <w:r w:rsidR="00815550">
        <w:rPr>
          <w:b w:val="0"/>
          <w:sz w:val="20"/>
        </w:rPr>
        <w:t>,</w:t>
      </w:r>
      <w:r w:rsidRPr="00D8061D">
        <w:rPr>
          <w:b w:val="0"/>
          <w:sz w:val="20"/>
        </w:rPr>
        <w:t xml:space="preserve"> soukromé zdravotní pojištění a </w:t>
      </w:r>
      <w:r w:rsidR="00815550">
        <w:rPr>
          <w:b w:val="0"/>
          <w:sz w:val="20"/>
        </w:rPr>
        <w:t>závodní preventivní péče</w:t>
      </w:r>
      <w:r w:rsidRPr="00D8061D">
        <w:rPr>
          <w:b w:val="0"/>
          <w:sz w:val="20"/>
        </w:rPr>
        <w:t xml:space="preserve">. </w:t>
      </w:r>
      <w:r w:rsidR="00815550">
        <w:rPr>
          <w:b w:val="0"/>
          <w:sz w:val="20"/>
        </w:rPr>
        <w:t>Přímé platby</w:t>
      </w:r>
      <w:r w:rsidRPr="00D8061D">
        <w:rPr>
          <w:b w:val="0"/>
          <w:sz w:val="20"/>
        </w:rPr>
        <w:t xml:space="preserve"> domácnost</w:t>
      </w:r>
      <w:r w:rsidR="00815550">
        <w:rPr>
          <w:b w:val="0"/>
          <w:sz w:val="20"/>
        </w:rPr>
        <w:t>í</w:t>
      </w:r>
      <w:r w:rsidRPr="00D8061D">
        <w:rPr>
          <w:b w:val="0"/>
          <w:sz w:val="20"/>
        </w:rPr>
        <w:t xml:space="preserve"> zahrnuj</w:t>
      </w:r>
      <w:r w:rsidR="00815550">
        <w:rPr>
          <w:b w:val="0"/>
          <w:sz w:val="20"/>
        </w:rPr>
        <w:t>í</w:t>
      </w:r>
      <w:r w:rsidRPr="00D8061D">
        <w:rPr>
          <w:b w:val="0"/>
          <w:sz w:val="20"/>
        </w:rPr>
        <w:t xml:space="preserve"> přímé výdaje příjemců zdravotní péče (pacientů) </w:t>
      </w:r>
      <w:r w:rsidR="002C0F43">
        <w:rPr>
          <w:b w:val="0"/>
          <w:sz w:val="20"/>
        </w:rPr>
        <w:t>nebo</w:t>
      </w:r>
      <w:r w:rsidR="002C0F43" w:rsidRPr="00D8061D">
        <w:rPr>
          <w:b w:val="0"/>
          <w:sz w:val="20"/>
        </w:rPr>
        <w:t xml:space="preserve"> </w:t>
      </w:r>
      <w:r w:rsidRPr="00D8061D">
        <w:rPr>
          <w:b w:val="0"/>
          <w:sz w:val="20"/>
        </w:rPr>
        <w:t xml:space="preserve">jejich případnou spoluúčast.  </w:t>
      </w:r>
    </w:p>
    <w:p w:rsidR="009B6AB1" w:rsidRPr="00A87F95" w:rsidRDefault="00893B9A" w:rsidP="00A87F95">
      <w:pPr>
        <w:pStyle w:val="Nadpis2"/>
        <w:keepLines w:val="0"/>
        <w:spacing w:before="200" w:after="120" w:line="276" w:lineRule="auto"/>
        <w:jc w:val="both"/>
        <w:rPr>
          <w:i/>
          <w:color w:val="auto"/>
          <w:sz w:val="20"/>
          <w:szCs w:val="24"/>
        </w:rPr>
      </w:pPr>
      <w:r w:rsidRPr="00A87F95">
        <w:rPr>
          <w:i/>
          <w:color w:val="auto"/>
          <w:sz w:val="20"/>
          <w:szCs w:val="24"/>
        </w:rPr>
        <w:t>Přes dvě třetiny výdajů na zdravotní péči hradí zdravotní pojišťovny</w:t>
      </w:r>
    </w:p>
    <w:p w:rsidR="00AB55A7" w:rsidRDefault="00A34296" w:rsidP="00A34296">
      <w:pPr>
        <w:pStyle w:val="nazevtabulky"/>
        <w:spacing w:before="120" w:after="120" w:line="288" w:lineRule="auto"/>
        <w:rPr>
          <w:b w:val="0"/>
        </w:rPr>
      </w:pPr>
      <w:r w:rsidRPr="00A87F95">
        <w:rPr>
          <w:b w:val="0"/>
        </w:rPr>
        <w:t xml:space="preserve">V České republice mají klíčové postavení </w:t>
      </w:r>
      <w:r>
        <w:rPr>
          <w:b w:val="0"/>
        </w:rPr>
        <w:t xml:space="preserve">z hlediska financování zdravotní péče </w:t>
      </w:r>
      <w:r w:rsidRPr="00A34296">
        <w:t>zdravotní pojišťovny</w:t>
      </w:r>
      <w:r w:rsidRPr="00A87F95">
        <w:rPr>
          <w:b w:val="0"/>
        </w:rPr>
        <w:t xml:space="preserve">, </w:t>
      </w:r>
      <w:r w:rsidRPr="00D16045">
        <w:rPr>
          <w:b w:val="0"/>
        </w:rPr>
        <w:t>jejichž příjmy plynou z veřejného zdravotního pojištění, kterého je povinně účastna každá osoba s trvalým pobytem na našem území. Hlavní zásadou veřejného zdravotního pojištění je solidarita a rovnost přístupu ke zdravotní péči. Veřejné zdravotní pojištění financuje veškerou zdravotní péči garantovanou zákonem č. 48/1997 Sb. o veřejném zdravotním pojištění (v platném znění). V zásadě lze říci, že veřejné zdravotní pojišťovny kryjí většinu výdajů na zdravotní péči v České republice (blíže v kapitole č. 3.1 Výdaje zdravotních pojišťoven na zdravotní péči).</w:t>
      </w:r>
      <w:r w:rsidRPr="00A33533">
        <w:rPr>
          <w:b w:val="0"/>
        </w:rPr>
        <w:t xml:space="preserve"> </w:t>
      </w:r>
    </w:p>
    <w:p w:rsidR="00A34296" w:rsidRPr="00A33533" w:rsidRDefault="00A34296" w:rsidP="00A34296">
      <w:pPr>
        <w:pStyle w:val="nazevtabulky"/>
        <w:spacing w:before="120" w:after="120" w:line="288" w:lineRule="auto"/>
        <w:rPr>
          <w:b w:val="0"/>
        </w:rPr>
      </w:pPr>
      <w:r>
        <w:rPr>
          <w:b w:val="0"/>
        </w:rPr>
        <w:t>Kromě toho provozují zdravotní pojišťovny také vlastní programy preventivní péče a v neposlední řadě hradí provoz vlastních organizací.</w:t>
      </w:r>
      <w:r w:rsidRPr="00A34296">
        <w:rPr>
          <w:b w:val="0"/>
        </w:rPr>
        <w:t xml:space="preserve"> </w:t>
      </w:r>
    </w:p>
    <w:p w:rsidR="00280AA1" w:rsidRPr="00A87F95" w:rsidRDefault="00280AA1" w:rsidP="00A87F95">
      <w:pPr>
        <w:pStyle w:val="nazevtabulky"/>
        <w:spacing w:after="120"/>
        <w:rPr>
          <w:sz w:val="18"/>
          <w:szCs w:val="18"/>
        </w:rPr>
      </w:pPr>
      <w:r w:rsidRPr="00A87F95">
        <w:rPr>
          <w:sz w:val="18"/>
          <w:szCs w:val="18"/>
        </w:rPr>
        <w:t xml:space="preserve">Tabulka </w:t>
      </w:r>
      <w:r w:rsidR="00143241" w:rsidRPr="00A87F95">
        <w:rPr>
          <w:sz w:val="18"/>
          <w:szCs w:val="18"/>
        </w:rPr>
        <w:t>č.</w:t>
      </w:r>
      <w:r w:rsidR="00F4553B" w:rsidRPr="00A87F95">
        <w:rPr>
          <w:sz w:val="18"/>
          <w:szCs w:val="18"/>
        </w:rPr>
        <w:t xml:space="preserve"> </w:t>
      </w:r>
      <w:r w:rsidRPr="00A87F95">
        <w:rPr>
          <w:sz w:val="18"/>
          <w:szCs w:val="18"/>
        </w:rPr>
        <w:t>2.</w:t>
      </w:r>
      <w:r w:rsidR="007F4E76" w:rsidRPr="00A87F95">
        <w:rPr>
          <w:sz w:val="18"/>
          <w:szCs w:val="18"/>
        </w:rPr>
        <w:t>1</w:t>
      </w:r>
      <w:r w:rsidRPr="00A87F95">
        <w:rPr>
          <w:sz w:val="18"/>
          <w:szCs w:val="18"/>
        </w:rPr>
        <w:t xml:space="preserve"> Výdaje na </w:t>
      </w:r>
      <w:r w:rsidR="00EF1FD0" w:rsidRPr="00A87F95">
        <w:rPr>
          <w:sz w:val="18"/>
          <w:szCs w:val="18"/>
        </w:rPr>
        <w:t>zdravotní péči</w:t>
      </w:r>
      <w:r w:rsidRPr="00A87F95">
        <w:rPr>
          <w:sz w:val="18"/>
          <w:szCs w:val="18"/>
        </w:rPr>
        <w:t xml:space="preserve"> </w:t>
      </w:r>
      <w:r w:rsidR="009B7BE5">
        <w:rPr>
          <w:sz w:val="18"/>
          <w:szCs w:val="18"/>
        </w:rPr>
        <w:t xml:space="preserve">v ČR </w:t>
      </w:r>
      <w:r w:rsidRPr="00A87F95">
        <w:rPr>
          <w:sz w:val="18"/>
          <w:szCs w:val="18"/>
        </w:rPr>
        <w:t xml:space="preserve">podle systémů </w:t>
      </w:r>
      <w:r w:rsidR="009B7BE5">
        <w:rPr>
          <w:sz w:val="18"/>
          <w:szCs w:val="18"/>
        </w:rPr>
        <w:t xml:space="preserve">(zdrojů) </w:t>
      </w:r>
      <w:r w:rsidRPr="00A87F95">
        <w:rPr>
          <w:sz w:val="18"/>
          <w:szCs w:val="18"/>
        </w:rPr>
        <w:t>financování v mil. Kč</w:t>
      </w:r>
    </w:p>
    <w:tbl>
      <w:tblPr>
        <w:tblW w:w="9644" w:type="dxa"/>
        <w:tblInd w:w="65" w:type="dxa"/>
        <w:tblLayout w:type="fixed"/>
        <w:tblCellMar>
          <w:left w:w="70" w:type="dxa"/>
          <w:right w:w="70" w:type="dxa"/>
        </w:tblCellMar>
        <w:tblLook w:val="04A0" w:firstRow="1" w:lastRow="0" w:firstColumn="1" w:lastColumn="0" w:noHBand="0" w:noVBand="1"/>
      </w:tblPr>
      <w:tblGrid>
        <w:gridCol w:w="3930"/>
        <w:gridCol w:w="952"/>
        <w:gridCol w:w="952"/>
        <w:gridCol w:w="953"/>
        <w:gridCol w:w="952"/>
        <w:gridCol w:w="952"/>
        <w:gridCol w:w="953"/>
      </w:tblGrid>
      <w:tr w:rsidR="00280AA1" w:rsidRPr="00280AA1" w:rsidTr="009B7BE5">
        <w:trPr>
          <w:trHeight w:val="500"/>
        </w:trPr>
        <w:tc>
          <w:tcPr>
            <w:tcW w:w="3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BE5" w:rsidRDefault="0065147A" w:rsidP="009B7BE5">
            <w:pPr>
              <w:keepNext w:val="0"/>
              <w:spacing w:line="240" w:lineRule="auto"/>
              <w:jc w:val="center"/>
              <w:rPr>
                <w:rFonts w:cs="Arial"/>
                <w:b/>
                <w:color w:val="000000"/>
                <w:sz w:val="16"/>
                <w:szCs w:val="16"/>
              </w:rPr>
            </w:pPr>
            <w:r>
              <w:rPr>
                <w:rFonts w:cs="Arial"/>
                <w:b/>
                <w:color w:val="000000"/>
                <w:sz w:val="16"/>
                <w:szCs w:val="16"/>
              </w:rPr>
              <w:t xml:space="preserve">Systém </w:t>
            </w:r>
            <w:r w:rsidR="009B7BE5">
              <w:rPr>
                <w:rFonts w:cs="Arial"/>
                <w:b/>
                <w:color w:val="000000"/>
                <w:sz w:val="16"/>
                <w:szCs w:val="16"/>
              </w:rPr>
              <w:t xml:space="preserve">(konečný zdroj) </w:t>
            </w:r>
            <w:r>
              <w:rPr>
                <w:rFonts w:cs="Arial"/>
                <w:b/>
                <w:color w:val="000000"/>
                <w:sz w:val="16"/>
                <w:szCs w:val="16"/>
              </w:rPr>
              <w:t>financování</w:t>
            </w:r>
          </w:p>
          <w:p w:rsidR="00280AA1" w:rsidRPr="00280AA1" w:rsidRDefault="0065147A" w:rsidP="009B7BE5">
            <w:pPr>
              <w:keepNext w:val="0"/>
              <w:spacing w:line="240" w:lineRule="auto"/>
              <w:jc w:val="center"/>
              <w:rPr>
                <w:rFonts w:cs="Arial"/>
                <w:b/>
                <w:color w:val="000000"/>
                <w:sz w:val="16"/>
                <w:szCs w:val="16"/>
              </w:rPr>
            </w:pPr>
            <w:r>
              <w:rPr>
                <w:rFonts w:cs="Arial"/>
                <w:b/>
                <w:color w:val="000000"/>
                <w:sz w:val="16"/>
                <w:szCs w:val="16"/>
              </w:rPr>
              <w:t>zdravotní péče - HF</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2010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2011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2012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2013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2014</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280AA1" w:rsidRPr="00280AA1" w:rsidRDefault="00280AA1" w:rsidP="009B7BE5">
            <w:pPr>
              <w:keepNext w:val="0"/>
              <w:spacing w:line="240" w:lineRule="auto"/>
              <w:jc w:val="center"/>
              <w:rPr>
                <w:rFonts w:cs="Arial"/>
                <w:b/>
                <w:color w:val="000000"/>
                <w:sz w:val="16"/>
                <w:szCs w:val="16"/>
              </w:rPr>
            </w:pPr>
            <w:r w:rsidRPr="00280AA1">
              <w:rPr>
                <w:rFonts w:cs="Arial"/>
                <w:b/>
                <w:color w:val="000000"/>
                <w:sz w:val="16"/>
                <w:szCs w:val="16"/>
              </w:rPr>
              <w:t>Index 2014/2013</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000000" w:fill="D8D8D8"/>
            <w:noWrap/>
            <w:vAlign w:val="bottom"/>
            <w:hideMark/>
          </w:tcPr>
          <w:p w:rsidR="00280AA1" w:rsidRPr="00280AA1" w:rsidRDefault="00280AA1" w:rsidP="003E59FD">
            <w:pPr>
              <w:keepNext w:val="0"/>
              <w:spacing w:line="240" w:lineRule="auto"/>
              <w:jc w:val="left"/>
              <w:rPr>
                <w:rFonts w:cs="Arial"/>
                <w:color w:val="000000"/>
                <w:sz w:val="16"/>
                <w:szCs w:val="16"/>
              </w:rPr>
            </w:pPr>
            <w:r w:rsidRPr="00280AA1">
              <w:rPr>
                <w:rFonts w:cs="Arial"/>
                <w:color w:val="000000"/>
                <w:sz w:val="16"/>
                <w:szCs w:val="16"/>
              </w:rPr>
              <w:t xml:space="preserve">1 </w:t>
            </w:r>
            <w:r w:rsidR="003B600A">
              <w:rPr>
                <w:rFonts w:cs="Arial"/>
                <w:color w:val="000000"/>
                <w:sz w:val="16"/>
                <w:szCs w:val="16"/>
              </w:rPr>
              <w:t xml:space="preserve">Veřejné </w:t>
            </w:r>
            <w:r w:rsidR="003E59FD">
              <w:rPr>
                <w:rFonts w:cs="Arial"/>
                <w:color w:val="000000"/>
                <w:sz w:val="16"/>
                <w:szCs w:val="16"/>
              </w:rPr>
              <w:t>zdroje</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288 768</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291 272</w:t>
            </w:r>
          </w:p>
        </w:tc>
        <w:tc>
          <w:tcPr>
            <w:tcW w:w="953"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294 861</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297 412</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296 641</w:t>
            </w:r>
          </w:p>
        </w:tc>
        <w:tc>
          <w:tcPr>
            <w:tcW w:w="953"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99,7</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893B9A">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 xml:space="preserve">1.1 </w:t>
            </w:r>
            <w:r>
              <w:rPr>
                <w:rFonts w:cs="Arial"/>
                <w:color w:val="000000"/>
                <w:sz w:val="16"/>
                <w:szCs w:val="16"/>
              </w:rPr>
              <w:t>Veřejné rozpočty</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56 879</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56 935</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56 934</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59 058</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62 013</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105,0</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280AA1">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1.1.1 Státní rozpočet</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48 835</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47 692</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47 028</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49 315</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52 485</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106,4</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280AA1">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1.1.2 Místní rozpočty</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8 044</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9 243</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9 906</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9 743</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9 528</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97,8</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280AA1">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1.2 Zdravotní pojišťovny</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231 889</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234 337</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237 927</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238 354</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234 628</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98,4</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000000" w:fill="D8D8D8"/>
            <w:noWrap/>
            <w:vAlign w:val="bottom"/>
            <w:hideMark/>
          </w:tcPr>
          <w:p w:rsidR="00280AA1" w:rsidRPr="00280AA1" w:rsidRDefault="00F4553B" w:rsidP="003E59FD">
            <w:pPr>
              <w:keepNext w:val="0"/>
              <w:spacing w:line="240" w:lineRule="auto"/>
              <w:jc w:val="left"/>
              <w:rPr>
                <w:rFonts w:cs="Arial"/>
                <w:color w:val="000000"/>
                <w:sz w:val="16"/>
                <w:szCs w:val="16"/>
              </w:rPr>
            </w:pPr>
            <w:r>
              <w:rPr>
                <w:rFonts w:cs="Arial"/>
                <w:color w:val="000000"/>
                <w:sz w:val="16"/>
                <w:szCs w:val="16"/>
              </w:rPr>
              <w:t>2</w:t>
            </w:r>
            <w:r w:rsidR="00280AA1" w:rsidRPr="00280AA1">
              <w:rPr>
                <w:rFonts w:cs="Arial"/>
                <w:color w:val="000000"/>
                <w:sz w:val="16"/>
                <w:szCs w:val="16"/>
              </w:rPr>
              <w:t xml:space="preserve"> </w:t>
            </w:r>
            <w:r w:rsidR="003E59FD">
              <w:rPr>
                <w:rFonts w:cs="Arial"/>
                <w:color w:val="000000"/>
                <w:sz w:val="16"/>
                <w:szCs w:val="16"/>
              </w:rPr>
              <w:t>Soukromé zdroje bez přímých plateb domácností</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9 217</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9 205</w:t>
            </w:r>
          </w:p>
        </w:tc>
        <w:tc>
          <w:tcPr>
            <w:tcW w:w="953"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9 110</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9 202</w:t>
            </w:r>
          </w:p>
        </w:tc>
        <w:tc>
          <w:tcPr>
            <w:tcW w:w="952"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10 668</w:t>
            </w:r>
          </w:p>
        </w:tc>
        <w:tc>
          <w:tcPr>
            <w:tcW w:w="953" w:type="dxa"/>
            <w:tcBorders>
              <w:top w:val="nil"/>
              <w:left w:val="nil"/>
              <w:bottom w:val="single" w:sz="4" w:space="0" w:color="auto"/>
              <w:right w:val="single" w:sz="4" w:space="0" w:color="auto"/>
            </w:tcBorders>
            <w:shd w:val="clear" w:color="000000" w:fill="D8D8D8"/>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115,9</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280AA1">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 xml:space="preserve">2.1 Soukromé pojištění </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427</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477</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520</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475</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537</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113,1</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280AA1">
            <w:pPr>
              <w:keepNext w:val="0"/>
              <w:spacing w:line="240" w:lineRule="auto"/>
              <w:jc w:val="left"/>
              <w:rPr>
                <w:rFonts w:cs="Arial"/>
                <w:color w:val="000000"/>
                <w:sz w:val="16"/>
                <w:szCs w:val="16"/>
              </w:rPr>
            </w:pPr>
            <w:r>
              <w:rPr>
                <w:rFonts w:cs="Arial"/>
                <w:color w:val="000000"/>
                <w:sz w:val="16"/>
                <w:szCs w:val="16"/>
              </w:rPr>
              <w:t xml:space="preserve">   </w:t>
            </w:r>
            <w:r w:rsidR="00280AA1" w:rsidRPr="00280AA1">
              <w:rPr>
                <w:rFonts w:cs="Arial"/>
                <w:color w:val="000000"/>
                <w:sz w:val="16"/>
                <w:szCs w:val="16"/>
              </w:rPr>
              <w:t>2.2 Neziskové organizace</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7 888</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7 820</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7 719</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7 726</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7 757</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100,4</w:t>
            </w:r>
          </w:p>
        </w:tc>
      </w:tr>
      <w:tr w:rsidR="00280AA1" w:rsidRPr="00280AA1" w:rsidTr="00823576">
        <w:trPr>
          <w:trHeight w:val="397"/>
        </w:trPr>
        <w:tc>
          <w:tcPr>
            <w:tcW w:w="3930" w:type="dxa"/>
            <w:tcBorders>
              <w:top w:val="nil"/>
              <w:left w:val="single" w:sz="4" w:space="0" w:color="auto"/>
              <w:bottom w:val="single" w:sz="4" w:space="0" w:color="auto"/>
              <w:right w:val="single" w:sz="4" w:space="0" w:color="auto"/>
            </w:tcBorders>
            <w:shd w:val="clear" w:color="auto" w:fill="auto"/>
            <w:noWrap/>
            <w:vAlign w:val="bottom"/>
            <w:hideMark/>
          </w:tcPr>
          <w:p w:rsidR="00280AA1" w:rsidRPr="00280AA1" w:rsidRDefault="00893B9A" w:rsidP="00142B06">
            <w:pPr>
              <w:keepNext w:val="0"/>
              <w:spacing w:line="240" w:lineRule="auto"/>
              <w:jc w:val="left"/>
              <w:rPr>
                <w:rFonts w:cs="Arial"/>
                <w:color w:val="000000"/>
                <w:sz w:val="16"/>
                <w:szCs w:val="16"/>
              </w:rPr>
            </w:pPr>
            <w:r>
              <w:rPr>
                <w:rFonts w:cs="Arial"/>
                <w:color w:val="000000"/>
                <w:sz w:val="16"/>
                <w:szCs w:val="16"/>
              </w:rPr>
              <w:t xml:space="preserve">   </w:t>
            </w:r>
            <w:r w:rsidR="00F4553B">
              <w:rPr>
                <w:rFonts w:cs="Arial"/>
                <w:color w:val="000000"/>
                <w:sz w:val="16"/>
                <w:szCs w:val="16"/>
              </w:rPr>
              <w:t xml:space="preserve">2.3 </w:t>
            </w:r>
            <w:r w:rsidR="00142B06">
              <w:rPr>
                <w:rFonts w:cs="Arial"/>
                <w:color w:val="000000"/>
                <w:sz w:val="16"/>
                <w:szCs w:val="16"/>
              </w:rPr>
              <w:t>Závodní preventivní péče</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901</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908</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871</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1 001</w:t>
            </w:r>
          </w:p>
        </w:tc>
        <w:tc>
          <w:tcPr>
            <w:tcW w:w="952"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2 374</w:t>
            </w:r>
          </w:p>
        </w:tc>
        <w:tc>
          <w:tcPr>
            <w:tcW w:w="953" w:type="dxa"/>
            <w:tcBorders>
              <w:top w:val="nil"/>
              <w:left w:val="nil"/>
              <w:bottom w:val="single" w:sz="4" w:space="0" w:color="auto"/>
              <w:right w:val="single" w:sz="4" w:space="0" w:color="auto"/>
            </w:tcBorders>
            <w:shd w:val="clear" w:color="auto" w:fill="auto"/>
            <w:noWrap/>
            <w:vAlign w:val="bottom"/>
            <w:hideMark/>
          </w:tcPr>
          <w:p w:rsidR="00280AA1" w:rsidRPr="00280AA1" w:rsidRDefault="00280AA1" w:rsidP="00280AA1">
            <w:pPr>
              <w:keepNext w:val="0"/>
              <w:spacing w:line="240" w:lineRule="auto"/>
              <w:jc w:val="right"/>
              <w:rPr>
                <w:rFonts w:cs="Arial"/>
                <w:color w:val="000000"/>
                <w:sz w:val="16"/>
                <w:szCs w:val="16"/>
              </w:rPr>
            </w:pPr>
            <w:r w:rsidRPr="00280AA1">
              <w:rPr>
                <w:rFonts w:cs="Arial"/>
                <w:color w:val="000000"/>
                <w:sz w:val="16"/>
                <w:szCs w:val="16"/>
              </w:rPr>
              <w:t>237,2</w:t>
            </w:r>
          </w:p>
        </w:tc>
      </w:tr>
      <w:tr w:rsidR="007D3675" w:rsidRPr="00280AA1" w:rsidTr="00823576">
        <w:trPr>
          <w:trHeight w:val="397"/>
        </w:trPr>
        <w:tc>
          <w:tcPr>
            <w:tcW w:w="3930" w:type="dxa"/>
            <w:tcBorders>
              <w:top w:val="nil"/>
              <w:left w:val="single" w:sz="4" w:space="0" w:color="auto"/>
              <w:bottom w:val="single" w:sz="4" w:space="0" w:color="auto"/>
              <w:right w:val="single" w:sz="4" w:space="0" w:color="auto"/>
            </w:tcBorders>
            <w:shd w:val="clear" w:color="000000" w:fill="D8D8D8"/>
            <w:noWrap/>
            <w:vAlign w:val="bottom"/>
            <w:hideMark/>
          </w:tcPr>
          <w:p w:rsidR="007D3675" w:rsidRPr="00280AA1" w:rsidRDefault="007D3675" w:rsidP="00280AA1">
            <w:pPr>
              <w:keepNext w:val="0"/>
              <w:spacing w:line="240" w:lineRule="auto"/>
              <w:jc w:val="left"/>
              <w:rPr>
                <w:rFonts w:cs="Arial"/>
                <w:color w:val="000000"/>
                <w:sz w:val="16"/>
                <w:szCs w:val="16"/>
              </w:rPr>
            </w:pPr>
            <w:r w:rsidRPr="00280AA1">
              <w:rPr>
                <w:rFonts w:cs="Arial"/>
                <w:color w:val="000000"/>
                <w:sz w:val="16"/>
                <w:szCs w:val="16"/>
              </w:rPr>
              <w:t>3 Domácnosti</w:t>
            </w:r>
          </w:p>
        </w:tc>
        <w:tc>
          <w:tcPr>
            <w:tcW w:w="952"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41 867</w:t>
            </w:r>
          </w:p>
        </w:tc>
        <w:tc>
          <w:tcPr>
            <w:tcW w:w="952"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42 275</w:t>
            </w:r>
          </w:p>
        </w:tc>
        <w:tc>
          <w:tcPr>
            <w:tcW w:w="953"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43 634</w:t>
            </w:r>
          </w:p>
        </w:tc>
        <w:tc>
          <w:tcPr>
            <w:tcW w:w="952"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42 247</w:t>
            </w:r>
          </w:p>
        </w:tc>
        <w:tc>
          <w:tcPr>
            <w:tcW w:w="952"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43 102</w:t>
            </w:r>
          </w:p>
        </w:tc>
        <w:tc>
          <w:tcPr>
            <w:tcW w:w="953" w:type="dxa"/>
            <w:tcBorders>
              <w:top w:val="nil"/>
              <w:left w:val="nil"/>
              <w:bottom w:val="single" w:sz="4" w:space="0" w:color="auto"/>
              <w:right w:val="single" w:sz="4" w:space="0" w:color="auto"/>
            </w:tcBorders>
            <w:shd w:val="clear" w:color="000000" w:fill="D8D8D8"/>
            <w:noWrap/>
            <w:vAlign w:val="bottom"/>
          </w:tcPr>
          <w:p w:rsidR="007D3675" w:rsidRPr="007D3675" w:rsidRDefault="007D3675" w:rsidP="007D3675">
            <w:pPr>
              <w:keepNext w:val="0"/>
              <w:spacing w:line="240" w:lineRule="auto"/>
              <w:jc w:val="right"/>
              <w:rPr>
                <w:rFonts w:cs="Arial"/>
                <w:bCs/>
                <w:color w:val="000000"/>
                <w:sz w:val="16"/>
                <w:szCs w:val="16"/>
              </w:rPr>
            </w:pPr>
            <w:r w:rsidRPr="007D3675">
              <w:rPr>
                <w:rFonts w:cs="Arial"/>
                <w:bCs/>
                <w:color w:val="000000"/>
                <w:sz w:val="16"/>
                <w:szCs w:val="16"/>
              </w:rPr>
              <w:t>102,0</w:t>
            </w:r>
          </w:p>
        </w:tc>
      </w:tr>
      <w:tr w:rsidR="007D3675" w:rsidRPr="00280AA1" w:rsidTr="00823576">
        <w:trPr>
          <w:trHeight w:val="397"/>
        </w:trPr>
        <w:tc>
          <w:tcPr>
            <w:tcW w:w="3930"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7D3675" w:rsidRPr="00280AA1" w:rsidRDefault="007D3675" w:rsidP="00276FC0">
            <w:pPr>
              <w:keepNext w:val="0"/>
              <w:spacing w:line="240" w:lineRule="auto"/>
              <w:jc w:val="left"/>
              <w:rPr>
                <w:rFonts w:cs="Arial"/>
                <w:sz w:val="16"/>
                <w:szCs w:val="16"/>
              </w:rPr>
            </w:pPr>
            <w:r w:rsidRPr="00280AA1">
              <w:rPr>
                <w:rFonts w:cs="Arial"/>
                <w:b/>
                <w:bCs/>
                <w:color w:val="000000"/>
                <w:sz w:val="16"/>
                <w:szCs w:val="16"/>
              </w:rPr>
              <w:t>Celkový součet</w:t>
            </w:r>
          </w:p>
        </w:tc>
        <w:tc>
          <w:tcPr>
            <w:tcW w:w="952"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339 852</w:t>
            </w:r>
          </w:p>
        </w:tc>
        <w:tc>
          <w:tcPr>
            <w:tcW w:w="952"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342 753</w:t>
            </w:r>
          </w:p>
        </w:tc>
        <w:tc>
          <w:tcPr>
            <w:tcW w:w="953"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347 605</w:t>
            </w:r>
          </w:p>
        </w:tc>
        <w:tc>
          <w:tcPr>
            <w:tcW w:w="952"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348 860</w:t>
            </w:r>
          </w:p>
        </w:tc>
        <w:tc>
          <w:tcPr>
            <w:tcW w:w="952"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350 411</w:t>
            </w:r>
          </w:p>
        </w:tc>
        <w:tc>
          <w:tcPr>
            <w:tcW w:w="953" w:type="dxa"/>
            <w:tcBorders>
              <w:top w:val="single" w:sz="4" w:space="0" w:color="auto"/>
              <w:left w:val="nil"/>
              <w:bottom w:val="single" w:sz="4" w:space="0" w:color="auto"/>
              <w:right w:val="single" w:sz="4" w:space="0" w:color="auto"/>
            </w:tcBorders>
            <w:shd w:val="clear" w:color="000000" w:fill="D8D8D8"/>
            <w:noWrap/>
            <w:vAlign w:val="bottom"/>
          </w:tcPr>
          <w:p w:rsidR="007D3675" w:rsidRPr="0045208C" w:rsidRDefault="007D3675" w:rsidP="007D3675">
            <w:pPr>
              <w:jc w:val="right"/>
              <w:rPr>
                <w:rFonts w:cs="Arial"/>
                <w:b/>
                <w:bCs/>
                <w:color w:val="000000"/>
                <w:sz w:val="16"/>
                <w:szCs w:val="16"/>
              </w:rPr>
            </w:pPr>
            <w:r w:rsidRPr="0045208C">
              <w:rPr>
                <w:rFonts w:cs="Arial"/>
                <w:b/>
                <w:bCs/>
                <w:color w:val="000000"/>
                <w:sz w:val="16"/>
                <w:szCs w:val="16"/>
              </w:rPr>
              <w:t>100,4</w:t>
            </w:r>
          </w:p>
        </w:tc>
      </w:tr>
    </w:tbl>
    <w:p w:rsidR="009B7BE5" w:rsidRDefault="009B7BE5" w:rsidP="009B7BE5">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5D4D3A" w:rsidRDefault="005D4D3A" w:rsidP="00171A69">
      <w:pPr>
        <w:pStyle w:val="Nadpisvlastn1"/>
        <w:keepNext w:val="0"/>
        <w:spacing w:after="0" w:line="288" w:lineRule="auto"/>
        <w:rPr>
          <w:b w:val="0"/>
          <w:sz w:val="20"/>
        </w:rPr>
      </w:pPr>
      <w:r>
        <w:rPr>
          <w:b w:val="0"/>
          <w:sz w:val="20"/>
        </w:rPr>
        <w:t>Z hlediska dynamiky růstu výdajů se v roce 2014 meziročně nejrychleji zvyšovaly výdaje z relativně okrajových zdrojů, tedy závodní preventivní péče a soukromého zdravotního pojištění. K nárůstu výdajů na zdravotní péči došlo také u výdajů z veřejných rozpočtů a u výdajů domácností</w:t>
      </w:r>
    </w:p>
    <w:p w:rsidR="00171A69" w:rsidRDefault="00171A69" w:rsidP="00171A69">
      <w:pPr>
        <w:pStyle w:val="Nadpisvlastn1"/>
        <w:keepNext w:val="0"/>
        <w:spacing w:after="0" w:line="288" w:lineRule="auto"/>
        <w:rPr>
          <w:b w:val="0"/>
          <w:sz w:val="20"/>
        </w:rPr>
      </w:pPr>
      <w:r>
        <w:rPr>
          <w:b w:val="0"/>
          <w:sz w:val="20"/>
        </w:rPr>
        <w:lastRenderedPageBreak/>
        <w:t>V rámci</w:t>
      </w:r>
      <w:r w:rsidRPr="00D8061D">
        <w:rPr>
          <w:b w:val="0"/>
          <w:sz w:val="20"/>
        </w:rPr>
        <w:t xml:space="preserve"> uvedených </w:t>
      </w:r>
      <w:r>
        <w:rPr>
          <w:b w:val="0"/>
          <w:sz w:val="20"/>
        </w:rPr>
        <w:t>konečných zdrojů</w:t>
      </w:r>
      <w:r w:rsidRPr="00D8061D">
        <w:rPr>
          <w:b w:val="0"/>
          <w:sz w:val="20"/>
        </w:rPr>
        <w:t xml:space="preserve"> financování </w:t>
      </w:r>
      <w:r>
        <w:rPr>
          <w:b w:val="0"/>
          <w:sz w:val="20"/>
        </w:rPr>
        <w:t xml:space="preserve">měly v letech 2010 až 2014 největší podíl </w:t>
      </w:r>
      <w:r w:rsidRPr="00D8061D">
        <w:rPr>
          <w:b w:val="0"/>
          <w:sz w:val="20"/>
        </w:rPr>
        <w:t>na cel</w:t>
      </w:r>
      <w:r>
        <w:rPr>
          <w:b w:val="0"/>
          <w:sz w:val="20"/>
        </w:rPr>
        <w:t>kových výdajích na zdravotní péči, více než dvě třetiny</w:t>
      </w:r>
      <w:r w:rsidRPr="003B600A">
        <w:rPr>
          <w:b w:val="0"/>
          <w:sz w:val="20"/>
        </w:rPr>
        <w:t xml:space="preserve">, </w:t>
      </w:r>
      <w:r>
        <w:rPr>
          <w:b w:val="0"/>
          <w:sz w:val="20"/>
        </w:rPr>
        <w:t xml:space="preserve">výš uvedené </w:t>
      </w:r>
      <w:r w:rsidRPr="003B600A">
        <w:rPr>
          <w:b w:val="0"/>
          <w:sz w:val="20"/>
        </w:rPr>
        <w:t>zdravotní pojišťovny</w:t>
      </w:r>
      <w:r w:rsidRPr="00D8061D">
        <w:rPr>
          <w:b w:val="0"/>
          <w:sz w:val="20"/>
        </w:rPr>
        <w:t xml:space="preserve"> následované </w:t>
      </w:r>
      <w:r w:rsidR="00E17F99">
        <w:rPr>
          <w:b w:val="0"/>
          <w:sz w:val="20"/>
        </w:rPr>
        <w:t>státním rozpočtem (</w:t>
      </w:r>
      <w:r>
        <w:rPr>
          <w:b w:val="0"/>
          <w:sz w:val="20"/>
        </w:rPr>
        <w:t>1</w:t>
      </w:r>
      <w:r w:rsidR="00E17F99">
        <w:rPr>
          <w:b w:val="0"/>
          <w:sz w:val="20"/>
        </w:rPr>
        <w:t>5</w:t>
      </w:r>
      <w:r>
        <w:rPr>
          <w:b w:val="0"/>
          <w:sz w:val="20"/>
        </w:rPr>
        <w:t> %)</w:t>
      </w:r>
      <w:r w:rsidRPr="00D8061D">
        <w:rPr>
          <w:b w:val="0"/>
          <w:sz w:val="20"/>
        </w:rPr>
        <w:t xml:space="preserve"> a</w:t>
      </w:r>
      <w:r>
        <w:rPr>
          <w:b w:val="0"/>
          <w:sz w:val="20"/>
        </w:rPr>
        <w:t> </w:t>
      </w:r>
      <w:r w:rsidRPr="00D8061D">
        <w:rPr>
          <w:b w:val="0"/>
          <w:sz w:val="20"/>
        </w:rPr>
        <w:t>domácnostmi</w:t>
      </w:r>
      <w:r>
        <w:rPr>
          <w:b w:val="0"/>
          <w:sz w:val="20"/>
        </w:rPr>
        <w:t xml:space="preserve"> (12 %)</w:t>
      </w:r>
      <w:r w:rsidRPr="00D8061D">
        <w:rPr>
          <w:b w:val="0"/>
          <w:sz w:val="20"/>
        </w:rPr>
        <w:t xml:space="preserve">. </w:t>
      </w:r>
      <w:r w:rsidR="00E17F99">
        <w:rPr>
          <w:b w:val="0"/>
          <w:sz w:val="20"/>
        </w:rPr>
        <w:t>Podrobněji viz následující graf č. 2.2.</w:t>
      </w:r>
    </w:p>
    <w:p w:rsidR="00E17F99" w:rsidRPr="00AF11AD" w:rsidRDefault="00E17F99" w:rsidP="00E17F99">
      <w:pPr>
        <w:pStyle w:val="nazevtabulky"/>
        <w:spacing w:before="120" w:after="120"/>
        <w:rPr>
          <w:sz w:val="18"/>
          <w:szCs w:val="18"/>
        </w:rPr>
      </w:pPr>
      <w:r w:rsidRPr="00AF11AD">
        <w:rPr>
          <w:sz w:val="18"/>
          <w:szCs w:val="18"/>
        </w:rPr>
        <w:t xml:space="preserve">Graf č: 2.2 </w:t>
      </w:r>
      <w:r>
        <w:rPr>
          <w:sz w:val="18"/>
          <w:szCs w:val="18"/>
        </w:rPr>
        <w:t>V</w:t>
      </w:r>
      <w:r w:rsidRPr="00AF11AD">
        <w:rPr>
          <w:sz w:val="18"/>
          <w:szCs w:val="18"/>
        </w:rPr>
        <w:t>ýdaj</w:t>
      </w:r>
      <w:r>
        <w:rPr>
          <w:sz w:val="18"/>
          <w:szCs w:val="18"/>
        </w:rPr>
        <w:t>e</w:t>
      </w:r>
      <w:r w:rsidRPr="00AF11AD">
        <w:rPr>
          <w:sz w:val="18"/>
          <w:szCs w:val="18"/>
        </w:rPr>
        <w:t xml:space="preserve"> na zdravotní péči </w:t>
      </w:r>
      <w:r>
        <w:rPr>
          <w:sz w:val="18"/>
          <w:szCs w:val="18"/>
        </w:rPr>
        <w:t xml:space="preserve">v ČR </w:t>
      </w:r>
      <w:r w:rsidRPr="00AF11AD">
        <w:rPr>
          <w:sz w:val="18"/>
          <w:szCs w:val="18"/>
        </w:rPr>
        <w:t xml:space="preserve">podle </w:t>
      </w:r>
      <w:r>
        <w:rPr>
          <w:sz w:val="18"/>
          <w:szCs w:val="18"/>
        </w:rPr>
        <w:t xml:space="preserve">hlavních </w:t>
      </w:r>
      <w:r w:rsidRPr="00AF11AD">
        <w:rPr>
          <w:sz w:val="18"/>
          <w:szCs w:val="18"/>
        </w:rPr>
        <w:t>zdrojů financování</w:t>
      </w:r>
      <w:r>
        <w:rPr>
          <w:sz w:val="18"/>
          <w:szCs w:val="18"/>
        </w:rPr>
        <w:t xml:space="preserve">, </w:t>
      </w:r>
      <w:r w:rsidRPr="00AF11AD">
        <w:rPr>
          <w:sz w:val="18"/>
          <w:szCs w:val="18"/>
        </w:rPr>
        <w:t xml:space="preserve">2010 </w:t>
      </w:r>
      <w:r>
        <w:rPr>
          <w:sz w:val="18"/>
          <w:szCs w:val="18"/>
        </w:rPr>
        <w:t xml:space="preserve">- </w:t>
      </w:r>
      <w:r w:rsidRPr="00AF11AD">
        <w:rPr>
          <w:sz w:val="18"/>
          <w:szCs w:val="18"/>
        </w:rPr>
        <w:t>2014 (mld. Kč</w:t>
      </w:r>
      <w:r>
        <w:rPr>
          <w:sz w:val="18"/>
          <w:szCs w:val="18"/>
        </w:rPr>
        <w:t>; %</w:t>
      </w:r>
      <w:r w:rsidRPr="00AF11AD">
        <w:rPr>
          <w:sz w:val="18"/>
          <w:szCs w:val="18"/>
        </w:rPr>
        <w:t>)</w:t>
      </w:r>
    </w:p>
    <w:p w:rsidR="00171A69" w:rsidRDefault="00E17F99" w:rsidP="009B7BE5">
      <w:pPr>
        <w:pStyle w:val="Nadpis2"/>
        <w:keepLines w:val="0"/>
        <w:spacing w:before="200" w:after="120" w:line="276" w:lineRule="auto"/>
        <w:jc w:val="both"/>
        <w:rPr>
          <w:i/>
          <w:color w:val="auto"/>
          <w:sz w:val="20"/>
          <w:szCs w:val="24"/>
        </w:rPr>
      </w:pPr>
      <w:r>
        <w:rPr>
          <w:noProof/>
        </w:rPr>
        <w:drawing>
          <wp:inline distT="0" distB="0" distL="0" distR="0" wp14:anchorId="1B068F0D" wp14:editId="65AAB272">
            <wp:extent cx="4032000" cy="4320000"/>
            <wp:effectExtent l="0" t="0" r="6985" b="444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608CBF9D" wp14:editId="129FE213">
            <wp:extent cx="1872000" cy="4320000"/>
            <wp:effectExtent l="0" t="0" r="0" b="444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7F99" w:rsidRDefault="00E17F99" w:rsidP="00E17F99">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3E35A1" w:rsidRPr="009B7BE5" w:rsidRDefault="003E35A1" w:rsidP="00E17F99">
      <w:pPr>
        <w:pStyle w:val="Nadpis2"/>
        <w:keepNext w:val="0"/>
        <w:keepLines w:val="0"/>
        <w:spacing w:before="200" w:after="120" w:line="276" w:lineRule="auto"/>
        <w:jc w:val="both"/>
        <w:rPr>
          <w:i/>
          <w:color w:val="auto"/>
          <w:sz w:val="20"/>
          <w:szCs w:val="24"/>
        </w:rPr>
      </w:pPr>
      <w:r w:rsidRPr="009B7BE5">
        <w:rPr>
          <w:i/>
          <w:color w:val="auto"/>
          <w:sz w:val="20"/>
          <w:szCs w:val="24"/>
        </w:rPr>
        <w:t>Výdaje státního rozpočtu na zdravotní péči meziročně stouply o 3 miliardy Kč</w:t>
      </w:r>
    </w:p>
    <w:p w:rsidR="009E0A4D" w:rsidRDefault="00A33533" w:rsidP="00E17F99">
      <w:pPr>
        <w:pStyle w:val="nazevtabulky"/>
        <w:keepNext w:val="0"/>
        <w:spacing w:before="120" w:after="120" w:line="288" w:lineRule="auto"/>
        <w:rPr>
          <w:b w:val="0"/>
        </w:rPr>
      </w:pPr>
      <w:r w:rsidRPr="00A33533">
        <w:rPr>
          <w:b w:val="0"/>
        </w:rPr>
        <w:t xml:space="preserve">Úloha </w:t>
      </w:r>
      <w:r w:rsidR="00142B06">
        <w:rPr>
          <w:b w:val="0"/>
        </w:rPr>
        <w:t>státního</w:t>
      </w:r>
      <w:r w:rsidR="00142B06" w:rsidRPr="00A33533">
        <w:rPr>
          <w:b w:val="0"/>
        </w:rPr>
        <w:t xml:space="preserve"> </w:t>
      </w:r>
      <w:r w:rsidRPr="00A33533">
        <w:rPr>
          <w:b w:val="0"/>
        </w:rPr>
        <w:t xml:space="preserve">a </w:t>
      </w:r>
      <w:r w:rsidR="00142B06">
        <w:rPr>
          <w:b w:val="0"/>
        </w:rPr>
        <w:t>místních</w:t>
      </w:r>
      <w:r w:rsidR="00142B06" w:rsidRPr="00A33533">
        <w:rPr>
          <w:b w:val="0"/>
        </w:rPr>
        <w:t xml:space="preserve"> </w:t>
      </w:r>
      <w:r w:rsidRPr="00A33533">
        <w:rPr>
          <w:b w:val="0"/>
        </w:rPr>
        <w:t>rozpočtů</w:t>
      </w:r>
      <w:r w:rsidR="00283B06">
        <w:rPr>
          <w:b w:val="0"/>
        </w:rPr>
        <w:t xml:space="preserve"> (veřejných rozpočtů)</w:t>
      </w:r>
      <w:r w:rsidRPr="00A33533">
        <w:rPr>
          <w:b w:val="0"/>
        </w:rPr>
        <w:t xml:space="preserve"> spočívá především ve </w:t>
      </w:r>
      <w:r w:rsidRPr="00A34296">
        <w:t>financování specifických činností</w:t>
      </w:r>
      <w:r w:rsidRPr="00A33533">
        <w:rPr>
          <w:b w:val="0"/>
        </w:rPr>
        <w:t xml:space="preserve">, které nejsou hrazeny z veřejného zdravotního pojištění. Jedná se </w:t>
      </w:r>
      <w:r w:rsidR="00BB1A3B">
        <w:rPr>
          <w:b w:val="0"/>
        </w:rPr>
        <w:t>zejména</w:t>
      </w:r>
      <w:r w:rsidR="00BB1A3B" w:rsidRPr="00A33533">
        <w:rPr>
          <w:b w:val="0"/>
        </w:rPr>
        <w:t xml:space="preserve"> </w:t>
      </w:r>
      <w:r w:rsidRPr="00A33533">
        <w:rPr>
          <w:b w:val="0"/>
        </w:rPr>
        <w:t xml:space="preserve">o výdaje na </w:t>
      </w:r>
      <w:r w:rsidR="009E0A4D">
        <w:rPr>
          <w:b w:val="0"/>
        </w:rPr>
        <w:t xml:space="preserve">zdravotnický </w:t>
      </w:r>
      <w:r w:rsidRPr="00A33533">
        <w:rPr>
          <w:b w:val="0"/>
        </w:rPr>
        <w:t>v</w:t>
      </w:r>
      <w:r w:rsidR="009E0A4D">
        <w:rPr>
          <w:b w:val="0"/>
        </w:rPr>
        <w:t xml:space="preserve">ýzkum </w:t>
      </w:r>
      <w:r w:rsidRPr="00A33533">
        <w:rPr>
          <w:b w:val="0"/>
        </w:rPr>
        <w:t>a</w:t>
      </w:r>
      <w:r w:rsidR="00142B06">
        <w:rPr>
          <w:b w:val="0"/>
        </w:rPr>
        <w:t> </w:t>
      </w:r>
      <w:r w:rsidRPr="00A33533">
        <w:rPr>
          <w:b w:val="0"/>
        </w:rPr>
        <w:t>vý</w:t>
      </w:r>
      <w:r w:rsidR="009E0A4D">
        <w:rPr>
          <w:b w:val="0"/>
        </w:rPr>
        <w:t>voj</w:t>
      </w:r>
      <w:r w:rsidRPr="00A33533">
        <w:rPr>
          <w:b w:val="0"/>
        </w:rPr>
        <w:t xml:space="preserve">, vzdělávání zdravotnických pracovníků, preventivní </w:t>
      </w:r>
      <w:r w:rsidR="00142B06">
        <w:rPr>
          <w:b w:val="0"/>
        </w:rPr>
        <w:t xml:space="preserve">a osvětové </w:t>
      </w:r>
      <w:r w:rsidRPr="00A33533">
        <w:rPr>
          <w:b w:val="0"/>
        </w:rPr>
        <w:t>programy a</w:t>
      </w:r>
      <w:r w:rsidR="00142B06">
        <w:rPr>
          <w:b w:val="0"/>
        </w:rPr>
        <w:t> </w:t>
      </w:r>
      <w:r w:rsidRPr="00A33533">
        <w:rPr>
          <w:b w:val="0"/>
        </w:rPr>
        <w:t>kampaně, činnost hygienických stanic</w:t>
      </w:r>
      <w:r w:rsidR="00142B06">
        <w:rPr>
          <w:b w:val="0"/>
        </w:rPr>
        <w:t>,</w:t>
      </w:r>
      <w:r w:rsidRPr="00A33533">
        <w:rPr>
          <w:b w:val="0"/>
        </w:rPr>
        <w:t xml:space="preserve"> částečně výdaje na investiční projekty</w:t>
      </w:r>
      <w:r w:rsidR="00142B06">
        <w:rPr>
          <w:b w:val="0"/>
        </w:rPr>
        <w:t xml:space="preserve"> a přímé dotace zdravotnickým zařízením zřizovaným ministerstvem, kraji, městy a obcemi</w:t>
      </w:r>
      <w:r w:rsidRPr="00A33533">
        <w:rPr>
          <w:b w:val="0"/>
        </w:rPr>
        <w:t xml:space="preserve">. </w:t>
      </w:r>
    </w:p>
    <w:p w:rsidR="00B13753" w:rsidRPr="00A33533" w:rsidRDefault="00B13753" w:rsidP="00E17F99">
      <w:pPr>
        <w:pStyle w:val="nazevtabulky"/>
        <w:keepNext w:val="0"/>
        <w:spacing w:before="120" w:after="120" w:line="288" w:lineRule="auto"/>
        <w:rPr>
          <w:b w:val="0"/>
        </w:rPr>
      </w:pPr>
      <w:r w:rsidRPr="00A33533">
        <w:rPr>
          <w:b w:val="0"/>
        </w:rPr>
        <w:t>V </w:t>
      </w:r>
      <w:r w:rsidRPr="00D16045">
        <w:rPr>
          <w:b w:val="0"/>
        </w:rPr>
        <w:t xml:space="preserve">souladu s novou metodikou SHA se do výdajů na zdravotnictví nově započítává i položka </w:t>
      </w:r>
      <w:r w:rsidRPr="00D16045">
        <w:t xml:space="preserve">dlouhodobé sociální péče. </w:t>
      </w:r>
      <w:r w:rsidRPr="00D16045">
        <w:rPr>
          <w:b w:val="0"/>
        </w:rPr>
        <w:t>Tato položka zahrnuje výdaje v segmentu sociálních služeb. Vymezení sociálních služeb</w:t>
      </w:r>
      <w:r w:rsidRPr="00A33533">
        <w:rPr>
          <w:b w:val="0"/>
        </w:rPr>
        <w:t xml:space="preserve"> je upraveno zákonem č. 108/2006 Sb., o sociálních službách, ve znění pozdějších předpisů. Na úhradě nákladů spojených s touto</w:t>
      </w:r>
      <w:r>
        <w:rPr>
          <w:b w:val="0"/>
        </w:rPr>
        <w:t xml:space="preserve"> péčí se nejvýrazněji podílejí právě veřejné rozpočty (</w:t>
      </w:r>
      <w:r w:rsidRPr="00A33533">
        <w:rPr>
          <w:b w:val="0"/>
        </w:rPr>
        <w:t xml:space="preserve">blíže viz kap. č. 3.3). </w:t>
      </w:r>
    </w:p>
    <w:p w:rsidR="009E0A4D" w:rsidRDefault="00142B06" w:rsidP="00E17F99">
      <w:pPr>
        <w:pStyle w:val="nazevtabulky"/>
        <w:keepNext w:val="0"/>
        <w:spacing w:before="120" w:after="120" w:line="288" w:lineRule="auto"/>
        <w:rPr>
          <w:b w:val="0"/>
        </w:rPr>
      </w:pPr>
      <w:r>
        <w:rPr>
          <w:b w:val="0"/>
        </w:rPr>
        <w:t xml:space="preserve">Z veřejných rozpočtů je navíc hrazena i </w:t>
      </w:r>
      <w:r w:rsidRPr="00A34296">
        <w:t>správa</w:t>
      </w:r>
      <w:r>
        <w:rPr>
          <w:b w:val="0"/>
        </w:rPr>
        <w:t xml:space="preserve"> rezortu zdravotnictví, tj. provoz Ministerstva zdravotnictví, odborů zdravotnictví je</w:t>
      </w:r>
      <w:r w:rsidR="00BB1A3B">
        <w:rPr>
          <w:b w:val="0"/>
        </w:rPr>
        <w:t>dnotlivých krajských úřadů</w:t>
      </w:r>
      <w:r w:rsidR="00A33533" w:rsidRPr="00A33533">
        <w:rPr>
          <w:b w:val="0"/>
        </w:rPr>
        <w:t>, Státní</w:t>
      </w:r>
      <w:r>
        <w:rPr>
          <w:b w:val="0"/>
        </w:rPr>
        <w:t>ho</w:t>
      </w:r>
      <w:r w:rsidR="00A33533" w:rsidRPr="00A33533">
        <w:rPr>
          <w:b w:val="0"/>
        </w:rPr>
        <w:t xml:space="preserve"> zdravotní</w:t>
      </w:r>
      <w:r>
        <w:rPr>
          <w:b w:val="0"/>
        </w:rPr>
        <w:t>ho</w:t>
      </w:r>
      <w:r w:rsidR="00A33533" w:rsidRPr="00A33533">
        <w:rPr>
          <w:b w:val="0"/>
        </w:rPr>
        <w:t xml:space="preserve"> ústav</w:t>
      </w:r>
      <w:r>
        <w:rPr>
          <w:b w:val="0"/>
        </w:rPr>
        <w:t>u</w:t>
      </w:r>
      <w:r w:rsidR="00A33533" w:rsidRPr="00A33533">
        <w:rPr>
          <w:b w:val="0"/>
        </w:rPr>
        <w:t>, Státní</w:t>
      </w:r>
      <w:r>
        <w:rPr>
          <w:b w:val="0"/>
        </w:rPr>
        <w:t>ho</w:t>
      </w:r>
      <w:r w:rsidR="00A33533" w:rsidRPr="00A33533">
        <w:rPr>
          <w:b w:val="0"/>
        </w:rPr>
        <w:t xml:space="preserve"> ústav</w:t>
      </w:r>
      <w:r>
        <w:rPr>
          <w:b w:val="0"/>
        </w:rPr>
        <w:t>u</w:t>
      </w:r>
      <w:r w:rsidR="00A33533" w:rsidRPr="00A33533">
        <w:rPr>
          <w:b w:val="0"/>
        </w:rPr>
        <w:t xml:space="preserve"> pro kontrolu léčiv a Ústav</w:t>
      </w:r>
      <w:r>
        <w:rPr>
          <w:b w:val="0"/>
        </w:rPr>
        <w:t>u</w:t>
      </w:r>
      <w:r w:rsidR="00A33533" w:rsidRPr="00A33533">
        <w:rPr>
          <w:b w:val="0"/>
        </w:rPr>
        <w:t xml:space="preserve"> zdravotnických informací a statistiky</w:t>
      </w:r>
      <w:r w:rsidR="00A34296">
        <w:rPr>
          <w:b w:val="0"/>
        </w:rPr>
        <w:t>.</w:t>
      </w:r>
      <w:r w:rsidR="00A34296">
        <w:rPr>
          <w:rStyle w:val="Znakapoznpodarou"/>
          <w:b w:val="0"/>
        </w:rPr>
        <w:footnoteReference w:id="1"/>
      </w:r>
      <w:r w:rsidR="00A33533" w:rsidRPr="00A33533">
        <w:rPr>
          <w:b w:val="0"/>
        </w:rPr>
        <w:t xml:space="preserve"> </w:t>
      </w:r>
    </w:p>
    <w:p w:rsidR="00A33533" w:rsidRPr="00A33533" w:rsidRDefault="00A33533" w:rsidP="00E17F99">
      <w:pPr>
        <w:pStyle w:val="nazevtabulky"/>
        <w:keepNext w:val="0"/>
        <w:spacing w:before="120" w:after="120" w:line="288" w:lineRule="auto"/>
        <w:rPr>
          <w:b w:val="0"/>
        </w:rPr>
      </w:pPr>
      <w:r w:rsidRPr="00A33533">
        <w:rPr>
          <w:b w:val="0"/>
        </w:rPr>
        <w:lastRenderedPageBreak/>
        <w:t xml:space="preserve">Výdaje na zdravotní péči financované </w:t>
      </w:r>
      <w:r w:rsidRPr="00A34296">
        <w:t>z </w:t>
      </w:r>
      <w:r w:rsidR="0010436E" w:rsidRPr="00A34296">
        <w:t>veřejných rozpočtů</w:t>
      </w:r>
      <w:r w:rsidRPr="00A33533">
        <w:rPr>
          <w:b w:val="0"/>
        </w:rPr>
        <w:t xml:space="preserve"> se v období let 2010 – 2012 pohybovaly těsně pod úrovní 57 miliard</w:t>
      </w:r>
      <w:r w:rsidR="0010436E">
        <w:rPr>
          <w:b w:val="0"/>
        </w:rPr>
        <w:t xml:space="preserve"> Kč</w:t>
      </w:r>
      <w:r w:rsidRPr="00A33533">
        <w:rPr>
          <w:b w:val="0"/>
        </w:rPr>
        <w:t>. Stabilizace zejména</w:t>
      </w:r>
      <w:r w:rsidR="0010436E">
        <w:rPr>
          <w:b w:val="0"/>
        </w:rPr>
        <w:t xml:space="preserve"> u</w:t>
      </w:r>
      <w:r w:rsidRPr="00A33533">
        <w:rPr>
          <w:b w:val="0"/>
        </w:rPr>
        <w:t xml:space="preserve"> výdajů </w:t>
      </w:r>
      <w:r w:rsidR="0010436E" w:rsidRPr="00B13753">
        <w:t>státního rozpočtu</w:t>
      </w:r>
      <w:r w:rsidR="0010436E">
        <w:rPr>
          <w:b w:val="0"/>
        </w:rPr>
        <w:t xml:space="preserve"> </w:t>
      </w:r>
      <w:r w:rsidRPr="00A33533">
        <w:rPr>
          <w:b w:val="0"/>
        </w:rPr>
        <w:t xml:space="preserve">na zdravotnictví v prvních třech letech sledovaného období souvisela nepochybně s úsporami finančních prostředků. O rok později se výdaje </w:t>
      </w:r>
      <w:r w:rsidR="003B600A">
        <w:rPr>
          <w:b w:val="0"/>
        </w:rPr>
        <w:t xml:space="preserve">z veřejných rozpočtů </w:t>
      </w:r>
      <w:r w:rsidRPr="00A33533">
        <w:rPr>
          <w:b w:val="0"/>
        </w:rPr>
        <w:t xml:space="preserve">zvýšily zhruba o 2 miliardy a rok 2014 přinesl jejich další výrazný nárůst </w:t>
      </w:r>
      <w:r w:rsidR="0010436E">
        <w:rPr>
          <w:b w:val="0"/>
        </w:rPr>
        <w:t>(o 3</w:t>
      </w:r>
      <w:r w:rsidR="00A34296">
        <w:rPr>
          <w:b w:val="0"/>
        </w:rPr>
        <w:t>,2 mld. Kč</w:t>
      </w:r>
      <w:r w:rsidR="0010436E">
        <w:rPr>
          <w:b w:val="0"/>
        </w:rPr>
        <w:t xml:space="preserve">) </w:t>
      </w:r>
      <w:r w:rsidRPr="00A33533">
        <w:rPr>
          <w:b w:val="0"/>
        </w:rPr>
        <w:t xml:space="preserve">až na </w:t>
      </w:r>
      <w:r w:rsidR="00A34296">
        <w:rPr>
          <w:b w:val="0"/>
        </w:rPr>
        <w:t xml:space="preserve">hodnotu </w:t>
      </w:r>
      <w:r w:rsidRPr="00A33533">
        <w:rPr>
          <w:b w:val="0"/>
        </w:rPr>
        <w:t>62 miliard</w:t>
      </w:r>
      <w:r w:rsidR="0010436E">
        <w:rPr>
          <w:b w:val="0"/>
        </w:rPr>
        <w:t xml:space="preserve"> Kč</w:t>
      </w:r>
      <w:r w:rsidR="00A34296">
        <w:rPr>
          <w:b w:val="0"/>
        </w:rPr>
        <w:t xml:space="preserve"> v roce 2014</w:t>
      </w:r>
      <w:r w:rsidRPr="00A33533">
        <w:rPr>
          <w:b w:val="0"/>
        </w:rPr>
        <w:t>.</w:t>
      </w:r>
    </w:p>
    <w:p w:rsidR="00A33533" w:rsidRPr="00A33533" w:rsidRDefault="00A33533" w:rsidP="00E17F99">
      <w:pPr>
        <w:pStyle w:val="nazevtabulky"/>
        <w:keepNext w:val="0"/>
        <w:spacing w:before="120" w:after="120" w:line="288" w:lineRule="auto"/>
        <w:rPr>
          <w:b w:val="0"/>
        </w:rPr>
      </w:pPr>
      <w:r w:rsidRPr="00A33533">
        <w:rPr>
          <w:b w:val="0"/>
        </w:rPr>
        <w:t xml:space="preserve">Skupina dobrovolných </w:t>
      </w:r>
      <w:r w:rsidR="00E749BF">
        <w:rPr>
          <w:b w:val="0"/>
        </w:rPr>
        <w:t>plateb na zdravotní péči</w:t>
      </w:r>
      <w:r w:rsidR="0010436E">
        <w:rPr>
          <w:b w:val="0"/>
        </w:rPr>
        <w:t>,</w:t>
      </w:r>
      <w:r w:rsidR="00F4553B">
        <w:rPr>
          <w:b w:val="0"/>
        </w:rPr>
        <w:t xml:space="preserve"> </w:t>
      </w:r>
      <w:r w:rsidRPr="00A33533">
        <w:rPr>
          <w:b w:val="0"/>
        </w:rPr>
        <w:t>přes vysokou dynamiku růstu</w:t>
      </w:r>
      <w:r w:rsidR="0010436E">
        <w:rPr>
          <w:b w:val="0"/>
        </w:rPr>
        <w:t>,</w:t>
      </w:r>
      <w:r w:rsidRPr="00A33533">
        <w:rPr>
          <w:b w:val="0"/>
        </w:rPr>
        <w:t xml:space="preserve"> představuje spíš</w:t>
      </w:r>
      <w:r w:rsidR="00F4553B">
        <w:rPr>
          <w:b w:val="0"/>
        </w:rPr>
        <w:t>e doplňkový finanční zdroj</w:t>
      </w:r>
      <w:r w:rsidR="00E749BF">
        <w:rPr>
          <w:b w:val="0"/>
        </w:rPr>
        <w:t>.</w:t>
      </w:r>
      <w:r w:rsidR="00F4553B">
        <w:rPr>
          <w:b w:val="0"/>
        </w:rPr>
        <w:t xml:space="preserve"> </w:t>
      </w:r>
      <w:r w:rsidR="00E749BF">
        <w:rPr>
          <w:b w:val="0"/>
        </w:rPr>
        <w:t>N</w:t>
      </w:r>
      <w:r w:rsidR="00F4553B">
        <w:rPr>
          <w:b w:val="0"/>
        </w:rPr>
        <w:t xml:space="preserve">a celkových výdajích </w:t>
      </w:r>
      <w:r w:rsidR="00B13753">
        <w:rPr>
          <w:b w:val="0"/>
        </w:rPr>
        <w:t xml:space="preserve">na zdravotní péči v ČR </w:t>
      </w:r>
      <w:r w:rsidR="00F4553B">
        <w:rPr>
          <w:b w:val="0"/>
        </w:rPr>
        <w:t xml:space="preserve">se </w:t>
      </w:r>
      <w:r w:rsidR="00B13753">
        <w:rPr>
          <w:b w:val="0"/>
        </w:rPr>
        <w:t xml:space="preserve">tyto </w:t>
      </w:r>
      <w:r w:rsidR="00B13753" w:rsidRPr="00B13753">
        <w:t>soukromé zdroje</w:t>
      </w:r>
      <w:r w:rsidR="00B13753">
        <w:rPr>
          <w:b w:val="0"/>
        </w:rPr>
        <w:t xml:space="preserve"> v roce 2014 </w:t>
      </w:r>
      <w:r w:rsidR="00F4553B">
        <w:rPr>
          <w:b w:val="0"/>
        </w:rPr>
        <w:t>podíl</w:t>
      </w:r>
      <w:r w:rsidR="00B13753">
        <w:rPr>
          <w:b w:val="0"/>
        </w:rPr>
        <w:t xml:space="preserve">ely </w:t>
      </w:r>
      <w:r w:rsidRPr="00A33533">
        <w:rPr>
          <w:b w:val="0"/>
        </w:rPr>
        <w:t>3</w:t>
      </w:r>
      <w:r w:rsidR="00E749BF">
        <w:rPr>
          <w:b w:val="0"/>
        </w:rPr>
        <w:t> </w:t>
      </w:r>
      <w:r w:rsidRPr="00A33533">
        <w:rPr>
          <w:b w:val="0"/>
        </w:rPr>
        <w:t>%</w:t>
      </w:r>
      <w:r w:rsidR="00B13753">
        <w:rPr>
          <w:b w:val="0"/>
        </w:rPr>
        <w:t xml:space="preserve"> (10,7 mld. Kč)</w:t>
      </w:r>
      <w:r w:rsidRPr="00A33533">
        <w:rPr>
          <w:b w:val="0"/>
        </w:rPr>
        <w:t xml:space="preserve">. Tato skupina zahrnuje různorodé finanční zdroje. Zatímco soukromé zdravotní pojišťovny jsou založeny na komerčním principu, neziskové instituce (např. Červený kříž) jsou orientovány zejména charitativně. Pro podnikovou sféru je účast na financování zdravotní </w:t>
      </w:r>
      <w:r w:rsidR="00F4553B">
        <w:rPr>
          <w:b w:val="0"/>
        </w:rPr>
        <w:t>péče</w:t>
      </w:r>
      <w:r w:rsidR="00E749BF">
        <w:rPr>
          <w:b w:val="0"/>
        </w:rPr>
        <w:t>,</w:t>
      </w:r>
      <w:r w:rsidR="00F4553B">
        <w:rPr>
          <w:b w:val="0"/>
        </w:rPr>
        <w:t xml:space="preserve"> zejména péče preventivní</w:t>
      </w:r>
      <w:r w:rsidR="00E749BF">
        <w:rPr>
          <w:b w:val="0"/>
        </w:rPr>
        <w:t>,</w:t>
      </w:r>
      <w:r w:rsidRPr="00A33533">
        <w:rPr>
          <w:b w:val="0"/>
        </w:rPr>
        <w:t xml:space="preserve"> spíše vedlejší</w:t>
      </w:r>
      <w:r w:rsidR="00782BC4">
        <w:rPr>
          <w:b w:val="0"/>
        </w:rPr>
        <w:t>,</w:t>
      </w:r>
      <w:r w:rsidRPr="00A33533">
        <w:rPr>
          <w:b w:val="0"/>
        </w:rPr>
        <w:t xml:space="preserve"> i když (z pohledu právních norem) nutnou aktivitou.</w:t>
      </w:r>
    </w:p>
    <w:p w:rsidR="00695D8C" w:rsidRPr="00E17F99" w:rsidRDefault="00A33533" w:rsidP="00E17F99">
      <w:pPr>
        <w:pStyle w:val="nazevtabulky"/>
        <w:keepNext w:val="0"/>
        <w:spacing w:before="120" w:after="120" w:line="288" w:lineRule="auto"/>
        <w:rPr>
          <w:b w:val="0"/>
        </w:rPr>
      </w:pPr>
      <w:r w:rsidRPr="00A33533">
        <w:rPr>
          <w:b w:val="0"/>
        </w:rPr>
        <w:t xml:space="preserve">V případě výdajů </w:t>
      </w:r>
      <w:r w:rsidRPr="00B13753">
        <w:t xml:space="preserve">domácností </w:t>
      </w:r>
      <w:r w:rsidRPr="00A33533">
        <w:rPr>
          <w:b w:val="0"/>
        </w:rPr>
        <w:t>přicházejí v úvahu přímé platby či spolu</w:t>
      </w:r>
      <w:r w:rsidR="00E749BF">
        <w:rPr>
          <w:b w:val="0"/>
        </w:rPr>
        <w:t>účast</w:t>
      </w:r>
      <w:r w:rsidRPr="00A33533">
        <w:rPr>
          <w:b w:val="0"/>
        </w:rPr>
        <w:t xml:space="preserve"> na úhradách</w:t>
      </w:r>
      <w:r w:rsidR="009E0A4D">
        <w:rPr>
          <w:b w:val="0"/>
        </w:rPr>
        <w:t xml:space="preserve"> zdravotní péče pocházejících </w:t>
      </w:r>
      <w:r w:rsidRPr="00A33533">
        <w:rPr>
          <w:b w:val="0"/>
        </w:rPr>
        <w:t xml:space="preserve">z jiných finančních </w:t>
      </w:r>
      <w:r w:rsidR="00E749BF">
        <w:rPr>
          <w:b w:val="0"/>
        </w:rPr>
        <w:t>zdrojů</w:t>
      </w:r>
      <w:r w:rsidRPr="00A33533">
        <w:rPr>
          <w:b w:val="0"/>
        </w:rPr>
        <w:t xml:space="preserve">. V převážné většině případů si domácnosti platí </w:t>
      </w:r>
      <w:r w:rsidR="00E749BF">
        <w:rPr>
          <w:b w:val="0"/>
        </w:rPr>
        <w:t xml:space="preserve">ambulantně užívané </w:t>
      </w:r>
      <w:r w:rsidRPr="00A33533">
        <w:rPr>
          <w:b w:val="0"/>
        </w:rPr>
        <w:t>léky (ať už se jedná o doplatky u předepsaných léčiv či platby plných cen u volně prodejných léků) a</w:t>
      </w:r>
      <w:r w:rsidR="00E749BF">
        <w:rPr>
          <w:b w:val="0"/>
        </w:rPr>
        <w:t> </w:t>
      </w:r>
      <w:r w:rsidRPr="00A33533">
        <w:rPr>
          <w:b w:val="0"/>
        </w:rPr>
        <w:t>terapeutické pomůcky. Významný podíl výdajů domácností představují též platby za nadstandardní služby</w:t>
      </w:r>
      <w:r w:rsidR="00E749BF">
        <w:rPr>
          <w:b w:val="0"/>
        </w:rPr>
        <w:t xml:space="preserve"> a materiál</w:t>
      </w:r>
      <w:r w:rsidRPr="00A33533">
        <w:rPr>
          <w:b w:val="0"/>
        </w:rPr>
        <w:t xml:space="preserve">. Další byť méně významné jsou platby za </w:t>
      </w:r>
      <w:r w:rsidR="00E749BF" w:rsidRPr="00A33533">
        <w:rPr>
          <w:b w:val="0"/>
        </w:rPr>
        <w:t>láz</w:t>
      </w:r>
      <w:r w:rsidR="00E749BF">
        <w:rPr>
          <w:b w:val="0"/>
        </w:rPr>
        <w:t>eňské pobyty</w:t>
      </w:r>
      <w:r w:rsidRPr="00A33533">
        <w:rPr>
          <w:b w:val="0"/>
        </w:rPr>
        <w:t>, nadstandardně vybavené pokoje v nemocnicích a</w:t>
      </w:r>
      <w:r w:rsidR="00AB403C">
        <w:rPr>
          <w:b w:val="0"/>
        </w:rPr>
        <w:t> </w:t>
      </w:r>
      <w:r w:rsidRPr="00A33533">
        <w:rPr>
          <w:b w:val="0"/>
        </w:rPr>
        <w:t>platby za různá potvrzení především u praktických lékařů. Od roku 2008 také přibyly regulační poplatky za ošetření u lékařů, za recepty v lékárnách, návštěvu pohotovosti nebo za hospitalizaci v</w:t>
      </w:r>
      <w:r w:rsidR="00E749BF">
        <w:rPr>
          <w:b w:val="0"/>
        </w:rPr>
        <w:t> </w:t>
      </w:r>
      <w:r w:rsidRPr="00A33533">
        <w:rPr>
          <w:b w:val="0"/>
        </w:rPr>
        <w:t>nemocnicích a</w:t>
      </w:r>
      <w:r w:rsidR="00AB403C">
        <w:rPr>
          <w:b w:val="0"/>
        </w:rPr>
        <w:t> </w:t>
      </w:r>
      <w:r w:rsidRPr="00A33533">
        <w:rPr>
          <w:b w:val="0"/>
        </w:rPr>
        <w:t xml:space="preserve">ostatních lůžkových zařízeních. </w:t>
      </w:r>
      <w:r w:rsidR="00E749BF">
        <w:rPr>
          <w:b w:val="0"/>
        </w:rPr>
        <w:t>Posledně jmenovaný</w:t>
      </w:r>
      <w:r w:rsidR="00E749BF" w:rsidRPr="00A33533">
        <w:rPr>
          <w:b w:val="0"/>
        </w:rPr>
        <w:t xml:space="preserve"> </w:t>
      </w:r>
      <w:r w:rsidRPr="00A33533">
        <w:rPr>
          <w:b w:val="0"/>
        </w:rPr>
        <w:t xml:space="preserve">regulační poplatek byl od ledna 2014 </w:t>
      </w:r>
      <w:r w:rsidR="00EF1FD0">
        <w:rPr>
          <w:b w:val="0"/>
        </w:rPr>
        <w:t>zrušen (podrobněji  kapitola č.</w:t>
      </w:r>
      <w:r w:rsidR="00F4553B">
        <w:rPr>
          <w:b w:val="0"/>
        </w:rPr>
        <w:t xml:space="preserve"> </w:t>
      </w:r>
      <w:r w:rsidR="00EF1FD0">
        <w:rPr>
          <w:b w:val="0"/>
        </w:rPr>
        <w:t>4</w:t>
      </w:r>
      <w:r w:rsidR="00787A81">
        <w:rPr>
          <w:b w:val="0"/>
        </w:rPr>
        <w:t xml:space="preserve"> </w:t>
      </w:r>
      <w:r w:rsidR="00340DD1">
        <w:rPr>
          <w:b w:val="0"/>
        </w:rPr>
        <w:t>Výdaje d</w:t>
      </w:r>
      <w:r w:rsidRPr="00A33533">
        <w:rPr>
          <w:b w:val="0"/>
        </w:rPr>
        <w:t>omácností na zdravotní péči),</w:t>
      </w:r>
      <w:bookmarkEnd w:id="1"/>
      <w:bookmarkEnd w:id="2"/>
    </w:p>
    <w:p w:rsidR="00110E3B" w:rsidRPr="00FD459E" w:rsidRDefault="00FD459E" w:rsidP="00D46CD7">
      <w:pPr>
        <w:pStyle w:val="Nadpis2"/>
        <w:keepNext w:val="0"/>
        <w:keepLines w:val="0"/>
        <w:spacing w:before="360" w:after="120"/>
      </w:pPr>
      <w:bookmarkStart w:id="3" w:name="_Toc130184754"/>
      <w:bookmarkStart w:id="4" w:name="_Toc256065138"/>
      <w:r w:rsidRPr="00FD459E">
        <w:t>2</w:t>
      </w:r>
      <w:r w:rsidR="00EF1FD0" w:rsidRPr="00FD459E">
        <w:t xml:space="preserve">.3 </w:t>
      </w:r>
      <w:r w:rsidR="00110E3B" w:rsidRPr="00FD459E">
        <w:t xml:space="preserve">Výdaje na zdravotnictví podle druhů péče </w:t>
      </w:r>
      <w:bookmarkEnd w:id="3"/>
      <w:bookmarkEnd w:id="4"/>
    </w:p>
    <w:p w:rsidR="00AB55A7" w:rsidRDefault="00340DD1" w:rsidP="00F005C0">
      <w:pPr>
        <w:keepNext w:val="0"/>
        <w:spacing w:before="120"/>
        <w:rPr>
          <w:rFonts w:cs="Arial"/>
          <w:szCs w:val="20"/>
        </w:rPr>
      </w:pPr>
      <w:r>
        <w:rPr>
          <w:rFonts w:cs="Arial"/>
          <w:szCs w:val="20"/>
        </w:rPr>
        <w:t>Druhý významný pohled na problematiku zdravotní péče souvisí s </w:t>
      </w:r>
      <w:r w:rsidR="00065C58">
        <w:rPr>
          <w:rFonts w:cs="Arial"/>
          <w:szCs w:val="20"/>
        </w:rPr>
        <w:t xml:space="preserve"> </w:t>
      </w:r>
      <w:r w:rsidR="000D0C36">
        <w:rPr>
          <w:rFonts w:cs="Arial"/>
          <w:szCs w:val="20"/>
        </w:rPr>
        <w:t xml:space="preserve">druhem </w:t>
      </w:r>
      <w:r>
        <w:rPr>
          <w:rFonts w:cs="Arial"/>
          <w:szCs w:val="20"/>
        </w:rPr>
        <w:t xml:space="preserve">péče, která je poskytována. </w:t>
      </w:r>
      <w:r w:rsidR="00833780" w:rsidRPr="00833780">
        <w:rPr>
          <w:rFonts w:cs="Arial"/>
          <w:szCs w:val="20"/>
        </w:rPr>
        <w:t xml:space="preserve">Větší část vynakládané </w:t>
      </w:r>
      <w:r w:rsidR="000D0C36">
        <w:rPr>
          <w:rFonts w:cs="Arial"/>
          <w:szCs w:val="20"/>
        </w:rPr>
        <w:t xml:space="preserve">zdravotní péče se pochopitelně vztahuje k individuálním potřebám jednotlivce. Do pojmu zdravotní péče podle metodiky SHA </w:t>
      </w:r>
      <w:r w:rsidR="00833780">
        <w:rPr>
          <w:rFonts w:cs="Arial"/>
          <w:szCs w:val="20"/>
        </w:rPr>
        <w:t xml:space="preserve">však </w:t>
      </w:r>
      <w:r w:rsidR="000D0C36">
        <w:rPr>
          <w:rFonts w:cs="Arial"/>
          <w:szCs w:val="20"/>
        </w:rPr>
        <w:t xml:space="preserve">patří také služby, které jsou zaměřeny na zlepšení celkového zdravotního stavu populace či efektivity systému zdravotnictví. Tím jsou myšleny zejména některé aspekty preventivní péče </w:t>
      </w:r>
      <w:r w:rsidR="003E35A1">
        <w:rPr>
          <w:rFonts w:cs="Arial"/>
          <w:szCs w:val="20"/>
        </w:rPr>
        <w:t>a </w:t>
      </w:r>
      <w:r w:rsidR="00FA51EF">
        <w:rPr>
          <w:rFonts w:cs="Arial"/>
          <w:szCs w:val="20"/>
        </w:rPr>
        <w:t>správa systému zdravotní péče (rezort zdravotnictví a zdravotní pojišťovny).</w:t>
      </w:r>
      <w:r w:rsidR="00FA51EF" w:rsidDel="00FA51EF">
        <w:rPr>
          <w:rFonts w:cs="Arial"/>
          <w:szCs w:val="20"/>
        </w:rPr>
        <w:t xml:space="preserve"> </w:t>
      </w:r>
    </w:p>
    <w:p w:rsidR="00833780" w:rsidRDefault="00833780" w:rsidP="00F005C0">
      <w:pPr>
        <w:keepNext w:val="0"/>
        <w:spacing w:before="120"/>
        <w:rPr>
          <w:rFonts w:cs="Arial"/>
          <w:szCs w:val="20"/>
          <w:highlight w:val="yellow"/>
        </w:rPr>
      </w:pPr>
      <w:r w:rsidRPr="00833780">
        <w:rPr>
          <w:rFonts w:cs="Arial"/>
          <w:szCs w:val="20"/>
        </w:rPr>
        <w:t>Zdravotní péče může být spotřebovávána dvěma způsoby: individuálně nebo kolektivně. Vzhledem ke skutečnosti, že zdravotní stav je vlastností jednotlivců, většina spotřeby zdravotních služeb se vztahuje k soukromé spotřebě. Individuální spotřeba obsahuje standardní kroky léčebného procesu – stanovení diagnózy, formace léčebného plánu, předepsání léku či terapie, diagnostiku a lékařské hodnocení, provedení léčby a hodnocení výsledků. Osobní zdravotní péče zahrnuje léčebnou, rehabilitační, dlouhodobou zdravotní péči a také podpůrné služby (laboratoře, zobrazovací metody a dopravu pacientů) a v neposlední řadě léky a terapeutické pomůcky.</w:t>
      </w:r>
    </w:p>
    <w:p w:rsidR="00340DD1" w:rsidRDefault="00340DD1" w:rsidP="00F005C0">
      <w:pPr>
        <w:keepNext w:val="0"/>
        <w:spacing w:before="120"/>
        <w:rPr>
          <w:rFonts w:cs="Arial"/>
          <w:szCs w:val="20"/>
        </w:rPr>
      </w:pPr>
      <w:r w:rsidRPr="00D16045">
        <w:rPr>
          <w:rFonts w:cs="Arial"/>
          <w:szCs w:val="20"/>
        </w:rPr>
        <w:t xml:space="preserve">V nové metodice SHA byly vytvořeny další, doplňkové položky tak, aby byla umožněna hlubší analýza zdravotní politiky a alokování zdrojů. Nově jsou do </w:t>
      </w:r>
      <w:r w:rsidR="00C070D6" w:rsidRPr="00D16045">
        <w:rPr>
          <w:rFonts w:cs="Arial"/>
          <w:szCs w:val="20"/>
        </w:rPr>
        <w:t xml:space="preserve">výdajů na </w:t>
      </w:r>
      <w:r w:rsidRPr="00D16045">
        <w:rPr>
          <w:rFonts w:cs="Arial"/>
          <w:szCs w:val="20"/>
        </w:rPr>
        <w:t>zdravotní péč</w:t>
      </w:r>
      <w:r w:rsidR="00C070D6" w:rsidRPr="00D16045">
        <w:rPr>
          <w:rFonts w:cs="Arial"/>
          <w:szCs w:val="20"/>
        </w:rPr>
        <w:t>i</w:t>
      </w:r>
      <w:r w:rsidRPr="00D16045">
        <w:rPr>
          <w:rFonts w:cs="Arial"/>
          <w:szCs w:val="20"/>
        </w:rPr>
        <w:t xml:space="preserve"> zahrnuty </w:t>
      </w:r>
      <w:r w:rsidR="00C070D6" w:rsidRPr="00D16045">
        <w:rPr>
          <w:rFonts w:cs="Arial"/>
          <w:szCs w:val="20"/>
        </w:rPr>
        <w:t>položky</w:t>
      </w:r>
      <w:r w:rsidRPr="00D16045">
        <w:rPr>
          <w:rFonts w:cs="Arial"/>
          <w:szCs w:val="20"/>
        </w:rPr>
        <w:t xml:space="preserve"> </w:t>
      </w:r>
      <w:r w:rsidR="00C070D6" w:rsidRPr="00D16045">
        <w:rPr>
          <w:rFonts w:cs="Arial"/>
          <w:szCs w:val="20"/>
        </w:rPr>
        <w:t xml:space="preserve">dlouhodobé </w:t>
      </w:r>
      <w:r w:rsidRPr="00D16045">
        <w:rPr>
          <w:rFonts w:cs="Arial"/>
          <w:szCs w:val="20"/>
        </w:rPr>
        <w:t>sociální péče</w:t>
      </w:r>
      <w:r w:rsidR="00833780" w:rsidRPr="00D16045">
        <w:rPr>
          <w:rFonts w:cs="Arial"/>
          <w:szCs w:val="20"/>
        </w:rPr>
        <w:t xml:space="preserve"> (podrob</w:t>
      </w:r>
      <w:r w:rsidR="00D16045" w:rsidRPr="00D16045">
        <w:rPr>
          <w:rFonts w:cs="Arial"/>
          <w:szCs w:val="20"/>
        </w:rPr>
        <w:t>něji viz metodologická příloha)</w:t>
      </w:r>
      <w:r w:rsidRPr="00D16045">
        <w:rPr>
          <w:rFonts w:cs="Arial"/>
          <w:color w:val="FF0000"/>
          <w:szCs w:val="20"/>
        </w:rPr>
        <w:t xml:space="preserve"> </w:t>
      </w:r>
      <w:r w:rsidRPr="00D16045">
        <w:rPr>
          <w:rFonts w:cs="Arial"/>
          <w:szCs w:val="20"/>
        </w:rPr>
        <w:t xml:space="preserve">a </w:t>
      </w:r>
      <w:r w:rsidR="00C070D6" w:rsidRPr="00D16045">
        <w:rPr>
          <w:rFonts w:cs="Arial"/>
          <w:szCs w:val="20"/>
        </w:rPr>
        <w:t xml:space="preserve">některé činnosti </w:t>
      </w:r>
      <w:r w:rsidRPr="00D16045">
        <w:rPr>
          <w:rFonts w:cs="Arial"/>
          <w:szCs w:val="20"/>
        </w:rPr>
        <w:t xml:space="preserve">zahrnující podporu zdraví </w:t>
      </w:r>
      <w:r w:rsidR="00C070D6" w:rsidRPr="00D16045">
        <w:rPr>
          <w:rFonts w:cs="Arial"/>
          <w:szCs w:val="20"/>
        </w:rPr>
        <w:t>v širším pohledu</w:t>
      </w:r>
      <w:r w:rsidR="00211146" w:rsidRPr="00D16045">
        <w:rPr>
          <w:rFonts w:cs="Arial"/>
          <w:szCs w:val="20"/>
        </w:rPr>
        <w:t xml:space="preserve"> (nakládání s odpady, kontrola hlučnosti, znečistění ovzduší a vody atd.)</w:t>
      </w:r>
      <w:r w:rsidR="003E35A1" w:rsidRPr="00D16045">
        <w:rPr>
          <w:rFonts w:cs="Arial"/>
          <w:szCs w:val="20"/>
        </w:rPr>
        <w:t>.</w:t>
      </w:r>
    </w:p>
    <w:p w:rsidR="00833780" w:rsidRPr="00340DD1" w:rsidRDefault="00833780" w:rsidP="00833780">
      <w:pPr>
        <w:spacing w:before="120"/>
        <w:rPr>
          <w:rFonts w:cs="Arial"/>
          <w:szCs w:val="20"/>
        </w:rPr>
      </w:pPr>
      <w:r>
        <w:rPr>
          <w:rFonts w:cs="Arial"/>
          <w:szCs w:val="20"/>
        </w:rPr>
        <w:t xml:space="preserve">Následující tabulka a graf </w:t>
      </w:r>
      <w:r w:rsidR="009E69E3">
        <w:rPr>
          <w:rFonts w:cs="Arial"/>
          <w:szCs w:val="20"/>
        </w:rPr>
        <w:t>ukazují</w:t>
      </w:r>
      <w:r>
        <w:rPr>
          <w:rFonts w:cs="Arial"/>
          <w:szCs w:val="20"/>
        </w:rPr>
        <w:t xml:space="preserve"> vývoj výdajů na zdravotní péči podle druhu poskytované péče.</w:t>
      </w:r>
    </w:p>
    <w:p w:rsidR="00110E3B" w:rsidRPr="00833780" w:rsidRDefault="00110E3B" w:rsidP="00833780">
      <w:pPr>
        <w:pStyle w:val="nazevtabulky"/>
        <w:pageBreakBefore/>
        <w:spacing w:after="120"/>
        <w:rPr>
          <w:sz w:val="18"/>
          <w:szCs w:val="18"/>
        </w:rPr>
      </w:pPr>
      <w:r w:rsidRPr="00833780">
        <w:rPr>
          <w:sz w:val="18"/>
          <w:szCs w:val="18"/>
        </w:rPr>
        <w:lastRenderedPageBreak/>
        <w:t>Tab</w:t>
      </w:r>
      <w:r w:rsidR="00143241" w:rsidRPr="00833780">
        <w:rPr>
          <w:sz w:val="18"/>
          <w:szCs w:val="18"/>
        </w:rPr>
        <w:t>ulka č.</w:t>
      </w:r>
      <w:r w:rsidR="00F70A12" w:rsidRPr="00833780">
        <w:rPr>
          <w:sz w:val="18"/>
          <w:szCs w:val="18"/>
        </w:rPr>
        <w:t xml:space="preserve"> </w:t>
      </w:r>
      <w:r w:rsidRPr="00833780">
        <w:rPr>
          <w:sz w:val="18"/>
          <w:szCs w:val="18"/>
        </w:rPr>
        <w:t>2.</w:t>
      </w:r>
      <w:r w:rsidR="00A6521D" w:rsidRPr="00833780">
        <w:rPr>
          <w:sz w:val="18"/>
          <w:szCs w:val="18"/>
        </w:rPr>
        <w:t xml:space="preserve">2 </w:t>
      </w:r>
      <w:r w:rsidRPr="00833780">
        <w:rPr>
          <w:sz w:val="18"/>
          <w:szCs w:val="18"/>
        </w:rPr>
        <w:t>Výdaje na zdravotnictví</w:t>
      </w:r>
      <w:r w:rsidR="00833780" w:rsidRPr="00833780">
        <w:rPr>
          <w:sz w:val="18"/>
          <w:szCs w:val="18"/>
        </w:rPr>
        <w:t xml:space="preserve"> v ČR </w:t>
      </w:r>
      <w:r w:rsidRPr="00833780">
        <w:rPr>
          <w:sz w:val="18"/>
          <w:szCs w:val="18"/>
        </w:rPr>
        <w:t>podle druhů péče (mil. Kč)</w:t>
      </w:r>
    </w:p>
    <w:tbl>
      <w:tblPr>
        <w:tblW w:w="9525" w:type="dxa"/>
        <w:tblInd w:w="65" w:type="dxa"/>
        <w:tblLayout w:type="fixed"/>
        <w:tblCellMar>
          <w:left w:w="70" w:type="dxa"/>
          <w:right w:w="70" w:type="dxa"/>
        </w:tblCellMar>
        <w:tblLook w:val="04A0" w:firstRow="1" w:lastRow="0" w:firstColumn="1" w:lastColumn="0" w:noHBand="0" w:noVBand="1"/>
      </w:tblPr>
      <w:tblGrid>
        <w:gridCol w:w="4023"/>
        <w:gridCol w:w="917"/>
        <w:gridCol w:w="917"/>
        <w:gridCol w:w="917"/>
        <w:gridCol w:w="917"/>
        <w:gridCol w:w="917"/>
        <w:gridCol w:w="917"/>
      </w:tblGrid>
      <w:tr w:rsidR="00340DD1" w:rsidRPr="00340DD1" w:rsidTr="00833780">
        <w:trPr>
          <w:trHeight w:val="285"/>
        </w:trPr>
        <w:tc>
          <w:tcPr>
            <w:tcW w:w="4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0DD1" w:rsidRPr="00340DD1" w:rsidRDefault="00340DD1" w:rsidP="00340DD1">
            <w:pPr>
              <w:keepNext w:val="0"/>
              <w:spacing w:line="240" w:lineRule="auto"/>
              <w:jc w:val="left"/>
              <w:rPr>
                <w:rFonts w:cs="Arial"/>
                <w:b/>
                <w:color w:val="000000"/>
                <w:sz w:val="16"/>
                <w:szCs w:val="16"/>
              </w:rPr>
            </w:pPr>
            <w:r w:rsidRPr="00340DD1">
              <w:rPr>
                <w:rFonts w:cs="Arial"/>
                <w:b/>
                <w:color w:val="000000"/>
                <w:sz w:val="16"/>
                <w:szCs w:val="16"/>
              </w:rPr>
              <w:t>Druh péče (ICHA-HC)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2010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2011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2012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2013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2014</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340DD1" w:rsidRPr="00340DD1" w:rsidRDefault="00340DD1" w:rsidP="00833780">
            <w:pPr>
              <w:keepNext w:val="0"/>
              <w:spacing w:line="240" w:lineRule="auto"/>
              <w:jc w:val="center"/>
              <w:rPr>
                <w:rFonts w:cs="Arial"/>
                <w:b/>
                <w:color w:val="000000"/>
                <w:sz w:val="16"/>
                <w:szCs w:val="16"/>
              </w:rPr>
            </w:pPr>
            <w:r w:rsidRPr="00340DD1">
              <w:rPr>
                <w:rFonts w:cs="Arial"/>
                <w:b/>
                <w:color w:val="000000"/>
                <w:sz w:val="16"/>
                <w:szCs w:val="16"/>
              </w:rPr>
              <w:t>Index 2014/2013</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1 Léčebná 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136 695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137 047</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137 546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139 827</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135 346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96,8</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1.1 Lůžková léčebná péče </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56 170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55 747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54 386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53 434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52 416</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98,1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1.2 Denní léčebná 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5 238</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5 137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5 185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5 333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5 561</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104,3</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1.3 Ambulantní léčebná 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75 101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75 979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77 798</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80 875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77 191</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95,4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1.4 Domácí léčebná 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183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177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179</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96,3</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2 Rehabilitační 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13 663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13 719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13 544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13 510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13 498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99,9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2.1 Lůžková rehabilitační 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6 615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6 508</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6 149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6 075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6 221</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102,4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2.3 Ambulantní rehabilitační 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7 049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7 211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7 395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7 435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7 277</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97,9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3 Dlouhodobá zdravotní 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35 787</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37 006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37 077</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38 590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44 029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114,1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bookmarkStart w:id="5" w:name="OLE_LINK1"/>
            <w:r>
              <w:rPr>
                <w:rFonts w:cs="Arial"/>
                <w:color w:val="000000"/>
                <w:sz w:val="16"/>
                <w:szCs w:val="16"/>
              </w:rPr>
              <w:t xml:space="preserve">   </w:t>
            </w:r>
            <w:r w:rsidR="000B0320" w:rsidRPr="00340DD1">
              <w:rPr>
                <w:rFonts w:cs="Arial"/>
                <w:color w:val="000000"/>
                <w:sz w:val="16"/>
                <w:szCs w:val="16"/>
              </w:rPr>
              <w:t xml:space="preserve">3.1 Lůžková dlouhodobá </w:t>
            </w:r>
            <w:r w:rsidR="009C1E3D">
              <w:rPr>
                <w:rFonts w:cs="Arial"/>
                <w:color w:val="000000"/>
                <w:sz w:val="16"/>
                <w:szCs w:val="16"/>
              </w:rPr>
              <w:t xml:space="preserve">zdravotní </w:t>
            </w:r>
            <w:r w:rsidR="000B0320" w:rsidRPr="00340DD1">
              <w:rPr>
                <w:rFonts w:cs="Arial"/>
                <w:color w:val="000000"/>
                <w:sz w:val="16"/>
                <w:szCs w:val="16"/>
              </w:rPr>
              <w:t>péče</w:t>
            </w:r>
            <w:bookmarkEnd w:id="5"/>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29 841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30 761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30 864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31 914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37 056</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116,1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 xml:space="preserve">3.2 Denní dlouhodobá </w:t>
            </w:r>
            <w:r w:rsidR="009C1E3D">
              <w:rPr>
                <w:rFonts w:cs="Arial"/>
                <w:color w:val="000000"/>
                <w:sz w:val="16"/>
                <w:szCs w:val="16"/>
              </w:rPr>
              <w:t xml:space="preserve">zdravotní </w:t>
            </w:r>
            <w:r w:rsidR="000B0320" w:rsidRPr="00340DD1">
              <w:rPr>
                <w:rFonts w:cs="Arial"/>
                <w:color w:val="000000"/>
                <w:sz w:val="16"/>
                <w:szCs w:val="16"/>
              </w:rPr>
              <w:t>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1 480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1 444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1 496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1 640</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109,6</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 xml:space="preserve">3.4 Domácí dlouhodobá </w:t>
            </w:r>
            <w:r w:rsidR="009C1E3D">
              <w:rPr>
                <w:rFonts w:cs="Arial"/>
                <w:color w:val="000000"/>
                <w:sz w:val="16"/>
                <w:szCs w:val="16"/>
              </w:rPr>
              <w:t xml:space="preserve">zdravotní </w:t>
            </w:r>
            <w:r w:rsidR="000B0320" w:rsidRPr="00340DD1">
              <w:rPr>
                <w:rFonts w:cs="Arial"/>
                <w:color w:val="000000"/>
                <w:sz w:val="16"/>
                <w:szCs w:val="16"/>
              </w:rPr>
              <w:t>péče</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4 466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4 759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4 770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5 180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5 333</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102,9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9C1E3D">
            <w:pPr>
              <w:keepNext w:val="0"/>
              <w:spacing w:line="240" w:lineRule="auto"/>
              <w:jc w:val="left"/>
              <w:rPr>
                <w:rFonts w:cs="Arial"/>
                <w:color w:val="000000"/>
                <w:sz w:val="16"/>
                <w:szCs w:val="16"/>
              </w:rPr>
            </w:pPr>
            <w:r w:rsidRPr="00340DD1">
              <w:rPr>
                <w:rFonts w:cs="Arial"/>
                <w:color w:val="000000"/>
                <w:sz w:val="16"/>
                <w:szCs w:val="16"/>
              </w:rPr>
              <w:t xml:space="preserve">4 </w:t>
            </w:r>
            <w:r w:rsidR="009C1E3D">
              <w:rPr>
                <w:rFonts w:cs="Arial"/>
                <w:color w:val="000000"/>
                <w:sz w:val="16"/>
                <w:szCs w:val="16"/>
              </w:rPr>
              <w:t xml:space="preserve">Doplňkové </w:t>
            </w:r>
            <w:r w:rsidRPr="00340DD1">
              <w:rPr>
                <w:rFonts w:cs="Arial"/>
                <w:color w:val="000000"/>
                <w:sz w:val="16"/>
                <w:szCs w:val="16"/>
              </w:rPr>
              <w:t>služby</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37 039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37 525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38 213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38 469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38 883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101,1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4.1 Laboratorní služby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19 917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20 149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21 001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21 215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21 454</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101,1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4.2 Zobrazovací metody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9 729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9 855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9 861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10 044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10 490</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104,4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A6521D"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4.3 Doprava pacientů</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7 393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7 521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7 351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7 210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6 939</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96,2</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777890">
            <w:pPr>
              <w:keepNext w:val="0"/>
              <w:spacing w:line="240" w:lineRule="auto"/>
              <w:jc w:val="left"/>
              <w:rPr>
                <w:rFonts w:cs="Arial"/>
                <w:color w:val="000000"/>
                <w:sz w:val="16"/>
                <w:szCs w:val="16"/>
              </w:rPr>
            </w:pPr>
            <w:r w:rsidRPr="00340DD1">
              <w:rPr>
                <w:rFonts w:cs="Arial"/>
                <w:color w:val="000000"/>
                <w:sz w:val="16"/>
                <w:szCs w:val="16"/>
              </w:rPr>
              <w:t xml:space="preserve">5 </w:t>
            </w:r>
            <w:r w:rsidR="0065147A">
              <w:rPr>
                <w:rFonts w:cs="Arial"/>
                <w:color w:val="000000"/>
                <w:sz w:val="16"/>
                <w:szCs w:val="16"/>
              </w:rPr>
              <w:t xml:space="preserve">Léčiva a </w:t>
            </w:r>
            <w:r w:rsidR="00777890">
              <w:rPr>
                <w:rFonts w:cs="Arial"/>
                <w:color w:val="000000"/>
                <w:sz w:val="16"/>
                <w:szCs w:val="16"/>
              </w:rPr>
              <w:t>ostatní zdravotnické výrobky</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65 120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66 628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70 625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66 934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65 844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98,4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777890">
            <w:pPr>
              <w:keepNext w:val="0"/>
              <w:spacing w:line="240" w:lineRule="auto"/>
              <w:jc w:val="left"/>
              <w:rPr>
                <w:rFonts w:cs="Arial"/>
                <w:color w:val="000000"/>
                <w:sz w:val="16"/>
                <w:szCs w:val="16"/>
              </w:rPr>
            </w:pPr>
            <w:r w:rsidRPr="00340DD1">
              <w:rPr>
                <w:rFonts w:cs="Arial"/>
                <w:color w:val="000000"/>
                <w:sz w:val="16"/>
                <w:szCs w:val="16"/>
              </w:rPr>
              <w:t xml:space="preserve">   5.1 </w:t>
            </w:r>
            <w:r w:rsidR="00777890" w:rsidRPr="00340DD1">
              <w:rPr>
                <w:rFonts w:cs="Arial"/>
                <w:color w:val="000000"/>
                <w:sz w:val="16"/>
                <w:szCs w:val="16"/>
              </w:rPr>
              <w:t>Lé</w:t>
            </w:r>
            <w:r w:rsidR="00777890">
              <w:rPr>
                <w:rFonts w:cs="Arial"/>
                <w:color w:val="000000"/>
                <w:sz w:val="16"/>
                <w:szCs w:val="16"/>
              </w:rPr>
              <w:t>čiva a zdravotnický materiál</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56 052</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57 502</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61 339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56 713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55 781</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98,4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5.2 Terapeutické pomůcky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9 068</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9 127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9 286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10 221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10 063</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98,5</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6 Preventivní 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9 990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10 364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10 595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10 765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11 433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106,2</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6.1 Informační a poradenské programy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487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497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626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629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637</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101,2</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6.2 Imunizační programy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1 389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1 432</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1 484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1 458</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1 576</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108,1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6.3 Programy pro včasné odhalení nemocí</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1 573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1 554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1 586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1 644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1 659</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100,9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6.4 Programy pro sledování zdravotního stavu</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6 541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6 881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6 900</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7 034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7 561</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107,5</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0574E1">
            <w:pPr>
              <w:keepNext w:val="0"/>
              <w:spacing w:line="240" w:lineRule="auto"/>
              <w:jc w:val="left"/>
              <w:rPr>
                <w:rFonts w:cs="Arial"/>
                <w:color w:val="000000"/>
                <w:sz w:val="16"/>
                <w:szCs w:val="16"/>
              </w:rPr>
            </w:pPr>
            <w:r w:rsidRPr="00340DD1">
              <w:rPr>
                <w:rFonts w:cs="Arial"/>
                <w:color w:val="000000"/>
                <w:sz w:val="16"/>
                <w:szCs w:val="16"/>
              </w:rPr>
              <w:t xml:space="preserve">7 </w:t>
            </w:r>
            <w:r w:rsidR="000574E1">
              <w:rPr>
                <w:rFonts w:cs="Arial"/>
                <w:color w:val="000000"/>
                <w:sz w:val="16"/>
                <w:szCs w:val="16"/>
              </w:rPr>
              <w:t>S</w:t>
            </w:r>
            <w:r w:rsidRPr="00340DD1">
              <w:rPr>
                <w:rFonts w:cs="Arial"/>
                <w:color w:val="000000"/>
                <w:sz w:val="16"/>
                <w:szCs w:val="16"/>
              </w:rPr>
              <w:t xml:space="preserve">práva </w:t>
            </w:r>
            <w:r w:rsidR="000574E1">
              <w:rPr>
                <w:rFonts w:cs="Arial"/>
                <w:color w:val="000000"/>
                <w:sz w:val="16"/>
                <w:szCs w:val="16"/>
              </w:rPr>
              <w:t xml:space="preserve">systému </w:t>
            </w:r>
            <w:r w:rsidRPr="00340DD1">
              <w:rPr>
                <w:rFonts w:cs="Arial"/>
                <w:color w:val="000000"/>
                <w:sz w:val="16"/>
                <w:szCs w:val="16"/>
              </w:rPr>
              <w:t>zdravotn</w:t>
            </w:r>
            <w:r w:rsidR="000574E1">
              <w:rPr>
                <w:rFonts w:cs="Arial"/>
                <w:color w:val="000000"/>
                <w:sz w:val="16"/>
                <w:szCs w:val="16"/>
              </w:rPr>
              <w:t>í</w:t>
            </w:r>
            <w:r w:rsidRPr="00340DD1">
              <w:rPr>
                <w:rFonts w:cs="Arial"/>
                <w:color w:val="000000"/>
                <w:sz w:val="16"/>
                <w:szCs w:val="16"/>
              </w:rPr>
              <w:t xml:space="preserve"> </w:t>
            </w:r>
            <w:r w:rsidR="000574E1">
              <w:rPr>
                <w:rFonts w:cs="Arial"/>
                <w:color w:val="000000"/>
                <w:sz w:val="16"/>
                <w:szCs w:val="16"/>
              </w:rPr>
              <w:t>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8 649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8 758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8 634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9 005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9 040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100,4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0574E1">
            <w:pPr>
              <w:keepNext w:val="0"/>
              <w:spacing w:line="240" w:lineRule="auto"/>
              <w:jc w:val="left"/>
              <w:rPr>
                <w:rFonts w:cs="Arial"/>
                <w:color w:val="000000"/>
                <w:sz w:val="16"/>
                <w:szCs w:val="16"/>
              </w:rPr>
            </w:pPr>
            <w:r w:rsidRPr="00340DD1">
              <w:rPr>
                <w:rFonts w:cs="Arial"/>
                <w:color w:val="000000"/>
                <w:sz w:val="16"/>
                <w:szCs w:val="16"/>
              </w:rPr>
              <w:t xml:space="preserve">   7.1 </w:t>
            </w:r>
            <w:r w:rsidR="000574E1">
              <w:rPr>
                <w:rFonts w:cs="Arial"/>
                <w:color w:val="000000"/>
                <w:sz w:val="16"/>
                <w:szCs w:val="16"/>
              </w:rPr>
              <w:t>Státní správa a samospráva</w:t>
            </w:r>
            <w:r w:rsidR="000574E1" w:rsidRPr="00340DD1">
              <w:rPr>
                <w:rFonts w:cs="Arial"/>
                <w:color w:val="000000"/>
                <w:sz w:val="16"/>
                <w:szCs w:val="16"/>
              </w:rPr>
              <w:t xml:space="preserve"> </w:t>
            </w:r>
            <w:r w:rsidRPr="00340DD1">
              <w:rPr>
                <w:rFonts w:cs="Arial"/>
                <w:color w:val="000000"/>
                <w:sz w:val="16"/>
                <w:szCs w:val="16"/>
              </w:rPr>
              <w:t>+ ZP</w:t>
            </w:r>
            <w:r w:rsidR="009B4585">
              <w:rPr>
                <w:rFonts w:cs="Arial"/>
                <w:color w:val="000000"/>
                <w:sz w:val="16"/>
                <w:szCs w:val="16"/>
              </w:rPr>
              <w:t>*</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8 636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8 744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8 616</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8 993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9 025</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100,4</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B0320" w:rsidP="00340DD1">
            <w:pPr>
              <w:keepNext w:val="0"/>
              <w:spacing w:line="240" w:lineRule="auto"/>
              <w:jc w:val="left"/>
              <w:rPr>
                <w:rFonts w:cs="Arial"/>
                <w:color w:val="000000"/>
                <w:sz w:val="16"/>
                <w:szCs w:val="16"/>
              </w:rPr>
            </w:pPr>
            <w:r w:rsidRPr="00340DD1">
              <w:rPr>
                <w:rFonts w:cs="Arial"/>
                <w:color w:val="000000"/>
                <w:sz w:val="16"/>
                <w:szCs w:val="16"/>
              </w:rPr>
              <w:t xml:space="preserve">   7.2.</w:t>
            </w:r>
            <w:r w:rsidR="000574E1">
              <w:rPr>
                <w:rFonts w:cs="Arial"/>
                <w:color w:val="000000"/>
                <w:sz w:val="16"/>
                <w:szCs w:val="16"/>
              </w:rPr>
              <w:t xml:space="preserve"> </w:t>
            </w:r>
            <w:r w:rsidRPr="00340DD1">
              <w:rPr>
                <w:rFonts w:cs="Arial"/>
                <w:color w:val="000000"/>
                <w:sz w:val="16"/>
                <w:szCs w:val="16"/>
              </w:rPr>
              <w:t>Správa soukromého ZP</w:t>
            </w:r>
            <w:r w:rsidR="009B4585">
              <w:rPr>
                <w:rFonts w:cs="Arial"/>
                <w:color w:val="000000"/>
                <w:sz w:val="16"/>
                <w:szCs w:val="16"/>
              </w:rPr>
              <w:t>*</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19</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12</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15</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125,0</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9C1E3D">
            <w:pPr>
              <w:keepNext w:val="0"/>
              <w:spacing w:line="240" w:lineRule="auto"/>
              <w:jc w:val="left"/>
              <w:rPr>
                <w:rFonts w:cs="Arial"/>
                <w:color w:val="000000"/>
                <w:sz w:val="16"/>
                <w:szCs w:val="16"/>
              </w:rPr>
            </w:pPr>
            <w:r w:rsidRPr="00340DD1">
              <w:rPr>
                <w:rFonts w:cs="Arial"/>
                <w:color w:val="000000"/>
                <w:sz w:val="16"/>
                <w:szCs w:val="16"/>
              </w:rPr>
              <w:t>HCR.1 Dlouhodobá sociální</w:t>
            </w:r>
            <w:r w:rsidR="009C1E3D">
              <w:rPr>
                <w:rFonts w:cs="Arial"/>
                <w:color w:val="000000"/>
                <w:sz w:val="16"/>
                <w:szCs w:val="16"/>
              </w:rPr>
              <w:t xml:space="preserve"> péče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16 999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16 050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15 926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17 241</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18 078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104,9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574E1" w:rsidP="00340DD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HCR.1.1 Sociální služby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1 404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1 433</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1 435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1 587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1 809</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114,0</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0B0320" w:rsidRPr="00340DD1" w:rsidRDefault="000574E1" w:rsidP="000574E1">
            <w:pPr>
              <w:keepNext w:val="0"/>
              <w:spacing w:line="240" w:lineRule="auto"/>
              <w:jc w:val="left"/>
              <w:rPr>
                <w:rFonts w:cs="Arial"/>
                <w:color w:val="000000"/>
                <w:sz w:val="16"/>
                <w:szCs w:val="16"/>
              </w:rPr>
            </w:pPr>
            <w:r>
              <w:rPr>
                <w:rFonts w:cs="Arial"/>
                <w:color w:val="000000"/>
                <w:sz w:val="16"/>
                <w:szCs w:val="16"/>
              </w:rPr>
              <w:t xml:space="preserve">   </w:t>
            </w:r>
            <w:r w:rsidR="000B0320" w:rsidRPr="00340DD1">
              <w:rPr>
                <w:rFonts w:cs="Arial"/>
                <w:color w:val="000000"/>
                <w:sz w:val="16"/>
                <w:szCs w:val="16"/>
              </w:rPr>
              <w:t>HCR.1.2 Pen</w:t>
            </w:r>
            <w:r>
              <w:rPr>
                <w:rFonts w:cs="Arial"/>
                <w:color w:val="000000"/>
                <w:sz w:val="16"/>
                <w:szCs w:val="16"/>
              </w:rPr>
              <w:t>ě</w:t>
            </w:r>
            <w:r w:rsidR="000B0320" w:rsidRPr="00340DD1">
              <w:rPr>
                <w:rFonts w:cs="Arial"/>
                <w:color w:val="000000"/>
                <w:sz w:val="16"/>
                <w:szCs w:val="16"/>
              </w:rPr>
              <w:t>žité dávky</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15 595</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14 617</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14 491</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15 654</w:t>
            </w:r>
          </w:p>
        </w:tc>
        <w:tc>
          <w:tcPr>
            <w:tcW w:w="917" w:type="dxa"/>
            <w:tcBorders>
              <w:top w:val="nil"/>
              <w:left w:val="nil"/>
              <w:bottom w:val="single" w:sz="4" w:space="0" w:color="auto"/>
              <w:right w:val="single" w:sz="4" w:space="0" w:color="auto"/>
            </w:tcBorders>
            <w:shd w:val="clear" w:color="auto" w:fill="auto"/>
            <w:noWrap/>
            <w:vAlign w:val="bottom"/>
          </w:tcPr>
          <w:p w:rsidR="000B0320" w:rsidRPr="00276FC0" w:rsidRDefault="000B0320">
            <w:pPr>
              <w:jc w:val="right"/>
              <w:rPr>
                <w:rFonts w:cs="Arial"/>
                <w:color w:val="000000"/>
                <w:sz w:val="16"/>
                <w:szCs w:val="16"/>
              </w:rPr>
            </w:pPr>
            <w:r w:rsidRPr="00276FC0">
              <w:rPr>
                <w:rFonts w:cs="Arial"/>
                <w:color w:val="000000"/>
                <w:sz w:val="16"/>
                <w:szCs w:val="16"/>
              </w:rPr>
              <w:t>16 269</w:t>
            </w:r>
          </w:p>
        </w:tc>
        <w:tc>
          <w:tcPr>
            <w:tcW w:w="917" w:type="dxa"/>
            <w:tcBorders>
              <w:top w:val="nil"/>
              <w:left w:val="nil"/>
              <w:bottom w:val="single" w:sz="4" w:space="0" w:color="auto"/>
              <w:right w:val="single" w:sz="4" w:space="0" w:color="auto"/>
            </w:tcBorders>
            <w:shd w:val="clear" w:color="auto" w:fill="auto"/>
            <w:noWrap/>
            <w:vAlign w:val="bottom"/>
          </w:tcPr>
          <w:p w:rsidR="000B0320" w:rsidRPr="000B0320" w:rsidRDefault="000B0320">
            <w:pPr>
              <w:jc w:val="right"/>
              <w:rPr>
                <w:rFonts w:cs="Arial"/>
                <w:color w:val="000000"/>
                <w:sz w:val="16"/>
                <w:szCs w:val="16"/>
              </w:rPr>
            </w:pPr>
            <w:r w:rsidRPr="000B0320">
              <w:rPr>
                <w:rFonts w:cs="Arial"/>
                <w:color w:val="000000"/>
                <w:sz w:val="16"/>
                <w:szCs w:val="16"/>
              </w:rPr>
              <w:t>103,9</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9C1E3D">
            <w:pPr>
              <w:keepNext w:val="0"/>
              <w:spacing w:line="240" w:lineRule="auto"/>
              <w:jc w:val="left"/>
              <w:rPr>
                <w:rFonts w:cs="Arial"/>
                <w:color w:val="000000"/>
                <w:sz w:val="16"/>
                <w:szCs w:val="16"/>
              </w:rPr>
            </w:pPr>
            <w:r w:rsidRPr="00340DD1">
              <w:rPr>
                <w:rFonts w:cs="Arial"/>
                <w:color w:val="000000"/>
                <w:sz w:val="16"/>
                <w:szCs w:val="16"/>
              </w:rPr>
              <w:t>HCR.2 Podpora zdraví</w:t>
            </w:r>
            <w:r w:rsidR="009C1E3D">
              <w:rPr>
                <w:rFonts w:cs="Arial"/>
                <w:color w:val="000000"/>
                <w:sz w:val="16"/>
                <w:szCs w:val="16"/>
              </w:rPr>
              <w:t xml:space="preserve"> v širším pohledu</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259</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263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252</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102,4</w:t>
            </w:r>
          </w:p>
        </w:tc>
      </w:tr>
      <w:tr w:rsidR="004772A1"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772A1" w:rsidRPr="00340DD1" w:rsidRDefault="004772A1" w:rsidP="00211146">
            <w:pPr>
              <w:keepNext w:val="0"/>
              <w:spacing w:line="240" w:lineRule="auto"/>
              <w:jc w:val="left"/>
              <w:rPr>
                <w:rFonts w:cs="Arial"/>
                <w:color w:val="000000"/>
                <w:sz w:val="16"/>
                <w:szCs w:val="16"/>
              </w:rPr>
            </w:pPr>
            <w:r w:rsidRPr="00340DD1">
              <w:rPr>
                <w:rFonts w:cs="Arial"/>
                <w:color w:val="000000"/>
                <w:sz w:val="16"/>
                <w:szCs w:val="16"/>
              </w:rPr>
              <w:t xml:space="preserve">9 </w:t>
            </w:r>
            <w:r w:rsidR="00211146">
              <w:rPr>
                <w:rFonts w:cs="Arial"/>
                <w:color w:val="000000"/>
                <w:sz w:val="16"/>
                <w:szCs w:val="16"/>
              </w:rPr>
              <w:t>Ostatní zdravotní péče neuvedená jinde</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9 048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8 978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8 886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8 907</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8 934</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color w:val="000000"/>
                <w:sz w:val="16"/>
                <w:szCs w:val="16"/>
              </w:rPr>
            </w:pPr>
            <w:r w:rsidRPr="004772A1">
              <w:rPr>
                <w:rFonts w:cs="Arial"/>
                <w:color w:val="000000"/>
                <w:sz w:val="16"/>
                <w:szCs w:val="16"/>
              </w:rPr>
              <w:t>100,3</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C070D6">
            <w:pPr>
              <w:keepNext w:val="0"/>
              <w:spacing w:line="240" w:lineRule="auto"/>
              <w:jc w:val="left"/>
              <w:rPr>
                <w:rFonts w:cs="Arial"/>
                <w:color w:val="000000"/>
                <w:sz w:val="16"/>
                <w:szCs w:val="16"/>
              </w:rPr>
            </w:pPr>
            <w:proofErr w:type="gramStart"/>
            <w:r w:rsidRPr="00340DD1">
              <w:rPr>
                <w:rFonts w:cs="Arial"/>
                <w:color w:val="000000"/>
                <w:sz w:val="16"/>
                <w:szCs w:val="16"/>
              </w:rPr>
              <w:t xml:space="preserve">R.1 </w:t>
            </w:r>
            <w:r w:rsidR="00C070D6">
              <w:rPr>
                <w:rFonts w:cs="Arial"/>
                <w:color w:val="000000"/>
                <w:sz w:val="16"/>
                <w:szCs w:val="16"/>
              </w:rPr>
              <w:t>Investiční</w:t>
            </w:r>
            <w:proofErr w:type="gramEnd"/>
            <w:r w:rsidR="00C070D6">
              <w:rPr>
                <w:rFonts w:cs="Arial"/>
                <w:color w:val="000000"/>
                <w:sz w:val="16"/>
                <w:szCs w:val="16"/>
              </w:rPr>
              <w:t xml:space="preserve"> náklady</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5 323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5 108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4 940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3 851</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3 536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91,8</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proofErr w:type="gramStart"/>
            <w:r w:rsidRPr="00340DD1">
              <w:rPr>
                <w:rFonts w:cs="Arial"/>
                <w:color w:val="000000"/>
                <w:sz w:val="16"/>
                <w:szCs w:val="16"/>
              </w:rPr>
              <w:t>R.2 Vzdělávání</w:t>
            </w:r>
            <w:proofErr w:type="gramEnd"/>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252</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262</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236</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255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108,1</w:t>
            </w:r>
          </w:p>
        </w:tc>
      </w:tr>
      <w:tr w:rsidR="000B0320"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B0320" w:rsidRPr="00340DD1" w:rsidRDefault="000B0320" w:rsidP="00340DD1">
            <w:pPr>
              <w:keepNext w:val="0"/>
              <w:spacing w:line="240" w:lineRule="auto"/>
              <w:jc w:val="left"/>
              <w:rPr>
                <w:rFonts w:cs="Arial"/>
                <w:color w:val="000000"/>
                <w:sz w:val="16"/>
                <w:szCs w:val="16"/>
              </w:rPr>
            </w:pPr>
            <w:proofErr w:type="gramStart"/>
            <w:r w:rsidRPr="00340DD1">
              <w:rPr>
                <w:rFonts w:cs="Arial"/>
                <w:color w:val="000000"/>
                <w:sz w:val="16"/>
                <w:szCs w:val="16"/>
              </w:rPr>
              <w:t>R.3 Věda</w:t>
            </w:r>
            <w:proofErr w:type="gramEnd"/>
            <w:r w:rsidRPr="00340DD1">
              <w:rPr>
                <w:rFonts w:cs="Arial"/>
                <w:color w:val="000000"/>
                <w:sz w:val="16"/>
                <w:szCs w:val="16"/>
              </w:rPr>
              <w:t xml:space="preserve"> a výzkum</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1 023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1 065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1 095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1 272</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276FC0" w:rsidRDefault="000B0320">
            <w:pPr>
              <w:jc w:val="right"/>
              <w:rPr>
                <w:rFonts w:cs="Arial"/>
                <w:color w:val="000000"/>
                <w:sz w:val="16"/>
                <w:szCs w:val="16"/>
              </w:rPr>
            </w:pPr>
            <w:r w:rsidRPr="00276FC0">
              <w:rPr>
                <w:rFonts w:cs="Arial"/>
                <w:color w:val="000000"/>
                <w:sz w:val="16"/>
                <w:szCs w:val="16"/>
              </w:rPr>
              <w:t>1 278</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0B0320" w:rsidRPr="000B0320" w:rsidRDefault="000B0320">
            <w:pPr>
              <w:jc w:val="right"/>
              <w:rPr>
                <w:rFonts w:cs="Arial"/>
                <w:color w:val="000000"/>
                <w:sz w:val="16"/>
                <w:szCs w:val="16"/>
              </w:rPr>
            </w:pPr>
            <w:r w:rsidRPr="000B0320">
              <w:rPr>
                <w:rFonts w:cs="Arial"/>
                <w:color w:val="000000"/>
                <w:sz w:val="16"/>
                <w:szCs w:val="16"/>
              </w:rPr>
              <w:t>100,5</w:t>
            </w:r>
          </w:p>
        </w:tc>
      </w:tr>
      <w:tr w:rsidR="004772A1" w:rsidRPr="00340DD1" w:rsidTr="00833780">
        <w:trPr>
          <w:trHeight w:val="285"/>
        </w:trPr>
        <w:tc>
          <w:tcPr>
            <w:tcW w:w="402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772A1" w:rsidRPr="000A7BFD" w:rsidRDefault="004772A1" w:rsidP="00276FC0">
            <w:pPr>
              <w:keepNext w:val="0"/>
              <w:spacing w:line="240" w:lineRule="auto"/>
              <w:jc w:val="left"/>
              <w:rPr>
                <w:rFonts w:cs="Arial"/>
                <w:b/>
                <w:color w:val="000000"/>
                <w:sz w:val="16"/>
                <w:szCs w:val="16"/>
              </w:rPr>
            </w:pPr>
            <w:r w:rsidRPr="000A7BFD">
              <w:rPr>
                <w:rFonts w:cs="Arial"/>
                <w:b/>
                <w:color w:val="000000"/>
                <w:sz w:val="16"/>
                <w:szCs w:val="16"/>
              </w:rPr>
              <w:t> Celkem</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b/>
                <w:color w:val="000000"/>
                <w:sz w:val="16"/>
                <w:szCs w:val="16"/>
              </w:rPr>
            </w:pPr>
            <w:r w:rsidRPr="004772A1">
              <w:rPr>
                <w:rFonts w:cs="Arial"/>
                <w:b/>
                <w:color w:val="000000"/>
                <w:sz w:val="16"/>
                <w:szCs w:val="16"/>
              </w:rPr>
              <w:t>339 852</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b/>
                <w:color w:val="000000"/>
                <w:sz w:val="16"/>
                <w:szCs w:val="16"/>
              </w:rPr>
            </w:pPr>
            <w:r w:rsidRPr="004772A1">
              <w:rPr>
                <w:rFonts w:cs="Arial"/>
                <w:b/>
                <w:color w:val="000000"/>
                <w:sz w:val="16"/>
                <w:szCs w:val="16"/>
              </w:rPr>
              <w:t>342 753</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b/>
                <w:color w:val="000000"/>
                <w:sz w:val="16"/>
                <w:szCs w:val="16"/>
              </w:rPr>
            </w:pPr>
            <w:r w:rsidRPr="004772A1">
              <w:rPr>
                <w:rFonts w:cs="Arial"/>
                <w:b/>
                <w:color w:val="000000"/>
                <w:sz w:val="16"/>
                <w:szCs w:val="16"/>
              </w:rPr>
              <w:t>347 605</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b/>
                <w:color w:val="000000"/>
                <w:sz w:val="16"/>
                <w:szCs w:val="16"/>
              </w:rPr>
            </w:pPr>
            <w:r w:rsidRPr="004772A1">
              <w:rPr>
                <w:rFonts w:cs="Arial"/>
                <w:b/>
                <w:color w:val="000000"/>
                <w:sz w:val="16"/>
                <w:szCs w:val="16"/>
              </w:rPr>
              <w:t>348 860</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pPr>
              <w:jc w:val="right"/>
              <w:rPr>
                <w:rFonts w:cs="Arial"/>
                <w:b/>
                <w:color w:val="000000"/>
                <w:sz w:val="16"/>
                <w:szCs w:val="16"/>
              </w:rPr>
            </w:pPr>
            <w:r w:rsidRPr="004772A1">
              <w:rPr>
                <w:rFonts w:cs="Arial"/>
                <w:b/>
                <w:color w:val="000000"/>
                <w:sz w:val="16"/>
                <w:szCs w:val="16"/>
              </w:rPr>
              <w:t>350</w:t>
            </w:r>
            <w:r w:rsidR="003114E6">
              <w:rPr>
                <w:rFonts w:cs="Arial"/>
                <w:b/>
                <w:color w:val="000000"/>
                <w:sz w:val="16"/>
                <w:szCs w:val="16"/>
              </w:rPr>
              <w:t> </w:t>
            </w:r>
            <w:r w:rsidRPr="004772A1">
              <w:rPr>
                <w:rFonts w:cs="Arial"/>
                <w:b/>
                <w:color w:val="000000"/>
                <w:sz w:val="16"/>
                <w:szCs w:val="16"/>
              </w:rPr>
              <w:t>411</w:t>
            </w:r>
          </w:p>
        </w:tc>
        <w:tc>
          <w:tcPr>
            <w:tcW w:w="917" w:type="dxa"/>
            <w:tcBorders>
              <w:top w:val="nil"/>
              <w:left w:val="nil"/>
              <w:bottom w:val="single" w:sz="4" w:space="0" w:color="auto"/>
              <w:right w:val="single" w:sz="4" w:space="0" w:color="auto"/>
            </w:tcBorders>
            <w:shd w:val="clear" w:color="auto" w:fill="D9D9D9" w:themeFill="background1" w:themeFillShade="D9"/>
            <w:noWrap/>
            <w:vAlign w:val="bottom"/>
          </w:tcPr>
          <w:p w:rsidR="004772A1" w:rsidRPr="004772A1" w:rsidRDefault="004772A1" w:rsidP="004772A1">
            <w:pPr>
              <w:jc w:val="right"/>
              <w:rPr>
                <w:rFonts w:cs="Arial"/>
                <w:b/>
                <w:color w:val="000000"/>
                <w:sz w:val="16"/>
                <w:szCs w:val="16"/>
              </w:rPr>
            </w:pPr>
            <w:r w:rsidRPr="004772A1">
              <w:rPr>
                <w:rFonts w:cs="Arial"/>
                <w:b/>
                <w:color w:val="000000"/>
                <w:sz w:val="16"/>
                <w:szCs w:val="16"/>
              </w:rPr>
              <w:t>100,4</w:t>
            </w:r>
          </w:p>
        </w:tc>
      </w:tr>
    </w:tbl>
    <w:p w:rsidR="009B4585" w:rsidRPr="009B4585" w:rsidRDefault="009B4585" w:rsidP="009B4585">
      <w:pPr>
        <w:pStyle w:val="nazevtabulky"/>
        <w:rPr>
          <w:b w:val="0"/>
          <w:sz w:val="16"/>
          <w:szCs w:val="16"/>
        </w:rPr>
      </w:pPr>
      <w:r>
        <w:rPr>
          <w:b w:val="0"/>
          <w:sz w:val="16"/>
          <w:szCs w:val="16"/>
        </w:rPr>
        <w:t>*</w:t>
      </w:r>
      <w:r w:rsidRPr="009B4585">
        <w:rPr>
          <w:b w:val="0"/>
          <w:sz w:val="16"/>
          <w:szCs w:val="16"/>
        </w:rPr>
        <w:t>ZP = zdravotní pojištění</w:t>
      </w:r>
    </w:p>
    <w:p w:rsidR="00833780" w:rsidRPr="004E52F2" w:rsidRDefault="00833780" w:rsidP="00833780">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9B4585" w:rsidRDefault="009B4585">
      <w:pPr>
        <w:keepNext w:val="0"/>
        <w:spacing w:line="240" w:lineRule="auto"/>
        <w:jc w:val="left"/>
        <w:rPr>
          <w:b/>
          <w:bCs/>
          <w:szCs w:val="17"/>
        </w:rPr>
      </w:pPr>
      <w:r>
        <w:br w:type="page"/>
      </w:r>
    </w:p>
    <w:p w:rsidR="00340DD1" w:rsidRPr="00AF11AD" w:rsidRDefault="004609BB" w:rsidP="00AF11AD">
      <w:pPr>
        <w:pStyle w:val="nazevtabulky"/>
        <w:spacing w:before="120" w:after="120"/>
        <w:rPr>
          <w:sz w:val="18"/>
          <w:szCs w:val="18"/>
        </w:rPr>
      </w:pPr>
      <w:r w:rsidRPr="00AF11AD">
        <w:rPr>
          <w:sz w:val="18"/>
          <w:szCs w:val="18"/>
        </w:rPr>
        <w:lastRenderedPageBreak/>
        <w:t xml:space="preserve">Graf </w:t>
      </w:r>
      <w:r w:rsidR="000A7BFD" w:rsidRPr="00AF11AD">
        <w:rPr>
          <w:sz w:val="18"/>
          <w:szCs w:val="18"/>
        </w:rPr>
        <w:t>č.</w:t>
      </w:r>
      <w:r w:rsidR="00F4553B" w:rsidRPr="00AF11AD">
        <w:rPr>
          <w:sz w:val="18"/>
          <w:szCs w:val="18"/>
        </w:rPr>
        <w:t xml:space="preserve"> </w:t>
      </w:r>
      <w:r w:rsidRPr="00AF11AD">
        <w:rPr>
          <w:sz w:val="18"/>
          <w:szCs w:val="18"/>
        </w:rPr>
        <w:t>2.</w:t>
      </w:r>
      <w:r w:rsidR="00AF11AD" w:rsidRPr="00AF11AD">
        <w:rPr>
          <w:sz w:val="18"/>
          <w:szCs w:val="18"/>
        </w:rPr>
        <w:t>3</w:t>
      </w:r>
      <w:r w:rsidRPr="00AF11AD">
        <w:rPr>
          <w:sz w:val="18"/>
          <w:szCs w:val="18"/>
        </w:rPr>
        <w:t xml:space="preserve"> </w:t>
      </w:r>
      <w:r w:rsidR="00833780">
        <w:rPr>
          <w:sz w:val="18"/>
          <w:szCs w:val="18"/>
        </w:rPr>
        <w:t>V</w:t>
      </w:r>
      <w:r w:rsidR="008C37B1" w:rsidRPr="00AF11AD">
        <w:rPr>
          <w:sz w:val="18"/>
          <w:szCs w:val="18"/>
        </w:rPr>
        <w:t>ýdaj</w:t>
      </w:r>
      <w:r w:rsidR="00833780">
        <w:rPr>
          <w:sz w:val="18"/>
          <w:szCs w:val="18"/>
        </w:rPr>
        <w:t>e</w:t>
      </w:r>
      <w:r w:rsidRPr="00AF11AD">
        <w:rPr>
          <w:sz w:val="18"/>
          <w:szCs w:val="18"/>
        </w:rPr>
        <w:t xml:space="preserve"> na </w:t>
      </w:r>
      <w:r w:rsidR="00323AFA" w:rsidRPr="00AF11AD">
        <w:rPr>
          <w:sz w:val="18"/>
          <w:szCs w:val="18"/>
        </w:rPr>
        <w:t xml:space="preserve">zdravotní péči </w:t>
      </w:r>
      <w:r w:rsidR="00833780">
        <w:rPr>
          <w:sz w:val="18"/>
          <w:szCs w:val="18"/>
        </w:rPr>
        <w:t xml:space="preserve">v ČR </w:t>
      </w:r>
      <w:r w:rsidRPr="00AF11AD">
        <w:rPr>
          <w:sz w:val="18"/>
          <w:szCs w:val="18"/>
        </w:rPr>
        <w:t xml:space="preserve">podle </w:t>
      </w:r>
      <w:r w:rsidR="00833780">
        <w:rPr>
          <w:sz w:val="18"/>
          <w:szCs w:val="18"/>
        </w:rPr>
        <w:t>d</w:t>
      </w:r>
      <w:r w:rsidRPr="00AF11AD">
        <w:rPr>
          <w:sz w:val="18"/>
          <w:szCs w:val="18"/>
        </w:rPr>
        <w:t>ruh</w:t>
      </w:r>
      <w:r w:rsidR="00833780">
        <w:rPr>
          <w:sz w:val="18"/>
          <w:szCs w:val="18"/>
        </w:rPr>
        <w:t>u</w:t>
      </w:r>
      <w:r w:rsidRPr="00AF11AD">
        <w:rPr>
          <w:sz w:val="18"/>
          <w:szCs w:val="18"/>
        </w:rPr>
        <w:t xml:space="preserve"> péče</w:t>
      </w:r>
      <w:r w:rsidR="00833780">
        <w:rPr>
          <w:sz w:val="18"/>
          <w:szCs w:val="18"/>
        </w:rPr>
        <w:t xml:space="preserve">, </w:t>
      </w:r>
      <w:r w:rsidRPr="00AF11AD">
        <w:rPr>
          <w:sz w:val="18"/>
          <w:szCs w:val="18"/>
        </w:rPr>
        <w:t>2010</w:t>
      </w:r>
      <w:r w:rsidR="00591D28">
        <w:rPr>
          <w:sz w:val="18"/>
          <w:szCs w:val="18"/>
        </w:rPr>
        <w:t xml:space="preserve">, 2012 a </w:t>
      </w:r>
      <w:r w:rsidR="009B4585" w:rsidRPr="00AF11AD">
        <w:rPr>
          <w:sz w:val="18"/>
          <w:szCs w:val="18"/>
        </w:rPr>
        <w:t>2014 (</w:t>
      </w:r>
      <w:r w:rsidRPr="00AF11AD">
        <w:rPr>
          <w:sz w:val="18"/>
          <w:szCs w:val="18"/>
        </w:rPr>
        <w:t>m</w:t>
      </w:r>
      <w:r w:rsidR="00323AFA" w:rsidRPr="00AF11AD">
        <w:rPr>
          <w:sz w:val="18"/>
          <w:szCs w:val="18"/>
        </w:rPr>
        <w:t>ld</w:t>
      </w:r>
      <w:r w:rsidR="009B4585" w:rsidRPr="00AF11AD">
        <w:rPr>
          <w:sz w:val="18"/>
          <w:szCs w:val="18"/>
        </w:rPr>
        <w:t>. </w:t>
      </w:r>
      <w:r w:rsidRPr="00AF11AD">
        <w:rPr>
          <w:sz w:val="18"/>
          <w:szCs w:val="18"/>
        </w:rPr>
        <w:t>Kč</w:t>
      </w:r>
      <w:r w:rsidR="00833780">
        <w:rPr>
          <w:sz w:val="18"/>
          <w:szCs w:val="18"/>
        </w:rPr>
        <w:t>; %</w:t>
      </w:r>
      <w:r w:rsidRPr="00AF11AD">
        <w:rPr>
          <w:sz w:val="18"/>
          <w:szCs w:val="18"/>
        </w:rPr>
        <w:t>)</w:t>
      </w:r>
    </w:p>
    <w:p w:rsidR="0065147A" w:rsidRDefault="00591D28" w:rsidP="00211146">
      <w:pPr>
        <w:pStyle w:val="nazevtabulky"/>
        <w:jc w:val="left"/>
      </w:pPr>
      <w:r>
        <w:rPr>
          <w:noProof/>
        </w:rPr>
        <w:drawing>
          <wp:inline distT="0" distB="0" distL="0" distR="0" wp14:anchorId="2979E831" wp14:editId="2D168C96">
            <wp:extent cx="5972175" cy="321945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1D28" w:rsidRDefault="00591D28" w:rsidP="00211146">
      <w:pPr>
        <w:pStyle w:val="nazevtabulky"/>
        <w:jc w:val="left"/>
      </w:pPr>
      <w:r>
        <w:rPr>
          <w:noProof/>
        </w:rPr>
        <w:drawing>
          <wp:inline distT="0" distB="0" distL="0" distR="0" wp14:anchorId="12B30D83" wp14:editId="1891BA1C">
            <wp:extent cx="5972810" cy="1933575"/>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1D28" w:rsidRPr="009B4585" w:rsidRDefault="00591D28" w:rsidP="00591D28">
      <w:pPr>
        <w:pStyle w:val="nazevtabulky"/>
        <w:rPr>
          <w:b w:val="0"/>
          <w:sz w:val="16"/>
          <w:szCs w:val="16"/>
        </w:rPr>
      </w:pPr>
      <w:r>
        <w:rPr>
          <w:b w:val="0"/>
          <w:sz w:val="16"/>
          <w:szCs w:val="16"/>
        </w:rPr>
        <w:t>*</w:t>
      </w:r>
      <w:r w:rsidR="00DE6110">
        <w:rPr>
          <w:b w:val="0"/>
          <w:sz w:val="16"/>
          <w:szCs w:val="16"/>
        </w:rPr>
        <w:t>Laboratorní služby, Zobrazovací metody a Doprava pacientů</w:t>
      </w:r>
    </w:p>
    <w:p w:rsidR="00591D28" w:rsidRPr="004E52F2" w:rsidRDefault="00591D28" w:rsidP="00591D28">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DE6110" w:rsidRDefault="00FC3FD5" w:rsidP="00DE6110">
      <w:pPr>
        <w:keepNext w:val="0"/>
        <w:spacing w:before="120"/>
        <w:rPr>
          <w:szCs w:val="17"/>
        </w:rPr>
      </w:pPr>
      <w:r w:rsidRPr="00FC3FD5">
        <w:rPr>
          <w:szCs w:val="17"/>
        </w:rPr>
        <w:t xml:space="preserve">V porovnání s předchozími roky, zejména pak s rokem 2013, byl zaznamenán </w:t>
      </w:r>
      <w:r w:rsidR="009B2EBA">
        <w:rPr>
          <w:szCs w:val="17"/>
        </w:rPr>
        <w:t xml:space="preserve">pokles výdajů na </w:t>
      </w:r>
      <w:r w:rsidR="009B2EBA" w:rsidRPr="00DE6110">
        <w:rPr>
          <w:b/>
          <w:szCs w:val="17"/>
        </w:rPr>
        <w:t>léčebnou péči</w:t>
      </w:r>
      <w:r w:rsidR="009B2EBA">
        <w:rPr>
          <w:szCs w:val="17"/>
        </w:rPr>
        <w:t xml:space="preserve">, která tvoří i nadále </w:t>
      </w:r>
      <w:r w:rsidRPr="00FC3FD5">
        <w:rPr>
          <w:szCs w:val="17"/>
        </w:rPr>
        <w:t xml:space="preserve">největší podíl </w:t>
      </w:r>
      <w:r w:rsidR="009B2EBA">
        <w:rPr>
          <w:szCs w:val="17"/>
        </w:rPr>
        <w:t>celkových výdajů</w:t>
      </w:r>
      <w:r w:rsidRPr="00FC3FD5">
        <w:rPr>
          <w:szCs w:val="17"/>
        </w:rPr>
        <w:t xml:space="preserve"> </w:t>
      </w:r>
      <w:r w:rsidR="009B2EBA">
        <w:rPr>
          <w:szCs w:val="17"/>
        </w:rPr>
        <w:t>na zdravotní péči</w:t>
      </w:r>
      <w:r w:rsidRPr="00FC3FD5">
        <w:rPr>
          <w:szCs w:val="17"/>
        </w:rPr>
        <w:t xml:space="preserve"> (cca </w:t>
      </w:r>
      <w:r>
        <w:rPr>
          <w:szCs w:val="17"/>
        </w:rPr>
        <w:t>39</w:t>
      </w:r>
      <w:r w:rsidR="00323AFA">
        <w:rPr>
          <w:szCs w:val="17"/>
        </w:rPr>
        <w:t> </w:t>
      </w:r>
      <w:r w:rsidRPr="00FC3FD5">
        <w:rPr>
          <w:szCs w:val="17"/>
        </w:rPr>
        <w:t xml:space="preserve">% v roce 2014). </w:t>
      </w:r>
      <w:r w:rsidR="007F4E76">
        <w:rPr>
          <w:szCs w:val="17"/>
        </w:rPr>
        <w:t>Léčebnou péči</w:t>
      </w:r>
      <w:r w:rsidR="007F4E76" w:rsidRPr="00FC3FD5">
        <w:rPr>
          <w:szCs w:val="17"/>
        </w:rPr>
        <w:t xml:space="preserve"> tvoří </w:t>
      </w:r>
      <w:r w:rsidR="007F4E76">
        <w:rPr>
          <w:szCs w:val="17"/>
        </w:rPr>
        <w:t xml:space="preserve">z </w:t>
      </w:r>
      <w:r w:rsidR="007F4E76" w:rsidRPr="00FC3FD5">
        <w:rPr>
          <w:szCs w:val="17"/>
        </w:rPr>
        <w:t xml:space="preserve">96 % </w:t>
      </w:r>
      <w:r w:rsidR="007F4E76">
        <w:rPr>
          <w:szCs w:val="17"/>
        </w:rPr>
        <w:t>l</w:t>
      </w:r>
      <w:r w:rsidR="007F4E76" w:rsidRPr="00FC3FD5">
        <w:rPr>
          <w:szCs w:val="17"/>
        </w:rPr>
        <w:t xml:space="preserve">ůžková </w:t>
      </w:r>
      <w:r w:rsidR="009B4585">
        <w:rPr>
          <w:szCs w:val="17"/>
        </w:rPr>
        <w:t>a ambulantní léčebná</w:t>
      </w:r>
      <w:r w:rsidRPr="00FC3FD5">
        <w:rPr>
          <w:szCs w:val="17"/>
        </w:rPr>
        <w:t xml:space="preserve"> péče</w:t>
      </w:r>
      <w:r w:rsidR="00323AFA">
        <w:rPr>
          <w:szCs w:val="17"/>
        </w:rPr>
        <w:t>, zbytek pokrývají domácí a denní léčebná péče</w:t>
      </w:r>
      <w:r w:rsidRPr="00FC3FD5">
        <w:rPr>
          <w:szCs w:val="17"/>
        </w:rPr>
        <w:t xml:space="preserve">. </w:t>
      </w:r>
    </w:p>
    <w:p w:rsidR="00DE6110" w:rsidRDefault="00323AFA" w:rsidP="00DE6110">
      <w:pPr>
        <w:keepNext w:val="0"/>
        <w:spacing w:before="120"/>
        <w:rPr>
          <w:szCs w:val="17"/>
        </w:rPr>
      </w:pPr>
      <w:r>
        <w:rPr>
          <w:szCs w:val="17"/>
        </w:rPr>
        <w:t>V</w:t>
      </w:r>
      <w:r w:rsidR="009B2EBA">
        <w:rPr>
          <w:szCs w:val="17"/>
        </w:rPr>
        <w:t xml:space="preserve">ýdaje na </w:t>
      </w:r>
      <w:r w:rsidR="009B2EBA" w:rsidRPr="00DE6110">
        <w:rPr>
          <w:b/>
          <w:szCs w:val="17"/>
        </w:rPr>
        <w:t>lůžkovou</w:t>
      </w:r>
      <w:r w:rsidR="00FC3FD5" w:rsidRPr="00DE6110">
        <w:rPr>
          <w:b/>
          <w:szCs w:val="17"/>
        </w:rPr>
        <w:t xml:space="preserve"> péč</w:t>
      </w:r>
      <w:r w:rsidR="009B2EBA" w:rsidRPr="00DE6110">
        <w:rPr>
          <w:b/>
          <w:szCs w:val="17"/>
        </w:rPr>
        <w:t>i</w:t>
      </w:r>
      <w:r w:rsidR="00FC3FD5" w:rsidRPr="00FC3FD5">
        <w:rPr>
          <w:szCs w:val="17"/>
        </w:rPr>
        <w:t xml:space="preserve"> od roku 2010, </w:t>
      </w:r>
      <w:r w:rsidR="00FC3FD5">
        <w:rPr>
          <w:szCs w:val="17"/>
        </w:rPr>
        <w:t xml:space="preserve">kdy </w:t>
      </w:r>
      <w:r w:rsidR="00FC3FD5" w:rsidRPr="00FC3FD5">
        <w:rPr>
          <w:szCs w:val="17"/>
        </w:rPr>
        <w:t>představoval</w:t>
      </w:r>
      <w:r>
        <w:rPr>
          <w:szCs w:val="17"/>
        </w:rPr>
        <w:t>y</w:t>
      </w:r>
      <w:r w:rsidR="00FC3FD5" w:rsidRPr="00FC3FD5">
        <w:rPr>
          <w:szCs w:val="17"/>
        </w:rPr>
        <w:t xml:space="preserve"> 41</w:t>
      </w:r>
      <w:r>
        <w:rPr>
          <w:szCs w:val="17"/>
        </w:rPr>
        <w:t> </w:t>
      </w:r>
      <w:r w:rsidR="00FC3FD5" w:rsidRPr="00FC3FD5">
        <w:rPr>
          <w:szCs w:val="17"/>
        </w:rPr>
        <w:t>%</w:t>
      </w:r>
      <w:r w:rsidR="00FC3FD5">
        <w:rPr>
          <w:szCs w:val="17"/>
        </w:rPr>
        <w:t xml:space="preserve"> </w:t>
      </w:r>
      <w:r w:rsidR="00DE6110">
        <w:rPr>
          <w:szCs w:val="17"/>
        </w:rPr>
        <w:t xml:space="preserve">celkové </w:t>
      </w:r>
      <w:r w:rsidR="00FC3FD5">
        <w:rPr>
          <w:szCs w:val="17"/>
        </w:rPr>
        <w:t>léčebné péče,</w:t>
      </w:r>
      <w:r w:rsidR="00FC3FD5" w:rsidRPr="00FC3FD5">
        <w:rPr>
          <w:szCs w:val="17"/>
        </w:rPr>
        <w:t xml:space="preserve"> postupně </w:t>
      </w:r>
      <w:r w:rsidR="009B2EBA">
        <w:rPr>
          <w:szCs w:val="17"/>
        </w:rPr>
        <w:t>klesají a v roce 2014</w:t>
      </w:r>
      <w:r w:rsidR="00FC3FD5">
        <w:rPr>
          <w:szCs w:val="17"/>
        </w:rPr>
        <w:t xml:space="preserve"> </w:t>
      </w:r>
      <w:r w:rsidR="00FC3FD5" w:rsidRPr="00FC3FD5">
        <w:rPr>
          <w:szCs w:val="17"/>
        </w:rPr>
        <w:t xml:space="preserve">dosáhly svého historického minima </w:t>
      </w:r>
      <w:r w:rsidR="009B2EBA">
        <w:rPr>
          <w:szCs w:val="17"/>
        </w:rPr>
        <w:t>ve výši 52 m</w:t>
      </w:r>
      <w:r w:rsidR="007F4E76">
        <w:rPr>
          <w:szCs w:val="17"/>
        </w:rPr>
        <w:t>iliard</w:t>
      </w:r>
      <w:r w:rsidR="009B2EBA">
        <w:rPr>
          <w:szCs w:val="17"/>
        </w:rPr>
        <w:t xml:space="preserve">. Kč. </w:t>
      </w:r>
    </w:p>
    <w:p w:rsidR="00C262C4" w:rsidRDefault="009B2EBA" w:rsidP="00DE6110">
      <w:pPr>
        <w:keepNext w:val="0"/>
        <w:spacing w:before="120"/>
        <w:rPr>
          <w:szCs w:val="20"/>
        </w:rPr>
      </w:pPr>
      <w:r>
        <w:rPr>
          <w:szCs w:val="17"/>
        </w:rPr>
        <w:t xml:space="preserve">Na druhou stranu </w:t>
      </w:r>
      <w:r w:rsidR="00323AFA">
        <w:rPr>
          <w:szCs w:val="17"/>
        </w:rPr>
        <w:t xml:space="preserve">velmi </w:t>
      </w:r>
      <w:r w:rsidRPr="00FC3FD5">
        <w:rPr>
          <w:szCs w:val="20"/>
        </w:rPr>
        <w:t xml:space="preserve">mírně narůstá </w:t>
      </w:r>
      <w:r w:rsidR="00323AFA">
        <w:rPr>
          <w:szCs w:val="17"/>
        </w:rPr>
        <w:t>objem výdajů na</w:t>
      </w:r>
      <w:r w:rsidR="00323AFA" w:rsidRPr="00FC3FD5">
        <w:rPr>
          <w:szCs w:val="20"/>
        </w:rPr>
        <w:t xml:space="preserve"> </w:t>
      </w:r>
      <w:r w:rsidR="009E69E3">
        <w:rPr>
          <w:b/>
          <w:szCs w:val="20"/>
        </w:rPr>
        <w:t xml:space="preserve">ambulantní </w:t>
      </w:r>
      <w:r w:rsidR="00DE6110" w:rsidRPr="00DE6110">
        <w:rPr>
          <w:b/>
          <w:szCs w:val="20"/>
        </w:rPr>
        <w:t xml:space="preserve">léčebnou </w:t>
      </w:r>
      <w:r w:rsidR="00FC3FD5" w:rsidRPr="00DE6110">
        <w:rPr>
          <w:b/>
          <w:szCs w:val="20"/>
        </w:rPr>
        <w:t>péč</w:t>
      </w:r>
      <w:r w:rsidR="00323AFA" w:rsidRPr="00DE6110">
        <w:rPr>
          <w:b/>
          <w:szCs w:val="20"/>
        </w:rPr>
        <w:t>i</w:t>
      </w:r>
      <w:r w:rsidR="00323AFA">
        <w:rPr>
          <w:szCs w:val="20"/>
        </w:rPr>
        <w:t>,</w:t>
      </w:r>
      <w:r w:rsidR="00FC3FD5" w:rsidRPr="00FC3FD5">
        <w:rPr>
          <w:szCs w:val="20"/>
        </w:rPr>
        <w:t xml:space="preserve"> </w:t>
      </w:r>
      <w:r>
        <w:rPr>
          <w:szCs w:val="20"/>
        </w:rPr>
        <w:t xml:space="preserve">a to </w:t>
      </w:r>
      <w:r w:rsidR="00FC3FD5" w:rsidRPr="00FC3FD5">
        <w:rPr>
          <w:szCs w:val="20"/>
        </w:rPr>
        <w:t>v souvislosti s vývojem a</w:t>
      </w:r>
      <w:r w:rsidR="00323AFA">
        <w:rPr>
          <w:szCs w:val="20"/>
        </w:rPr>
        <w:t> </w:t>
      </w:r>
      <w:r w:rsidR="00FC3FD5" w:rsidRPr="00FC3FD5">
        <w:rPr>
          <w:szCs w:val="20"/>
        </w:rPr>
        <w:t>využitím aneste</w:t>
      </w:r>
      <w:r w:rsidR="009B4585">
        <w:rPr>
          <w:szCs w:val="20"/>
        </w:rPr>
        <w:t>tik s krátkou dobou účinnosti a </w:t>
      </w:r>
      <w:r w:rsidR="00FC3FD5" w:rsidRPr="00FC3FD5">
        <w:rPr>
          <w:szCs w:val="20"/>
        </w:rPr>
        <w:t>s novými operačními metodami. Výdaje na denní léčebnou péči se v období 2010 - 2014 pohyb</w:t>
      </w:r>
      <w:r w:rsidR="00323AFA">
        <w:rPr>
          <w:szCs w:val="20"/>
        </w:rPr>
        <w:t>ovaly</w:t>
      </w:r>
      <w:r w:rsidR="00FC3FD5" w:rsidRPr="00FC3FD5">
        <w:rPr>
          <w:szCs w:val="20"/>
        </w:rPr>
        <w:t xml:space="preserve"> stabilně nad hranicí 5 miliard</w:t>
      </w:r>
      <w:r w:rsidR="00323AFA">
        <w:rPr>
          <w:szCs w:val="20"/>
        </w:rPr>
        <w:t xml:space="preserve"> Kč</w:t>
      </w:r>
      <w:r w:rsidR="00FC3FD5" w:rsidRPr="00FC3FD5">
        <w:rPr>
          <w:szCs w:val="20"/>
        </w:rPr>
        <w:t xml:space="preserve">. </w:t>
      </w:r>
      <w:r w:rsidR="00C408B6">
        <w:rPr>
          <w:szCs w:val="20"/>
        </w:rPr>
        <w:t>To odpovídá současné snaze o zkrácení doby hospitalizace na nezbytné minimum a provádění některých zákroků, jejichž povaha to umožňuje, ambulantně nebo v režimu jednodenní chirurgie. Tento přístup je finančně výhodnější a pro pacienty většinou příjemnější než pobyt v nemocnici.</w:t>
      </w:r>
    </w:p>
    <w:p w:rsidR="00C262C4" w:rsidRDefault="00C262C4">
      <w:pPr>
        <w:keepNext w:val="0"/>
        <w:spacing w:line="240" w:lineRule="auto"/>
        <w:jc w:val="left"/>
        <w:rPr>
          <w:szCs w:val="20"/>
        </w:rPr>
      </w:pPr>
      <w:r>
        <w:rPr>
          <w:szCs w:val="20"/>
        </w:rPr>
        <w:br w:type="page"/>
      </w:r>
    </w:p>
    <w:p w:rsidR="0081579A" w:rsidRDefault="008E2977" w:rsidP="009E69E3">
      <w:pPr>
        <w:keepNext w:val="0"/>
        <w:spacing w:before="120"/>
      </w:pPr>
      <w:r>
        <w:rPr>
          <w:rFonts w:cs="Arial"/>
          <w:szCs w:val="20"/>
        </w:rPr>
        <w:lastRenderedPageBreak/>
        <w:t>Dalším</w:t>
      </w:r>
      <w:r w:rsidR="0081579A" w:rsidRPr="00FC3FD5">
        <w:rPr>
          <w:rFonts w:cs="Arial"/>
          <w:szCs w:val="20"/>
        </w:rPr>
        <w:t xml:space="preserve"> </w:t>
      </w:r>
      <w:r w:rsidR="00FC3FD5" w:rsidRPr="00FC3FD5">
        <w:rPr>
          <w:rFonts w:cs="Arial"/>
          <w:szCs w:val="20"/>
        </w:rPr>
        <w:t>nejnákladnějš</w:t>
      </w:r>
      <w:r w:rsidR="003F09E7">
        <w:rPr>
          <w:rFonts w:cs="Arial"/>
          <w:szCs w:val="20"/>
        </w:rPr>
        <w:t>í</w:t>
      </w:r>
      <w:r w:rsidR="0081579A">
        <w:rPr>
          <w:rFonts w:cs="Arial"/>
          <w:szCs w:val="20"/>
        </w:rPr>
        <w:t>m</w:t>
      </w:r>
      <w:r w:rsidR="003F09E7">
        <w:rPr>
          <w:rFonts w:cs="Arial"/>
          <w:szCs w:val="20"/>
        </w:rPr>
        <w:t xml:space="preserve"> </w:t>
      </w:r>
      <w:r w:rsidR="0081579A">
        <w:rPr>
          <w:rFonts w:cs="Arial"/>
          <w:szCs w:val="20"/>
        </w:rPr>
        <w:t xml:space="preserve">druhem péče po léčebné péči </w:t>
      </w:r>
      <w:r w:rsidR="009B4585">
        <w:rPr>
          <w:rFonts w:cs="Arial"/>
          <w:szCs w:val="20"/>
        </w:rPr>
        <w:t xml:space="preserve">jsou </w:t>
      </w:r>
      <w:r w:rsidR="003F09E7" w:rsidRPr="009E69E3">
        <w:rPr>
          <w:rFonts w:cs="Arial"/>
          <w:b/>
          <w:szCs w:val="20"/>
        </w:rPr>
        <w:t xml:space="preserve">léčiva a </w:t>
      </w:r>
      <w:r w:rsidR="00777890" w:rsidRPr="009E69E3">
        <w:rPr>
          <w:rFonts w:cs="Arial"/>
          <w:b/>
          <w:szCs w:val="20"/>
        </w:rPr>
        <w:t>ostatní zdravotnické výrobky</w:t>
      </w:r>
      <w:r w:rsidR="00FC3FD5" w:rsidRPr="00FC3FD5">
        <w:rPr>
          <w:rFonts w:cs="Arial"/>
          <w:szCs w:val="20"/>
        </w:rPr>
        <w:t xml:space="preserve"> s </w:t>
      </w:r>
      <w:proofErr w:type="gramStart"/>
      <w:r w:rsidR="00FC3FD5" w:rsidRPr="00FC3FD5">
        <w:rPr>
          <w:rFonts w:cs="Arial"/>
          <w:szCs w:val="20"/>
        </w:rPr>
        <w:t>19%</w:t>
      </w:r>
      <w:proofErr w:type="gramEnd"/>
      <w:r w:rsidR="00FC3FD5" w:rsidRPr="00FC3FD5">
        <w:rPr>
          <w:rFonts w:cs="Arial"/>
          <w:szCs w:val="20"/>
        </w:rPr>
        <w:t xml:space="preserve"> podílem na celkových výdajích na zdravotní péči. </w:t>
      </w:r>
      <w:r w:rsidR="00777890" w:rsidRPr="00FC3FD5">
        <w:rPr>
          <w:rFonts w:cs="Arial"/>
          <w:szCs w:val="20"/>
        </w:rPr>
        <w:t>Lé</w:t>
      </w:r>
      <w:r w:rsidR="00777890">
        <w:rPr>
          <w:rFonts w:cs="Arial"/>
          <w:szCs w:val="20"/>
        </w:rPr>
        <w:t>čiva a zdravotnický materiál (léky na předpis i volně prodejné a další zboží jako dezinfekce, obvazy, náplasti, teploměry atd.)</w:t>
      </w:r>
      <w:r w:rsidR="00777890" w:rsidRPr="00FC3FD5">
        <w:rPr>
          <w:rFonts w:cs="Arial"/>
          <w:szCs w:val="20"/>
        </w:rPr>
        <w:t xml:space="preserve"> </w:t>
      </w:r>
      <w:r w:rsidR="00FC3FD5" w:rsidRPr="00FC3FD5">
        <w:rPr>
          <w:rFonts w:cs="Arial"/>
          <w:szCs w:val="20"/>
        </w:rPr>
        <w:t>tvoří dlouhodobě až 85</w:t>
      </w:r>
      <w:r w:rsidR="0081579A">
        <w:rPr>
          <w:rFonts w:cs="Arial"/>
          <w:szCs w:val="20"/>
        </w:rPr>
        <w:t> </w:t>
      </w:r>
      <w:r w:rsidR="00FC3FD5" w:rsidRPr="00FC3FD5">
        <w:rPr>
          <w:rFonts w:cs="Arial"/>
          <w:szCs w:val="20"/>
        </w:rPr>
        <w:t xml:space="preserve">% výdajů této skupiny. </w:t>
      </w:r>
      <w:r w:rsidR="00777890">
        <w:rPr>
          <w:rFonts w:cs="Arial"/>
          <w:szCs w:val="20"/>
        </w:rPr>
        <w:t xml:space="preserve">Zbývajících 15 % </w:t>
      </w:r>
      <w:r w:rsidR="00684ECC">
        <w:rPr>
          <w:rFonts w:cs="Arial"/>
          <w:szCs w:val="20"/>
        </w:rPr>
        <w:t xml:space="preserve">představují výdaje za </w:t>
      </w:r>
      <w:r w:rsidR="00777890">
        <w:rPr>
          <w:rFonts w:cs="Arial"/>
          <w:szCs w:val="20"/>
        </w:rPr>
        <w:t xml:space="preserve">terapeutické pomůcky (brýle, naslouchadla, berle, invalidní vozíky, apod.). </w:t>
      </w:r>
      <w:r w:rsidR="00FC3FD5" w:rsidRPr="00FC3FD5">
        <w:rPr>
          <w:rFonts w:cs="Arial"/>
          <w:szCs w:val="20"/>
        </w:rPr>
        <w:t xml:space="preserve">Snížení výdajů za léky vydané na předpis bylo částečně ovlivněno zavedením tzv. Pozitivních listů </w:t>
      </w:r>
      <w:r w:rsidR="00E76C3A">
        <w:rPr>
          <w:rFonts w:cs="Arial"/>
          <w:szCs w:val="20"/>
        </w:rPr>
        <w:t xml:space="preserve">VZP, </w:t>
      </w:r>
      <w:r w:rsidR="0081579A">
        <w:rPr>
          <w:rFonts w:cs="Arial"/>
          <w:szCs w:val="20"/>
        </w:rPr>
        <w:t xml:space="preserve">což jsou </w:t>
      </w:r>
      <w:r w:rsidR="00E76C3A">
        <w:t>seznamy doporučených léků s nejnižší cenou, které znamenají přínos pro pojišťovnu, zdravotnická zařízení i pacienty.</w:t>
      </w:r>
    </w:p>
    <w:p w:rsidR="0081579A" w:rsidRPr="00FC3FD5" w:rsidRDefault="0081579A" w:rsidP="009E69E3">
      <w:pPr>
        <w:keepNext w:val="0"/>
        <w:spacing w:before="120"/>
        <w:rPr>
          <w:rFonts w:cs="Arial"/>
          <w:szCs w:val="20"/>
        </w:rPr>
      </w:pPr>
      <w:r w:rsidRPr="00FC3FD5">
        <w:rPr>
          <w:szCs w:val="17"/>
        </w:rPr>
        <w:t xml:space="preserve">Výdaje za </w:t>
      </w:r>
      <w:r w:rsidRPr="009E69E3">
        <w:rPr>
          <w:b/>
          <w:szCs w:val="17"/>
        </w:rPr>
        <w:t>lůžkovou rehabilitační péči</w:t>
      </w:r>
      <w:r w:rsidRPr="00FC3FD5">
        <w:rPr>
          <w:szCs w:val="17"/>
        </w:rPr>
        <w:t xml:space="preserve"> </w:t>
      </w:r>
      <w:r w:rsidR="00777890">
        <w:rPr>
          <w:szCs w:val="17"/>
        </w:rPr>
        <w:t xml:space="preserve">se z podstatné části týkají </w:t>
      </w:r>
      <w:r w:rsidR="00777890" w:rsidRPr="009E69E3">
        <w:rPr>
          <w:b/>
          <w:szCs w:val="17"/>
        </w:rPr>
        <w:t>lázeňské péče</w:t>
      </w:r>
      <w:r w:rsidRPr="00FC3FD5">
        <w:rPr>
          <w:szCs w:val="17"/>
        </w:rPr>
        <w:t>. Zejména v roce 2013 byly výdaje na lázeňskou péči</w:t>
      </w:r>
      <w:r w:rsidR="00777890" w:rsidRPr="00777890">
        <w:rPr>
          <w:szCs w:val="17"/>
        </w:rPr>
        <w:t xml:space="preserve"> </w:t>
      </w:r>
      <w:r w:rsidR="00777890" w:rsidRPr="00FC3FD5">
        <w:rPr>
          <w:szCs w:val="17"/>
        </w:rPr>
        <w:t>výrazně omezeny</w:t>
      </w:r>
      <w:r w:rsidRPr="00FC3FD5">
        <w:rPr>
          <w:szCs w:val="17"/>
        </w:rPr>
        <w:t xml:space="preserve">. Pravidla pro úhradu lázeňské péče ze zdravotního pojištění se změnila v říjnu 2012. Vyhláška zkrátila u dospělých pacientů zdravotními </w:t>
      </w:r>
      <w:r w:rsidRPr="00FC3FD5">
        <w:rPr>
          <w:rFonts w:cs="Arial"/>
          <w:szCs w:val="20"/>
        </w:rPr>
        <w:t xml:space="preserve">pojišťovnami plně hrazené pobyty ze čtyř týdnů na tři, upravila indikační seznam a u některých diagnóz </w:t>
      </w:r>
      <w:r w:rsidR="00777890">
        <w:rPr>
          <w:rFonts w:cs="Arial"/>
          <w:szCs w:val="20"/>
        </w:rPr>
        <w:t>odstranila</w:t>
      </w:r>
      <w:r w:rsidRPr="00FC3FD5">
        <w:rPr>
          <w:rFonts w:cs="Arial"/>
          <w:szCs w:val="20"/>
        </w:rPr>
        <w:t xml:space="preserve"> možnost opakování hrazeného pobytu. Vzhledem k tehdy platné vyhlášce se v roce 2013 snížily </w:t>
      </w:r>
      <w:r w:rsidRPr="00D16045">
        <w:rPr>
          <w:rFonts w:cs="Arial"/>
          <w:szCs w:val="20"/>
        </w:rPr>
        <w:t xml:space="preserve">o </w:t>
      </w:r>
      <w:r w:rsidR="00684ECC" w:rsidRPr="00D16045">
        <w:rPr>
          <w:rFonts w:cs="Arial"/>
          <w:szCs w:val="20"/>
        </w:rPr>
        <w:t>74</w:t>
      </w:r>
      <w:r w:rsidRPr="00D16045">
        <w:rPr>
          <w:rFonts w:cs="Arial"/>
          <w:szCs w:val="20"/>
        </w:rPr>
        <w:t xml:space="preserve"> </w:t>
      </w:r>
      <w:r w:rsidR="00684ECC" w:rsidRPr="00D16045">
        <w:rPr>
          <w:rFonts w:cs="Arial"/>
          <w:szCs w:val="20"/>
        </w:rPr>
        <w:t>mil. Kč</w:t>
      </w:r>
      <w:r w:rsidRPr="00D16045">
        <w:rPr>
          <w:rFonts w:cs="Arial"/>
          <w:szCs w:val="20"/>
        </w:rPr>
        <w:t xml:space="preserve"> výdaje</w:t>
      </w:r>
      <w:r w:rsidRPr="00FC3FD5">
        <w:rPr>
          <w:rFonts w:cs="Arial"/>
          <w:szCs w:val="20"/>
        </w:rPr>
        <w:t xml:space="preserve"> na lůžkovou rehabilitační péči. K opětovnému nárůstu výdajů došlo až v roce 2014, kdy od dubna začali lékaři předepisovat poukazy podle nových pravidel.</w:t>
      </w:r>
    </w:p>
    <w:p w:rsidR="008C37B1" w:rsidRDefault="00FC3FD5" w:rsidP="009E69E3">
      <w:pPr>
        <w:keepNext w:val="0"/>
        <w:spacing w:before="120"/>
        <w:rPr>
          <w:szCs w:val="17"/>
        </w:rPr>
      </w:pPr>
      <w:r w:rsidRPr="00FC3FD5">
        <w:rPr>
          <w:szCs w:val="17"/>
        </w:rPr>
        <w:t xml:space="preserve">Potřeba </w:t>
      </w:r>
      <w:r w:rsidRPr="009E69E3">
        <w:rPr>
          <w:b/>
          <w:szCs w:val="17"/>
        </w:rPr>
        <w:t>dlouhodobé péče</w:t>
      </w:r>
      <w:r w:rsidRPr="00FC3FD5">
        <w:rPr>
          <w:szCs w:val="17"/>
        </w:rPr>
        <w:t xml:space="preserve"> bude s ohledem na stárnutí populace narůstat</w:t>
      </w:r>
      <w:r w:rsidR="00347A17">
        <w:rPr>
          <w:szCs w:val="17"/>
        </w:rPr>
        <w:t xml:space="preserve"> a</w:t>
      </w:r>
      <w:r w:rsidRPr="00FC3FD5">
        <w:rPr>
          <w:szCs w:val="17"/>
        </w:rPr>
        <w:t xml:space="preserve"> s tím souvisí každoroční pozvoln</w:t>
      </w:r>
      <w:r w:rsidR="00684ECC">
        <w:rPr>
          <w:szCs w:val="17"/>
        </w:rPr>
        <w:t>é</w:t>
      </w:r>
      <w:r w:rsidRPr="00FC3FD5">
        <w:rPr>
          <w:szCs w:val="17"/>
        </w:rPr>
        <w:t xml:space="preserve"> </w:t>
      </w:r>
      <w:r w:rsidR="00684ECC">
        <w:rPr>
          <w:szCs w:val="17"/>
        </w:rPr>
        <w:t xml:space="preserve">zvyšování </w:t>
      </w:r>
      <w:r w:rsidRPr="00FC3FD5">
        <w:rPr>
          <w:szCs w:val="17"/>
        </w:rPr>
        <w:t xml:space="preserve">výdajů </w:t>
      </w:r>
      <w:r w:rsidR="00347A17">
        <w:rPr>
          <w:szCs w:val="17"/>
        </w:rPr>
        <w:t xml:space="preserve">zejména </w:t>
      </w:r>
      <w:r w:rsidRPr="00FC3FD5">
        <w:rPr>
          <w:szCs w:val="17"/>
        </w:rPr>
        <w:t xml:space="preserve">na dlouhodobou lůžkovou péči (v období 2010 – 2014 se zvýšily </w:t>
      </w:r>
      <w:r w:rsidR="00E76C3A">
        <w:rPr>
          <w:szCs w:val="17"/>
        </w:rPr>
        <w:t>téměř o čtvrtinu</w:t>
      </w:r>
      <w:r w:rsidRPr="00FC3FD5">
        <w:rPr>
          <w:szCs w:val="17"/>
        </w:rPr>
        <w:t xml:space="preserve">). </w:t>
      </w:r>
      <w:r w:rsidR="00347A17">
        <w:rPr>
          <w:szCs w:val="17"/>
        </w:rPr>
        <w:t xml:space="preserve">Právě výdaje na dlouhodobou lůžkovou péči představují 84 % z celkových </w:t>
      </w:r>
      <w:r w:rsidR="00EC4548">
        <w:rPr>
          <w:szCs w:val="17"/>
        </w:rPr>
        <w:t>vý</w:t>
      </w:r>
      <w:r w:rsidR="00347A17">
        <w:rPr>
          <w:szCs w:val="17"/>
        </w:rPr>
        <w:t>d</w:t>
      </w:r>
      <w:r w:rsidR="00EC4548">
        <w:rPr>
          <w:szCs w:val="17"/>
        </w:rPr>
        <w:t>a</w:t>
      </w:r>
      <w:r w:rsidR="00347A17">
        <w:rPr>
          <w:szCs w:val="17"/>
        </w:rPr>
        <w:t xml:space="preserve">jů na dlouhodobou péči. </w:t>
      </w:r>
      <w:r w:rsidRPr="00FC3FD5">
        <w:rPr>
          <w:szCs w:val="20"/>
        </w:rPr>
        <w:t>Výdaje na dlouhodobou domácí péči se od roku 2010 zvýšily o jednu pětinu. Dlouhodobá d</w:t>
      </w:r>
      <w:r w:rsidRPr="00FC3FD5">
        <w:rPr>
          <w:bCs/>
          <w:szCs w:val="20"/>
        </w:rPr>
        <w:t>omácí péče</w:t>
      </w:r>
      <w:r w:rsidRPr="00FC3FD5">
        <w:rPr>
          <w:szCs w:val="20"/>
        </w:rPr>
        <w:t xml:space="preserve"> je určena chronicky nemocným klientům, jejichž zdravotní i duševní stav si vyžaduje dlouhodobou a</w:t>
      </w:r>
      <w:r w:rsidR="00347A17">
        <w:rPr>
          <w:szCs w:val="20"/>
        </w:rPr>
        <w:t> </w:t>
      </w:r>
      <w:r w:rsidRPr="00FC3FD5">
        <w:rPr>
          <w:szCs w:val="20"/>
        </w:rPr>
        <w:t xml:space="preserve">pravidelnou domácí péči kvalifikovaného personálu. V souvislosti se změnou metodiky SHA 2011 se podařilo rozšířit zdroje dat a tím se zaměřit </w:t>
      </w:r>
      <w:r w:rsidR="00347A17">
        <w:rPr>
          <w:szCs w:val="20"/>
        </w:rPr>
        <w:t xml:space="preserve">také </w:t>
      </w:r>
      <w:r w:rsidRPr="00FC3FD5">
        <w:rPr>
          <w:szCs w:val="20"/>
        </w:rPr>
        <w:t xml:space="preserve">na výdaje za denní dlouhodobou péči, která byla sledována v minulosti pouze okrajově. </w:t>
      </w:r>
      <w:r w:rsidR="00EC4548">
        <w:rPr>
          <w:szCs w:val="20"/>
        </w:rPr>
        <w:t xml:space="preserve">Denní dlouhodobá péče ovšem tvoří pouze velmi malou část výdajů na zdravotní péči. </w:t>
      </w:r>
      <w:r w:rsidRPr="00FC3FD5">
        <w:rPr>
          <w:szCs w:val="17"/>
        </w:rPr>
        <w:t xml:space="preserve">Podrobněji se budeme věnovat dlouhodobé zdravotní a sociální </w:t>
      </w:r>
      <w:r w:rsidR="008C37B1">
        <w:rPr>
          <w:szCs w:val="17"/>
        </w:rPr>
        <w:t>péči v samostatné kapitole této analýzy.</w:t>
      </w:r>
    </w:p>
    <w:p w:rsidR="00DE6110" w:rsidRPr="00DE6110" w:rsidRDefault="00DE6110" w:rsidP="00DE6110">
      <w:pPr>
        <w:pStyle w:val="Nadpis2"/>
        <w:keepNext w:val="0"/>
        <w:keepLines w:val="0"/>
        <w:spacing w:before="200" w:after="120" w:line="276" w:lineRule="auto"/>
        <w:jc w:val="both"/>
        <w:rPr>
          <w:i/>
          <w:color w:val="auto"/>
          <w:sz w:val="20"/>
          <w:szCs w:val="24"/>
        </w:rPr>
      </w:pPr>
      <w:r w:rsidRPr="00DE6110">
        <w:rPr>
          <w:i/>
          <w:color w:val="auto"/>
          <w:sz w:val="20"/>
          <w:szCs w:val="24"/>
        </w:rPr>
        <w:t>Nové vymezení preventivní péče</w:t>
      </w:r>
    </w:p>
    <w:p w:rsidR="00DE6110" w:rsidRDefault="009E69E3" w:rsidP="00DE6110">
      <w:pPr>
        <w:keepNext w:val="0"/>
        <w:spacing w:before="120"/>
        <w:rPr>
          <w:rFonts w:cs="Arial"/>
          <w:szCs w:val="20"/>
        </w:rPr>
      </w:pPr>
      <w:r w:rsidRPr="009E69E3">
        <w:rPr>
          <w:rFonts w:cs="Arial"/>
          <w:szCs w:val="20"/>
        </w:rPr>
        <w:t>Cílem</w:t>
      </w:r>
      <w:r w:rsidRPr="009E69E3">
        <w:rPr>
          <w:rFonts w:cs="Arial"/>
          <w:b/>
          <w:szCs w:val="20"/>
        </w:rPr>
        <w:t xml:space="preserve"> preventivní péče </w:t>
      </w:r>
      <w:r w:rsidRPr="009E69E3">
        <w:rPr>
          <w:rFonts w:cs="Arial"/>
          <w:szCs w:val="20"/>
        </w:rPr>
        <w:t xml:space="preserve">je </w:t>
      </w:r>
      <w:r w:rsidR="00DE6110" w:rsidRPr="009E69E3">
        <w:rPr>
          <w:rFonts w:cs="Arial"/>
          <w:szCs w:val="20"/>
        </w:rPr>
        <w:t>c</w:t>
      </w:r>
      <w:r w:rsidR="00DE6110">
        <w:rPr>
          <w:rFonts w:cs="Arial"/>
          <w:szCs w:val="20"/>
        </w:rPr>
        <w:t>elkově dobrý zdravotní stav obyvatel a nebývá</w:t>
      </w:r>
      <w:r>
        <w:rPr>
          <w:rFonts w:cs="Arial"/>
          <w:szCs w:val="20"/>
        </w:rPr>
        <w:t xml:space="preserve"> proto</w:t>
      </w:r>
      <w:r w:rsidR="00DE6110">
        <w:rPr>
          <w:rFonts w:cs="Arial"/>
          <w:szCs w:val="20"/>
        </w:rPr>
        <w:t xml:space="preserve"> zaměřena na konkrétní onemocnění. Preventivní programy </w:t>
      </w:r>
      <w:r>
        <w:rPr>
          <w:rFonts w:cs="Arial"/>
          <w:szCs w:val="20"/>
        </w:rPr>
        <w:t xml:space="preserve">jsou více zaměřeny </w:t>
      </w:r>
      <w:r w:rsidR="00DE6110">
        <w:rPr>
          <w:rFonts w:cs="Arial"/>
          <w:szCs w:val="20"/>
        </w:rPr>
        <w:t>na ty skupiny obyvatel, které jsou považovány za ohrožené (děti, senioři, těhotné ženy) případně na určité zdravotní oblasti (např. zubní a všeobecné preventivní prohlídky). V rámci těchto programů je zvyšována informovanost a vzdělanost obyvatel v oblasti zdravotní péče. Lidé jsou seznamováni s metodami a postupy, které jim umožňují převzít aktivní roli v ochraně jejich vlastního zdraví.</w:t>
      </w:r>
    </w:p>
    <w:p w:rsidR="00DE6110" w:rsidRDefault="00DE6110" w:rsidP="00DE6110">
      <w:pPr>
        <w:keepNext w:val="0"/>
        <w:spacing w:before="120"/>
        <w:rPr>
          <w:rFonts w:cs="Arial"/>
          <w:szCs w:val="20"/>
        </w:rPr>
      </w:pPr>
      <w:r>
        <w:rPr>
          <w:rFonts w:cs="Arial"/>
          <w:szCs w:val="20"/>
        </w:rPr>
        <w:t xml:space="preserve">Významné místo v preventivní péči mají imunizační programy. Výčet povinných očkování a nepovinných očkování hrazených z veřejného pojištění se mění a s ním i výdaje na preventivní péči. Stejně tak nabídka dalších očkování, mimo jiné i pro cestování do tropických oblastí a další, se během doby vyvíjí. </w:t>
      </w:r>
    </w:p>
    <w:p w:rsidR="00DE6110" w:rsidRDefault="00DE6110" w:rsidP="00DE6110">
      <w:pPr>
        <w:keepNext w:val="0"/>
        <w:spacing w:before="120"/>
        <w:rPr>
          <w:rFonts w:cs="Arial"/>
          <w:szCs w:val="20"/>
        </w:rPr>
      </w:pPr>
      <w:r>
        <w:rPr>
          <w:rFonts w:cs="Arial"/>
          <w:szCs w:val="20"/>
        </w:rPr>
        <w:t xml:space="preserve">Další skupinou výdajů preventivní péče jsou programy pro včasné odhalení nemocí zahrnující různé typy </w:t>
      </w:r>
      <w:proofErr w:type="spellStart"/>
      <w:r>
        <w:rPr>
          <w:rFonts w:cs="Arial"/>
          <w:szCs w:val="20"/>
        </w:rPr>
        <w:t>screeningů</w:t>
      </w:r>
      <w:proofErr w:type="spellEnd"/>
      <w:r>
        <w:rPr>
          <w:rFonts w:cs="Arial"/>
          <w:szCs w:val="20"/>
        </w:rPr>
        <w:t>, diagnostické testy a lékařské prohlídky.</w:t>
      </w:r>
    </w:p>
    <w:p w:rsidR="00DE6110" w:rsidRDefault="00DE6110" w:rsidP="00DE6110">
      <w:pPr>
        <w:spacing w:before="120"/>
        <w:rPr>
          <w:rFonts w:cs="Arial"/>
          <w:szCs w:val="20"/>
        </w:rPr>
      </w:pPr>
      <w:r>
        <w:rPr>
          <w:rFonts w:cs="Arial"/>
          <w:szCs w:val="20"/>
        </w:rPr>
        <w:t xml:space="preserve">Výdajově </w:t>
      </w:r>
      <w:r w:rsidR="009E69E3">
        <w:rPr>
          <w:rFonts w:cs="Arial"/>
          <w:szCs w:val="20"/>
        </w:rPr>
        <w:t>nejvýznamnější</w:t>
      </w:r>
      <w:r>
        <w:rPr>
          <w:rFonts w:cs="Arial"/>
          <w:szCs w:val="20"/>
        </w:rPr>
        <w:t xml:space="preserve"> položkou preventivní péče jsou programy pro sledování zdravotního stavu obyvatelstva zahrnující aktivní monitoring celkového zdravotního stavu i jeho dílčích aspektů.</w:t>
      </w:r>
      <w:r w:rsidRPr="00340DD1" w:rsidDel="00A6521D">
        <w:rPr>
          <w:rFonts w:cs="Arial"/>
          <w:szCs w:val="20"/>
        </w:rPr>
        <w:t xml:space="preserve"> </w:t>
      </w:r>
    </w:p>
    <w:p w:rsidR="00C262C4" w:rsidRDefault="00C262C4">
      <w:pPr>
        <w:keepNext w:val="0"/>
        <w:spacing w:line="240" w:lineRule="auto"/>
        <w:jc w:val="left"/>
        <w:rPr>
          <w:rFonts w:eastAsia="MS Gothic"/>
          <w:b/>
          <w:bCs/>
          <w:color w:val="BC091B"/>
          <w:sz w:val="28"/>
          <w:szCs w:val="26"/>
        </w:rPr>
      </w:pPr>
      <w:r>
        <w:br w:type="page"/>
      </w:r>
    </w:p>
    <w:p w:rsidR="00143241" w:rsidRPr="004E0AD9" w:rsidRDefault="008C37B1" w:rsidP="008C37B1">
      <w:pPr>
        <w:pStyle w:val="Nadpis2"/>
        <w:spacing w:before="200" w:after="120"/>
        <w:rPr>
          <w:szCs w:val="17"/>
        </w:rPr>
      </w:pPr>
      <w:r>
        <w:lastRenderedPageBreak/>
        <w:t>2.4</w:t>
      </w:r>
      <w:r w:rsidR="00EC4548">
        <w:t xml:space="preserve"> </w:t>
      </w:r>
      <w:r w:rsidR="00143241" w:rsidRPr="004E0AD9">
        <w:t xml:space="preserve">Výdaje na </w:t>
      </w:r>
      <w:r>
        <w:t>zdravotní péči</w:t>
      </w:r>
      <w:r w:rsidR="00143241" w:rsidRPr="004E0AD9">
        <w:t xml:space="preserve"> podle </w:t>
      </w:r>
      <w:r w:rsidR="00143241">
        <w:t>typu poskytovatele</w:t>
      </w:r>
    </w:p>
    <w:p w:rsidR="00AD3810" w:rsidRDefault="00143241" w:rsidP="00AD3810">
      <w:pPr>
        <w:pStyle w:val="nazevtabulky"/>
        <w:spacing w:before="120" w:after="0" w:line="288" w:lineRule="auto"/>
        <w:rPr>
          <w:b w:val="0"/>
        </w:rPr>
      </w:pPr>
      <w:r w:rsidRPr="00143241">
        <w:rPr>
          <w:b w:val="0"/>
        </w:rPr>
        <w:t xml:space="preserve">Konečně třetí pohled na problematiku zdravotní péče </w:t>
      </w:r>
      <w:r w:rsidR="00684ECC" w:rsidRPr="00684ECC">
        <w:rPr>
          <w:b w:val="0"/>
        </w:rPr>
        <w:t>nám dává odpověď na otázku</w:t>
      </w:r>
      <w:r w:rsidRPr="00143241">
        <w:rPr>
          <w:b w:val="0"/>
        </w:rPr>
        <w:t>, kdo ji poskytuje. V tomto směru má významné místo klasifikace poskytovatelů zdravotní péče ICHA-HP</w:t>
      </w:r>
      <w:r>
        <w:rPr>
          <w:b w:val="0"/>
        </w:rPr>
        <w:t xml:space="preserve"> (</w:t>
      </w:r>
      <w:r w:rsidRPr="00143241">
        <w:rPr>
          <w:b w:val="0"/>
        </w:rPr>
        <w:t>viz blíže metodická příloha). Na tomto místě je důležité</w:t>
      </w:r>
      <w:r w:rsidR="00EC4548">
        <w:rPr>
          <w:b w:val="0"/>
        </w:rPr>
        <w:t xml:space="preserve"> upozornit</w:t>
      </w:r>
      <w:r w:rsidRPr="00143241">
        <w:rPr>
          <w:b w:val="0"/>
        </w:rPr>
        <w:t>, že každá samostatná organizace, která má vlastní identifikační číslo (IČO), je považována za jednoho poskytovatele a to bez ohledu na další členění subjektu.</w:t>
      </w:r>
    </w:p>
    <w:p w:rsidR="00143241" w:rsidRDefault="00143241" w:rsidP="00AD3810">
      <w:pPr>
        <w:pStyle w:val="nazevtabulky"/>
        <w:spacing w:before="120" w:after="0" w:line="288" w:lineRule="auto"/>
        <w:rPr>
          <w:b w:val="0"/>
        </w:rPr>
      </w:pPr>
      <w:r w:rsidRPr="00143241">
        <w:rPr>
          <w:b w:val="0"/>
        </w:rPr>
        <w:t>Rozhodující je proto typ poskytovatele přiřazený nositeli právní subjektivity, který automaticky přejímají i</w:t>
      </w:r>
      <w:r w:rsidR="00684ECC">
        <w:rPr>
          <w:b w:val="0"/>
        </w:rPr>
        <w:t> </w:t>
      </w:r>
      <w:r w:rsidRPr="00143241">
        <w:rPr>
          <w:b w:val="0"/>
        </w:rPr>
        <w:t>všechna začleněná zařízení bez vlastní právní subjektivity. Bude-li například lékárna</w:t>
      </w:r>
      <w:r w:rsidR="00EC4548">
        <w:rPr>
          <w:b w:val="0"/>
        </w:rPr>
        <w:t>, specializovaná ambulance</w:t>
      </w:r>
      <w:r w:rsidRPr="00143241">
        <w:rPr>
          <w:b w:val="0"/>
        </w:rPr>
        <w:t xml:space="preserve"> </w:t>
      </w:r>
      <w:r w:rsidR="00EC4548">
        <w:rPr>
          <w:b w:val="0"/>
        </w:rPr>
        <w:t xml:space="preserve">nebo léčebna dlouhodobě nemocných </w:t>
      </w:r>
      <w:r w:rsidRPr="00143241">
        <w:rPr>
          <w:b w:val="0"/>
        </w:rPr>
        <w:t xml:space="preserve">zařazena v rámci širšího subjektu nemocnice, pak se veškeré výdaje na </w:t>
      </w:r>
      <w:r w:rsidR="00071060">
        <w:rPr>
          <w:b w:val="0"/>
        </w:rPr>
        <w:t>toto zařízení</w:t>
      </w:r>
      <w:r w:rsidRPr="00143241">
        <w:rPr>
          <w:b w:val="0"/>
        </w:rPr>
        <w:t xml:space="preserve"> objeví ve výdajích nemocnice. Podle druhu péče pak poznáme, za jakou péči byly peníze vydány, což v případě lékárny v nemocnici mohou být například léky na předpis</w:t>
      </w:r>
      <w:r w:rsidR="00EC4548">
        <w:rPr>
          <w:b w:val="0"/>
        </w:rPr>
        <w:t>, u</w:t>
      </w:r>
      <w:r w:rsidR="00684ECC">
        <w:rPr>
          <w:b w:val="0"/>
        </w:rPr>
        <w:t> </w:t>
      </w:r>
      <w:r w:rsidR="00EC4548">
        <w:rPr>
          <w:b w:val="0"/>
        </w:rPr>
        <w:t>ambulance ambulantní léčebná péče a u léčebny dlouhodobě nemocných dlouhodobá lůžková péče</w:t>
      </w:r>
      <w:r w:rsidRPr="00143241">
        <w:rPr>
          <w:b w:val="0"/>
        </w:rPr>
        <w:t xml:space="preserve">.  </w:t>
      </w:r>
    </w:p>
    <w:p w:rsidR="00143241" w:rsidRPr="009E69E3" w:rsidRDefault="00143241" w:rsidP="009E69E3">
      <w:pPr>
        <w:pStyle w:val="nazevtabulky"/>
        <w:spacing w:after="120"/>
        <w:rPr>
          <w:sz w:val="18"/>
          <w:szCs w:val="18"/>
        </w:rPr>
      </w:pPr>
      <w:r w:rsidRPr="009E69E3">
        <w:rPr>
          <w:sz w:val="18"/>
          <w:szCs w:val="18"/>
        </w:rPr>
        <w:t>Tabulka č.</w:t>
      </w:r>
      <w:r w:rsidR="00EC4548" w:rsidRPr="009E69E3">
        <w:rPr>
          <w:sz w:val="18"/>
          <w:szCs w:val="18"/>
        </w:rPr>
        <w:t xml:space="preserve"> </w:t>
      </w:r>
      <w:r w:rsidRPr="009E69E3">
        <w:rPr>
          <w:sz w:val="18"/>
          <w:szCs w:val="18"/>
        </w:rPr>
        <w:t>2.</w:t>
      </w:r>
      <w:r w:rsidR="00071060" w:rsidRPr="009E69E3">
        <w:rPr>
          <w:sz w:val="18"/>
          <w:szCs w:val="18"/>
        </w:rPr>
        <w:t>3</w:t>
      </w:r>
      <w:r w:rsidRPr="009E69E3">
        <w:rPr>
          <w:sz w:val="18"/>
          <w:szCs w:val="18"/>
        </w:rPr>
        <w:t xml:space="preserve"> Výdaje na </w:t>
      </w:r>
      <w:r w:rsidR="008C37B1" w:rsidRPr="009E69E3">
        <w:rPr>
          <w:sz w:val="18"/>
          <w:szCs w:val="18"/>
        </w:rPr>
        <w:t>zdravotní péči</w:t>
      </w:r>
      <w:r w:rsidRPr="009E69E3">
        <w:rPr>
          <w:sz w:val="18"/>
          <w:szCs w:val="18"/>
        </w:rPr>
        <w:t xml:space="preserve"> </w:t>
      </w:r>
      <w:r w:rsidR="009E69E3">
        <w:rPr>
          <w:sz w:val="18"/>
          <w:szCs w:val="18"/>
        </w:rPr>
        <w:t xml:space="preserve">v ČR </w:t>
      </w:r>
      <w:r w:rsidRPr="009E69E3">
        <w:rPr>
          <w:sz w:val="18"/>
          <w:szCs w:val="18"/>
        </w:rPr>
        <w:t>podle typu poskytovatele</w:t>
      </w:r>
      <w:r w:rsidR="00684ECC">
        <w:rPr>
          <w:sz w:val="18"/>
          <w:szCs w:val="18"/>
        </w:rPr>
        <w:t xml:space="preserve"> </w:t>
      </w:r>
      <w:r w:rsidRPr="009E69E3">
        <w:rPr>
          <w:sz w:val="18"/>
          <w:szCs w:val="18"/>
        </w:rPr>
        <w:t>(mil.</w:t>
      </w:r>
      <w:r w:rsidR="00EC4548" w:rsidRPr="009E69E3">
        <w:rPr>
          <w:sz w:val="18"/>
          <w:szCs w:val="18"/>
        </w:rPr>
        <w:t xml:space="preserve"> </w:t>
      </w:r>
      <w:r w:rsidRPr="009E69E3">
        <w:rPr>
          <w:sz w:val="18"/>
          <w:szCs w:val="18"/>
        </w:rPr>
        <w:t>Kč)</w:t>
      </w:r>
    </w:p>
    <w:tbl>
      <w:tblPr>
        <w:tblW w:w="9579" w:type="dxa"/>
        <w:tblInd w:w="65" w:type="dxa"/>
        <w:tblLayout w:type="fixed"/>
        <w:tblCellMar>
          <w:left w:w="70" w:type="dxa"/>
          <w:right w:w="70" w:type="dxa"/>
        </w:tblCellMar>
        <w:tblLook w:val="04A0" w:firstRow="1" w:lastRow="0" w:firstColumn="1" w:lastColumn="0" w:noHBand="0" w:noVBand="1"/>
      </w:tblPr>
      <w:tblGrid>
        <w:gridCol w:w="4541"/>
        <w:gridCol w:w="812"/>
        <w:gridCol w:w="812"/>
        <w:gridCol w:w="812"/>
        <w:gridCol w:w="812"/>
        <w:gridCol w:w="813"/>
        <w:gridCol w:w="977"/>
      </w:tblGrid>
      <w:tr w:rsidR="00143241" w:rsidRPr="00143241" w:rsidTr="009E69E3">
        <w:trPr>
          <w:trHeight w:val="451"/>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left"/>
              <w:rPr>
                <w:rFonts w:cs="Arial"/>
                <w:b/>
                <w:color w:val="000000"/>
                <w:sz w:val="16"/>
                <w:szCs w:val="16"/>
              </w:rPr>
            </w:pPr>
            <w:r w:rsidRPr="00143241">
              <w:rPr>
                <w:rFonts w:cs="Arial"/>
                <w:b/>
                <w:color w:val="000000"/>
                <w:sz w:val="16"/>
                <w:szCs w:val="16"/>
              </w:rPr>
              <w:t>Typ poskytovatele (ICHA-HP)</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center"/>
              <w:rPr>
                <w:rFonts w:cs="Arial"/>
                <w:b/>
                <w:color w:val="000000"/>
                <w:sz w:val="16"/>
                <w:szCs w:val="16"/>
              </w:rPr>
            </w:pPr>
            <w:r w:rsidRPr="00143241">
              <w:rPr>
                <w:rFonts w:cs="Arial"/>
                <w:b/>
                <w:color w:val="000000"/>
                <w:sz w:val="16"/>
                <w:szCs w:val="16"/>
              </w:rPr>
              <w:t>2010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center"/>
              <w:rPr>
                <w:rFonts w:cs="Arial"/>
                <w:b/>
                <w:color w:val="000000"/>
                <w:sz w:val="16"/>
                <w:szCs w:val="16"/>
              </w:rPr>
            </w:pPr>
            <w:r w:rsidRPr="00143241">
              <w:rPr>
                <w:rFonts w:cs="Arial"/>
                <w:b/>
                <w:color w:val="000000"/>
                <w:sz w:val="16"/>
                <w:szCs w:val="16"/>
              </w:rPr>
              <w:t>2011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center"/>
              <w:rPr>
                <w:rFonts w:cs="Arial"/>
                <w:b/>
                <w:color w:val="000000"/>
                <w:sz w:val="16"/>
                <w:szCs w:val="16"/>
              </w:rPr>
            </w:pPr>
            <w:r w:rsidRPr="00143241">
              <w:rPr>
                <w:rFonts w:cs="Arial"/>
                <w:b/>
                <w:color w:val="000000"/>
                <w:sz w:val="16"/>
                <w:szCs w:val="16"/>
              </w:rPr>
              <w:t>2012</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center"/>
              <w:rPr>
                <w:rFonts w:cs="Arial"/>
                <w:b/>
                <w:color w:val="000000"/>
                <w:sz w:val="16"/>
                <w:szCs w:val="16"/>
              </w:rPr>
            </w:pPr>
            <w:r w:rsidRPr="00143241">
              <w:rPr>
                <w:rFonts w:cs="Arial"/>
                <w:b/>
                <w:color w:val="000000"/>
                <w:sz w:val="16"/>
                <w:szCs w:val="16"/>
              </w:rPr>
              <w:t>2013</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143241" w:rsidRPr="00143241" w:rsidRDefault="00143241" w:rsidP="009E69E3">
            <w:pPr>
              <w:keepNext w:val="0"/>
              <w:spacing w:line="240" w:lineRule="auto"/>
              <w:jc w:val="center"/>
              <w:rPr>
                <w:rFonts w:cs="Arial"/>
                <w:b/>
                <w:color w:val="000000"/>
                <w:sz w:val="16"/>
                <w:szCs w:val="16"/>
              </w:rPr>
            </w:pPr>
            <w:r w:rsidRPr="00143241">
              <w:rPr>
                <w:rFonts w:cs="Arial"/>
                <w:b/>
                <w:color w:val="000000"/>
                <w:sz w:val="16"/>
                <w:szCs w:val="16"/>
              </w:rPr>
              <w:t>2014</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143241" w:rsidRPr="00143241" w:rsidRDefault="00143241" w:rsidP="009E69E3">
            <w:pPr>
              <w:keepNext w:val="0"/>
              <w:spacing w:line="240" w:lineRule="auto"/>
              <w:jc w:val="center"/>
              <w:rPr>
                <w:rFonts w:cs="Arial"/>
                <w:b/>
                <w:bCs/>
                <w:color w:val="000000"/>
                <w:sz w:val="16"/>
                <w:szCs w:val="16"/>
              </w:rPr>
            </w:pPr>
            <w:r w:rsidRPr="00143241">
              <w:rPr>
                <w:rFonts w:cs="Arial"/>
                <w:b/>
                <w:bCs/>
                <w:color w:val="000000"/>
                <w:sz w:val="16"/>
                <w:szCs w:val="16"/>
              </w:rPr>
              <w:t>Index 2014/2013</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1 Nemocnice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134</w:t>
            </w:r>
            <w:r>
              <w:rPr>
                <w:rFonts w:cs="Arial"/>
                <w:color w:val="000000"/>
                <w:sz w:val="16"/>
                <w:szCs w:val="16"/>
              </w:rPr>
              <w:t xml:space="preserve"> </w:t>
            </w:r>
            <w:r w:rsidRPr="00B9227B">
              <w:rPr>
                <w:rFonts w:cs="Arial"/>
                <w:color w:val="000000"/>
                <w:sz w:val="16"/>
                <w:szCs w:val="16"/>
              </w:rPr>
              <w:t>163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133</w:t>
            </w:r>
            <w:r>
              <w:rPr>
                <w:rFonts w:cs="Arial"/>
                <w:color w:val="000000"/>
                <w:sz w:val="16"/>
                <w:szCs w:val="16"/>
              </w:rPr>
              <w:t xml:space="preserve"> </w:t>
            </w:r>
            <w:r w:rsidRPr="00B9227B">
              <w:rPr>
                <w:rFonts w:cs="Arial"/>
                <w:color w:val="000000"/>
                <w:sz w:val="16"/>
                <w:szCs w:val="16"/>
              </w:rPr>
              <w:t>598</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134</w:t>
            </w:r>
            <w:r>
              <w:rPr>
                <w:rFonts w:cs="Arial"/>
                <w:color w:val="000000"/>
                <w:sz w:val="16"/>
                <w:szCs w:val="16"/>
              </w:rPr>
              <w:t xml:space="preserve"> </w:t>
            </w:r>
            <w:r w:rsidRPr="00B9227B">
              <w:rPr>
                <w:rFonts w:cs="Arial"/>
                <w:color w:val="000000"/>
                <w:sz w:val="16"/>
                <w:szCs w:val="16"/>
              </w:rPr>
              <w:t>345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136</w:t>
            </w:r>
            <w:r>
              <w:rPr>
                <w:rFonts w:cs="Arial"/>
                <w:color w:val="000000"/>
                <w:sz w:val="16"/>
                <w:szCs w:val="16"/>
              </w:rPr>
              <w:t xml:space="preserve"> </w:t>
            </w:r>
            <w:r w:rsidRPr="00B9227B">
              <w:rPr>
                <w:rFonts w:cs="Arial"/>
                <w:color w:val="000000"/>
                <w:sz w:val="16"/>
                <w:szCs w:val="16"/>
              </w:rPr>
              <w:t>444</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139</w:t>
            </w:r>
            <w:r>
              <w:rPr>
                <w:rFonts w:cs="Arial"/>
                <w:color w:val="000000"/>
                <w:sz w:val="16"/>
                <w:szCs w:val="16"/>
              </w:rPr>
              <w:t xml:space="preserve"> </w:t>
            </w:r>
            <w:r w:rsidRPr="00B9227B">
              <w:rPr>
                <w:rFonts w:cs="Arial"/>
                <w:color w:val="000000"/>
                <w:sz w:val="16"/>
                <w:szCs w:val="16"/>
              </w:rPr>
              <w:t>543</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102,3</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1.1 Všeobecné nemocnice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114</w:t>
            </w:r>
            <w:r>
              <w:rPr>
                <w:rFonts w:cs="Arial"/>
                <w:color w:val="000000"/>
                <w:sz w:val="16"/>
                <w:szCs w:val="16"/>
              </w:rPr>
              <w:t xml:space="preserve"> </w:t>
            </w:r>
            <w:r w:rsidRPr="00B9227B">
              <w:rPr>
                <w:rFonts w:cs="Arial"/>
                <w:color w:val="000000"/>
                <w:sz w:val="16"/>
                <w:szCs w:val="16"/>
              </w:rPr>
              <w:t>886</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117</w:t>
            </w:r>
            <w:r>
              <w:rPr>
                <w:rFonts w:cs="Arial"/>
                <w:color w:val="000000"/>
                <w:sz w:val="16"/>
                <w:szCs w:val="16"/>
              </w:rPr>
              <w:t xml:space="preserve"> </w:t>
            </w:r>
            <w:r w:rsidRPr="00B9227B">
              <w:rPr>
                <w:rFonts w:cs="Arial"/>
                <w:color w:val="000000"/>
                <w:sz w:val="16"/>
                <w:szCs w:val="16"/>
              </w:rPr>
              <w:t>197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116</w:t>
            </w:r>
            <w:r>
              <w:rPr>
                <w:rFonts w:cs="Arial"/>
                <w:color w:val="000000"/>
                <w:sz w:val="16"/>
                <w:szCs w:val="16"/>
              </w:rPr>
              <w:t xml:space="preserve"> </w:t>
            </w:r>
            <w:r w:rsidRPr="00B9227B">
              <w:rPr>
                <w:rFonts w:cs="Arial"/>
                <w:color w:val="000000"/>
                <w:sz w:val="16"/>
                <w:szCs w:val="16"/>
              </w:rPr>
              <w:t>860</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118</w:t>
            </w:r>
            <w:r>
              <w:rPr>
                <w:rFonts w:cs="Arial"/>
                <w:color w:val="000000"/>
                <w:sz w:val="16"/>
                <w:szCs w:val="16"/>
              </w:rPr>
              <w:t xml:space="preserve"> </w:t>
            </w:r>
            <w:r w:rsidRPr="00B9227B">
              <w:rPr>
                <w:rFonts w:cs="Arial"/>
                <w:color w:val="000000"/>
                <w:sz w:val="16"/>
                <w:szCs w:val="16"/>
              </w:rPr>
              <w:t>965</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121</w:t>
            </w:r>
            <w:r>
              <w:rPr>
                <w:rFonts w:cs="Arial"/>
                <w:color w:val="000000"/>
                <w:sz w:val="16"/>
                <w:szCs w:val="16"/>
              </w:rPr>
              <w:t xml:space="preserve"> </w:t>
            </w:r>
            <w:r w:rsidRPr="00B9227B">
              <w:rPr>
                <w:rFonts w:cs="Arial"/>
                <w:color w:val="000000"/>
                <w:sz w:val="16"/>
                <w:szCs w:val="16"/>
              </w:rPr>
              <w:t>340</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102,0</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1.2 Psychiatrické nemocnice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757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812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615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518</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770</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103,0</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1.3 Specializované nemocnice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10</w:t>
            </w:r>
            <w:r>
              <w:rPr>
                <w:rFonts w:cs="Arial"/>
                <w:color w:val="000000"/>
                <w:sz w:val="16"/>
                <w:szCs w:val="16"/>
              </w:rPr>
              <w:t xml:space="preserve"> </w:t>
            </w:r>
            <w:r w:rsidRPr="00B9227B">
              <w:rPr>
                <w:rFonts w:cs="Arial"/>
                <w:color w:val="000000"/>
                <w:sz w:val="16"/>
                <w:szCs w:val="16"/>
              </w:rPr>
              <w:t>519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9</w:t>
            </w:r>
            <w:r>
              <w:rPr>
                <w:rFonts w:cs="Arial"/>
                <w:color w:val="000000"/>
                <w:sz w:val="16"/>
                <w:szCs w:val="16"/>
              </w:rPr>
              <w:t xml:space="preserve"> </w:t>
            </w:r>
            <w:r w:rsidRPr="00B9227B">
              <w:rPr>
                <w:rFonts w:cs="Arial"/>
                <w:color w:val="000000"/>
                <w:sz w:val="16"/>
                <w:szCs w:val="16"/>
              </w:rPr>
              <w:t>588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869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962</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9</w:t>
            </w:r>
            <w:r>
              <w:rPr>
                <w:rFonts w:cs="Arial"/>
                <w:color w:val="000000"/>
                <w:sz w:val="16"/>
                <w:szCs w:val="16"/>
              </w:rPr>
              <w:t xml:space="preserve"> </w:t>
            </w:r>
            <w:r w:rsidRPr="00B9227B">
              <w:rPr>
                <w:rFonts w:cs="Arial"/>
                <w:color w:val="000000"/>
                <w:sz w:val="16"/>
                <w:szCs w:val="16"/>
              </w:rPr>
              <w:t>432</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105,3</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AF11AD" w:rsidP="00143241">
            <w:pPr>
              <w:keepNext w:val="0"/>
              <w:spacing w:line="240" w:lineRule="auto"/>
              <w:jc w:val="left"/>
              <w:rPr>
                <w:rFonts w:cs="Arial"/>
                <w:color w:val="000000"/>
                <w:sz w:val="16"/>
                <w:szCs w:val="16"/>
              </w:rPr>
            </w:pPr>
            <w:r>
              <w:rPr>
                <w:rFonts w:cs="Arial"/>
                <w:color w:val="000000"/>
                <w:sz w:val="16"/>
                <w:szCs w:val="16"/>
              </w:rPr>
              <w:t>2 Lůžková</w:t>
            </w:r>
            <w:r w:rsidR="00B9227B" w:rsidRPr="00143241">
              <w:rPr>
                <w:rFonts w:cs="Arial"/>
                <w:color w:val="000000"/>
                <w:sz w:val="16"/>
                <w:szCs w:val="16"/>
              </w:rPr>
              <w:t xml:space="preserve"> zařízení dlouhodobé péče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20</w:t>
            </w:r>
            <w:r>
              <w:rPr>
                <w:rFonts w:cs="Arial"/>
                <w:color w:val="000000"/>
                <w:sz w:val="16"/>
                <w:szCs w:val="16"/>
              </w:rPr>
              <w:t xml:space="preserve"> </w:t>
            </w:r>
            <w:r w:rsidRPr="00B9227B">
              <w:rPr>
                <w:rFonts w:cs="Arial"/>
                <w:color w:val="000000"/>
                <w:sz w:val="16"/>
                <w:szCs w:val="16"/>
              </w:rPr>
              <w:t>781</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20</w:t>
            </w:r>
            <w:r>
              <w:rPr>
                <w:rFonts w:cs="Arial"/>
                <w:color w:val="000000"/>
                <w:sz w:val="16"/>
                <w:szCs w:val="16"/>
              </w:rPr>
              <w:t xml:space="preserve"> </w:t>
            </w:r>
            <w:r w:rsidRPr="00B9227B">
              <w:rPr>
                <w:rFonts w:cs="Arial"/>
                <w:color w:val="000000"/>
                <w:sz w:val="16"/>
                <w:szCs w:val="16"/>
              </w:rPr>
              <w:t>945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21</w:t>
            </w:r>
            <w:r>
              <w:rPr>
                <w:rFonts w:cs="Arial"/>
                <w:color w:val="000000"/>
                <w:sz w:val="16"/>
                <w:szCs w:val="16"/>
              </w:rPr>
              <w:t xml:space="preserve"> </w:t>
            </w:r>
            <w:r w:rsidRPr="00B9227B">
              <w:rPr>
                <w:rFonts w:cs="Arial"/>
                <w:color w:val="000000"/>
                <w:sz w:val="16"/>
                <w:szCs w:val="16"/>
              </w:rPr>
              <w:t>033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21</w:t>
            </w:r>
            <w:r>
              <w:rPr>
                <w:rFonts w:cs="Arial"/>
                <w:color w:val="000000"/>
                <w:sz w:val="16"/>
                <w:szCs w:val="16"/>
              </w:rPr>
              <w:t xml:space="preserve"> </w:t>
            </w:r>
            <w:r w:rsidRPr="00B9227B">
              <w:rPr>
                <w:rFonts w:cs="Arial"/>
                <w:color w:val="000000"/>
                <w:sz w:val="16"/>
                <w:szCs w:val="16"/>
              </w:rPr>
              <w:t>889</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22</w:t>
            </w:r>
            <w:r>
              <w:rPr>
                <w:rFonts w:cs="Arial"/>
                <w:color w:val="000000"/>
                <w:sz w:val="16"/>
                <w:szCs w:val="16"/>
              </w:rPr>
              <w:t xml:space="preserve"> </w:t>
            </w:r>
            <w:r w:rsidRPr="00B9227B">
              <w:rPr>
                <w:rFonts w:cs="Arial"/>
                <w:color w:val="000000"/>
                <w:sz w:val="16"/>
                <w:szCs w:val="16"/>
              </w:rPr>
              <w:t>568</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103,1</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2.1 Zařízení ošetřovatelské dlouhodobé péče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546</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662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565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922</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884</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99,7</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AF11AD" w:rsidP="00AF11AD">
            <w:pPr>
              <w:keepNext w:val="0"/>
              <w:spacing w:line="240" w:lineRule="auto"/>
              <w:contextualSpacing/>
              <w:jc w:val="left"/>
              <w:rPr>
                <w:rFonts w:cs="Arial"/>
                <w:color w:val="000000"/>
                <w:sz w:val="16"/>
                <w:szCs w:val="16"/>
              </w:rPr>
            </w:pPr>
            <w:r>
              <w:rPr>
                <w:rFonts w:cs="Arial"/>
                <w:color w:val="000000"/>
                <w:sz w:val="16"/>
                <w:szCs w:val="16"/>
              </w:rPr>
              <w:t xml:space="preserve">   2.2 </w:t>
            </w:r>
            <w:r w:rsidR="00B9227B" w:rsidRPr="00143241">
              <w:rPr>
                <w:rFonts w:cs="Arial"/>
                <w:color w:val="000000"/>
                <w:sz w:val="16"/>
                <w:szCs w:val="16"/>
              </w:rPr>
              <w:t>Léčebny pro mentálně postižené, psychiatrické a závislé</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005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183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294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883</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9</w:t>
            </w:r>
            <w:r>
              <w:rPr>
                <w:rFonts w:cs="Arial"/>
                <w:color w:val="000000"/>
                <w:sz w:val="16"/>
                <w:szCs w:val="16"/>
              </w:rPr>
              <w:t xml:space="preserve"> </w:t>
            </w:r>
            <w:r w:rsidRPr="00B9227B">
              <w:rPr>
                <w:rFonts w:cs="Arial"/>
                <w:color w:val="000000"/>
                <w:sz w:val="16"/>
                <w:szCs w:val="16"/>
              </w:rPr>
              <w:t>695</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109,1</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6D73B7">
            <w:pPr>
              <w:keepNext w:val="0"/>
              <w:spacing w:line="240" w:lineRule="auto"/>
              <w:jc w:val="left"/>
              <w:rPr>
                <w:rFonts w:cs="Arial"/>
                <w:color w:val="000000"/>
                <w:sz w:val="16"/>
                <w:szCs w:val="16"/>
              </w:rPr>
            </w:pPr>
            <w:r w:rsidRPr="00143241">
              <w:rPr>
                <w:rFonts w:cs="Arial"/>
                <w:color w:val="000000"/>
                <w:sz w:val="16"/>
                <w:szCs w:val="16"/>
              </w:rPr>
              <w:t xml:space="preserve">   2.9 Ostatní </w:t>
            </w:r>
            <w:r w:rsidR="006D73B7" w:rsidRPr="00143241">
              <w:rPr>
                <w:rFonts w:cs="Arial"/>
                <w:color w:val="000000"/>
                <w:sz w:val="16"/>
                <w:szCs w:val="16"/>
              </w:rPr>
              <w:t>lůžkov</w:t>
            </w:r>
            <w:r w:rsidR="006D73B7">
              <w:rPr>
                <w:rFonts w:cs="Arial"/>
                <w:color w:val="000000"/>
                <w:sz w:val="16"/>
                <w:szCs w:val="16"/>
              </w:rPr>
              <w:t>á</w:t>
            </w:r>
            <w:r w:rsidR="006D73B7" w:rsidRPr="00143241">
              <w:rPr>
                <w:rFonts w:cs="Arial"/>
                <w:color w:val="000000"/>
                <w:sz w:val="16"/>
                <w:szCs w:val="16"/>
              </w:rPr>
              <w:t xml:space="preserve"> </w:t>
            </w:r>
            <w:r w:rsidRPr="00143241">
              <w:rPr>
                <w:rFonts w:cs="Arial"/>
                <w:color w:val="000000"/>
                <w:sz w:val="16"/>
                <w:szCs w:val="16"/>
              </w:rPr>
              <w:t>zařízení</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230</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100</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174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084</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Pr>
                <w:rFonts w:cs="Arial"/>
                <w:color w:val="000000"/>
                <w:sz w:val="16"/>
                <w:szCs w:val="16"/>
              </w:rPr>
              <w:t xml:space="preserve"> </w:t>
            </w:r>
            <w:r w:rsidRPr="00B9227B">
              <w:rPr>
                <w:rFonts w:cs="Arial"/>
                <w:color w:val="000000"/>
                <w:sz w:val="16"/>
                <w:szCs w:val="16"/>
              </w:rPr>
              <w:t>989</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91,2</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D91F2B">
            <w:pPr>
              <w:keepNext w:val="0"/>
              <w:spacing w:line="240" w:lineRule="auto"/>
              <w:jc w:val="left"/>
              <w:rPr>
                <w:rFonts w:cs="Arial"/>
                <w:color w:val="000000"/>
                <w:sz w:val="16"/>
                <w:szCs w:val="16"/>
              </w:rPr>
            </w:pPr>
            <w:r w:rsidRPr="00143241">
              <w:rPr>
                <w:rFonts w:cs="Arial"/>
                <w:color w:val="000000"/>
                <w:sz w:val="16"/>
                <w:szCs w:val="16"/>
              </w:rPr>
              <w:t xml:space="preserve">3 </w:t>
            </w:r>
            <w:r w:rsidR="00D91F2B">
              <w:rPr>
                <w:rFonts w:cs="Arial"/>
                <w:color w:val="000000"/>
                <w:sz w:val="16"/>
                <w:szCs w:val="16"/>
              </w:rPr>
              <w:t>Poskytovatelé</w:t>
            </w:r>
            <w:r w:rsidRPr="00143241">
              <w:rPr>
                <w:rFonts w:cs="Arial"/>
                <w:color w:val="000000"/>
                <w:sz w:val="16"/>
                <w:szCs w:val="16"/>
              </w:rPr>
              <w:t xml:space="preserve"> ambulantní péče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66</w:t>
            </w:r>
            <w:r>
              <w:rPr>
                <w:rFonts w:cs="Arial"/>
                <w:color w:val="000000"/>
                <w:sz w:val="16"/>
                <w:szCs w:val="16"/>
              </w:rPr>
              <w:t xml:space="preserve"> </w:t>
            </w:r>
            <w:r w:rsidRPr="00B9227B">
              <w:rPr>
                <w:rFonts w:cs="Arial"/>
                <w:color w:val="000000"/>
                <w:sz w:val="16"/>
                <w:szCs w:val="16"/>
              </w:rPr>
              <w:t>176</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69</w:t>
            </w:r>
            <w:r>
              <w:rPr>
                <w:rFonts w:cs="Arial"/>
                <w:color w:val="000000"/>
                <w:sz w:val="16"/>
                <w:szCs w:val="16"/>
              </w:rPr>
              <w:t xml:space="preserve"> </w:t>
            </w:r>
            <w:r w:rsidRPr="00B9227B">
              <w:rPr>
                <w:rFonts w:cs="Arial"/>
                <w:color w:val="000000"/>
                <w:sz w:val="16"/>
                <w:szCs w:val="16"/>
              </w:rPr>
              <w:t>012</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68</w:t>
            </w:r>
            <w:r>
              <w:rPr>
                <w:rFonts w:cs="Arial"/>
                <w:color w:val="000000"/>
                <w:sz w:val="16"/>
                <w:szCs w:val="16"/>
              </w:rPr>
              <w:t xml:space="preserve"> </w:t>
            </w:r>
            <w:r w:rsidRPr="00B9227B">
              <w:rPr>
                <w:rFonts w:cs="Arial"/>
                <w:color w:val="000000"/>
                <w:sz w:val="16"/>
                <w:szCs w:val="16"/>
              </w:rPr>
              <w:t>404</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70</w:t>
            </w:r>
            <w:r>
              <w:rPr>
                <w:rFonts w:cs="Arial"/>
                <w:color w:val="000000"/>
                <w:sz w:val="16"/>
                <w:szCs w:val="16"/>
              </w:rPr>
              <w:t xml:space="preserve"> </w:t>
            </w:r>
            <w:r w:rsidRPr="00B9227B">
              <w:rPr>
                <w:rFonts w:cs="Arial"/>
                <w:color w:val="000000"/>
                <w:sz w:val="16"/>
                <w:szCs w:val="16"/>
              </w:rPr>
              <w:t>651</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70</w:t>
            </w:r>
            <w:r>
              <w:rPr>
                <w:rFonts w:cs="Arial"/>
                <w:color w:val="000000"/>
                <w:sz w:val="16"/>
                <w:szCs w:val="16"/>
              </w:rPr>
              <w:t xml:space="preserve"> </w:t>
            </w:r>
            <w:r w:rsidRPr="00B9227B">
              <w:rPr>
                <w:rFonts w:cs="Arial"/>
                <w:color w:val="000000"/>
                <w:sz w:val="16"/>
                <w:szCs w:val="16"/>
              </w:rPr>
              <w:t>110</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99,2</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D91F2B" w:rsidP="00143241">
            <w:pPr>
              <w:keepNext w:val="0"/>
              <w:spacing w:line="240" w:lineRule="auto"/>
              <w:jc w:val="left"/>
              <w:rPr>
                <w:rFonts w:cs="Arial"/>
                <w:color w:val="000000"/>
                <w:sz w:val="16"/>
                <w:szCs w:val="16"/>
              </w:rPr>
            </w:pPr>
            <w:r>
              <w:rPr>
                <w:rFonts w:cs="Arial"/>
                <w:color w:val="000000"/>
                <w:sz w:val="16"/>
                <w:szCs w:val="16"/>
              </w:rPr>
              <w:t xml:space="preserve">   3.1 Samostatné o</w:t>
            </w:r>
            <w:r w:rsidR="00B9227B" w:rsidRPr="00143241">
              <w:rPr>
                <w:rFonts w:cs="Arial"/>
                <w:color w:val="000000"/>
                <w:sz w:val="16"/>
                <w:szCs w:val="16"/>
              </w:rPr>
              <w:t>rdinace lékaře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37</w:t>
            </w:r>
            <w:r>
              <w:rPr>
                <w:rFonts w:cs="Arial"/>
                <w:color w:val="000000"/>
                <w:sz w:val="16"/>
                <w:szCs w:val="16"/>
              </w:rPr>
              <w:t xml:space="preserve"> </w:t>
            </w:r>
            <w:r w:rsidRPr="00B9227B">
              <w:rPr>
                <w:rFonts w:cs="Arial"/>
                <w:color w:val="000000"/>
                <w:sz w:val="16"/>
                <w:szCs w:val="16"/>
              </w:rPr>
              <w:t>202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37</w:t>
            </w:r>
            <w:r>
              <w:rPr>
                <w:rFonts w:cs="Arial"/>
                <w:color w:val="000000"/>
                <w:sz w:val="16"/>
                <w:szCs w:val="16"/>
              </w:rPr>
              <w:t xml:space="preserve"> </w:t>
            </w:r>
            <w:r w:rsidRPr="00B9227B">
              <w:rPr>
                <w:rFonts w:cs="Arial"/>
                <w:color w:val="000000"/>
                <w:sz w:val="16"/>
                <w:szCs w:val="16"/>
              </w:rPr>
              <w:t>752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37</w:t>
            </w:r>
            <w:r>
              <w:rPr>
                <w:rFonts w:cs="Arial"/>
                <w:color w:val="000000"/>
                <w:sz w:val="16"/>
                <w:szCs w:val="16"/>
              </w:rPr>
              <w:t xml:space="preserve"> </w:t>
            </w:r>
            <w:r w:rsidRPr="00B9227B">
              <w:rPr>
                <w:rFonts w:cs="Arial"/>
                <w:color w:val="000000"/>
                <w:sz w:val="16"/>
                <w:szCs w:val="16"/>
              </w:rPr>
              <w:t>590</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38</w:t>
            </w:r>
            <w:r>
              <w:rPr>
                <w:rFonts w:cs="Arial"/>
                <w:color w:val="000000"/>
                <w:sz w:val="16"/>
                <w:szCs w:val="16"/>
              </w:rPr>
              <w:t xml:space="preserve"> </w:t>
            </w:r>
            <w:r w:rsidRPr="00B9227B">
              <w:rPr>
                <w:rFonts w:cs="Arial"/>
                <w:color w:val="000000"/>
                <w:sz w:val="16"/>
                <w:szCs w:val="16"/>
              </w:rPr>
              <w:t>556</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37</w:t>
            </w:r>
            <w:r>
              <w:rPr>
                <w:rFonts w:cs="Arial"/>
                <w:color w:val="000000"/>
                <w:sz w:val="16"/>
                <w:szCs w:val="16"/>
              </w:rPr>
              <w:t xml:space="preserve"> </w:t>
            </w:r>
            <w:r w:rsidRPr="00B9227B">
              <w:rPr>
                <w:rFonts w:cs="Arial"/>
                <w:color w:val="000000"/>
                <w:sz w:val="16"/>
                <w:szCs w:val="16"/>
              </w:rPr>
              <w:t>992</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98,5</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D91F2B" w:rsidP="00143241">
            <w:pPr>
              <w:keepNext w:val="0"/>
              <w:spacing w:line="240" w:lineRule="auto"/>
              <w:jc w:val="left"/>
              <w:rPr>
                <w:rFonts w:cs="Arial"/>
                <w:color w:val="000000"/>
                <w:sz w:val="16"/>
                <w:szCs w:val="16"/>
              </w:rPr>
            </w:pPr>
            <w:r>
              <w:rPr>
                <w:rFonts w:cs="Arial"/>
                <w:color w:val="000000"/>
                <w:sz w:val="16"/>
                <w:szCs w:val="16"/>
              </w:rPr>
              <w:t xml:space="preserve">   3.2 Samostatné ordinace zubních lékařů</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16</w:t>
            </w:r>
            <w:r>
              <w:rPr>
                <w:rFonts w:cs="Arial"/>
                <w:color w:val="000000"/>
                <w:sz w:val="16"/>
                <w:szCs w:val="16"/>
              </w:rPr>
              <w:t xml:space="preserve"> </w:t>
            </w:r>
            <w:r w:rsidRPr="00B9227B">
              <w:rPr>
                <w:rFonts w:cs="Arial"/>
                <w:color w:val="000000"/>
                <w:sz w:val="16"/>
                <w:szCs w:val="16"/>
              </w:rPr>
              <w:t>179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16</w:t>
            </w:r>
            <w:r>
              <w:rPr>
                <w:rFonts w:cs="Arial"/>
                <w:color w:val="000000"/>
                <w:sz w:val="16"/>
                <w:szCs w:val="16"/>
              </w:rPr>
              <w:t xml:space="preserve"> </w:t>
            </w:r>
            <w:r w:rsidRPr="00B9227B">
              <w:rPr>
                <w:rFonts w:cs="Arial"/>
                <w:color w:val="000000"/>
                <w:sz w:val="16"/>
                <w:szCs w:val="16"/>
              </w:rPr>
              <w:t>547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15</w:t>
            </w:r>
            <w:r>
              <w:rPr>
                <w:rFonts w:cs="Arial"/>
                <w:color w:val="000000"/>
                <w:sz w:val="16"/>
                <w:szCs w:val="16"/>
              </w:rPr>
              <w:t xml:space="preserve"> </w:t>
            </w:r>
            <w:r w:rsidRPr="00B9227B">
              <w:rPr>
                <w:rFonts w:cs="Arial"/>
                <w:color w:val="000000"/>
                <w:sz w:val="16"/>
                <w:szCs w:val="16"/>
              </w:rPr>
              <w:t>904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16</w:t>
            </w:r>
            <w:r>
              <w:rPr>
                <w:rFonts w:cs="Arial"/>
                <w:color w:val="000000"/>
                <w:sz w:val="16"/>
                <w:szCs w:val="16"/>
              </w:rPr>
              <w:t xml:space="preserve"> </w:t>
            </w:r>
            <w:r w:rsidRPr="00B9227B">
              <w:rPr>
                <w:rFonts w:cs="Arial"/>
                <w:color w:val="000000"/>
                <w:sz w:val="16"/>
                <w:szCs w:val="16"/>
              </w:rPr>
              <w:t>391</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16</w:t>
            </w:r>
            <w:r>
              <w:rPr>
                <w:rFonts w:cs="Arial"/>
                <w:color w:val="000000"/>
                <w:sz w:val="16"/>
                <w:szCs w:val="16"/>
              </w:rPr>
              <w:t xml:space="preserve"> </w:t>
            </w:r>
            <w:r w:rsidRPr="00B9227B">
              <w:rPr>
                <w:rFonts w:cs="Arial"/>
                <w:color w:val="000000"/>
                <w:sz w:val="16"/>
                <w:szCs w:val="16"/>
              </w:rPr>
              <w:t>173</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98,7</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3.3 Ostatní poskytovatelé zdravotní péče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w:t>
            </w:r>
            <w:r>
              <w:rPr>
                <w:rFonts w:cs="Arial"/>
                <w:color w:val="000000"/>
                <w:sz w:val="16"/>
                <w:szCs w:val="16"/>
              </w:rPr>
              <w:t xml:space="preserve"> </w:t>
            </w:r>
            <w:r w:rsidRPr="00B9227B">
              <w:rPr>
                <w:rFonts w:cs="Arial"/>
                <w:color w:val="000000"/>
                <w:sz w:val="16"/>
                <w:szCs w:val="16"/>
              </w:rPr>
              <w:t>229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w:t>
            </w:r>
            <w:r>
              <w:rPr>
                <w:rFonts w:cs="Arial"/>
                <w:color w:val="000000"/>
                <w:sz w:val="16"/>
                <w:szCs w:val="16"/>
              </w:rPr>
              <w:t xml:space="preserve"> </w:t>
            </w:r>
            <w:r w:rsidRPr="00B9227B">
              <w:rPr>
                <w:rFonts w:cs="Arial"/>
                <w:color w:val="000000"/>
                <w:sz w:val="16"/>
                <w:szCs w:val="16"/>
              </w:rPr>
              <w:t>163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w:t>
            </w:r>
            <w:r>
              <w:rPr>
                <w:rFonts w:cs="Arial"/>
                <w:color w:val="000000"/>
                <w:sz w:val="16"/>
                <w:szCs w:val="16"/>
              </w:rPr>
              <w:t xml:space="preserve"> </w:t>
            </w:r>
            <w:r w:rsidRPr="00B9227B">
              <w:rPr>
                <w:rFonts w:cs="Arial"/>
                <w:color w:val="000000"/>
                <w:sz w:val="16"/>
                <w:szCs w:val="16"/>
              </w:rPr>
              <w:t>178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w:t>
            </w:r>
            <w:r>
              <w:rPr>
                <w:rFonts w:cs="Arial"/>
                <w:color w:val="000000"/>
                <w:sz w:val="16"/>
                <w:szCs w:val="16"/>
              </w:rPr>
              <w:t xml:space="preserve"> </w:t>
            </w:r>
            <w:r w:rsidRPr="00B9227B">
              <w:rPr>
                <w:rFonts w:cs="Arial"/>
                <w:color w:val="000000"/>
                <w:sz w:val="16"/>
                <w:szCs w:val="16"/>
              </w:rPr>
              <w:t>290</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3</w:t>
            </w:r>
            <w:r>
              <w:rPr>
                <w:rFonts w:cs="Arial"/>
                <w:color w:val="000000"/>
                <w:sz w:val="16"/>
                <w:szCs w:val="16"/>
              </w:rPr>
              <w:t xml:space="preserve"> </w:t>
            </w:r>
            <w:r w:rsidRPr="00B9227B">
              <w:rPr>
                <w:rFonts w:cs="Arial"/>
                <w:color w:val="000000"/>
                <w:sz w:val="16"/>
                <w:szCs w:val="16"/>
              </w:rPr>
              <w:t>446</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104,7</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3.4 Ambulantní centra</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578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9</w:t>
            </w:r>
            <w:r>
              <w:rPr>
                <w:rFonts w:cs="Arial"/>
                <w:color w:val="000000"/>
                <w:sz w:val="16"/>
                <w:szCs w:val="16"/>
              </w:rPr>
              <w:t xml:space="preserve"> </w:t>
            </w:r>
            <w:r w:rsidRPr="00B9227B">
              <w:rPr>
                <w:rFonts w:cs="Arial"/>
                <w:color w:val="000000"/>
                <w:sz w:val="16"/>
                <w:szCs w:val="16"/>
              </w:rPr>
              <w:t>437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9</w:t>
            </w:r>
            <w:r>
              <w:rPr>
                <w:rFonts w:cs="Arial"/>
                <w:color w:val="000000"/>
                <w:sz w:val="16"/>
                <w:szCs w:val="16"/>
              </w:rPr>
              <w:t xml:space="preserve"> </w:t>
            </w:r>
            <w:r w:rsidRPr="00B9227B">
              <w:rPr>
                <w:rFonts w:cs="Arial"/>
                <w:color w:val="000000"/>
                <w:sz w:val="16"/>
                <w:szCs w:val="16"/>
              </w:rPr>
              <w:t>652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10</w:t>
            </w:r>
            <w:r>
              <w:rPr>
                <w:rFonts w:cs="Arial"/>
                <w:color w:val="000000"/>
                <w:sz w:val="16"/>
                <w:szCs w:val="16"/>
              </w:rPr>
              <w:t xml:space="preserve"> </w:t>
            </w:r>
            <w:r w:rsidRPr="00B9227B">
              <w:rPr>
                <w:rFonts w:cs="Arial"/>
                <w:color w:val="000000"/>
                <w:sz w:val="16"/>
                <w:szCs w:val="16"/>
              </w:rPr>
              <w:t>281</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10</w:t>
            </w:r>
            <w:r>
              <w:rPr>
                <w:rFonts w:cs="Arial"/>
                <w:color w:val="000000"/>
                <w:sz w:val="16"/>
                <w:szCs w:val="16"/>
              </w:rPr>
              <w:t xml:space="preserve"> </w:t>
            </w:r>
            <w:r w:rsidRPr="00B9227B">
              <w:rPr>
                <w:rFonts w:cs="Arial"/>
                <w:color w:val="000000"/>
                <w:sz w:val="16"/>
                <w:szCs w:val="16"/>
              </w:rPr>
              <w:t>407</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101,2</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 xml:space="preserve">   3.5 Poskytovatelé </w:t>
            </w:r>
            <w:r w:rsidR="00D91F2B">
              <w:rPr>
                <w:rFonts w:cs="Arial"/>
                <w:color w:val="000000"/>
                <w:sz w:val="16"/>
                <w:szCs w:val="16"/>
              </w:rPr>
              <w:t xml:space="preserve">služeb </w:t>
            </w:r>
            <w:r w:rsidRPr="00143241">
              <w:rPr>
                <w:rFonts w:cs="Arial"/>
                <w:color w:val="000000"/>
                <w:sz w:val="16"/>
                <w:szCs w:val="16"/>
              </w:rPr>
              <w:t>domácí péče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456</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388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397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427</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492</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104,5</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B9227B" w:rsidP="00D91F2B">
            <w:pPr>
              <w:keepNext w:val="0"/>
              <w:spacing w:line="240" w:lineRule="auto"/>
              <w:jc w:val="left"/>
              <w:rPr>
                <w:rFonts w:cs="Arial"/>
                <w:color w:val="000000"/>
                <w:sz w:val="16"/>
                <w:szCs w:val="16"/>
              </w:rPr>
            </w:pPr>
            <w:r w:rsidRPr="00143241">
              <w:rPr>
                <w:rFonts w:cs="Arial"/>
                <w:color w:val="000000"/>
                <w:sz w:val="16"/>
                <w:szCs w:val="16"/>
              </w:rPr>
              <w:t xml:space="preserve">   3.9 Ostatní </w:t>
            </w:r>
            <w:r w:rsidR="00D91F2B" w:rsidRPr="00143241">
              <w:rPr>
                <w:rFonts w:cs="Arial"/>
                <w:color w:val="000000"/>
                <w:sz w:val="16"/>
                <w:szCs w:val="16"/>
              </w:rPr>
              <w:t xml:space="preserve">poskytovatelé </w:t>
            </w:r>
            <w:r w:rsidRPr="00143241">
              <w:rPr>
                <w:rFonts w:cs="Arial"/>
                <w:color w:val="000000"/>
                <w:sz w:val="16"/>
                <w:szCs w:val="16"/>
              </w:rPr>
              <w:t xml:space="preserve">ambulantní </w:t>
            </w:r>
            <w:r w:rsidR="00D91F2B">
              <w:rPr>
                <w:rFonts w:cs="Arial"/>
                <w:color w:val="000000"/>
                <w:sz w:val="16"/>
                <w:szCs w:val="16"/>
              </w:rPr>
              <w:t>péče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532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Pr>
                <w:rFonts w:cs="Arial"/>
                <w:color w:val="000000"/>
                <w:sz w:val="16"/>
                <w:szCs w:val="16"/>
              </w:rPr>
              <w:t xml:space="preserve"> </w:t>
            </w:r>
            <w:r w:rsidRPr="00B9227B">
              <w:rPr>
                <w:rFonts w:cs="Arial"/>
                <w:color w:val="000000"/>
                <w:sz w:val="16"/>
                <w:szCs w:val="16"/>
              </w:rPr>
              <w:t>725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Pr>
                <w:rFonts w:cs="Arial"/>
                <w:color w:val="000000"/>
                <w:sz w:val="16"/>
                <w:szCs w:val="16"/>
              </w:rPr>
              <w:t xml:space="preserve"> </w:t>
            </w:r>
            <w:r w:rsidRPr="00B9227B">
              <w:rPr>
                <w:rFonts w:cs="Arial"/>
                <w:color w:val="000000"/>
                <w:sz w:val="16"/>
                <w:szCs w:val="16"/>
              </w:rPr>
              <w:t>684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706</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600</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85,0</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4 Poskytovatelé doplňkových služeb</w:t>
            </w:r>
          </w:p>
        </w:tc>
        <w:tc>
          <w:tcPr>
            <w:tcW w:w="81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301</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214</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855</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449</w:t>
            </w:r>
          </w:p>
        </w:tc>
        <w:tc>
          <w:tcPr>
            <w:tcW w:w="813"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518</w:t>
            </w:r>
          </w:p>
        </w:tc>
        <w:tc>
          <w:tcPr>
            <w:tcW w:w="97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100,6</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EC4548"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4.1 Doprava pacientů a záchranná služba</w:t>
            </w:r>
          </w:p>
        </w:tc>
        <w:tc>
          <w:tcPr>
            <w:tcW w:w="812" w:type="dxa"/>
            <w:tcBorders>
              <w:top w:val="single" w:sz="4" w:space="0" w:color="auto"/>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855</w:t>
            </w:r>
          </w:p>
        </w:tc>
        <w:tc>
          <w:tcPr>
            <w:tcW w:w="812" w:type="dxa"/>
            <w:tcBorders>
              <w:top w:val="single" w:sz="4" w:space="0" w:color="auto"/>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985</w:t>
            </w:r>
          </w:p>
        </w:tc>
        <w:tc>
          <w:tcPr>
            <w:tcW w:w="812" w:type="dxa"/>
            <w:tcBorders>
              <w:top w:val="single" w:sz="4" w:space="0" w:color="auto"/>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212</w:t>
            </w:r>
          </w:p>
        </w:tc>
        <w:tc>
          <w:tcPr>
            <w:tcW w:w="812" w:type="dxa"/>
            <w:tcBorders>
              <w:top w:val="single" w:sz="4" w:space="0" w:color="auto"/>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836</w:t>
            </w:r>
          </w:p>
        </w:tc>
        <w:tc>
          <w:tcPr>
            <w:tcW w:w="813" w:type="dxa"/>
            <w:tcBorders>
              <w:top w:val="single" w:sz="4" w:space="0" w:color="auto"/>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835</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100,0</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EC4548"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4.2 Laboratoře</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446</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229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643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613</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683</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101,5</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2273AF">
            <w:pPr>
              <w:keepNext w:val="0"/>
              <w:spacing w:line="240" w:lineRule="auto"/>
              <w:jc w:val="left"/>
              <w:rPr>
                <w:rFonts w:cs="Arial"/>
                <w:color w:val="000000"/>
                <w:sz w:val="16"/>
                <w:szCs w:val="16"/>
              </w:rPr>
            </w:pPr>
            <w:r w:rsidRPr="00143241">
              <w:rPr>
                <w:rFonts w:cs="Arial"/>
                <w:color w:val="000000"/>
                <w:sz w:val="16"/>
                <w:szCs w:val="16"/>
              </w:rPr>
              <w:t xml:space="preserve">5 </w:t>
            </w:r>
            <w:r w:rsidR="002273AF">
              <w:rPr>
                <w:rFonts w:cs="Arial"/>
                <w:color w:val="000000"/>
                <w:sz w:val="16"/>
                <w:szCs w:val="16"/>
              </w:rPr>
              <w:t>Lékárny a výdejny PZT</w:t>
            </w:r>
            <w:r w:rsidR="00DF78D0">
              <w:rPr>
                <w:rFonts w:cs="Arial"/>
                <w:color w:val="000000"/>
                <w:sz w:val="16"/>
                <w:szCs w:val="16"/>
              </w:rPr>
              <w:t>*</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59</w:t>
            </w:r>
            <w:r>
              <w:rPr>
                <w:rFonts w:cs="Arial"/>
                <w:color w:val="000000"/>
                <w:sz w:val="16"/>
                <w:szCs w:val="16"/>
              </w:rPr>
              <w:t xml:space="preserve"> </w:t>
            </w:r>
            <w:r w:rsidRPr="00B9227B">
              <w:rPr>
                <w:rFonts w:cs="Arial"/>
                <w:color w:val="000000"/>
                <w:sz w:val="16"/>
                <w:szCs w:val="16"/>
              </w:rPr>
              <w:t>795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61</w:t>
            </w:r>
            <w:r>
              <w:rPr>
                <w:rFonts w:cs="Arial"/>
                <w:color w:val="000000"/>
                <w:sz w:val="16"/>
                <w:szCs w:val="16"/>
              </w:rPr>
              <w:t xml:space="preserve"> </w:t>
            </w:r>
            <w:r w:rsidRPr="00B9227B">
              <w:rPr>
                <w:rFonts w:cs="Arial"/>
                <w:color w:val="000000"/>
                <w:sz w:val="16"/>
                <w:szCs w:val="16"/>
              </w:rPr>
              <w:t>706</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63</w:t>
            </w:r>
            <w:r>
              <w:rPr>
                <w:rFonts w:cs="Arial"/>
                <w:color w:val="000000"/>
                <w:sz w:val="16"/>
                <w:szCs w:val="16"/>
              </w:rPr>
              <w:t xml:space="preserve"> </w:t>
            </w:r>
            <w:r w:rsidRPr="00B9227B">
              <w:rPr>
                <w:rFonts w:cs="Arial"/>
                <w:color w:val="000000"/>
                <w:sz w:val="16"/>
                <w:szCs w:val="16"/>
              </w:rPr>
              <w:t>732</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59</w:t>
            </w:r>
            <w:r>
              <w:rPr>
                <w:rFonts w:cs="Arial"/>
                <w:color w:val="000000"/>
                <w:sz w:val="16"/>
                <w:szCs w:val="16"/>
              </w:rPr>
              <w:t xml:space="preserve"> </w:t>
            </w:r>
            <w:r w:rsidRPr="00B9227B">
              <w:rPr>
                <w:rFonts w:cs="Arial"/>
                <w:color w:val="000000"/>
                <w:sz w:val="16"/>
                <w:szCs w:val="16"/>
              </w:rPr>
              <w:t>830</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54</w:t>
            </w:r>
            <w:r>
              <w:rPr>
                <w:rFonts w:cs="Arial"/>
                <w:color w:val="000000"/>
                <w:sz w:val="16"/>
                <w:szCs w:val="16"/>
              </w:rPr>
              <w:t xml:space="preserve"> </w:t>
            </w:r>
            <w:r w:rsidRPr="00B9227B">
              <w:rPr>
                <w:rFonts w:cs="Arial"/>
                <w:color w:val="000000"/>
                <w:sz w:val="16"/>
                <w:szCs w:val="16"/>
              </w:rPr>
              <w:t>387</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90,9</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5.1 Lékárny</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50</w:t>
            </w:r>
            <w:r>
              <w:rPr>
                <w:rFonts w:cs="Arial"/>
                <w:color w:val="000000"/>
                <w:sz w:val="16"/>
                <w:szCs w:val="16"/>
              </w:rPr>
              <w:t xml:space="preserve"> </w:t>
            </w:r>
            <w:r w:rsidRPr="00B9227B">
              <w:rPr>
                <w:rFonts w:cs="Arial"/>
                <w:color w:val="000000"/>
                <w:sz w:val="16"/>
                <w:szCs w:val="16"/>
              </w:rPr>
              <w:t>430</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53</w:t>
            </w:r>
            <w:r>
              <w:rPr>
                <w:rFonts w:cs="Arial"/>
                <w:color w:val="000000"/>
                <w:sz w:val="16"/>
                <w:szCs w:val="16"/>
              </w:rPr>
              <w:t xml:space="preserve"> </w:t>
            </w:r>
            <w:r w:rsidRPr="00B9227B">
              <w:rPr>
                <w:rFonts w:cs="Arial"/>
                <w:color w:val="000000"/>
                <w:sz w:val="16"/>
                <w:szCs w:val="16"/>
              </w:rPr>
              <w:t>397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55</w:t>
            </w:r>
            <w:r>
              <w:rPr>
                <w:rFonts w:cs="Arial"/>
                <w:color w:val="000000"/>
                <w:sz w:val="16"/>
                <w:szCs w:val="16"/>
              </w:rPr>
              <w:t xml:space="preserve"> </w:t>
            </w:r>
            <w:r w:rsidRPr="00B9227B">
              <w:rPr>
                <w:rFonts w:cs="Arial"/>
                <w:color w:val="000000"/>
                <w:sz w:val="16"/>
                <w:szCs w:val="16"/>
              </w:rPr>
              <w:t>417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50</w:t>
            </w:r>
            <w:r>
              <w:rPr>
                <w:rFonts w:cs="Arial"/>
                <w:color w:val="000000"/>
                <w:sz w:val="16"/>
                <w:szCs w:val="16"/>
              </w:rPr>
              <w:t xml:space="preserve"> </w:t>
            </w:r>
            <w:r w:rsidRPr="00B9227B">
              <w:rPr>
                <w:rFonts w:cs="Arial"/>
                <w:color w:val="000000"/>
                <w:sz w:val="16"/>
                <w:szCs w:val="16"/>
              </w:rPr>
              <w:t>750</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45</w:t>
            </w:r>
            <w:r>
              <w:rPr>
                <w:rFonts w:cs="Arial"/>
                <w:color w:val="000000"/>
                <w:sz w:val="16"/>
                <w:szCs w:val="16"/>
              </w:rPr>
              <w:t xml:space="preserve"> </w:t>
            </w:r>
            <w:r w:rsidRPr="00B9227B">
              <w:rPr>
                <w:rFonts w:cs="Arial"/>
                <w:color w:val="000000"/>
                <w:sz w:val="16"/>
                <w:szCs w:val="16"/>
              </w:rPr>
              <w:t>983</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90,6</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5.2 Prodejci a dodavatelé zdravotnického zboží a přístrojů</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289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352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312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277</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480</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89,0</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 xml:space="preserve">5.9 Ostatní prodejci </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2</w:t>
            </w:r>
            <w:r>
              <w:rPr>
                <w:rFonts w:cs="Arial"/>
                <w:color w:val="000000"/>
                <w:sz w:val="16"/>
                <w:szCs w:val="16"/>
              </w:rPr>
              <w:t xml:space="preserve"> </w:t>
            </w:r>
            <w:r w:rsidRPr="00B9227B">
              <w:rPr>
                <w:rFonts w:cs="Arial"/>
                <w:color w:val="000000"/>
                <w:sz w:val="16"/>
                <w:szCs w:val="16"/>
              </w:rPr>
              <w:t>075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957</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2</w:t>
            </w:r>
            <w:r>
              <w:rPr>
                <w:rFonts w:cs="Arial"/>
                <w:color w:val="000000"/>
                <w:sz w:val="16"/>
                <w:szCs w:val="16"/>
              </w:rPr>
              <w:t xml:space="preserve"> </w:t>
            </w:r>
            <w:r w:rsidRPr="00B9227B">
              <w:rPr>
                <w:rFonts w:cs="Arial"/>
                <w:color w:val="000000"/>
                <w:sz w:val="16"/>
                <w:szCs w:val="16"/>
              </w:rPr>
              <w:t>004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803</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w:t>
            </w:r>
            <w:r>
              <w:rPr>
                <w:rFonts w:cs="Arial"/>
                <w:color w:val="000000"/>
                <w:sz w:val="16"/>
                <w:szCs w:val="16"/>
              </w:rPr>
              <w:t xml:space="preserve"> </w:t>
            </w:r>
            <w:r w:rsidRPr="00B9227B">
              <w:rPr>
                <w:rFonts w:cs="Arial"/>
                <w:color w:val="000000"/>
                <w:sz w:val="16"/>
                <w:szCs w:val="16"/>
              </w:rPr>
              <w:t>925</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106,7</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2273AF">
            <w:pPr>
              <w:keepNext w:val="0"/>
              <w:spacing w:line="240" w:lineRule="auto"/>
              <w:jc w:val="left"/>
              <w:rPr>
                <w:rFonts w:cs="Arial"/>
                <w:color w:val="000000"/>
                <w:sz w:val="16"/>
                <w:szCs w:val="16"/>
              </w:rPr>
            </w:pPr>
            <w:r w:rsidRPr="00143241">
              <w:rPr>
                <w:rFonts w:cs="Arial"/>
                <w:color w:val="000000"/>
                <w:sz w:val="16"/>
                <w:szCs w:val="16"/>
              </w:rPr>
              <w:t>6 Poskytovatelé preventivní</w:t>
            </w:r>
            <w:r w:rsidR="002273AF">
              <w:rPr>
                <w:rFonts w:cs="Arial"/>
                <w:color w:val="000000"/>
                <w:sz w:val="16"/>
                <w:szCs w:val="16"/>
              </w:rPr>
              <w:t xml:space="preserve"> péče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891</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788</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737</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Pr>
                <w:rFonts w:cs="Arial"/>
                <w:color w:val="000000"/>
                <w:sz w:val="16"/>
                <w:szCs w:val="16"/>
              </w:rPr>
              <w:t xml:space="preserve"> </w:t>
            </w:r>
            <w:r w:rsidRPr="00B9227B">
              <w:rPr>
                <w:rFonts w:cs="Arial"/>
                <w:color w:val="000000"/>
                <w:sz w:val="16"/>
                <w:szCs w:val="16"/>
              </w:rPr>
              <w:t>778</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759</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97,6</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2273AF">
            <w:pPr>
              <w:keepNext w:val="0"/>
              <w:spacing w:line="240" w:lineRule="auto"/>
              <w:jc w:val="left"/>
              <w:rPr>
                <w:rFonts w:cs="Arial"/>
                <w:color w:val="000000"/>
                <w:sz w:val="16"/>
                <w:szCs w:val="16"/>
              </w:rPr>
            </w:pPr>
            <w:r w:rsidRPr="00143241">
              <w:rPr>
                <w:rFonts w:cs="Arial"/>
                <w:color w:val="000000"/>
                <w:sz w:val="16"/>
                <w:szCs w:val="16"/>
              </w:rPr>
              <w:t xml:space="preserve">7 Správa </w:t>
            </w:r>
            <w:r w:rsidR="002273AF">
              <w:rPr>
                <w:rFonts w:cs="Arial"/>
                <w:color w:val="000000"/>
                <w:sz w:val="16"/>
                <w:szCs w:val="16"/>
              </w:rPr>
              <w:t>systému zdravotní péče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126</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448</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017</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607</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w:t>
            </w:r>
            <w:r>
              <w:rPr>
                <w:rFonts w:cs="Arial"/>
                <w:color w:val="000000"/>
                <w:sz w:val="16"/>
                <w:szCs w:val="16"/>
              </w:rPr>
              <w:t xml:space="preserve"> </w:t>
            </w:r>
            <w:r w:rsidRPr="00B9227B">
              <w:rPr>
                <w:rFonts w:cs="Arial"/>
                <w:color w:val="000000"/>
                <w:sz w:val="16"/>
                <w:szCs w:val="16"/>
              </w:rPr>
              <w:t>632</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100,2</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7.1 Státní správa</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205</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368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098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363</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4</w:t>
            </w:r>
            <w:r>
              <w:rPr>
                <w:rFonts w:cs="Arial"/>
                <w:color w:val="000000"/>
                <w:sz w:val="16"/>
                <w:szCs w:val="16"/>
              </w:rPr>
              <w:t xml:space="preserve"> </w:t>
            </w:r>
            <w:r w:rsidRPr="00B9227B">
              <w:rPr>
                <w:rFonts w:cs="Arial"/>
                <w:color w:val="000000"/>
                <w:sz w:val="16"/>
                <w:szCs w:val="16"/>
              </w:rPr>
              <w:t>435</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101,7</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7.2 Správa zdravotních pojišťoven</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748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943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772</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100</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7</w:t>
            </w:r>
            <w:r>
              <w:rPr>
                <w:rFonts w:cs="Arial"/>
                <w:color w:val="000000"/>
                <w:sz w:val="16"/>
                <w:szCs w:val="16"/>
              </w:rPr>
              <w:t xml:space="preserve"> </w:t>
            </w:r>
            <w:r w:rsidRPr="00B9227B">
              <w:rPr>
                <w:rFonts w:cs="Arial"/>
                <w:color w:val="000000"/>
                <w:sz w:val="16"/>
                <w:szCs w:val="16"/>
              </w:rPr>
              <w:t>048</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99,3</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7.3 Agentury</w:t>
            </w:r>
            <w:r w:rsidR="00B434C4">
              <w:rPr>
                <w:rFonts w:cs="Arial"/>
                <w:color w:val="000000"/>
                <w:sz w:val="16"/>
                <w:szCs w:val="16"/>
              </w:rPr>
              <w:t xml:space="preserve"> správy</w:t>
            </w:r>
            <w:r w:rsidR="00B9227B" w:rsidRPr="00143241">
              <w:rPr>
                <w:rFonts w:cs="Arial"/>
                <w:color w:val="000000"/>
                <w:sz w:val="16"/>
                <w:szCs w:val="16"/>
              </w:rPr>
              <w:t xml:space="preserve"> soukromého pojištění</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14</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12</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Pr>
                <w:rFonts w:cs="Arial"/>
                <w:color w:val="000000"/>
                <w:sz w:val="16"/>
                <w:szCs w:val="16"/>
              </w:rPr>
              <w:t xml:space="preserve"> </w:t>
            </w:r>
            <w:r w:rsidRPr="00B9227B">
              <w:rPr>
                <w:rFonts w:cs="Arial"/>
                <w:color w:val="000000"/>
                <w:sz w:val="16"/>
                <w:szCs w:val="16"/>
              </w:rPr>
              <w:t>15</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122,9</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000000" w:fill="FFFFFF"/>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 xml:space="preserve">7.9 Ostatní </w:t>
            </w:r>
            <w:r w:rsidR="00B434C4">
              <w:rPr>
                <w:rFonts w:cs="Arial"/>
                <w:color w:val="000000"/>
                <w:sz w:val="16"/>
                <w:szCs w:val="16"/>
              </w:rPr>
              <w:t xml:space="preserve">zdravotní </w:t>
            </w:r>
            <w:r w:rsidR="00B9227B" w:rsidRPr="00143241">
              <w:rPr>
                <w:rFonts w:cs="Arial"/>
                <w:color w:val="000000"/>
                <w:sz w:val="16"/>
                <w:szCs w:val="16"/>
              </w:rPr>
              <w:t>správa</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159</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123</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128</w:t>
            </w:r>
          </w:p>
        </w:tc>
        <w:tc>
          <w:tcPr>
            <w:tcW w:w="812"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133</w:t>
            </w:r>
          </w:p>
        </w:tc>
        <w:tc>
          <w:tcPr>
            <w:tcW w:w="813" w:type="dxa"/>
            <w:tcBorders>
              <w:top w:val="nil"/>
              <w:left w:val="nil"/>
              <w:bottom w:val="single" w:sz="4" w:space="0" w:color="auto"/>
              <w:right w:val="single" w:sz="4" w:space="0" w:color="auto"/>
            </w:tcBorders>
            <w:shd w:val="clear" w:color="000000" w:fill="FFFFFF"/>
            <w:noWrap/>
            <w:vAlign w:val="bottom"/>
          </w:tcPr>
          <w:p w:rsidR="00B9227B" w:rsidRPr="00B9227B" w:rsidRDefault="00B9227B">
            <w:pPr>
              <w:jc w:val="right"/>
              <w:rPr>
                <w:rFonts w:cs="Arial"/>
                <w:color w:val="000000"/>
                <w:sz w:val="16"/>
                <w:szCs w:val="16"/>
              </w:rPr>
            </w:pPr>
            <w:r w:rsidRPr="00B9227B">
              <w:rPr>
                <w:rFonts w:cs="Arial"/>
                <w:color w:val="000000"/>
                <w:sz w:val="16"/>
                <w:szCs w:val="16"/>
              </w:rPr>
              <w:t>134</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100,9</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143241">
            <w:pPr>
              <w:keepNext w:val="0"/>
              <w:spacing w:line="240" w:lineRule="auto"/>
              <w:jc w:val="left"/>
              <w:rPr>
                <w:rFonts w:cs="Arial"/>
                <w:color w:val="000000"/>
                <w:sz w:val="16"/>
                <w:szCs w:val="16"/>
              </w:rPr>
            </w:pPr>
            <w:r w:rsidRPr="00143241">
              <w:rPr>
                <w:rFonts w:cs="Arial"/>
                <w:color w:val="000000"/>
                <w:sz w:val="16"/>
                <w:szCs w:val="16"/>
              </w:rPr>
              <w:t>8 Ostatní odvětví</w:t>
            </w:r>
            <w:r w:rsidR="00A3347E">
              <w:rPr>
                <w:rFonts w:cs="Arial"/>
                <w:color w:val="000000"/>
                <w:sz w:val="16"/>
                <w:szCs w:val="16"/>
              </w:rPr>
              <w:t xml:space="preserve"> ekonomiky</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20</w:t>
            </w:r>
            <w:r>
              <w:rPr>
                <w:rFonts w:cs="Arial"/>
                <w:color w:val="000000"/>
                <w:sz w:val="16"/>
                <w:szCs w:val="16"/>
              </w:rPr>
              <w:t xml:space="preserve"> </w:t>
            </w:r>
            <w:r w:rsidRPr="00B9227B">
              <w:rPr>
                <w:rFonts w:cs="Arial"/>
                <w:color w:val="000000"/>
                <w:sz w:val="16"/>
                <w:szCs w:val="16"/>
              </w:rPr>
              <w:t>167</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19</w:t>
            </w:r>
            <w:r>
              <w:rPr>
                <w:rFonts w:cs="Arial"/>
                <w:color w:val="000000"/>
                <w:sz w:val="16"/>
                <w:szCs w:val="16"/>
              </w:rPr>
              <w:t xml:space="preserve"> </w:t>
            </w:r>
            <w:r w:rsidRPr="00B9227B">
              <w:rPr>
                <w:rFonts w:cs="Arial"/>
                <w:color w:val="000000"/>
                <w:sz w:val="16"/>
                <w:szCs w:val="16"/>
              </w:rPr>
              <w:t>913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20</w:t>
            </w:r>
            <w:r>
              <w:rPr>
                <w:rFonts w:cs="Arial"/>
                <w:color w:val="000000"/>
                <w:sz w:val="16"/>
                <w:szCs w:val="16"/>
              </w:rPr>
              <w:t xml:space="preserve"> </w:t>
            </w:r>
            <w:r w:rsidRPr="00B9227B">
              <w:rPr>
                <w:rFonts w:cs="Arial"/>
                <w:color w:val="000000"/>
                <w:sz w:val="16"/>
                <w:szCs w:val="16"/>
              </w:rPr>
              <w:t>039</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21</w:t>
            </w:r>
            <w:r>
              <w:rPr>
                <w:rFonts w:cs="Arial"/>
                <w:color w:val="000000"/>
                <w:sz w:val="16"/>
                <w:szCs w:val="16"/>
              </w:rPr>
              <w:t xml:space="preserve"> </w:t>
            </w:r>
            <w:r w:rsidRPr="00B9227B">
              <w:rPr>
                <w:rFonts w:cs="Arial"/>
                <w:color w:val="000000"/>
                <w:sz w:val="16"/>
                <w:szCs w:val="16"/>
              </w:rPr>
              <w:t>485</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23</w:t>
            </w:r>
            <w:r>
              <w:rPr>
                <w:rFonts w:cs="Arial"/>
                <w:color w:val="000000"/>
                <w:sz w:val="16"/>
                <w:szCs w:val="16"/>
              </w:rPr>
              <w:t xml:space="preserve"> </w:t>
            </w:r>
            <w:r w:rsidRPr="00B9227B">
              <w:rPr>
                <w:rFonts w:cs="Arial"/>
                <w:color w:val="000000"/>
                <w:sz w:val="16"/>
                <w:szCs w:val="16"/>
              </w:rPr>
              <w:t>970</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111,6</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B9227B" w:rsidRPr="00143241" w:rsidRDefault="00071060" w:rsidP="00143241">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8.1 Domácnosti jako poskytovatelé zdravotní péče</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13</w:t>
            </w:r>
            <w:r>
              <w:rPr>
                <w:rFonts w:cs="Arial"/>
                <w:color w:val="000000"/>
                <w:sz w:val="16"/>
                <w:szCs w:val="16"/>
              </w:rPr>
              <w:t xml:space="preserve"> </w:t>
            </w:r>
            <w:r w:rsidRPr="00B9227B">
              <w:rPr>
                <w:rFonts w:cs="Arial"/>
                <w:color w:val="000000"/>
                <w:sz w:val="16"/>
                <w:szCs w:val="16"/>
              </w:rPr>
              <w:t>788</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13</w:t>
            </w:r>
            <w:r>
              <w:rPr>
                <w:rFonts w:cs="Arial"/>
                <w:color w:val="000000"/>
                <w:sz w:val="16"/>
                <w:szCs w:val="16"/>
              </w:rPr>
              <w:t xml:space="preserve"> </w:t>
            </w:r>
            <w:r w:rsidRPr="00B9227B">
              <w:rPr>
                <w:rFonts w:cs="Arial"/>
                <w:color w:val="000000"/>
                <w:sz w:val="16"/>
                <w:szCs w:val="16"/>
              </w:rPr>
              <w:t>362</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13</w:t>
            </w:r>
            <w:r>
              <w:rPr>
                <w:rFonts w:cs="Arial"/>
                <w:color w:val="000000"/>
                <w:sz w:val="16"/>
                <w:szCs w:val="16"/>
              </w:rPr>
              <w:t xml:space="preserve"> </w:t>
            </w:r>
            <w:r w:rsidRPr="00B9227B">
              <w:rPr>
                <w:rFonts w:cs="Arial"/>
                <w:color w:val="000000"/>
                <w:sz w:val="16"/>
                <w:szCs w:val="16"/>
              </w:rPr>
              <w:t>620</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14</w:t>
            </w:r>
            <w:r>
              <w:rPr>
                <w:rFonts w:cs="Arial"/>
                <w:color w:val="000000"/>
                <w:sz w:val="16"/>
                <w:szCs w:val="16"/>
              </w:rPr>
              <w:t xml:space="preserve"> </w:t>
            </w:r>
            <w:r w:rsidRPr="00B9227B">
              <w:rPr>
                <w:rFonts w:cs="Arial"/>
                <w:color w:val="000000"/>
                <w:sz w:val="16"/>
                <w:szCs w:val="16"/>
              </w:rPr>
              <w:t>593</w:t>
            </w:r>
          </w:p>
        </w:tc>
        <w:tc>
          <w:tcPr>
            <w:tcW w:w="813" w:type="dxa"/>
            <w:tcBorders>
              <w:top w:val="single" w:sz="4" w:space="0" w:color="auto"/>
              <w:left w:val="single" w:sz="4" w:space="0" w:color="auto"/>
              <w:bottom w:val="single" w:sz="4" w:space="0" w:color="auto"/>
              <w:right w:val="nil"/>
            </w:tcBorders>
            <w:shd w:val="clear" w:color="auto" w:fill="auto"/>
            <w:noWrap/>
            <w:vAlign w:val="bottom"/>
          </w:tcPr>
          <w:p w:rsidR="00B9227B" w:rsidRPr="00B9227B" w:rsidRDefault="00B9227B" w:rsidP="00B9227B">
            <w:pPr>
              <w:jc w:val="right"/>
              <w:rPr>
                <w:rFonts w:cs="Arial"/>
                <w:color w:val="000000"/>
                <w:sz w:val="16"/>
                <w:szCs w:val="16"/>
              </w:rPr>
            </w:pPr>
            <w:r w:rsidRPr="00B9227B">
              <w:rPr>
                <w:rFonts w:cs="Arial"/>
                <w:color w:val="000000"/>
                <w:sz w:val="16"/>
                <w:szCs w:val="16"/>
              </w:rPr>
              <w:t>15</w:t>
            </w:r>
            <w:r>
              <w:rPr>
                <w:rFonts w:cs="Arial"/>
                <w:color w:val="000000"/>
                <w:sz w:val="16"/>
                <w:szCs w:val="16"/>
              </w:rPr>
              <w:t xml:space="preserve"> </w:t>
            </w:r>
            <w:r w:rsidRPr="00B9227B">
              <w:rPr>
                <w:rFonts w:cs="Arial"/>
                <w:color w:val="000000"/>
                <w:sz w:val="16"/>
                <w:szCs w:val="16"/>
              </w:rPr>
              <w:t>207</w:t>
            </w:r>
          </w:p>
        </w:tc>
        <w:tc>
          <w:tcPr>
            <w:tcW w:w="977" w:type="dxa"/>
            <w:tcBorders>
              <w:top w:val="nil"/>
              <w:left w:val="single" w:sz="4" w:space="0" w:color="auto"/>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104,2</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B9227B" w:rsidRPr="00143241" w:rsidRDefault="00071060" w:rsidP="00B434C4">
            <w:pPr>
              <w:keepNext w:val="0"/>
              <w:spacing w:line="240" w:lineRule="auto"/>
              <w:jc w:val="left"/>
              <w:rPr>
                <w:rFonts w:cs="Arial"/>
                <w:color w:val="000000"/>
                <w:sz w:val="16"/>
                <w:szCs w:val="16"/>
              </w:rPr>
            </w:pPr>
            <w:r>
              <w:rPr>
                <w:rFonts w:cs="Arial"/>
                <w:color w:val="000000"/>
                <w:sz w:val="16"/>
                <w:szCs w:val="16"/>
              </w:rPr>
              <w:t xml:space="preserve">   </w:t>
            </w:r>
            <w:r w:rsidR="00B9227B" w:rsidRPr="00143241">
              <w:rPr>
                <w:rFonts w:cs="Arial"/>
                <w:color w:val="000000"/>
                <w:sz w:val="16"/>
                <w:szCs w:val="16"/>
              </w:rPr>
              <w:t xml:space="preserve">8.2 </w:t>
            </w:r>
            <w:r w:rsidR="00B434C4">
              <w:rPr>
                <w:rFonts w:cs="Arial"/>
                <w:color w:val="000000"/>
                <w:sz w:val="16"/>
                <w:szCs w:val="16"/>
              </w:rPr>
              <w:t>Podniky jako poskytovatelé pracovní lékařské</w:t>
            </w:r>
            <w:r w:rsidR="00B9227B" w:rsidRPr="00143241">
              <w:rPr>
                <w:rFonts w:cs="Arial"/>
                <w:color w:val="000000"/>
                <w:sz w:val="16"/>
                <w:szCs w:val="16"/>
              </w:rPr>
              <w:t xml:space="preserve"> péče</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379</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551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419</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6</w:t>
            </w:r>
            <w:r>
              <w:rPr>
                <w:rFonts w:cs="Arial"/>
                <w:color w:val="000000"/>
                <w:sz w:val="16"/>
                <w:szCs w:val="16"/>
              </w:rPr>
              <w:t xml:space="preserve"> </w:t>
            </w:r>
            <w:r w:rsidRPr="00B9227B">
              <w:rPr>
                <w:rFonts w:cs="Arial"/>
                <w:color w:val="000000"/>
                <w:sz w:val="16"/>
                <w:szCs w:val="16"/>
              </w:rPr>
              <w:t>893</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B9227B" w:rsidRPr="00B9227B" w:rsidRDefault="00B9227B">
            <w:pPr>
              <w:jc w:val="right"/>
              <w:rPr>
                <w:rFonts w:cs="Arial"/>
                <w:color w:val="000000"/>
                <w:sz w:val="16"/>
                <w:szCs w:val="16"/>
              </w:rPr>
            </w:pPr>
            <w:r w:rsidRPr="00B9227B">
              <w:rPr>
                <w:rFonts w:cs="Arial"/>
                <w:color w:val="000000"/>
                <w:sz w:val="16"/>
                <w:szCs w:val="16"/>
              </w:rPr>
              <w:t>8</w:t>
            </w:r>
            <w:r>
              <w:rPr>
                <w:rFonts w:cs="Arial"/>
                <w:color w:val="000000"/>
                <w:sz w:val="16"/>
                <w:szCs w:val="16"/>
              </w:rPr>
              <w:t xml:space="preserve"> </w:t>
            </w:r>
            <w:r w:rsidRPr="00B9227B">
              <w:rPr>
                <w:rFonts w:cs="Arial"/>
                <w:color w:val="000000"/>
                <w:sz w:val="16"/>
                <w:szCs w:val="16"/>
              </w:rPr>
              <w:t>763</w:t>
            </w:r>
          </w:p>
        </w:tc>
        <w:tc>
          <w:tcPr>
            <w:tcW w:w="977" w:type="dxa"/>
            <w:tcBorders>
              <w:top w:val="nil"/>
              <w:left w:val="nil"/>
              <w:bottom w:val="single" w:sz="4" w:space="0" w:color="auto"/>
              <w:right w:val="single" w:sz="4" w:space="0" w:color="auto"/>
            </w:tcBorders>
            <w:shd w:val="clear" w:color="auto" w:fill="auto"/>
            <w:noWrap/>
            <w:vAlign w:val="bottom"/>
          </w:tcPr>
          <w:p w:rsidR="00B9227B" w:rsidRPr="00B9227B" w:rsidRDefault="00B9227B" w:rsidP="00B9227B">
            <w:pPr>
              <w:keepNext w:val="0"/>
              <w:spacing w:line="240" w:lineRule="auto"/>
              <w:jc w:val="right"/>
              <w:rPr>
                <w:rFonts w:cs="Arial"/>
                <w:color w:val="000000"/>
                <w:sz w:val="16"/>
                <w:szCs w:val="16"/>
              </w:rPr>
            </w:pPr>
            <w:r w:rsidRPr="00B9227B">
              <w:rPr>
                <w:rFonts w:cs="Arial"/>
                <w:color w:val="000000"/>
                <w:sz w:val="16"/>
                <w:szCs w:val="16"/>
              </w:rPr>
              <w:t>127,1</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A3347E">
            <w:pPr>
              <w:keepNext w:val="0"/>
              <w:spacing w:line="240" w:lineRule="auto"/>
              <w:jc w:val="left"/>
              <w:rPr>
                <w:rFonts w:cs="Arial"/>
                <w:color w:val="000000"/>
                <w:sz w:val="16"/>
                <w:szCs w:val="16"/>
              </w:rPr>
            </w:pPr>
            <w:r w:rsidRPr="00143241">
              <w:rPr>
                <w:rFonts w:cs="Arial"/>
                <w:color w:val="000000"/>
                <w:sz w:val="16"/>
                <w:szCs w:val="16"/>
              </w:rPr>
              <w:t xml:space="preserve">9 </w:t>
            </w:r>
            <w:r w:rsidR="00E924DE">
              <w:rPr>
                <w:rFonts w:cs="Arial"/>
                <w:color w:val="000000"/>
                <w:sz w:val="16"/>
                <w:szCs w:val="16"/>
              </w:rPr>
              <w:t>Ostatní</w:t>
            </w:r>
            <w:r w:rsidRPr="00143241">
              <w:rPr>
                <w:rFonts w:cs="Arial"/>
                <w:color w:val="000000"/>
                <w:sz w:val="16"/>
                <w:szCs w:val="16"/>
              </w:rPr>
              <w:t xml:space="preserve"> poskytovatel</w:t>
            </w:r>
            <w:r w:rsidR="00AF11AD">
              <w:rPr>
                <w:rFonts w:cs="Arial"/>
                <w:color w:val="000000"/>
                <w:sz w:val="16"/>
                <w:szCs w:val="16"/>
              </w:rPr>
              <w:t>é</w:t>
            </w:r>
            <w:r w:rsidR="00A3347E">
              <w:rPr>
                <w:rFonts w:cs="Arial"/>
                <w:color w:val="000000"/>
                <w:sz w:val="16"/>
                <w:szCs w:val="16"/>
              </w:rPr>
              <w:t xml:space="preserve"> nezařazení jinde</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15</w:t>
            </w:r>
            <w:r>
              <w:rPr>
                <w:rFonts w:cs="Arial"/>
                <w:color w:val="000000"/>
                <w:sz w:val="16"/>
                <w:szCs w:val="16"/>
              </w:rPr>
              <w:t xml:space="preserve"> </w:t>
            </w:r>
            <w:r w:rsidRPr="00B9227B">
              <w:rPr>
                <w:rFonts w:cs="Arial"/>
                <w:color w:val="000000"/>
                <w:sz w:val="16"/>
                <w:szCs w:val="16"/>
              </w:rPr>
              <w:t>452</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14</w:t>
            </w:r>
            <w:r>
              <w:rPr>
                <w:rFonts w:cs="Arial"/>
                <w:color w:val="000000"/>
                <w:sz w:val="16"/>
                <w:szCs w:val="16"/>
              </w:rPr>
              <w:t xml:space="preserve"> </w:t>
            </w:r>
            <w:r w:rsidRPr="00B9227B">
              <w:rPr>
                <w:rFonts w:cs="Arial"/>
                <w:color w:val="000000"/>
                <w:sz w:val="16"/>
                <w:szCs w:val="16"/>
              </w:rPr>
              <w:t>130</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16</w:t>
            </w:r>
            <w:r>
              <w:rPr>
                <w:rFonts w:cs="Arial"/>
                <w:color w:val="000000"/>
                <w:sz w:val="16"/>
                <w:szCs w:val="16"/>
              </w:rPr>
              <w:t xml:space="preserve"> </w:t>
            </w:r>
            <w:r w:rsidRPr="00B9227B">
              <w:rPr>
                <w:rFonts w:cs="Arial"/>
                <w:color w:val="000000"/>
                <w:sz w:val="16"/>
                <w:szCs w:val="16"/>
              </w:rPr>
              <w:t>443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14</w:t>
            </w:r>
            <w:r>
              <w:rPr>
                <w:rFonts w:cs="Arial"/>
                <w:color w:val="000000"/>
                <w:sz w:val="16"/>
                <w:szCs w:val="16"/>
              </w:rPr>
              <w:t xml:space="preserve"> </w:t>
            </w:r>
            <w:r w:rsidRPr="00B9227B">
              <w:rPr>
                <w:rFonts w:cs="Arial"/>
                <w:color w:val="000000"/>
                <w:sz w:val="16"/>
                <w:szCs w:val="16"/>
              </w:rPr>
              <w:t>725</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color w:val="000000"/>
                <w:sz w:val="16"/>
                <w:szCs w:val="16"/>
              </w:rPr>
            </w:pPr>
            <w:r w:rsidRPr="00B9227B">
              <w:rPr>
                <w:rFonts w:cs="Arial"/>
                <w:color w:val="000000"/>
                <w:sz w:val="16"/>
                <w:szCs w:val="16"/>
              </w:rPr>
              <w:t>15</w:t>
            </w:r>
            <w:r>
              <w:rPr>
                <w:rFonts w:cs="Arial"/>
                <w:color w:val="000000"/>
                <w:sz w:val="16"/>
                <w:szCs w:val="16"/>
              </w:rPr>
              <w:t xml:space="preserve"> </w:t>
            </w:r>
            <w:r w:rsidRPr="00B9227B">
              <w:rPr>
                <w:rFonts w:cs="Arial"/>
                <w:color w:val="000000"/>
                <w:sz w:val="16"/>
                <w:szCs w:val="16"/>
              </w:rPr>
              <w:t>924</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rsidP="00143241">
            <w:pPr>
              <w:keepNext w:val="0"/>
              <w:spacing w:line="240" w:lineRule="auto"/>
              <w:jc w:val="right"/>
              <w:rPr>
                <w:rFonts w:cs="Arial"/>
                <w:color w:val="000000"/>
                <w:sz w:val="16"/>
                <w:szCs w:val="16"/>
              </w:rPr>
            </w:pPr>
            <w:r w:rsidRPr="00B9227B">
              <w:rPr>
                <w:rFonts w:cs="Arial"/>
                <w:color w:val="000000"/>
                <w:sz w:val="16"/>
                <w:szCs w:val="16"/>
              </w:rPr>
              <w:t>108,1</w:t>
            </w:r>
          </w:p>
        </w:tc>
      </w:tr>
      <w:tr w:rsidR="00B9227B" w:rsidRPr="00143241" w:rsidTr="009E69E3">
        <w:trPr>
          <w:trHeight w:val="255"/>
        </w:trPr>
        <w:tc>
          <w:tcPr>
            <w:tcW w:w="45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227B" w:rsidRPr="00143241" w:rsidRDefault="00B9227B" w:rsidP="00143241">
            <w:pPr>
              <w:keepNext w:val="0"/>
              <w:spacing w:line="240" w:lineRule="auto"/>
              <w:jc w:val="left"/>
              <w:rPr>
                <w:rFonts w:cs="Arial"/>
                <w:b/>
                <w:color w:val="000000"/>
                <w:sz w:val="16"/>
                <w:szCs w:val="16"/>
              </w:rPr>
            </w:pPr>
            <w:r w:rsidRPr="00143241">
              <w:rPr>
                <w:rFonts w:cs="Arial"/>
                <w:b/>
                <w:color w:val="000000"/>
                <w:sz w:val="16"/>
                <w:szCs w:val="16"/>
              </w:rPr>
              <w:t>Celkem</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b/>
                <w:bCs/>
                <w:color w:val="000000"/>
                <w:sz w:val="16"/>
                <w:szCs w:val="16"/>
              </w:rPr>
            </w:pPr>
            <w:r w:rsidRPr="00B9227B">
              <w:rPr>
                <w:rFonts w:cs="Arial"/>
                <w:b/>
                <w:bCs/>
                <w:color w:val="000000"/>
                <w:sz w:val="16"/>
                <w:szCs w:val="16"/>
              </w:rPr>
              <w:t>339</w:t>
            </w:r>
            <w:r>
              <w:rPr>
                <w:rFonts w:cs="Arial"/>
                <w:b/>
                <w:bCs/>
                <w:color w:val="000000"/>
                <w:sz w:val="16"/>
                <w:szCs w:val="16"/>
              </w:rPr>
              <w:t xml:space="preserve"> </w:t>
            </w:r>
            <w:r w:rsidRPr="00B9227B">
              <w:rPr>
                <w:rFonts w:cs="Arial"/>
                <w:b/>
                <w:bCs/>
                <w:color w:val="000000"/>
                <w:sz w:val="16"/>
                <w:szCs w:val="16"/>
              </w:rPr>
              <w:t>852</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b/>
                <w:bCs/>
                <w:color w:val="000000"/>
                <w:sz w:val="16"/>
                <w:szCs w:val="16"/>
              </w:rPr>
            </w:pPr>
            <w:r w:rsidRPr="00B9227B">
              <w:rPr>
                <w:rFonts w:cs="Arial"/>
                <w:b/>
                <w:bCs/>
                <w:color w:val="000000"/>
                <w:sz w:val="16"/>
                <w:szCs w:val="16"/>
              </w:rPr>
              <w:t>342</w:t>
            </w:r>
            <w:r>
              <w:rPr>
                <w:rFonts w:cs="Arial"/>
                <w:b/>
                <w:bCs/>
                <w:color w:val="000000"/>
                <w:sz w:val="16"/>
                <w:szCs w:val="16"/>
              </w:rPr>
              <w:t xml:space="preserve"> </w:t>
            </w:r>
            <w:r w:rsidRPr="00B9227B">
              <w:rPr>
                <w:rFonts w:cs="Arial"/>
                <w:b/>
                <w:bCs/>
                <w:color w:val="000000"/>
                <w:sz w:val="16"/>
                <w:szCs w:val="16"/>
              </w:rPr>
              <w:t>753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b/>
                <w:bCs/>
                <w:color w:val="000000"/>
                <w:sz w:val="16"/>
                <w:szCs w:val="16"/>
              </w:rPr>
            </w:pPr>
            <w:r w:rsidRPr="00B9227B">
              <w:rPr>
                <w:rFonts w:cs="Arial"/>
                <w:b/>
                <w:bCs/>
                <w:color w:val="000000"/>
                <w:sz w:val="16"/>
                <w:szCs w:val="16"/>
              </w:rPr>
              <w:t>347</w:t>
            </w:r>
            <w:r>
              <w:rPr>
                <w:rFonts w:cs="Arial"/>
                <w:b/>
                <w:bCs/>
                <w:color w:val="000000"/>
                <w:sz w:val="16"/>
                <w:szCs w:val="16"/>
              </w:rPr>
              <w:t xml:space="preserve"> </w:t>
            </w:r>
            <w:r w:rsidRPr="00B9227B">
              <w:rPr>
                <w:rFonts w:cs="Arial"/>
                <w:b/>
                <w:bCs/>
                <w:color w:val="000000"/>
                <w:sz w:val="16"/>
                <w:szCs w:val="16"/>
              </w:rPr>
              <w:t>605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b/>
                <w:bCs/>
                <w:color w:val="000000"/>
                <w:sz w:val="16"/>
                <w:szCs w:val="16"/>
              </w:rPr>
            </w:pPr>
            <w:r w:rsidRPr="00B9227B">
              <w:rPr>
                <w:rFonts w:cs="Arial"/>
                <w:b/>
                <w:bCs/>
                <w:color w:val="000000"/>
                <w:sz w:val="16"/>
                <w:szCs w:val="16"/>
              </w:rPr>
              <w:t>348</w:t>
            </w:r>
            <w:r>
              <w:rPr>
                <w:rFonts w:cs="Arial"/>
                <w:b/>
                <w:bCs/>
                <w:color w:val="000000"/>
                <w:sz w:val="16"/>
                <w:szCs w:val="16"/>
              </w:rPr>
              <w:t xml:space="preserve"> </w:t>
            </w:r>
            <w:r w:rsidRPr="00B9227B">
              <w:rPr>
                <w:rFonts w:cs="Arial"/>
                <w:b/>
                <w:bCs/>
                <w:color w:val="000000"/>
                <w:sz w:val="16"/>
                <w:szCs w:val="16"/>
              </w:rPr>
              <w:t>860</w:t>
            </w:r>
          </w:p>
        </w:tc>
        <w:tc>
          <w:tcPr>
            <w:tcW w:w="813"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pPr>
              <w:jc w:val="right"/>
              <w:rPr>
                <w:rFonts w:cs="Arial"/>
                <w:b/>
                <w:bCs/>
                <w:color w:val="000000"/>
                <w:sz w:val="16"/>
                <w:szCs w:val="16"/>
              </w:rPr>
            </w:pPr>
            <w:r w:rsidRPr="00B9227B">
              <w:rPr>
                <w:rFonts w:cs="Arial"/>
                <w:b/>
                <w:bCs/>
                <w:color w:val="000000"/>
                <w:sz w:val="16"/>
                <w:szCs w:val="16"/>
              </w:rPr>
              <w:t>350</w:t>
            </w:r>
            <w:r>
              <w:rPr>
                <w:rFonts w:cs="Arial"/>
                <w:b/>
                <w:bCs/>
                <w:color w:val="000000"/>
                <w:sz w:val="16"/>
                <w:szCs w:val="16"/>
              </w:rPr>
              <w:t xml:space="preserve"> </w:t>
            </w:r>
            <w:r w:rsidRPr="00B9227B">
              <w:rPr>
                <w:rFonts w:cs="Arial"/>
                <w:b/>
                <w:bCs/>
                <w:color w:val="000000"/>
                <w:sz w:val="16"/>
                <w:szCs w:val="16"/>
              </w:rPr>
              <w:t>411</w:t>
            </w:r>
          </w:p>
        </w:tc>
        <w:tc>
          <w:tcPr>
            <w:tcW w:w="977" w:type="dxa"/>
            <w:tcBorders>
              <w:top w:val="nil"/>
              <w:left w:val="nil"/>
              <w:bottom w:val="single" w:sz="4" w:space="0" w:color="auto"/>
              <w:right w:val="single" w:sz="4" w:space="0" w:color="auto"/>
            </w:tcBorders>
            <w:shd w:val="clear" w:color="auto" w:fill="D9D9D9" w:themeFill="background1" w:themeFillShade="D9"/>
            <w:noWrap/>
            <w:vAlign w:val="bottom"/>
          </w:tcPr>
          <w:p w:rsidR="00B9227B" w:rsidRPr="00B9227B" w:rsidRDefault="00B9227B" w:rsidP="004772A1">
            <w:pPr>
              <w:keepNext w:val="0"/>
              <w:spacing w:line="240" w:lineRule="auto"/>
              <w:jc w:val="right"/>
              <w:rPr>
                <w:rFonts w:cs="Arial"/>
                <w:b/>
                <w:color w:val="000000"/>
                <w:sz w:val="16"/>
                <w:szCs w:val="16"/>
              </w:rPr>
            </w:pPr>
            <w:r w:rsidRPr="00B9227B">
              <w:rPr>
                <w:rFonts w:cs="Arial"/>
                <w:b/>
                <w:color w:val="000000"/>
                <w:sz w:val="16"/>
                <w:szCs w:val="16"/>
              </w:rPr>
              <w:t>100,4</w:t>
            </w:r>
          </w:p>
        </w:tc>
      </w:tr>
    </w:tbl>
    <w:p w:rsidR="00110E3B" w:rsidRDefault="00110E3B" w:rsidP="005115CA">
      <w:pPr>
        <w:pStyle w:val="Poznamkapodcarou"/>
        <w:spacing w:before="0" w:after="0"/>
        <w:rPr>
          <w:rStyle w:val="longtext1"/>
          <w:i/>
          <w:sz w:val="16"/>
          <w:szCs w:val="18"/>
        </w:rPr>
      </w:pPr>
      <w:r w:rsidRPr="009B2EBA">
        <w:rPr>
          <w:rStyle w:val="longtext1"/>
          <w:i/>
          <w:sz w:val="16"/>
          <w:szCs w:val="18"/>
        </w:rPr>
        <w:t xml:space="preserve">Poznámky: Do skupiny HP2.9 Ostatní </w:t>
      </w:r>
      <w:r w:rsidR="006D73B7">
        <w:rPr>
          <w:rStyle w:val="longtext1"/>
          <w:i/>
          <w:sz w:val="16"/>
          <w:szCs w:val="18"/>
        </w:rPr>
        <w:t>lůžková zařízení</w:t>
      </w:r>
      <w:r w:rsidR="006D73B7" w:rsidRPr="009B2EBA">
        <w:rPr>
          <w:rStyle w:val="longtext1"/>
          <w:i/>
          <w:sz w:val="16"/>
          <w:szCs w:val="18"/>
        </w:rPr>
        <w:t xml:space="preserve"> </w:t>
      </w:r>
      <w:r w:rsidRPr="009B2EBA">
        <w:rPr>
          <w:rStyle w:val="longtext1"/>
          <w:i/>
          <w:sz w:val="16"/>
          <w:szCs w:val="18"/>
        </w:rPr>
        <w:t>patří např. zařízení pro sluchově a zrakově postižené osoby, geriatrická rehabilitační centra, která nesplňují podmínky nemocnic ani zařízení pro mentálně postižené (či zařízení dlouhodobé ošetřovatelské péče).</w:t>
      </w:r>
    </w:p>
    <w:p w:rsidR="00C262C4" w:rsidRDefault="00AF11AD" w:rsidP="005115CA">
      <w:pPr>
        <w:pStyle w:val="Poznamkapodcarou"/>
        <w:spacing w:before="0" w:after="0"/>
        <w:rPr>
          <w:rStyle w:val="longtext1"/>
          <w:i/>
          <w:sz w:val="16"/>
          <w:szCs w:val="18"/>
        </w:rPr>
      </w:pPr>
      <w:r>
        <w:rPr>
          <w:rStyle w:val="longtext1"/>
          <w:i/>
          <w:sz w:val="16"/>
          <w:szCs w:val="18"/>
        </w:rPr>
        <w:t>*</w:t>
      </w:r>
      <w:r w:rsidR="00DF78D0">
        <w:rPr>
          <w:rStyle w:val="longtext1"/>
          <w:i/>
          <w:sz w:val="16"/>
          <w:szCs w:val="18"/>
        </w:rPr>
        <w:t>PZT = prostředky zdravotnické techniky</w:t>
      </w:r>
    </w:p>
    <w:p w:rsidR="009E69E3" w:rsidRPr="004E52F2" w:rsidRDefault="009E69E3" w:rsidP="009E69E3">
      <w:pPr>
        <w:pStyle w:val="nazevtabulky"/>
        <w:keepNext w:val="0"/>
        <w:spacing w:before="120" w:after="0"/>
        <w:jc w:val="right"/>
        <w:rPr>
          <w:i/>
          <w:sz w:val="16"/>
          <w:szCs w:val="16"/>
        </w:rPr>
      </w:pP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AD3810" w:rsidRDefault="00AD3810" w:rsidP="00AD3810">
      <w:pPr>
        <w:pStyle w:val="nazevtabulky"/>
        <w:spacing w:before="120" w:after="0" w:line="288" w:lineRule="auto"/>
        <w:rPr>
          <w:b w:val="0"/>
        </w:rPr>
      </w:pPr>
      <w:r w:rsidRPr="00AD3810">
        <w:rPr>
          <w:b w:val="0"/>
        </w:rPr>
        <w:lastRenderedPageBreak/>
        <w:t xml:space="preserve">Klasifikace poskytovatelů podle SHA 2011 zachovává kontinuitu s SHA 1.0. Dosavadní kategorie zůstaly zachovány, i když částečně pod různými kódy. Klasifikace poskytovatelů zdravotní péče ICHA-HP zahrnuje nadále jak primární, tak sekundární producenty zdravotní péče. </w:t>
      </w:r>
    </w:p>
    <w:p w:rsidR="00AD3810" w:rsidRPr="00AD3810" w:rsidRDefault="00AD3810" w:rsidP="00AD3810">
      <w:pPr>
        <w:pStyle w:val="nazevtabulky"/>
        <w:spacing w:before="120" w:after="0" w:line="288" w:lineRule="auto"/>
        <w:rPr>
          <w:b w:val="0"/>
        </w:rPr>
      </w:pPr>
      <w:r w:rsidRPr="00AD3810">
        <w:rPr>
          <w:b w:val="0"/>
        </w:rPr>
        <w:t xml:space="preserve">Hlavní činností </w:t>
      </w:r>
      <w:r w:rsidRPr="00AD3810">
        <w:t>primárních poskytovatelů</w:t>
      </w:r>
      <w:r w:rsidRPr="00AD3810">
        <w:rPr>
          <w:b w:val="0"/>
        </w:rPr>
        <w:t xml:space="preserve"> je poskytování služeb zdravotní péče. Jako příklad je možné uvést nemocnice anebo ambulance praktických lékařů. </w:t>
      </w:r>
      <w:r w:rsidRPr="00AD3810">
        <w:t>Sekundární poskytovatelé</w:t>
      </w:r>
      <w:r w:rsidRPr="00AD3810">
        <w:rPr>
          <w:b w:val="0"/>
        </w:rPr>
        <w:t xml:space="preserve"> zdravotní péče poskytují služby zdravotní péče navíc k jejich hlavním aktivitám. Příkladem je Ministerstvo zdravotnictví nebo zdravotní pojišťovny, které se zabývají především řízením zdravotní politiky a zdravotního pojištění.</w:t>
      </w:r>
    </w:p>
    <w:p w:rsidR="00110E3B" w:rsidRPr="00AF11AD" w:rsidRDefault="00110E3B" w:rsidP="00AF11AD">
      <w:pPr>
        <w:pStyle w:val="nazevtabulky"/>
        <w:spacing w:before="120" w:after="120"/>
        <w:rPr>
          <w:sz w:val="18"/>
          <w:szCs w:val="18"/>
        </w:rPr>
      </w:pPr>
      <w:r w:rsidRPr="00AF11AD">
        <w:rPr>
          <w:sz w:val="18"/>
          <w:szCs w:val="18"/>
        </w:rPr>
        <w:t>Graf 2.</w:t>
      </w:r>
      <w:r w:rsidR="00AD3810">
        <w:rPr>
          <w:sz w:val="18"/>
          <w:szCs w:val="18"/>
        </w:rPr>
        <w:t>4</w:t>
      </w:r>
      <w:r w:rsidR="00071060" w:rsidRPr="00AF11AD">
        <w:rPr>
          <w:sz w:val="18"/>
          <w:szCs w:val="18"/>
        </w:rPr>
        <w:t xml:space="preserve"> </w:t>
      </w:r>
      <w:r w:rsidR="00684ECC">
        <w:rPr>
          <w:sz w:val="18"/>
          <w:szCs w:val="18"/>
        </w:rPr>
        <w:t>V</w:t>
      </w:r>
      <w:r w:rsidR="008C37B1" w:rsidRPr="00AF11AD">
        <w:rPr>
          <w:sz w:val="18"/>
          <w:szCs w:val="18"/>
        </w:rPr>
        <w:t>ýdaj</w:t>
      </w:r>
      <w:r w:rsidR="00684ECC">
        <w:rPr>
          <w:sz w:val="18"/>
          <w:szCs w:val="18"/>
        </w:rPr>
        <w:t>e</w:t>
      </w:r>
      <w:r w:rsidR="008C37B1" w:rsidRPr="00AF11AD">
        <w:rPr>
          <w:sz w:val="18"/>
          <w:szCs w:val="18"/>
        </w:rPr>
        <w:t xml:space="preserve"> na zdravotní péči</w:t>
      </w:r>
      <w:r w:rsidRPr="00AF11AD">
        <w:rPr>
          <w:sz w:val="18"/>
          <w:szCs w:val="18"/>
        </w:rPr>
        <w:t xml:space="preserve"> </w:t>
      </w:r>
      <w:r w:rsidR="00684ECC">
        <w:rPr>
          <w:sz w:val="18"/>
          <w:szCs w:val="18"/>
        </w:rPr>
        <w:t xml:space="preserve">v ČR </w:t>
      </w:r>
      <w:r w:rsidRPr="00AF11AD">
        <w:rPr>
          <w:sz w:val="18"/>
          <w:szCs w:val="18"/>
        </w:rPr>
        <w:t xml:space="preserve">podle </w:t>
      </w:r>
      <w:r w:rsidR="00785641" w:rsidRPr="00AF11AD">
        <w:rPr>
          <w:sz w:val="18"/>
          <w:szCs w:val="18"/>
        </w:rPr>
        <w:t xml:space="preserve">vybraných </w:t>
      </w:r>
      <w:r w:rsidRPr="00AF11AD">
        <w:rPr>
          <w:sz w:val="18"/>
          <w:szCs w:val="18"/>
        </w:rPr>
        <w:t>typ</w:t>
      </w:r>
      <w:r w:rsidR="00785641" w:rsidRPr="00AF11AD">
        <w:rPr>
          <w:sz w:val="18"/>
          <w:szCs w:val="18"/>
        </w:rPr>
        <w:t>ů</w:t>
      </w:r>
      <w:r w:rsidRPr="00AF11AD">
        <w:rPr>
          <w:sz w:val="18"/>
          <w:szCs w:val="18"/>
        </w:rPr>
        <w:t xml:space="preserve"> poskytovatele</w:t>
      </w:r>
      <w:r w:rsidR="00684ECC">
        <w:rPr>
          <w:sz w:val="18"/>
          <w:szCs w:val="18"/>
        </w:rPr>
        <w:t>, 2010-</w:t>
      </w:r>
      <w:r w:rsidRPr="00AF11AD">
        <w:rPr>
          <w:sz w:val="18"/>
          <w:szCs w:val="18"/>
        </w:rPr>
        <w:t>201</w:t>
      </w:r>
      <w:r w:rsidR="00143241" w:rsidRPr="00AF11AD">
        <w:rPr>
          <w:sz w:val="18"/>
          <w:szCs w:val="18"/>
        </w:rPr>
        <w:t>4</w:t>
      </w:r>
      <w:r w:rsidRPr="00AF11AD">
        <w:rPr>
          <w:sz w:val="18"/>
          <w:szCs w:val="18"/>
        </w:rPr>
        <w:t xml:space="preserve"> (m</w:t>
      </w:r>
      <w:r w:rsidR="00785641" w:rsidRPr="00AF11AD">
        <w:rPr>
          <w:sz w:val="18"/>
          <w:szCs w:val="18"/>
        </w:rPr>
        <w:t>ld.</w:t>
      </w:r>
      <w:r w:rsidRPr="00AF11AD">
        <w:rPr>
          <w:sz w:val="18"/>
          <w:szCs w:val="18"/>
        </w:rPr>
        <w:t xml:space="preserve"> Kč</w:t>
      </w:r>
      <w:r w:rsidR="00684ECC">
        <w:rPr>
          <w:sz w:val="18"/>
          <w:szCs w:val="18"/>
        </w:rPr>
        <w:t>; %</w:t>
      </w:r>
      <w:r w:rsidRPr="00AF11AD">
        <w:rPr>
          <w:sz w:val="18"/>
          <w:szCs w:val="18"/>
        </w:rPr>
        <w:t>)</w:t>
      </w:r>
    </w:p>
    <w:p w:rsidR="00AD3810" w:rsidRPr="004E52F2" w:rsidRDefault="00AD3810" w:rsidP="00AD3810">
      <w:pPr>
        <w:pStyle w:val="nazevtabulky"/>
        <w:keepNext w:val="0"/>
        <w:spacing w:before="120" w:after="0"/>
        <w:jc w:val="right"/>
        <w:rPr>
          <w:i/>
          <w:sz w:val="16"/>
          <w:szCs w:val="16"/>
        </w:rPr>
      </w:pPr>
      <w:r>
        <w:rPr>
          <w:noProof/>
        </w:rPr>
        <w:drawing>
          <wp:inline distT="0" distB="0" distL="0" distR="0" wp14:anchorId="71EE96EB" wp14:editId="6920A503">
            <wp:extent cx="6115050" cy="3000375"/>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E52F2">
        <w:rPr>
          <w:i/>
          <w:sz w:val="16"/>
          <w:szCs w:val="16"/>
        </w:rPr>
        <w:t xml:space="preserve">Zdroj: ČSÚ 2016, Zdravotnické účty </w:t>
      </w:r>
      <w:r>
        <w:rPr>
          <w:i/>
          <w:sz w:val="16"/>
          <w:szCs w:val="16"/>
        </w:rPr>
        <w:t xml:space="preserve">ČR </w:t>
      </w:r>
      <w:r w:rsidRPr="004E52F2">
        <w:rPr>
          <w:i/>
          <w:sz w:val="16"/>
          <w:szCs w:val="16"/>
        </w:rPr>
        <w:t xml:space="preserve">2010 - 2014 </w:t>
      </w:r>
    </w:p>
    <w:p w:rsidR="00235297" w:rsidRDefault="00235297" w:rsidP="00F53234">
      <w:pPr>
        <w:keepNext w:val="0"/>
        <w:spacing w:before="120"/>
        <w:rPr>
          <w:szCs w:val="20"/>
        </w:rPr>
      </w:pPr>
      <w:r w:rsidRPr="00235297">
        <w:rPr>
          <w:szCs w:val="20"/>
        </w:rPr>
        <w:t>Jak je patrné</w:t>
      </w:r>
      <w:r w:rsidR="00AF11AD">
        <w:rPr>
          <w:szCs w:val="20"/>
        </w:rPr>
        <w:t xml:space="preserve"> z grafu 2.4</w:t>
      </w:r>
      <w:r w:rsidRPr="00235297">
        <w:rPr>
          <w:szCs w:val="20"/>
        </w:rPr>
        <w:t xml:space="preserve">, největší podíl na </w:t>
      </w:r>
      <w:r w:rsidR="006D73B7">
        <w:rPr>
          <w:szCs w:val="20"/>
        </w:rPr>
        <w:t xml:space="preserve">výdajích za </w:t>
      </w:r>
      <w:r w:rsidRPr="00235297">
        <w:rPr>
          <w:szCs w:val="20"/>
        </w:rPr>
        <w:t>zdravotní péči (</w:t>
      </w:r>
      <w:r w:rsidR="0066368A">
        <w:rPr>
          <w:szCs w:val="20"/>
        </w:rPr>
        <w:t>v roce 2014 dvě pětiny</w:t>
      </w:r>
      <w:r w:rsidR="009B2EBA">
        <w:rPr>
          <w:szCs w:val="20"/>
        </w:rPr>
        <w:t xml:space="preserve"> z</w:t>
      </w:r>
      <w:r w:rsidR="00F4553B">
        <w:rPr>
          <w:szCs w:val="20"/>
        </w:rPr>
        <w:t xml:space="preserve"> celkových výdajů)</w:t>
      </w:r>
      <w:r w:rsidRPr="00235297">
        <w:rPr>
          <w:szCs w:val="20"/>
        </w:rPr>
        <w:t xml:space="preserve"> </w:t>
      </w:r>
      <w:r w:rsidR="00193863">
        <w:rPr>
          <w:szCs w:val="20"/>
        </w:rPr>
        <w:t>šel na vrub</w:t>
      </w:r>
      <w:r w:rsidR="00E271DE">
        <w:rPr>
          <w:szCs w:val="20"/>
        </w:rPr>
        <w:t xml:space="preserve"> </w:t>
      </w:r>
      <w:r w:rsidRPr="00F53234">
        <w:rPr>
          <w:b/>
          <w:szCs w:val="20"/>
        </w:rPr>
        <w:t>nemocnic</w:t>
      </w:r>
      <w:r w:rsidR="0066368A">
        <w:rPr>
          <w:szCs w:val="20"/>
        </w:rPr>
        <w:t>. V roce 2014</w:t>
      </w:r>
      <w:r w:rsidRPr="00235297">
        <w:rPr>
          <w:szCs w:val="20"/>
        </w:rPr>
        <w:t xml:space="preserve"> z </w:t>
      </w:r>
      <w:r w:rsidR="0066368A">
        <w:rPr>
          <w:szCs w:val="20"/>
        </w:rPr>
        <w:t>toho</w:t>
      </w:r>
      <w:r w:rsidR="00193863" w:rsidRPr="00235297">
        <w:rPr>
          <w:szCs w:val="20"/>
        </w:rPr>
        <w:t xml:space="preserve"> </w:t>
      </w:r>
      <w:r w:rsidR="006D73B7" w:rsidRPr="00235297">
        <w:rPr>
          <w:szCs w:val="20"/>
        </w:rPr>
        <w:t>87</w:t>
      </w:r>
      <w:r w:rsidR="006D73B7">
        <w:rPr>
          <w:szCs w:val="20"/>
        </w:rPr>
        <w:t> </w:t>
      </w:r>
      <w:r w:rsidRPr="00235297">
        <w:rPr>
          <w:szCs w:val="20"/>
        </w:rPr>
        <w:t xml:space="preserve">% </w:t>
      </w:r>
      <w:r w:rsidR="00193863">
        <w:rPr>
          <w:szCs w:val="20"/>
        </w:rPr>
        <w:t>připadalo na</w:t>
      </w:r>
      <w:r w:rsidRPr="00235297">
        <w:rPr>
          <w:szCs w:val="20"/>
        </w:rPr>
        <w:t xml:space="preserve"> všeobecné nemocnice</w:t>
      </w:r>
      <w:r w:rsidR="0066368A">
        <w:rPr>
          <w:szCs w:val="20"/>
        </w:rPr>
        <w:t xml:space="preserve"> a</w:t>
      </w:r>
      <w:r>
        <w:rPr>
          <w:szCs w:val="20"/>
        </w:rPr>
        <w:t xml:space="preserve"> </w:t>
      </w:r>
      <w:r w:rsidR="0066368A">
        <w:rPr>
          <w:szCs w:val="20"/>
        </w:rPr>
        <w:t>z</w:t>
      </w:r>
      <w:r w:rsidR="00193863">
        <w:rPr>
          <w:szCs w:val="20"/>
        </w:rPr>
        <w:t>bývajících 13 % výdajů na zdravotní péči v nemocnicích bylo téměř rovnoměrně rozděleno mezi psychiatrické nemocnice (včetně odvykacích zařízení) a specializované nemocnice (sem patří například nemocnice následné péče, rehabilitační nemocnice a nemocnice lázeňské léčebně rehabilitační péče včetně lázní).</w:t>
      </w:r>
    </w:p>
    <w:p w:rsidR="00235297" w:rsidRDefault="00235297" w:rsidP="00AD3810">
      <w:pPr>
        <w:keepNext w:val="0"/>
        <w:spacing w:before="120"/>
        <w:rPr>
          <w:szCs w:val="20"/>
        </w:rPr>
      </w:pPr>
      <w:r w:rsidRPr="00235297">
        <w:rPr>
          <w:szCs w:val="20"/>
        </w:rPr>
        <w:t>V pořadí za nimi následovaly výdaje v</w:t>
      </w:r>
      <w:r w:rsidRPr="00F53234">
        <w:rPr>
          <w:szCs w:val="20"/>
        </w:rPr>
        <w:t xml:space="preserve"> </w:t>
      </w:r>
      <w:r w:rsidRPr="00F53234">
        <w:rPr>
          <w:b/>
          <w:szCs w:val="20"/>
        </w:rPr>
        <w:t>zařízeních ambulantní péče</w:t>
      </w:r>
      <w:r w:rsidRPr="00235297">
        <w:rPr>
          <w:szCs w:val="20"/>
        </w:rPr>
        <w:t xml:space="preserve"> (v roce 2014 dosahovaly </w:t>
      </w:r>
      <w:r w:rsidR="0066368A">
        <w:rPr>
          <w:szCs w:val="20"/>
        </w:rPr>
        <w:t>jedné pětiny</w:t>
      </w:r>
      <w:r w:rsidRPr="00235297">
        <w:rPr>
          <w:szCs w:val="20"/>
        </w:rPr>
        <w:t xml:space="preserve"> celkových výdajů). V této skupině  poskytovatelů připadalo</w:t>
      </w:r>
      <w:r>
        <w:rPr>
          <w:szCs w:val="20"/>
        </w:rPr>
        <w:t xml:space="preserve"> </w:t>
      </w:r>
      <w:r w:rsidRPr="00235297">
        <w:rPr>
          <w:szCs w:val="20"/>
        </w:rPr>
        <w:t>54</w:t>
      </w:r>
      <w:r w:rsidR="0066368A">
        <w:rPr>
          <w:szCs w:val="20"/>
        </w:rPr>
        <w:t> </w:t>
      </w:r>
      <w:r w:rsidRPr="00235297">
        <w:rPr>
          <w:szCs w:val="20"/>
        </w:rPr>
        <w:t xml:space="preserve">% výdajů na </w:t>
      </w:r>
      <w:r w:rsidRPr="00F53234">
        <w:rPr>
          <w:b/>
          <w:szCs w:val="20"/>
        </w:rPr>
        <w:t>ordinace lékařů</w:t>
      </w:r>
      <w:r w:rsidRPr="00235297">
        <w:rPr>
          <w:szCs w:val="20"/>
        </w:rPr>
        <w:t xml:space="preserve"> a </w:t>
      </w:r>
      <w:r w:rsidR="0066368A" w:rsidRPr="00235297">
        <w:rPr>
          <w:szCs w:val="20"/>
        </w:rPr>
        <w:t>23</w:t>
      </w:r>
      <w:r w:rsidR="0066368A">
        <w:rPr>
          <w:szCs w:val="20"/>
        </w:rPr>
        <w:t> </w:t>
      </w:r>
      <w:r w:rsidRPr="00235297">
        <w:rPr>
          <w:szCs w:val="20"/>
        </w:rPr>
        <w:t xml:space="preserve">% na </w:t>
      </w:r>
      <w:r w:rsidRPr="00F53234">
        <w:rPr>
          <w:b/>
          <w:szCs w:val="20"/>
        </w:rPr>
        <w:t>ordinace stomatologů</w:t>
      </w:r>
      <w:r w:rsidRPr="00235297">
        <w:rPr>
          <w:szCs w:val="20"/>
        </w:rPr>
        <w:t>.</w:t>
      </w:r>
      <w:r>
        <w:rPr>
          <w:szCs w:val="20"/>
        </w:rPr>
        <w:t xml:space="preserve"> </w:t>
      </w:r>
    </w:p>
    <w:p w:rsidR="00235297" w:rsidRDefault="00235297" w:rsidP="00AD3810">
      <w:pPr>
        <w:keepNext w:val="0"/>
        <w:spacing w:before="120"/>
        <w:rPr>
          <w:szCs w:val="20"/>
        </w:rPr>
      </w:pPr>
      <w:r w:rsidRPr="00235297">
        <w:rPr>
          <w:szCs w:val="20"/>
        </w:rPr>
        <w:t xml:space="preserve">Klesající tendence poznamenaly výdaje </w:t>
      </w:r>
      <w:r w:rsidR="0066368A" w:rsidRPr="00F53234">
        <w:rPr>
          <w:b/>
          <w:szCs w:val="20"/>
        </w:rPr>
        <w:t>lékáren a výdejen prostředků zdravotnické techniky</w:t>
      </w:r>
      <w:r w:rsidRPr="00235297">
        <w:rPr>
          <w:szCs w:val="20"/>
        </w:rPr>
        <w:t xml:space="preserve">, které se </w:t>
      </w:r>
      <w:r w:rsidR="0066368A">
        <w:rPr>
          <w:szCs w:val="20"/>
        </w:rPr>
        <w:t>oproti roku 2013</w:t>
      </w:r>
      <w:r w:rsidR="0066368A" w:rsidRPr="00235297">
        <w:rPr>
          <w:szCs w:val="20"/>
        </w:rPr>
        <w:t xml:space="preserve"> </w:t>
      </w:r>
      <w:r w:rsidRPr="00235297">
        <w:rPr>
          <w:szCs w:val="20"/>
        </w:rPr>
        <w:t xml:space="preserve">snížily o </w:t>
      </w:r>
      <w:r w:rsidR="0066368A">
        <w:rPr>
          <w:szCs w:val="20"/>
        </w:rPr>
        <w:t>desetinu a proti roku 2012 dokonce o 15 %</w:t>
      </w:r>
      <w:r w:rsidRPr="00235297">
        <w:rPr>
          <w:szCs w:val="20"/>
        </w:rPr>
        <w:t xml:space="preserve">. Výdaje lékáren ve výši </w:t>
      </w:r>
      <w:r w:rsidR="0066368A">
        <w:rPr>
          <w:szCs w:val="20"/>
        </w:rPr>
        <w:t>necelých</w:t>
      </w:r>
      <w:r w:rsidR="0066368A" w:rsidRPr="00235297">
        <w:rPr>
          <w:szCs w:val="20"/>
        </w:rPr>
        <w:t xml:space="preserve"> </w:t>
      </w:r>
      <w:r w:rsidRPr="00235297">
        <w:rPr>
          <w:szCs w:val="20"/>
        </w:rPr>
        <w:t>46</w:t>
      </w:r>
      <w:r w:rsidR="00F53234">
        <w:rPr>
          <w:szCs w:val="20"/>
        </w:rPr>
        <w:t> </w:t>
      </w:r>
      <w:r w:rsidRPr="00235297">
        <w:rPr>
          <w:szCs w:val="20"/>
        </w:rPr>
        <w:t>miliard jsou nejmenší od roku 2010</w:t>
      </w:r>
      <w:r w:rsidR="0066368A">
        <w:rPr>
          <w:szCs w:val="20"/>
        </w:rPr>
        <w:t>, což</w:t>
      </w:r>
      <w:r w:rsidRPr="00235297">
        <w:rPr>
          <w:szCs w:val="20"/>
        </w:rPr>
        <w:t xml:space="preserve"> do jisté míry souvisí se snižováním výdajů za léky, které probíhalo v uplynulých dvou letech.</w:t>
      </w:r>
    </w:p>
    <w:p w:rsidR="00F53234" w:rsidRDefault="00235297" w:rsidP="00AD3810">
      <w:pPr>
        <w:keepNext w:val="0"/>
        <w:spacing w:before="120"/>
        <w:rPr>
          <w:szCs w:val="20"/>
        </w:rPr>
      </w:pPr>
      <w:r w:rsidRPr="00F53234">
        <w:rPr>
          <w:b/>
          <w:szCs w:val="20"/>
        </w:rPr>
        <w:t>Domácnosti jako poskytovatelé zdravotní péče</w:t>
      </w:r>
      <w:r w:rsidRPr="00F53234">
        <w:rPr>
          <w:szCs w:val="20"/>
        </w:rPr>
        <w:t xml:space="preserve"> </w:t>
      </w:r>
      <w:r w:rsidR="003E7082" w:rsidRPr="00F53234">
        <w:rPr>
          <w:szCs w:val="20"/>
        </w:rPr>
        <w:t xml:space="preserve">(HP 8.1) zahrnují </w:t>
      </w:r>
      <w:r w:rsidRPr="00F53234">
        <w:rPr>
          <w:szCs w:val="20"/>
        </w:rPr>
        <w:t>výdaje na péči zajišťovanou osobou blízkou v souvislosti s</w:t>
      </w:r>
      <w:r w:rsidR="003E7082" w:rsidRPr="00F53234">
        <w:rPr>
          <w:szCs w:val="20"/>
        </w:rPr>
        <w:t xml:space="preserve"> pobíráním </w:t>
      </w:r>
      <w:r w:rsidR="008600DF" w:rsidRPr="00F53234">
        <w:rPr>
          <w:szCs w:val="20"/>
        </w:rPr>
        <w:t>ošetřovného</w:t>
      </w:r>
      <w:r w:rsidR="008600DF" w:rsidRPr="00F53234" w:rsidDel="003E7082">
        <w:rPr>
          <w:szCs w:val="20"/>
        </w:rPr>
        <w:t xml:space="preserve"> </w:t>
      </w:r>
      <w:r w:rsidR="008600DF" w:rsidRPr="00F53234">
        <w:rPr>
          <w:szCs w:val="20"/>
        </w:rPr>
        <w:t xml:space="preserve">a </w:t>
      </w:r>
      <w:r w:rsidR="003E7082" w:rsidRPr="00F53234">
        <w:rPr>
          <w:szCs w:val="20"/>
        </w:rPr>
        <w:t xml:space="preserve">příspěvku </w:t>
      </w:r>
      <w:r w:rsidRPr="00F53234">
        <w:rPr>
          <w:szCs w:val="20"/>
        </w:rPr>
        <w:t>na péči (viz blíže metodi</w:t>
      </w:r>
      <w:r w:rsidR="00F4553B" w:rsidRPr="00F53234">
        <w:rPr>
          <w:szCs w:val="20"/>
        </w:rPr>
        <w:t>cká příloha). Mírné meziroční zvýšení výdajů</w:t>
      </w:r>
      <w:r w:rsidRPr="00F53234">
        <w:rPr>
          <w:szCs w:val="20"/>
        </w:rPr>
        <w:t xml:space="preserve"> domácností o 4</w:t>
      </w:r>
      <w:r w:rsidR="008600DF" w:rsidRPr="00F53234">
        <w:rPr>
          <w:szCs w:val="20"/>
        </w:rPr>
        <w:t> </w:t>
      </w:r>
      <w:r w:rsidRPr="00F53234">
        <w:rPr>
          <w:szCs w:val="20"/>
        </w:rPr>
        <w:t>% souvisí s  nepatrným nárůstem počtu případů výplaty ošetřovného i</w:t>
      </w:r>
      <w:r w:rsidR="0037311F" w:rsidRPr="00F53234">
        <w:rPr>
          <w:szCs w:val="20"/>
        </w:rPr>
        <w:t> </w:t>
      </w:r>
      <w:r w:rsidRPr="00F53234">
        <w:rPr>
          <w:szCs w:val="20"/>
        </w:rPr>
        <w:t>s </w:t>
      </w:r>
      <w:r w:rsidR="00F4553B" w:rsidRPr="00F53234">
        <w:rPr>
          <w:szCs w:val="20"/>
        </w:rPr>
        <w:t>vyšším počtem proplacených dní.</w:t>
      </w:r>
      <w:r w:rsidRPr="00F53234">
        <w:rPr>
          <w:szCs w:val="20"/>
        </w:rPr>
        <w:t xml:space="preserve"> </w:t>
      </w:r>
    </w:p>
    <w:p w:rsidR="00235297" w:rsidRPr="00F53234" w:rsidRDefault="003E7082" w:rsidP="00AD3810">
      <w:pPr>
        <w:keepNext w:val="0"/>
        <w:spacing w:before="120"/>
        <w:rPr>
          <w:szCs w:val="20"/>
        </w:rPr>
      </w:pPr>
      <w:r w:rsidRPr="00F53234">
        <w:rPr>
          <w:b/>
          <w:szCs w:val="20"/>
        </w:rPr>
        <w:t>Ostatní odvětví</w:t>
      </w:r>
      <w:r w:rsidRPr="00F53234">
        <w:rPr>
          <w:szCs w:val="20"/>
        </w:rPr>
        <w:t xml:space="preserve"> jako poskytovatelé zdravotní péče</w:t>
      </w:r>
      <w:r w:rsidRPr="00F53234" w:rsidDel="003E7082">
        <w:rPr>
          <w:szCs w:val="20"/>
        </w:rPr>
        <w:t xml:space="preserve"> </w:t>
      </w:r>
      <w:r w:rsidR="00235297" w:rsidRPr="00F53234">
        <w:rPr>
          <w:szCs w:val="20"/>
        </w:rPr>
        <w:t>(HP 8.2) zahrnují širokou škálu poskytovatelů zdravotní péče např. závodní preventivní péči, zařízení pro seniory bez ošetřovatelské péče, poskytovatelé domácí péče zaměřené na sebeobsluhu a soběstačnost klienta, školy zaměstnávají</w:t>
      </w:r>
      <w:r w:rsidR="00F4553B" w:rsidRPr="00F53234">
        <w:rPr>
          <w:szCs w:val="20"/>
        </w:rPr>
        <w:t xml:space="preserve">cí zdravotníky apod. Meziročně </w:t>
      </w:r>
      <w:r w:rsidR="00235297" w:rsidRPr="00F53234">
        <w:rPr>
          <w:szCs w:val="20"/>
        </w:rPr>
        <w:t>vzrostly výdaje v této kategorii poskytovatelů o více než jednu čtvrtinu a to především v souvislosti se zvýšenými náklady na preventivní prohlídky zaměstnanců.</w:t>
      </w:r>
    </w:p>
    <w:sectPr w:rsidR="00235297" w:rsidRPr="00F53234" w:rsidSect="00AE5A56">
      <w:headerReference w:type="even" r:id="rId15"/>
      <w:headerReference w:type="default" r:id="rId16"/>
      <w:footerReference w:type="even" r:id="rId17"/>
      <w:footerReference w:type="default" r:id="rId18"/>
      <w:pgSz w:w="11906" w:h="16838" w:code="9"/>
      <w:pgMar w:top="1134" w:right="1134" w:bottom="1418" w:left="1134" w:header="680" w:footer="68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06" w:rsidRDefault="00E92206" w:rsidP="00E71A58">
      <w:r>
        <w:separator/>
      </w:r>
    </w:p>
  </w:endnote>
  <w:endnote w:type="continuationSeparator" w:id="0">
    <w:p w:rsidR="00E92206" w:rsidRDefault="00E9220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52" w:rsidRDefault="00525D52"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14:anchorId="5F2BAD6E" wp14:editId="29A949B3">
          <wp:simplePos x="0" y="0"/>
          <wp:positionH relativeFrom="column">
            <wp:posOffset>5660390</wp:posOffset>
          </wp:positionH>
          <wp:positionV relativeFrom="paragraph">
            <wp:posOffset>-52070</wp:posOffset>
          </wp:positionV>
          <wp:extent cx="466725" cy="219075"/>
          <wp:effectExtent l="0" t="0" r="9525" b="9525"/>
          <wp:wrapNone/>
          <wp:docPr id="3"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D952C6">
      <w:rPr>
        <w:rFonts w:ascii="Arial" w:hAnsi="Arial" w:cs="Arial"/>
        <w:noProof/>
        <w:sz w:val="16"/>
        <w:szCs w:val="16"/>
      </w:rPr>
      <w:t>14</w:t>
    </w:r>
    <w:r w:rsidRPr="005A21E0">
      <w:rPr>
        <w:rFonts w:ascii="Arial" w:hAnsi="Arial" w:cs="Arial"/>
        <w:sz w:val="16"/>
        <w:szCs w:val="16"/>
      </w:rPr>
      <w:fldChar w:fldCharType="end"/>
    </w:r>
    <w:r w:rsidR="00D952C6">
      <w:rPr>
        <w:rFonts w:ascii="Arial" w:hAnsi="Arial" w:cs="Arial"/>
        <w:sz w:val="16"/>
        <w:szCs w:val="16"/>
      </w:rPr>
      <w:tab/>
      <w:t>2016</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52" w:rsidRDefault="00525D52"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4606F877" wp14:editId="1476D310">
          <wp:simplePos x="0" y="0"/>
          <wp:positionH relativeFrom="column">
            <wp:posOffset>3810</wp:posOffset>
          </wp:positionH>
          <wp:positionV relativeFrom="paragraph">
            <wp:posOffset>90170</wp:posOffset>
          </wp:positionV>
          <wp:extent cx="495300" cy="266700"/>
          <wp:effectExtent l="0" t="0" r="0" b="0"/>
          <wp:wrapNone/>
          <wp:docPr id="2"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525D52" w:rsidRDefault="00D952C6"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sidR="00525D52">
      <w:tab/>
    </w:r>
    <w:r w:rsidR="00525D52">
      <w:tab/>
    </w:r>
    <w:r w:rsidR="00525D52" w:rsidRPr="00B6608F">
      <w:rPr>
        <w:rFonts w:ascii="Arial" w:hAnsi="Arial" w:cs="Arial"/>
        <w:sz w:val="16"/>
        <w:szCs w:val="16"/>
      </w:rPr>
      <w:fldChar w:fldCharType="begin"/>
    </w:r>
    <w:r w:rsidR="00525D52" w:rsidRPr="00B6608F">
      <w:rPr>
        <w:rFonts w:ascii="Arial" w:hAnsi="Arial" w:cs="Arial"/>
        <w:sz w:val="16"/>
        <w:szCs w:val="16"/>
      </w:rPr>
      <w:instrText>PAGE   \* MERGEFORMAT</w:instrText>
    </w:r>
    <w:r w:rsidR="00525D52" w:rsidRPr="00B6608F">
      <w:rPr>
        <w:rFonts w:ascii="Arial" w:hAnsi="Arial" w:cs="Arial"/>
        <w:sz w:val="16"/>
        <w:szCs w:val="16"/>
      </w:rPr>
      <w:fldChar w:fldCharType="separate"/>
    </w:r>
    <w:r>
      <w:rPr>
        <w:rFonts w:ascii="Arial" w:hAnsi="Arial" w:cs="Arial"/>
        <w:noProof/>
        <w:sz w:val="16"/>
        <w:szCs w:val="16"/>
      </w:rPr>
      <w:t>15</w:t>
    </w:r>
    <w:r w:rsidR="00525D52"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06" w:rsidRDefault="00E92206" w:rsidP="00E71A58">
      <w:r>
        <w:separator/>
      </w:r>
    </w:p>
  </w:footnote>
  <w:footnote w:type="continuationSeparator" w:id="0">
    <w:p w:rsidR="00E92206" w:rsidRDefault="00E92206" w:rsidP="00E71A58">
      <w:r>
        <w:continuationSeparator/>
      </w:r>
    </w:p>
  </w:footnote>
  <w:footnote w:id="1">
    <w:p w:rsidR="00A34296" w:rsidRDefault="00A34296">
      <w:pPr>
        <w:pStyle w:val="Textpoznpodarou"/>
      </w:pPr>
      <w:r>
        <w:rPr>
          <w:rStyle w:val="Znakapoznpodarou"/>
        </w:rPr>
        <w:footnoteRef/>
      </w:r>
      <w:r>
        <w:t xml:space="preserve"> </w:t>
      </w:r>
      <w:r w:rsidRPr="00A34296">
        <w:t>Ze státního rozpočtu jsou rovněž hrazeny platby na zdravotní pojištění za nevýdělečně činné skupiny obyvatelstva (děti do ukončení jejich povinné školní docházky, studenty do 26 let, osoby na mateřské a rodičovské dovolené, osoby, které pobírají některý z důchodů, uchazeče o zaměstnání, pokud jsou v evidenci úřadu práce atd.). Konečným zdrojem financování zdravotní péče (ať již lůžkové, ambulantní či jiné) o tyto osoby jsou většinou zdravotní pojišťovny, které jsou primárním příjemcem těchto finančních prostředků. Tyto prostředky jsou dle metodiky SHA alokovány do zdrojů zdravotních pojišťoven, které s nimi dále hospodaří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52" w:rsidRPr="002175EE" w:rsidRDefault="00525D52" w:rsidP="00D67975">
    <w:pPr>
      <w:pStyle w:val="Nadpis1"/>
      <w:rPr>
        <w:b w:val="0"/>
        <w:color w:val="auto"/>
        <w:sz w:val="16"/>
        <w:szCs w:val="16"/>
      </w:rPr>
    </w:pPr>
    <w:r w:rsidRPr="002175EE">
      <w:rPr>
        <w:b w:val="0"/>
        <w:color w:val="auto"/>
        <w:sz w:val="16"/>
        <w:szCs w:val="16"/>
      </w:rPr>
      <w:t>Výsledky zdravotnických účtů ČR 20</w:t>
    </w:r>
    <w:r>
      <w:rPr>
        <w:b w:val="0"/>
        <w:color w:val="auto"/>
        <w:sz w:val="16"/>
        <w:szCs w:val="16"/>
      </w:rPr>
      <w:t>10–2014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52" w:rsidRPr="002175EE" w:rsidRDefault="00525D52" w:rsidP="002175EE">
    <w:pPr>
      <w:pStyle w:val="Nadpis1"/>
      <w:rPr>
        <w:b w:val="0"/>
        <w:color w:val="auto"/>
        <w:sz w:val="16"/>
        <w:szCs w:val="16"/>
      </w:rPr>
    </w:pPr>
    <w:r w:rsidRPr="002175EE">
      <w:rPr>
        <w:b w:val="0"/>
        <w:color w:val="auto"/>
        <w:sz w:val="16"/>
        <w:szCs w:val="16"/>
      </w:rPr>
      <w:t>Výsledky zdravotnických účtů ČR 20</w:t>
    </w:r>
    <w:r>
      <w:rPr>
        <w:b w:val="0"/>
        <w:color w:val="auto"/>
        <w:sz w:val="16"/>
        <w:szCs w:val="16"/>
      </w:rPr>
      <w:t>10–2014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087D8F"/>
    <w:multiLevelType w:val="hybridMultilevel"/>
    <w:tmpl w:val="5DE801E0"/>
    <w:lvl w:ilvl="0" w:tplc="267E35CE">
      <w:start w:val="1"/>
      <w:numFmt w:val="decimal"/>
      <w:lvlText w:val="(%1)"/>
      <w:lvlJc w:val="left"/>
      <w:pPr>
        <w:ind w:left="1080" w:hanging="360"/>
      </w:pPr>
      <w:rPr>
        <w:rFonts w:hint="default"/>
        <w:b/>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C32522"/>
    <w:multiLevelType w:val="hybridMultilevel"/>
    <w:tmpl w:val="7F9C2826"/>
    <w:lvl w:ilvl="0" w:tplc="F9388996">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14">
    <w:nsid w:val="6F893287"/>
    <w:multiLevelType w:val="multilevel"/>
    <w:tmpl w:val="38A0BB0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F9F4163"/>
    <w:multiLevelType w:val="hybridMultilevel"/>
    <w:tmpl w:val="A78ADFC6"/>
    <w:lvl w:ilvl="0" w:tplc="242AA788">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3"/>
  </w:num>
  <w:num w:numId="4">
    <w:abstractNumId w:val="11"/>
  </w:num>
  <w:num w:numId="5">
    <w:abstractNumId w:val="1"/>
  </w:num>
  <w:num w:numId="6">
    <w:abstractNumId w:val="4"/>
  </w:num>
  <w:num w:numId="7">
    <w:abstractNumId w:val="8"/>
  </w:num>
  <w:num w:numId="8">
    <w:abstractNumId w:val="14"/>
  </w:num>
  <w:num w:numId="9">
    <w:abstractNumId w:val="7"/>
  </w:num>
  <w:num w:numId="10">
    <w:abstractNumId w:val="16"/>
  </w:num>
  <w:num w:numId="11">
    <w:abstractNumId w:val="9"/>
  </w:num>
  <w:num w:numId="12">
    <w:abstractNumId w:val="12"/>
  </w:num>
  <w:num w:numId="13">
    <w:abstractNumId w:val="13"/>
  </w:num>
  <w:num w:numId="14">
    <w:abstractNumId w:val="2"/>
  </w:num>
  <w:num w:numId="15">
    <w:abstractNumId w:val="5"/>
  </w:num>
  <w:num w:numId="16">
    <w:abstractNumId w:val="15"/>
  </w:num>
  <w:num w:numId="17">
    <w:abstractNumId w:val="0"/>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767A"/>
    <w:rsid w:val="00010702"/>
    <w:rsid w:val="0004694F"/>
    <w:rsid w:val="000574E1"/>
    <w:rsid w:val="00057E34"/>
    <w:rsid w:val="00062EC5"/>
    <w:rsid w:val="00065C58"/>
    <w:rsid w:val="00071060"/>
    <w:rsid w:val="00087634"/>
    <w:rsid w:val="00093B54"/>
    <w:rsid w:val="000A1183"/>
    <w:rsid w:val="000A7BFD"/>
    <w:rsid w:val="000B0320"/>
    <w:rsid w:val="000C3408"/>
    <w:rsid w:val="000C40ED"/>
    <w:rsid w:val="000D0C36"/>
    <w:rsid w:val="000D21E1"/>
    <w:rsid w:val="000D5E39"/>
    <w:rsid w:val="000E3B37"/>
    <w:rsid w:val="001018E9"/>
    <w:rsid w:val="0010436E"/>
    <w:rsid w:val="00110E3B"/>
    <w:rsid w:val="001405FA"/>
    <w:rsid w:val="001425C3"/>
    <w:rsid w:val="00142B06"/>
    <w:rsid w:val="00143241"/>
    <w:rsid w:val="00147674"/>
    <w:rsid w:val="00151793"/>
    <w:rsid w:val="00151A8A"/>
    <w:rsid w:val="00154ED5"/>
    <w:rsid w:val="00156A41"/>
    <w:rsid w:val="00163793"/>
    <w:rsid w:val="001714F2"/>
    <w:rsid w:val="00171A69"/>
    <w:rsid w:val="00176A7F"/>
    <w:rsid w:val="00185010"/>
    <w:rsid w:val="00193560"/>
    <w:rsid w:val="00193863"/>
    <w:rsid w:val="001A3B66"/>
    <w:rsid w:val="001A552F"/>
    <w:rsid w:val="001B3110"/>
    <w:rsid w:val="001D45E1"/>
    <w:rsid w:val="001E2E11"/>
    <w:rsid w:val="001E57BC"/>
    <w:rsid w:val="001F4597"/>
    <w:rsid w:val="00210AA5"/>
    <w:rsid w:val="00211146"/>
    <w:rsid w:val="002175EE"/>
    <w:rsid w:val="0022139E"/>
    <w:rsid w:val="002252E0"/>
    <w:rsid w:val="002255F6"/>
    <w:rsid w:val="002273AF"/>
    <w:rsid w:val="00235297"/>
    <w:rsid w:val="00236443"/>
    <w:rsid w:val="002436BA"/>
    <w:rsid w:val="00244A15"/>
    <w:rsid w:val="0024799E"/>
    <w:rsid w:val="00254100"/>
    <w:rsid w:val="0025794E"/>
    <w:rsid w:val="00264C1E"/>
    <w:rsid w:val="00276FC0"/>
    <w:rsid w:val="00280AA1"/>
    <w:rsid w:val="0028330A"/>
    <w:rsid w:val="00283B06"/>
    <w:rsid w:val="002B6C95"/>
    <w:rsid w:val="002C0F43"/>
    <w:rsid w:val="002C1EDC"/>
    <w:rsid w:val="002C43BD"/>
    <w:rsid w:val="002E02A1"/>
    <w:rsid w:val="002E6166"/>
    <w:rsid w:val="00304771"/>
    <w:rsid w:val="00306C5B"/>
    <w:rsid w:val="003114E6"/>
    <w:rsid w:val="003209D6"/>
    <w:rsid w:val="00323AFA"/>
    <w:rsid w:val="00332918"/>
    <w:rsid w:val="00340DD1"/>
    <w:rsid w:val="00347A17"/>
    <w:rsid w:val="00351143"/>
    <w:rsid w:val="00355E1C"/>
    <w:rsid w:val="003657F3"/>
    <w:rsid w:val="0037311F"/>
    <w:rsid w:val="00382071"/>
    <w:rsid w:val="003836F8"/>
    <w:rsid w:val="00385D98"/>
    <w:rsid w:val="003919C8"/>
    <w:rsid w:val="003948B7"/>
    <w:rsid w:val="003A2B4D"/>
    <w:rsid w:val="003A478C"/>
    <w:rsid w:val="003A5525"/>
    <w:rsid w:val="003A6B38"/>
    <w:rsid w:val="003B5A32"/>
    <w:rsid w:val="003B600A"/>
    <w:rsid w:val="003C627D"/>
    <w:rsid w:val="003C6CC2"/>
    <w:rsid w:val="003D3D7F"/>
    <w:rsid w:val="003E037E"/>
    <w:rsid w:val="003E35A1"/>
    <w:rsid w:val="003E59FD"/>
    <w:rsid w:val="003E7082"/>
    <w:rsid w:val="003F09E7"/>
    <w:rsid w:val="003F313C"/>
    <w:rsid w:val="004004F4"/>
    <w:rsid w:val="00416832"/>
    <w:rsid w:val="00423C05"/>
    <w:rsid w:val="00444034"/>
    <w:rsid w:val="004609BB"/>
    <w:rsid w:val="00472B65"/>
    <w:rsid w:val="00476265"/>
    <w:rsid w:val="004772A1"/>
    <w:rsid w:val="0048086F"/>
    <w:rsid w:val="0048139F"/>
    <w:rsid w:val="00490706"/>
    <w:rsid w:val="004A081C"/>
    <w:rsid w:val="004A77DF"/>
    <w:rsid w:val="004B55B7"/>
    <w:rsid w:val="004C3867"/>
    <w:rsid w:val="004C4ABE"/>
    <w:rsid w:val="004C4CD0"/>
    <w:rsid w:val="004C5780"/>
    <w:rsid w:val="004C70DC"/>
    <w:rsid w:val="004D0211"/>
    <w:rsid w:val="004D5B75"/>
    <w:rsid w:val="004F06F5"/>
    <w:rsid w:val="004F209C"/>
    <w:rsid w:val="004F652E"/>
    <w:rsid w:val="0050741E"/>
    <w:rsid w:val="005108C0"/>
    <w:rsid w:val="005115CA"/>
    <w:rsid w:val="00511873"/>
    <w:rsid w:val="00513B7E"/>
    <w:rsid w:val="00525137"/>
    <w:rsid w:val="005251DD"/>
    <w:rsid w:val="00525D52"/>
    <w:rsid w:val="00542E84"/>
    <w:rsid w:val="005513E1"/>
    <w:rsid w:val="00557A96"/>
    <w:rsid w:val="0056071E"/>
    <w:rsid w:val="00574302"/>
    <w:rsid w:val="00583FFD"/>
    <w:rsid w:val="00586971"/>
    <w:rsid w:val="00591D28"/>
    <w:rsid w:val="00593152"/>
    <w:rsid w:val="005A21E0"/>
    <w:rsid w:val="005A246F"/>
    <w:rsid w:val="005D4D3A"/>
    <w:rsid w:val="005D5802"/>
    <w:rsid w:val="005E0178"/>
    <w:rsid w:val="005F2D77"/>
    <w:rsid w:val="00604307"/>
    <w:rsid w:val="0060487F"/>
    <w:rsid w:val="006057B4"/>
    <w:rsid w:val="0061540D"/>
    <w:rsid w:val="00624093"/>
    <w:rsid w:val="00625E0F"/>
    <w:rsid w:val="00635B35"/>
    <w:rsid w:val="006404A7"/>
    <w:rsid w:val="006410CC"/>
    <w:rsid w:val="006451E4"/>
    <w:rsid w:val="0065147A"/>
    <w:rsid w:val="00657E87"/>
    <w:rsid w:val="00660A6C"/>
    <w:rsid w:val="0066368A"/>
    <w:rsid w:val="006710C9"/>
    <w:rsid w:val="006733C4"/>
    <w:rsid w:val="00675E37"/>
    <w:rsid w:val="00677A9E"/>
    <w:rsid w:val="0068260E"/>
    <w:rsid w:val="00684ECC"/>
    <w:rsid w:val="00695BEF"/>
    <w:rsid w:val="00695D8C"/>
    <w:rsid w:val="006977F6"/>
    <w:rsid w:val="00697A13"/>
    <w:rsid w:val="00697C9B"/>
    <w:rsid w:val="006A109C"/>
    <w:rsid w:val="006B78D8"/>
    <w:rsid w:val="006C113F"/>
    <w:rsid w:val="006D61F6"/>
    <w:rsid w:val="006D73B7"/>
    <w:rsid w:val="006E279A"/>
    <w:rsid w:val="006E313B"/>
    <w:rsid w:val="006E3ED2"/>
    <w:rsid w:val="006E5DFC"/>
    <w:rsid w:val="0070676A"/>
    <w:rsid w:val="00711CC0"/>
    <w:rsid w:val="007211F5"/>
    <w:rsid w:val="00724D2D"/>
    <w:rsid w:val="00730AE8"/>
    <w:rsid w:val="00741493"/>
    <w:rsid w:val="00752180"/>
    <w:rsid w:val="00755D3A"/>
    <w:rsid w:val="007609C6"/>
    <w:rsid w:val="0077264D"/>
    <w:rsid w:val="00776527"/>
    <w:rsid w:val="00777890"/>
    <w:rsid w:val="0078288D"/>
    <w:rsid w:val="00782BC4"/>
    <w:rsid w:val="007844D0"/>
    <w:rsid w:val="00785641"/>
    <w:rsid w:val="00787A81"/>
    <w:rsid w:val="00792CF4"/>
    <w:rsid w:val="007A17A7"/>
    <w:rsid w:val="007B47EE"/>
    <w:rsid w:val="007B60D9"/>
    <w:rsid w:val="007D3675"/>
    <w:rsid w:val="007E12CE"/>
    <w:rsid w:val="007E7E61"/>
    <w:rsid w:val="007F4E76"/>
    <w:rsid w:val="00813A96"/>
    <w:rsid w:val="00815550"/>
    <w:rsid w:val="0081579A"/>
    <w:rsid w:val="00821FF6"/>
    <w:rsid w:val="00823576"/>
    <w:rsid w:val="0083143E"/>
    <w:rsid w:val="00833780"/>
    <w:rsid w:val="00834FAA"/>
    <w:rsid w:val="00836086"/>
    <w:rsid w:val="00857578"/>
    <w:rsid w:val="008600DF"/>
    <w:rsid w:val="008620CA"/>
    <w:rsid w:val="00876086"/>
    <w:rsid w:val="00893B9A"/>
    <w:rsid w:val="008B0DD5"/>
    <w:rsid w:val="008B755E"/>
    <w:rsid w:val="008B7C02"/>
    <w:rsid w:val="008C0E88"/>
    <w:rsid w:val="008C37B1"/>
    <w:rsid w:val="008D0F35"/>
    <w:rsid w:val="008D1F8E"/>
    <w:rsid w:val="008D2A16"/>
    <w:rsid w:val="008D4A39"/>
    <w:rsid w:val="008E2977"/>
    <w:rsid w:val="008E31FF"/>
    <w:rsid w:val="009003A8"/>
    <w:rsid w:val="00902EFF"/>
    <w:rsid w:val="0090382A"/>
    <w:rsid w:val="00921F14"/>
    <w:rsid w:val="009233F1"/>
    <w:rsid w:val="0094427A"/>
    <w:rsid w:val="009449DE"/>
    <w:rsid w:val="009552B1"/>
    <w:rsid w:val="0096625D"/>
    <w:rsid w:val="00971B07"/>
    <w:rsid w:val="00973454"/>
    <w:rsid w:val="00973E05"/>
    <w:rsid w:val="00974923"/>
    <w:rsid w:val="009B2EBA"/>
    <w:rsid w:val="009B4585"/>
    <w:rsid w:val="009B6AB1"/>
    <w:rsid w:val="009B6FD3"/>
    <w:rsid w:val="009B7BE5"/>
    <w:rsid w:val="009C1E3D"/>
    <w:rsid w:val="009E0A4D"/>
    <w:rsid w:val="009E1A46"/>
    <w:rsid w:val="009E69E3"/>
    <w:rsid w:val="00A10D66"/>
    <w:rsid w:val="00A202A7"/>
    <w:rsid w:val="00A23E43"/>
    <w:rsid w:val="00A2532F"/>
    <w:rsid w:val="00A3347E"/>
    <w:rsid w:val="00A33533"/>
    <w:rsid w:val="00A33EFD"/>
    <w:rsid w:val="00A34296"/>
    <w:rsid w:val="00A34DA0"/>
    <w:rsid w:val="00A35033"/>
    <w:rsid w:val="00A46DE0"/>
    <w:rsid w:val="00A52EC2"/>
    <w:rsid w:val="00A62CE1"/>
    <w:rsid w:val="00A6521D"/>
    <w:rsid w:val="00A75E40"/>
    <w:rsid w:val="00A857C0"/>
    <w:rsid w:val="00A87F95"/>
    <w:rsid w:val="00AA559A"/>
    <w:rsid w:val="00AB2AF1"/>
    <w:rsid w:val="00AB403C"/>
    <w:rsid w:val="00AB55A7"/>
    <w:rsid w:val="00AD306C"/>
    <w:rsid w:val="00AD3810"/>
    <w:rsid w:val="00AE33C2"/>
    <w:rsid w:val="00AE5A56"/>
    <w:rsid w:val="00AF11AD"/>
    <w:rsid w:val="00AF25EE"/>
    <w:rsid w:val="00B01CAD"/>
    <w:rsid w:val="00B07399"/>
    <w:rsid w:val="00B13753"/>
    <w:rsid w:val="00B17E71"/>
    <w:rsid w:val="00B17FDE"/>
    <w:rsid w:val="00B2139A"/>
    <w:rsid w:val="00B32DDB"/>
    <w:rsid w:val="00B434C4"/>
    <w:rsid w:val="00B6608F"/>
    <w:rsid w:val="00B76D1E"/>
    <w:rsid w:val="00B9227B"/>
    <w:rsid w:val="00B923A7"/>
    <w:rsid w:val="00B95940"/>
    <w:rsid w:val="00B97BEC"/>
    <w:rsid w:val="00BA493B"/>
    <w:rsid w:val="00BB1A3B"/>
    <w:rsid w:val="00BB2349"/>
    <w:rsid w:val="00BC3543"/>
    <w:rsid w:val="00BD1B7D"/>
    <w:rsid w:val="00BD366B"/>
    <w:rsid w:val="00BD6D50"/>
    <w:rsid w:val="00BE23F8"/>
    <w:rsid w:val="00BF07D8"/>
    <w:rsid w:val="00C033CA"/>
    <w:rsid w:val="00C05293"/>
    <w:rsid w:val="00C070D6"/>
    <w:rsid w:val="00C21F94"/>
    <w:rsid w:val="00C262C4"/>
    <w:rsid w:val="00C26951"/>
    <w:rsid w:val="00C408B6"/>
    <w:rsid w:val="00C460A1"/>
    <w:rsid w:val="00C64B75"/>
    <w:rsid w:val="00C730A1"/>
    <w:rsid w:val="00C80F44"/>
    <w:rsid w:val="00C87B15"/>
    <w:rsid w:val="00C90CF4"/>
    <w:rsid w:val="00C93389"/>
    <w:rsid w:val="00CC29AB"/>
    <w:rsid w:val="00CC5D50"/>
    <w:rsid w:val="00CF51EC"/>
    <w:rsid w:val="00D040DD"/>
    <w:rsid w:val="00D15A10"/>
    <w:rsid w:val="00D16045"/>
    <w:rsid w:val="00D26DB9"/>
    <w:rsid w:val="00D32AAF"/>
    <w:rsid w:val="00D46CD7"/>
    <w:rsid w:val="00D616DF"/>
    <w:rsid w:val="00D61787"/>
    <w:rsid w:val="00D65EEB"/>
    <w:rsid w:val="00D67975"/>
    <w:rsid w:val="00D74732"/>
    <w:rsid w:val="00D74E62"/>
    <w:rsid w:val="00D8061D"/>
    <w:rsid w:val="00D91F2B"/>
    <w:rsid w:val="00D952C6"/>
    <w:rsid w:val="00DB5A07"/>
    <w:rsid w:val="00DC5B3B"/>
    <w:rsid w:val="00DE6110"/>
    <w:rsid w:val="00DF00E1"/>
    <w:rsid w:val="00DF5641"/>
    <w:rsid w:val="00DF78D0"/>
    <w:rsid w:val="00E01C0E"/>
    <w:rsid w:val="00E04694"/>
    <w:rsid w:val="00E04A95"/>
    <w:rsid w:val="00E069D1"/>
    <w:rsid w:val="00E17F99"/>
    <w:rsid w:val="00E271DE"/>
    <w:rsid w:val="00E31260"/>
    <w:rsid w:val="00E50B9D"/>
    <w:rsid w:val="00E64D45"/>
    <w:rsid w:val="00E6747A"/>
    <w:rsid w:val="00E71A58"/>
    <w:rsid w:val="00E749BF"/>
    <w:rsid w:val="00E76C3A"/>
    <w:rsid w:val="00E8493B"/>
    <w:rsid w:val="00E84B4F"/>
    <w:rsid w:val="00E92206"/>
    <w:rsid w:val="00E924DE"/>
    <w:rsid w:val="00EA0C68"/>
    <w:rsid w:val="00EB3A0D"/>
    <w:rsid w:val="00EC4548"/>
    <w:rsid w:val="00ED286F"/>
    <w:rsid w:val="00ED736D"/>
    <w:rsid w:val="00EE1DF6"/>
    <w:rsid w:val="00EE3E78"/>
    <w:rsid w:val="00EE6722"/>
    <w:rsid w:val="00EF1F5A"/>
    <w:rsid w:val="00EF1FD0"/>
    <w:rsid w:val="00EF4D97"/>
    <w:rsid w:val="00F005C0"/>
    <w:rsid w:val="00F04811"/>
    <w:rsid w:val="00F0488C"/>
    <w:rsid w:val="00F15BEF"/>
    <w:rsid w:val="00F24FAA"/>
    <w:rsid w:val="00F26DA3"/>
    <w:rsid w:val="00F3364D"/>
    <w:rsid w:val="00F4553B"/>
    <w:rsid w:val="00F53234"/>
    <w:rsid w:val="00F545C0"/>
    <w:rsid w:val="00F63DDE"/>
    <w:rsid w:val="00F63FB7"/>
    <w:rsid w:val="00F6458A"/>
    <w:rsid w:val="00F66788"/>
    <w:rsid w:val="00F70A12"/>
    <w:rsid w:val="00F73A0C"/>
    <w:rsid w:val="00F8095B"/>
    <w:rsid w:val="00F908CE"/>
    <w:rsid w:val="00FA51EF"/>
    <w:rsid w:val="00FC0E5F"/>
    <w:rsid w:val="00FC3FD5"/>
    <w:rsid w:val="00FC56DE"/>
    <w:rsid w:val="00FD459E"/>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E3ED2"/>
    <w:pPr>
      <w:keepNext/>
      <w:spacing w:line="288" w:lineRule="auto"/>
      <w:jc w:val="both"/>
    </w:pPr>
    <w:rPr>
      <w:rFonts w:ascii="Arial" w:eastAsia="Times New Roman" w:hAnsi="Arial"/>
      <w:szCs w:val="24"/>
    </w:rPr>
  </w:style>
  <w:style w:type="paragraph" w:styleId="Nadpis1">
    <w:name w:val="heading 1"/>
    <w:basedOn w:val="Normln"/>
    <w:next w:val="Normln"/>
    <w:link w:val="Nadpis1Char"/>
    <w:qFormat/>
    <w:rsid w:val="00F26DA3"/>
    <w:pPr>
      <w:keepLines/>
      <w:spacing w:after="200"/>
      <w:outlineLvl w:val="0"/>
    </w:pPr>
    <w:rPr>
      <w:rFonts w:eastAsia="MS Gothic"/>
      <w:b/>
      <w:bCs/>
      <w:color w:val="BC091B"/>
      <w:sz w:val="32"/>
      <w:szCs w:val="28"/>
    </w:rPr>
  </w:style>
  <w:style w:type="paragraph" w:styleId="Nadpis2">
    <w:name w:val="heading 2"/>
    <w:next w:val="Normln"/>
    <w:link w:val="Nadpis2Char"/>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spacing w:before="120" w:after="120" w:line="240" w:lineRule="auto"/>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F26DA3"/>
    <w:rPr>
      <w:rFonts w:ascii="Arial" w:eastAsia="MS Gothic" w:hAnsi="Arial"/>
      <w:b/>
      <w:bCs/>
      <w:color w:val="BC091B"/>
      <w:sz w:val="32"/>
      <w:szCs w:val="28"/>
    </w:rPr>
  </w:style>
  <w:style w:type="character" w:customStyle="1" w:styleId="Nadpis2Char">
    <w:name w:val="Nadpis 2 Char"/>
    <w:link w:val="Nadpis2"/>
    <w:rsid w:val="00BC3543"/>
    <w:rPr>
      <w:rFonts w:ascii="Arial" w:eastAsia="MS Gothic" w:hAnsi="Arial"/>
      <w:b/>
      <w:bCs/>
      <w:color w:val="BC091B"/>
      <w:sz w:val="28"/>
      <w:szCs w:val="26"/>
      <w:lang w:bidi="ar-SA"/>
    </w:rPr>
  </w:style>
  <w:style w:type="character" w:customStyle="1" w:styleId="Nadpis3Char">
    <w:name w:val="Nadpis 3 Char"/>
    <w:link w:val="Nadpis3"/>
    <w:rsid w:val="00BC3543"/>
    <w:rPr>
      <w:rFonts w:ascii="Arial" w:eastAsia="MS Gothic" w:hAnsi="Arial"/>
      <w:b/>
      <w:bCs/>
      <w:color w:val="BC091B"/>
      <w:sz w:val="24"/>
      <w:szCs w:val="24"/>
      <w:lang w:bidi="ar-SA"/>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semiHidden/>
    <w:rsid w:val="00110E3B"/>
    <w:pPr>
      <w:spacing w:before="120" w:after="120" w:line="240" w:lineRule="auto"/>
    </w:pPr>
  </w:style>
  <w:style w:type="paragraph" w:styleId="Obsah2">
    <w:name w:val="toc 2"/>
    <w:basedOn w:val="Normln"/>
    <w:next w:val="Normln"/>
    <w:autoRedefine/>
    <w:semiHidden/>
    <w:rsid w:val="00110E3B"/>
    <w:pPr>
      <w:spacing w:before="120" w:after="120" w:line="240" w:lineRule="auto"/>
      <w:ind w:left="240"/>
    </w:pPr>
  </w:style>
  <w:style w:type="paragraph" w:styleId="Obsah3">
    <w:name w:val="toc 3"/>
    <w:basedOn w:val="Normln"/>
    <w:next w:val="Normln"/>
    <w:autoRedefine/>
    <w:semiHidden/>
    <w:rsid w:val="00110E3B"/>
    <w:pPr>
      <w:spacing w:before="120" w:after="120" w:line="240" w:lineRule="auto"/>
      <w:ind w:left="480"/>
    </w:pPr>
  </w:style>
  <w:style w:type="paragraph" w:styleId="Obsah4">
    <w:name w:val="toc 4"/>
    <w:basedOn w:val="Normln"/>
    <w:next w:val="Normln"/>
    <w:autoRedefine/>
    <w:semiHidden/>
    <w:rsid w:val="00110E3B"/>
    <w:pPr>
      <w:spacing w:before="120" w:after="120" w:line="240" w:lineRule="auto"/>
      <w:ind w:left="720"/>
    </w:pPr>
  </w:style>
  <w:style w:type="paragraph" w:styleId="Obsah5">
    <w:name w:val="toc 5"/>
    <w:basedOn w:val="Normln"/>
    <w:next w:val="Normln"/>
    <w:autoRedefine/>
    <w:semiHidden/>
    <w:rsid w:val="00110E3B"/>
    <w:pPr>
      <w:spacing w:before="120" w:after="120" w:line="240" w:lineRule="auto"/>
      <w:ind w:left="960"/>
    </w:pPr>
  </w:style>
  <w:style w:type="paragraph" w:styleId="Obsah6">
    <w:name w:val="toc 6"/>
    <w:basedOn w:val="Normln"/>
    <w:next w:val="Normln"/>
    <w:autoRedefine/>
    <w:semiHidden/>
    <w:rsid w:val="00110E3B"/>
    <w:pPr>
      <w:spacing w:before="120" w:after="120" w:line="240" w:lineRule="auto"/>
      <w:ind w:left="1200"/>
    </w:pPr>
  </w:style>
  <w:style w:type="paragraph" w:styleId="Obsah7">
    <w:name w:val="toc 7"/>
    <w:basedOn w:val="Normln"/>
    <w:next w:val="Normln"/>
    <w:autoRedefine/>
    <w:semiHidden/>
    <w:rsid w:val="00110E3B"/>
    <w:pPr>
      <w:spacing w:before="120" w:after="120" w:line="240" w:lineRule="auto"/>
      <w:ind w:left="1440"/>
    </w:pPr>
  </w:style>
  <w:style w:type="paragraph" w:styleId="Obsah8">
    <w:name w:val="toc 8"/>
    <w:basedOn w:val="Normln"/>
    <w:next w:val="Normln"/>
    <w:autoRedefine/>
    <w:semiHidden/>
    <w:rsid w:val="00110E3B"/>
    <w:pPr>
      <w:spacing w:before="120" w:after="120" w:line="240" w:lineRule="auto"/>
      <w:ind w:left="1680"/>
    </w:pPr>
  </w:style>
  <w:style w:type="paragraph" w:styleId="Obsah9">
    <w:name w:val="toc 9"/>
    <w:basedOn w:val="Normln"/>
    <w:next w:val="Normln"/>
    <w:autoRedefine/>
    <w:semiHidden/>
    <w:rsid w:val="00110E3B"/>
    <w:pPr>
      <w:spacing w:before="120" w:after="120" w:line="240" w:lineRule="auto"/>
      <w:ind w:left="1920"/>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pPr>
  </w:style>
  <w:style w:type="paragraph" w:styleId="Zkladntext2">
    <w:name w:val="Body Text 2"/>
    <w:basedOn w:val="Normln"/>
    <w:link w:val="Zkladntext2Char"/>
    <w:semiHidden/>
    <w:rsid w:val="00110E3B"/>
    <w:pPr>
      <w:spacing w:before="120" w:after="120" w:line="240" w:lineRule="auto"/>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pPr>
  </w:style>
  <w:style w:type="table" w:styleId="Mkatabulky">
    <w:name w:val="Table Grid"/>
    <w:basedOn w:val="Normlntabulka"/>
    <w:uiPriority w:val="59"/>
    <w:rsid w:val="0035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FC3FD5"/>
    <w:pPr>
      <w:keepNext w:val="0"/>
      <w:spacing w:before="120" w:line="240" w:lineRule="auto"/>
    </w:pPr>
    <w:rPr>
      <w:sz w:val="18"/>
      <w:szCs w:val="20"/>
    </w:rPr>
  </w:style>
  <w:style w:type="character" w:styleId="Odkaznakoment">
    <w:name w:val="annotation reference"/>
    <w:basedOn w:val="Standardnpsmoodstavce"/>
    <w:uiPriority w:val="99"/>
    <w:semiHidden/>
    <w:unhideWhenUsed/>
    <w:rsid w:val="00BB2349"/>
    <w:rPr>
      <w:sz w:val="16"/>
      <w:szCs w:val="16"/>
    </w:rPr>
  </w:style>
  <w:style w:type="paragraph" w:styleId="Textkomente">
    <w:name w:val="annotation text"/>
    <w:basedOn w:val="Normln"/>
    <w:link w:val="TextkomenteChar"/>
    <w:uiPriority w:val="99"/>
    <w:semiHidden/>
    <w:unhideWhenUsed/>
    <w:rsid w:val="00BB2349"/>
    <w:pPr>
      <w:spacing w:line="240" w:lineRule="auto"/>
    </w:pPr>
    <w:rPr>
      <w:szCs w:val="20"/>
    </w:rPr>
  </w:style>
  <w:style w:type="character" w:customStyle="1" w:styleId="TextkomenteChar">
    <w:name w:val="Text komentáře Char"/>
    <w:basedOn w:val="Standardnpsmoodstavce"/>
    <w:link w:val="Textkomente"/>
    <w:uiPriority w:val="99"/>
    <w:semiHidden/>
    <w:rsid w:val="00BB234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BB2349"/>
    <w:rPr>
      <w:b/>
      <w:bCs/>
    </w:rPr>
  </w:style>
  <w:style w:type="character" w:customStyle="1" w:styleId="PedmtkomenteChar">
    <w:name w:val="Předmět komentáře Char"/>
    <w:basedOn w:val="TextkomenteChar"/>
    <w:link w:val="Pedmtkomente"/>
    <w:uiPriority w:val="99"/>
    <w:semiHidden/>
    <w:rsid w:val="00BB234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E3ED2"/>
    <w:pPr>
      <w:keepNext/>
      <w:spacing w:line="288" w:lineRule="auto"/>
      <w:jc w:val="both"/>
    </w:pPr>
    <w:rPr>
      <w:rFonts w:ascii="Arial" w:eastAsia="Times New Roman" w:hAnsi="Arial"/>
      <w:szCs w:val="24"/>
    </w:rPr>
  </w:style>
  <w:style w:type="paragraph" w:styleId="Nadpis1">
    <w:name w:val="heading 1"/>
    <w:basedOn w:val="Normln"/>
    <w:next w:val="Normln"/>
    <w:link w:val="Nadpis1Char"/>
    <w:qFormat/>
    <w:rsid w:val="00F26DA3"/>
    <w:pPr>
      <w:keepLines/>
      <w:spacing w:after="200"/>
      <w:outlineLvl w:val="0"/>
    </w:pPr>
    <w:rPr>
      <w:rFonts w:eastAsia="MS Gothic"/>
      <w:b/>
      <w:bCs/>
      <w:color w:val="BC091B"/>
      <w:sz w:val="32"/>
      <w:szCs w:val="28"/>
    </w:rPr>
  </w:style>
  <w:style w:type="paragraph" w:styleId="Nadpis2">
    <w:name w:val="heading 2"/>
    <w:next w:val="Normln"/>
    <w:link w:val="Nadpis2Char"/>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spacing w:before="120" w:after="120" w:line="240" w:lineRule="auto"/>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F26DA3"/>
    <w:rPr>
      <w:rFonts w:ascii="Arial" w:eastAsia="MS Gothic" w:hAnsi="Arial"/>
      <w:b/>
      <w:bCs/>
      <w:color w:val="BC091B"/>
      <w:sz w:val="32"/>
      <w:szCs w:val="28"/>
    </w:rPr>
  </w:style>
  <w:style w:type="character" w:customStyle="1" w:styleId="Nadpis2Char">
    <w:name w:val="Nadpis 2 Char"/>
    <w:link w:val="Nadpis2"/>
    <w:rsid w:val="00BC3543"/>
    <w:rPr>
      <w:rFonts w:ascii="Arial" w:eastAsia="MS Gothic" w:hAnsi="Arial"/>
      <w:b/>
      <w:bCs/>
      <w:color w:val="BC091B"/>
      <w:sz w:val="28"/>
      <w:szCs w:val="26"/>
      <w:lang w:bidi="ar-SA"/>
    </w:rPr>
  </w:style>
  <w:style w:type="character" w:customStyle="1" w:styleId="Nadpis3Char">
    <w:name w:val="Nadpis 3 Char"/>
    <w:link w:val="Nadpis3"/>
    <w:rsid w:val="00BC3543"/>
    <w:rPr>
      <w:rFonts w:ascii="Arial" w:eastAsia="MS Gothic" w:hAnsi="Arial"/>
      <w:b/>
      <w:bCs/>
      <w:color w:val="BC091B"/>
      <w:sz w:val="24"/>
      <w:szCs w:val="24"/>
      <w:lang w:bidi="ar-SA"/>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semiHidden/>
    <w:rsid w:val="00110E3B"/>
    <w:pPr>
      <w:spacing w:before="120" w:after="120" w:line="240" w:lineRule="auto"/>
    </w:pPr>
  </w:style>
  <w:style w:type="paragraph" w:styleId="Obsah2">
    <w:name w:val="toc 2"/>
    <w:basedOn w:val="Normln"/>
    <w:next w:val="Normln"/>
    <w:autoRedefine/>
    <w:semiHidden/>
    <w:rsid w:val="00110E3B"/>
    <w:pPr>
      <w:spacing w:before="120" w:after="120" w:line="240" w:lineRule="auto"/>
      <w:ind w:left="240"/>
    </w:pPr>
  </w:style>
  <w:style w:type="paragraph" w:styleId="Obsah3">
    <w:name w:val="toc 3"/>
    <w:basedOn w:val="Normln"/>
    <w:next w:val="Normln"/>
    <w:autoRedefine/>
    <w:semiHidden/>
    <w:rsid w:val="00110E3B"/>
    <w:pPr>
      <w:spacing w:before="120" w:after="120" w:line="240" w:lineRule="auto"/>
      <w:ind w:left="480"/>
    </w:pPr>
  </w:style>
  <w:style w:type="paragraph" w:styleId="Obsah4">
    <w:name w:val="toc 4"/>
    <w:basedOn w:val="Normln"/>
    <w:next w:val="Normln"/>
    <w:autoRedefine/>
    <w:semiHidden/>
    <w:rsid w:val="00110E3B"/>
    <w:pPr>
      <w:spacing w:before="120" w:after="120" w:line="240" w:lineRule="auto"/>
      <w:ind w:left="720"/>
    </w:pPr>
  </w:style>
  <w:style w:type="paragraph" w:styleId="Obsah5">
    <w:name w:val="toc 5"/>
    <w:basedOn w:val="Normln"/>
    <w:next w:val="Normln"/>
    <w:autoRedefine/>
    <w:semiHidden/>
    <w:rsid w:val="00110E3B"/>
    <w:pPr>
      <w:spacing w:before="120" w:after="120" w:line="240" w:lineRule="auto"/>
      <w:ind w:left="960"/>
    </w:pPr>
  </w:style>
  <w:style w:type="paragraph" w:styleId="Obsah6">
    <w:name w:val="toc 6"/>
    <w:basedOn w:val="Normln"/>
    <w:next w:val="Normln"/>
    <w:autoRedefine/>
    <w:semiHidden/>
    <w:rsid w:val="00110E3B"/>
    <w:pPr>
      <w:spacing w:before="120" w:after="120" w:line="240" w:lineRule="auto"/>
      <w:ind w:left="1200"/>
    </w:pPr>
  </w:style>
  <w:style w:type="paragraph" w:styleId="Obsah7">
    <w:name w:val="toc 7"/>
    <w:basedOn w:val="Normln"/>
    <w:next w:val="Normln"/>
    <w:autoRedefine/>
    <w:semiHidden/>
    <w:rsid w:val="00110E3B"/>
    <w:pPr>
      <w:spacing w:before="120" w:after="120" w:line="240" w:lineRule="auto"/>
      <w:ind w:left="1440"/>
    </w:pPr>
  </w:style>
  <w:style w:type="paragraph" w:styleId="Obsah8">
    <w:name w:val="toc 8"/>
    <w:basedOn w:val="Normln"/>
    <w:next w:val="Normln"/>
    <w:autoRedefine/>
    <w:semiHidden/>
    <w:rsid w:val="00110E3B"/>
    <w:pPr>
      <w:spacing w:before="120" w:after="120" w:line="240" w:lineRule="auto"/>
      <w:ind w:left="1680"/>
    </w:pPr>
  </w:style>
  <w:style w:type="paragraph" w:styleId="Obsah9">
    <w:name w:val="toc 9"/>
    <w:basedOn w:val="Normln"/>
    <w:next w:val="Normln"/>
    <w:autoRedefine/>
    <w:semiHidden/>
    <w:rsid w:val="00110E3B"/>
    <w:pPr>
      <w:spacing w:before="120" w:after="120" w:line="240" w:lineRule="auto"/>
      <w:ind w:left="1920"/>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pPr>
  </w:style>
  <w:style w:type="paragraph" w:styleId="Zkladntext2">
    <w:name w:val="Body Text 2"/>
    <w:basedOn w:val="Normln"/>
    <w:link w:val="Zkladntext2Char"/>
    <w:semiHidden/>
    <w:rsid w:val="00110E3B"/>
    <w:pPr>
      <w:spacing w:before="120" w:after="120" w:line="240" w:lineRule="auto"/>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pPr>
  </w:style>
  <w:style w:type="table" w:styleId="Mkatabulky">
    <w:name w:val="Table Grid"/>
    <w:basedOn w:val="Normlntabulka"/>
    <w:uiPriority w:val="59"/>
    <w:rsid w:val="0035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FC3FD5"/>
    <w:pPr>
      <w:keepNext w:val="0"/>
      <w:spacing w:before="120" w:line="240" w:lineRule="auto"/>
    </w:pPr>
    <w:rPr>
      <w:sz w:val="18"/>
      <w:szCs w:val="20"/>
    </w:rPr>
  </w:style>
  <w:style w:type="character" w:styleId="Odkaznakoment">
    <w:name w:val="annotation reference"/>
    <w:basedOn w:val="Standardnpsmoodstavce"/>
    <w:uiPriority w:val="99"/>
    <w:semiHidden/>
    <w:unhideWhenUsed/>
    <w:rsid w:val="00BB2349"/>
    <w:rPr>
      <w:sz w:val="16"/>
      <w:szCs w:val="16"/>
    </w:rPr>
  </w:style>
  <w:style w:type="paragraph" w:styleId="Textkomente">
    <w:name w:val="annotation text"/>
    <w:basedOn w:val="Normln"/>
    <w:link w:val="TextkomenteChar"/>
    <w:uiPriority w:val="99"/>
    <w:semiHidden/>
    <w:unhideWhenUsed/>
    <w:rsid w:val="00BB2349"/>
    <w:pPr>
      <w:spacing w:line="240" w:lineRule="auto"/>
    </w:pPr>
    <w:rPr>
      <w:szCs w:val="20"/>
    </w:rPr>
  </w:style>
  <w:style w:type="character" w:customStyle="1" w:styleId="TextkomenteChar">
    <w:name w:val="Text komentáře Char"/>
    <w:basedOn w:val="Standardnpsmoodstavce"/>
    <w:link w:val="Textkomente"/>
    <w:uiPriority w:val="99"/>
    <w:semiHidden/>
    <w:rsid w:val="00BB234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BB2349"/>
    <w:rPr>
      <w:b/>
      <w:bCs/>
    </w:rPr>
  </w:style>
  <w:style w:type="character" w:customStyle="1" w:styleId="PedmtkomenteChar">
    <w:name w:val="Předmět komentáře Char"/>
    <w:basedOn w:val="TextkomenteChar"/>
    <w:link w:val="Pedmtkomente"/>
    <w:uiPriority w:val="99"/>
    <w:semiHidden/>
    <w:rsid w:val="00BB234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1423962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6744250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548551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HELENA\V&#253;sledky%20zdravotnick&#253;ch%20&#250;&#269;t&#367;\_Publikace%20Zdravotnick&#233;%20&#250;&#269;ty\2.%20kapitola\2.%20kapitola-Grafy_11.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7_Zdravotnictvi\Publikace%202016\ANAL&#221;ZA%20SHA%202010-2014\Final_def\2.%20kapitola-Grafy_11.5.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7_Zdravotnictvi\Publikace%202016\ANAL&#221;ZA%20SHA%202010-2014\Final_def\2.%20kapitola-Grafy_11.5.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D:\HELENA\V&#253;sledky%20zdravotnick&#253;ch%20&#250;&#269;t&#367;\_Publikace%20Zdravotnick&#233;%20&#250;&#269;ty\2.%20kapitola\2.%20kapitola-Grafy_1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58691766400015E-2"/>
          <c:y val="4.6049181316756067E-2"/>
          <c:w val="0.86249699648787925"/>
          <c:h val="0.72117311423028652"/>
        </c:manualLayout>
      </c:layout>
      <c:barChart>
        <c:barDir val="col"/>
        <c:grouping val="clustered"/>
        <c:varyColors val="0"/>
        <c:ser>
          <c:idx val="0"/>
          <c:order val="0"/>
          <c:tx>
            <c:strRef>
              <c:f>List1!$A$3</c:f>
              <c:strCache>
                <c:ptCount val="1"/>
                <c:pt idx="0">
                  <c:v>Výdaje dle SHA 2011</c:v>
                </c:pt>
              </c:strCache>
            </c:strRef>
          </c:tx>
          <c:spPr>
            <a:solidFill>
              <a:srgbClr val="D96D75"/>
            </a:solidFill>
            <a:ln>
              <a:solidFill>
                <a:schemeClr val="accent2">
                  <a:lumMod val="75000"/>
                </a:schemeClr>
              </a:solidFill>
            </a:ln>
          </c:spPr>
          <c:invertIfNegative val="0"/>
          <c:dLbls>
            <c:numFmt formatCode="#,##0.0" sourceLinked="0"/>
            <c:spPr>
              <a:solidFill>
                <a:schemeClr val="bg1"/>
              </a:solidFill>
              <a:ln w="6350">
                <a:solidFill>
                  <a:schemeClr val="tx1">
                    <a:lumMod val="50000"/>
                    <a:lumOff val="50000"/>
                  </a:schemeClr>
                </a:solidFill>
              </a:ln>
            </c:spPr>
            <c:txPr>
              <a:bodyPr/>
              <a:lstStyle/>
              <a:p>
                <a:pPr>
                  <a:defRPr sz="800" b="1">
                    <a:latin typeface="Arial" panose="020B0604020202020204" pitchFamily="34" charset="0"/>
                    <a:cs typeface="Arial" panose="020B0604020202020204" pitchFamily="34" charset="0"/>
                  </a:defRPr>
                </a:pPr>
                <a:endParaRPr lang="cs-CZ"/>
              </a:p>
            </c:txPr>
            <c:dLblPos val="outEnd"/>
            <c:showLegendKey val="0"/>
            <c:showVal val="1"/>
            <c:showCatName val="0"/>
            <c:showSerName val="0"/>
            <c:showPercent val="0"/>
            <c:showBubbleSize val="0"/>
            <c:showLeaderLines val="0"/>
          </c:dLbls>
          <c:cat>
            <c:strRef>
              <c:f>'\HELENA\Výsledky zdravotnických účtů\_Publikace Zdravotnické účty\3. kapitola - Pojišťovny\[3. kapitola_SHA.xlsx]Graf 3.1'!$B$2:$F$2</c:f>
              <c:strCache>
                <c:ptCount val="5"/>
                <c:pt idx="0">
                  <c:v>2010</c:v>
                </c:pt>
                <c:pt idx="1">
                  <c:v>2011</c:v>
                </c:pt>
                <c:pt idx="2">
                  <c:v>2012</c:v>
                </c:pt>
                <c:pt idx="3">
                  <c:v>2013</c:v>
                </c:pt>
                <c:pt idx="4">
                  <c:v>2014</c:v>
                </c:pt>
              </c:strCache>
            </c:strRef>
          </c:cat>
          <c:val>
            <c:numRef>
              <c:f>List1!$B$3:$F$3</c:f>
              <c:numCache>
                <c:formatCode>General</c:formatCode>
                <c:ptCount val="5"/>
                <c:pt idx="0">
                  <c:v>339.9</c:v>
                </c:pt>
                <c:pt idx="1">
                  <c:v>342.8</c:v>
                </c:pt>
                <c:pt idx="2">
                  <c:v>347.6</c:v>
                </c:pt>
                <c:pt idx="3">
                  <c:v>348.9</c:v>
                </c:pt>
                <c:pt idx="4">
                  <c:v>350.4</c:v>
                </c:pt>
              </c:numCache>
            </c:numRef>
          </c:val>
        </c:ser>
        <c:ser>
          <c:idx val="1"/>
          <c:order val="1"/>
          <c:tx>
            <c:strRef>
              <c:f>List1!$A$2</c:f>
              <c:strCache>
                <c:ptCount val="1"/>
                <c:pt idx="0">
                  <c:v>Výdaje dle SHA 1.0</c:v>
                </c:pt>
              </c:strCache>
            </c:strRef>
          </c:tx>
          <c:spPr>
            <a:solidFill>
              <a:schemeClr val="accent1">
                <a:lumMod val="60000"/>
                <a:lumOff val="40000"/>
              </a:schemeClr>
            </a:solidFill>
            <a:ln>
              <a:solidFill>
                <a:schemeClr val="tx2">
                  <a:lumMod val="60000"/>
                  <a:lumOff val="40000"/>
                </a:schemeClr>
              </a:solidFill>
            </a:ln>
          </c:spPr>
          <c:invertIfNegative val="0"/>
          <c:dLbls>
            <c:numFmt formatCode="#,##0.0" sourceLinked="0"/>
            <c:spPr>
              <a:solidFill>
                <a:schemeClr val="bg1"/>
              </a:solidFill>
              <a:ln w="6350">
                <a:solidFill>
                  <a:schemeClr val="tx1">
                    <a:lumMod val="50000"/>
                    <a:lumOff val="50000"/>
                  </a:schemeClr>
                </a:solidFill>
              </a:ln>
            </c:spPr>
            <c:txPr>
              <a:bodyPr/>
              <a:lstStyle/>
              <a:p>
                <a:pPr>
                  <a:defRPr sz="800" b="1" i="1">
                    <a:latin typeface="Arial" panose="020B0604020202020204" pitchFamily="34" charset="0"/>
                    <a:cs typeface="Arial" panose="020B0604020202020204" pitchFamily="34" charset="0"/>
                  </a:defRPr>
                </a:pPr>
                <a:endParaRPr lang="cs-CZ"/>
              </a:p>
            </c:txPr>
            <c:dLblPos val="outEnd"/>
            <c:showLegendKey val="0"/>
            <c:showVal val="1"/>
            <c:showCatName val="0"/>
            <c:showSerName val="0"/>
            <c:showPercent val="0"/>
            <c:showBubbleSize val="0"/>
            <c:showLeaderLines val="0"/>
          </c:dLbls>
          <c:cat>
            <c:strRef>
              <c:f>'\HELENA\Výsledky zdravotnických účtů\_Publikace Zdravotnické účty\3. kapitola - Pojišťovny\[3. kapitola_SHA.xlsx]Graf 3.1'!$B$2:$F$2</c:f>
              <c:strCache>
                <c:ptCount val="5"/>
                <c:pt idx="0">
                  <c:v>2010</c:v>
                </c:pt>
                <c:pt idx="1">
                  <c:v>2011</c:v>
                </c:pt>
                <c:pt idx="2">
                  <c:v>2012</c:v>
                </c:pt>
                <c:pt idx="3">
                  <c:v>2013</c:v>
                </c:pt>
                <c:pt idx="4">
                  <c:v>2014</c:v>
                </c:pt>
              </c:strCache>
            </c:strRef>
          </c:cat>
          <c:val>
            <c:numRef>
              <c:f>List1!$B$2:$F$2</c:f>
              <c:numCache>
                <c:formatCode>General</c:formatCode>
                <c:ptCount val="5"/>
                <c:pt idx="0">
                  <c:v>284.10000000000002</c:v>
                </c:pt>
                <c:pt idx="1">
                  <c:v>289.2</c:v>
                </c:pt>
                <c:pt idx="2">
                  <c:v>292</c:v>
                </c:pt>
                <c:pt idx="3">
                  <c:v>292.5</c:v>
                </c:pt>
                <c:pt idx="4">
                  <c:v>295.8</c:v>
                </c:pt>
              </c:numCache>
            </c:numRef>
          </c:val>
        </c:ser>
        <c:dLbls>
          <c:showLegendKey val="0"/>
          <c:showVal val="0"/>
          <c:showCatName val="0"/>
          <c:showSerName val="0"/>
          <c:showPercent val="0"/>
          <c:showBubbleSize val="0"/>
        </c:dLbls>
        <c:gapWidth val="130"/>
        <c:overlap val="70"/>
        <c:axId val="236468736"/>
        <c:axId val="236426304"/>
      </c:barChart>
      <c:lineChart>
        <c:grouping val="standard"/>
        <c:varyColors val="0"/>
        <c:ser>
          <c:idx val="3"/>
          <c:order val="2"/>
          <c:tx>
            <c:strRef>
              <c:f>List1!$A$5</c:f>
              <c:strCache>
                <c:ptCount val="1"/>
                <c:pt idx="0">
                  <c:v>Podíl na HDP (SHA 2011) v %</c:v>
                </c:pt>
              </c:strCache>
            </c:strRef>
          </c:tx>
          <c:spPr>
            <a:ln w="28575">
              <a:solidFill>
                <a:schemeClr val="accent2">
                  <a:lumMod val="50000"/>
                </a:schemeClr>
              </a:solidFill>
            </a:ln>
          </c:spPr>
          <c:marker>
            <c:symbol val="diamond"/>
            <c:size val="6"/>
            <c:spPr>
              <a:solidFill>
                <a:schemeClr val="accent2">
                  <a:lumMod val="75000"/>
                </a:schemeClr>
              </a:solidFill>
              <a:ln w="15875">
                <a:solidFill>
                  <a:schemeClr val="accent2">
                    <a:lumMod val="50000"/>
                  </a:schemeClr>
                </a:solidFill>
              </a:ln>
            </c:spPr>
          </c:marker>
          <c:dLbls>
            <c:txPr>
              <a:bodyPr/>
              <a:lstStyle/>
              <a:p>
                <a:pPr>
                  <a:defRPr sz="800" b="1">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dLbls>
          <c:cat>
            <c:numRef>
              <c:f>List1!$B$1:$F$1</c:f>
              <c:numCache>
                <c:formatCode>General</c:formatCode>
                <c:ptCount val="5"/>
                <c:pt idx="0">
                  <c:v>2010</c:v>
                </c:pt>
                <c:pt idx="1">
                  <c:v>2011</c:v>
                </c:pt>
                <c:pt idx="2">
                  <c:v>2012</c:v>
                </c:pt>
                <c:pt idx="3">
                  <c:v>2013</c:v>
                </c:pt>
                <c:pt idx="4">
                  <c:v>2014</c:v>
                </c:pt>
              </c:numCache>
            </c:numRef>
          </c:cat>
          <c:val>
            <c:numRef>
              <c:f>List1!$B$5:$F$5</c:f>
              <c:numCache>
                <c:formatCode>0.0%</c:formatCode>
                <c:ptCount val="5"/>
                <c:pt idx="0">
                  <c:v>8.5972278429785512E-2</c:v>
                </c:pt>
                <c:pt idx="1">
                  <c:v>8.5220633934120577E-2</c:v>
                </c:pt>
                <c:pt idx="2">
                  <c:v>8.6005542359461645E-2</c:v>
                </c:pt>
                <c:pt idx="3">
                  <c:v>8.5575531627872778E-2</c:v>
                </c:pt>
                <c:pt idx="4">
                  <c:v>8.2236147292825468E-2</c:v>
                </c:pt>
              </c:numCache>
            </c:numRef>
          </c:val>
          <c:smooth val="0"/>
        </c:ser>
        <c:ser>
          <c:idx val="2"/>
          <c:order val="3"/>
          <c:tx>
            <c:strRef>
              <c:f>List1!$A$4</c:f>
              <c:strCache>
                <c:ptCount val="1"/>
                <c:pt idx="0">
                  <c:v>Podíl na HDP (SHA 1.0)  v %</c:v>
                </c:pt>
              </c:strCache>
            </c:strRef>
          </c:tx>
          <c:spPr>
            <a:ln>
              <a:solidFill>
                <a:schemeClr val="accent1">
                  <a:lumMod val="50000"/>
                </a:schemeClr>
              </a:solidFill>
            </a:ln>
          </c:spPr>
          <c:marker>
            <c:symbol val="triangle"/>
            <c:size val="6"/>
            <c:spPr>
              <a:solidFill>
                <a:schemeClr val="accent1">
                  <a:lumMod val="75000"/>
                </a:schemeClr>
              </a:solidFill>
              <a:ln w="19050">
                <a:solidFill>
                  <a:schemeClr val="accent1">
                    <a:lumMod val="50000"/>
                  </a:schemeClr>
                </a:solidFill>
              </a:ln>
            </c:spPr>
          </c:marker>
          <c:dLbls>
            <c:txPr>
              <a:bodyPr/>
              <a:lstStyle/>
              <a:p>
                <a:pPr>
                  <a:defRPr sz="800" i="1">
                    <a:latin typeface="Arial" panose="020B0604020202020204" pitchFamily="34" charset="0"/>
                    <a:cs typeface="Arial" panose="020B0604020202020204" pitchFamily="34" charset="0"/>
                  </a:defRPr>
                </a:pPr>
                <a:endParaRPr lang="cs-CZ"/>
              </a:p>
            </c:txPr>
            <c:dLblPos val="b"/>
            <c:showLegendKey val="0"/>
            <c:showVal val="1"/>
            <c:showCatName val="0"/>
            <c:showSerName val="0"/>
            <c:showPercent val="0"/>
            <c:showBubbleSize val="0"/>
            <c:showLeaderLines val="0"/>
          </c:dLbls>
          <c:cat>
            <c:numRef>
              <c:f>List1!$B$1:$F$1</c:f>
              <c:numCache>
                <c:formatCode>General</c:formatCode>
                <c:ptCount val="5"/>
                <c:pt idx="0">
                  <c:v>2010</c:v>
                </c:pt>
                <c:pt idx="1">
                  <c:v>2011</c:v>
                </c:pt>
                <c:pt idx="2">
                  <c:v>2012</c:v>
                </c:pt>
                <c:pt idx="3">
                  <c:v>2013</c:v>
                </c:pt>
                <c:pt idx="4">
                  <c:v>2014</c:v>
                </c:pt>
              </c:numCache>
            </c:numRef>
          </c:cat>
          <c:val>
            <c:numRef>
              <c:f>List1!$B$4:$F$4</c:f>
              <c:numCache>
                <c:formatCode>0.0%</c:formatCode>
                <c:ptCount val="5"/>
                <c:pt idx="0">
                  <c:v>7.185855928773778E-2</c:v>
                </c:pt>
                <c:pt idx="1">
                  <c:v>7.1895587321317594E-2</c:v>
                </c:pt>
                <c:pt idx="2">
                  <c:v>7.2248614410134609E-2</c:v>
                </c:pt>
                <c:pt idx="3">
                  <c:v>7.1742169679429008E-2</c:v>
                </c:pt>
                <c:pt idx="4">
                  <c:v>6.9421953108498233E-2</c:v>
                </c:pt>
              </c:numCache>
            </c:numRef>
          </c:val>
          <c:smooth val="0"/>
        </c:ser>
        <c:dLbls>
          <c:showLegendKey val="0"/>
          <c:showVal val="0"/>
          <c:showCatName val="0"/>
          <c:showSerName val="0"/>
          <c:showPercent val="0"/>
          <c:showBubbleSize val="0"/>
        </c:dLbls>
        <c:marker val="1"/>
        <c:smooth val="0"/>
        <c:axId val="236469248"/>
        <c:axId val="236426880"/>
      </c:lineChart>
      <c:catAx>
        <c:axId val="236468736"/>
        <c:scaling>
          <c:orientation val="minMax"/>
        </c:scaling>
        <c:delete val="0"/>
        <c:axPos val="b"/>
        <c:majorTickMark val="none"/>
        <c:minorTickMark val="none"/>
        <c:tickLblPos val="nextTo"/>
        <c:spPr>
          <a:ln>
            <a:solidFill>
              <a:schemeClr val="tx1">
                <a:lumMod val="50000"/>
                <a:lumOff val="50000"/>
              </a:schemeClr>
            </a:solidFill>
          </a:ln>
        </c:spPr>
        <c:txPr>
          <a:bodyPr/>
          <a:lstStyle/>
          <a:p>
            <a:pPr>
              <a:defRPr sz="800">
                <a:latin typeface="Arial" panose="020B0604020202020204" pitchFamily="34" charset="0"/>
                <a:cs typeface="Arial" panose="020B0604020202020204" pitchFamily="34" charset="0"/>
              </a:defRPr>
            </a:pPr>
            <a:endParaRPr lang="cs-CZ"/>
          </a:p>
        </c:txPr>
        <c:crossAx val="236426304"/>
        <c:crosses val="autoZero"/>
        <c:auto val="1"/>
        <c:lblAlgn val="ctr"/>
        <c:lblOffset val="100"/>
        <c:noMultiLvlLbl val="0"/>
      </c:catAx>
      <c:valAx>
        <c:axId val="236426304"/>
        <c:scaling>
          <c:orientation val="minMax"/>
          <c:max val="360"/>
          <c:min val="0"/>
        </c:scaling>
        <c:delete val="0"/>
        <c:axPos val="l"/>
        <c:majorGridlines>
          <c:spPr>
            <a:ln>
              <a:solidFill>
                <a:schemeClr val="bg1">
                  <a:lumMod val="75000"/>
                </a:schemeClr>
              </a:solidFill>
              <a:prstDash val="sysDash"/>
            </a:ln>
          </c:spPr>
        </c:majorGridlines>
        <c:minorGridlines>
          <c:spPr>
            <a:ln>
              <a:solidFill>
                <a:schemeClr val="bg1">
                  <a:lumMod val="75000"/>
                </a:schemeClr>
              </a:solidFill>
              <a:prstDash val="sysDash"/>
            </a:ln>
          </c:spPr>
        </c:minorGridlines>
        <c:title>
          <c:tx>
            <c:rich>
              <a:bodyPr/>
              <a:lstStyle/>
              <a:p>
                <a:pPr>
                  <a:defRPr sz="800" b="0">
                    <a:latin typeface="Arial" panose="020B0604020202020204" pitchFamily="34" charset="0"/>
                    <a:cs typeface="Arial" panose="020B0604020202020204" pitchFamily="34" charset="0"/>
                  </a:defRPr>
                </a:pPr>
                <a:r>
                  <a:rPr lang="cs-CZ" sz="800" b="0">
                    <a:latin typeface="Arial" panose="020B0604020202020204" pitchFamily="34" charset="0"/>
                    <a:cs typeface="Arial" panose="020B0604020202020204" pitchFamily="34" charset="0"/>
                  </a:rPr>
                  <a:t>mld. Kč</a:t>
                </a:r>
                <a:endParaRPr lang="en-US" sz="800" b="0">
                  <a:latin typeface="Arial" panose="020B0604020202020204" pitchFamily="34" charset="0"/>
                  <a:cs typeface="Arial" panose="020B0604020202020204" pitchFamily="34" charset="0"/>
                </a:endParaRPr>
              </a:p>
            </c:rich>
          </c:tx>
          <c:layout>
            <c:manualLayout>
              <c:xMode val="edge"/>
              <c:yMode val="edge"/>
              <c:x val="1.2750455373406197E-2"/>
              <c:y val="0.3513360529048038"/>
            </c:manualLayout>
          </c:layout>
          <c:overlay val="0"/>
        </c:title>
        <c:numFmt formatCode="General" sourceLinked="1"/>
        <c:majorTickMark val="out"/>
        <c:minorTickMark val="none"/>
        <c:tickLblPos val="nextTo"/>
        <c:spPr>
          <a:ln>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236468736"/>
        <c:crosses val="autoZero"/>
        <c:crossBetween val="between"/>
        <c:majorUnit val="60"/>
        <c:minorUnit val="60"/>
      </c:valAx>
      <c:valAx>
        <c:axId val="236426880"/>
        <c:scaling>
          <c:orientation val="minMax"/>
          <c:max val="0.12000000000000002"/>
          <c:min val="0"/>
        </c:scaling>
        <c:delete val="0"/>
        <c:axPos val="r"/>
        <c:numFmt formatCode="0%" sourceLinked="0"/>
        <c:majorTickMark val="out"/>
        <c:minorTickMark val="none"/>
        <c:tickLblPos val="nextTo"/>
        <c:spPr>
          <a:ln>
            <a:solidFill>
              <a:schemeClr val="tx1">
                <a:lumMod val="50000"/>
                <a:lumOff val="50000"/>
              </a:schemeClr>
            </a:solidFill>
          </a:ln>
        </c:spPr>
        <c:txPr>
          <a:bodyPr/>
          <a:lstStyle/>
          <a:p>
            <a:pPr>
              <a:defRPr sz="800">
                <a:latin typeface="Arial" panose="020B0604020202020204" pitchFamily="34" charset="0"/>
                <a:cs typeface="Arial" panose="020B0604020202020204" pitchFamily="34" charset="0"/>
              </a:defRPr>
            </a:pPr>
            <a:endParaRPr lang="cs-CZ"/>
          </a:p>
        </c:txPr>
        <c:crossAx val="236469248"/>
        <c:crosses val="max"/>
        <c:crossBetween val="between"/>
        <c:majorUnit val="2.0000000000000007E-2"/>
        <c:minorUnit val="1.0000000000000005E-3"/>
      </c:valAx>
      <c:catAx>
        <c:axId val="236469248"/>
        <c:scaling>
          <c:orientation val="minMax"/>
        </c:scaling>
        <c:delete val="1"/>
        <c:axPos val="b"/>
        <c:numFmt formatCode="General" sourceLinked="1"/>
        <c:majorTickMark val="out"/>
        <c:minorTickMark val="none"/>
        <c:tickLblPos val="none"/>
        <c:crossAx val="236426880"/>
        <c:crosses val="autoZero"/>
        <c:auto val="1"/>
        <c:lblAlgn val="ctr"/>
        <c:lblOffset val="100"/>
        <c:noMultiLvlLbl val="0"/>
      </c:catAx>
    </c:plotArea>
    <c:legend>
      <c:legendPos val="b"/>
      <c:legendEntry>
        <c:idx val="1"/>
        <c:txPr>
          <a:bodyPr/>
          <a:lstStyle/>
          <a:p>
            <a:pPr>
              <a:defRPr sz="800" i="1">
                <a:latin typeface="Arial" panose="020B0604020202020204" pitchFamily="34" charset="0"/>
                <a:cs typeface="Arial" panose="020B0604020202020204" pitchFamily="34" charset="0"/>
              </a:defRPr>
            </a:pPr>
            <a:endParaRPr lang="cs-CZ"/>
          </a:p>
        </c:txPr>
      </c:legendEntry>
      <c:legendEntry>
        <c:idx val="3"/>
        <c:txPr>
          <a:bodyPr/>
          <a:lstStyle/>
          <a:p>
            <a:pPr>
              <a:defRPr sz="800" i="1">
                <a:latin typeface="Arial" panose="020B0604020202020204" pitchFamily="34" charset="0"/>
                <a:cs typeface="Arial" panose="020B0604020202020204" pitchFamily="34" charset="0"/>
              </a:defRPr>
            </a:pPr>
            <a:endParaRPr lang="cs-CZ"/>
          </a:p>
        </c:txPr>
      </c:legendEntry>
      <c:layout>
        <c:manualLayout>
          <c:xMode val="edge"/>
          <c:yMode val="edge"/>
          <c:x val="6.3976449665103338E-2"/>
          <c:y val="0.83339708623378606"/>
          <c:w val="0.9"/>
          <c:h val="0.1525897792187741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78199404761904"/>
          <c:y val="5.1400554097404488E-2"/>
          <c:w val="0.6169794146825397"/>
          <c:h val="0.8326195683872849"/>
        </c:manualLayout>
      </c:layout>
      <c:barChart>
        <c:barDir val="col"/>
        <c:grouping val="stacked"/>
        <c:varyColors val="0"/>
        <c:ser>
          <c:idx val="0"/>
          <c:order val="0"/>
          <c:tx>
            <c:strRef>
              <c:f>List1!$A$33</c:f>
              <c:strCache>
                <c:ptCount val="1"/>
                <c:pt idx="0">
                  <c:v>1.2 Zdravotní pojišťovny</c:v>
                </c:pt>
              </c:strCache>
            </c:strRef>
          </c:tx>
          <c:spPr>
            <a:solidFill>
              <a:srgbClr val="002060"/>
            </a:solidFill>
          </c:spPr>
          <c:invertIfNegative val="0"/>
          <c:dLbls>
            <c:txPr>
              <a:bodyPr/>
              <a:lstStyle/>
              <a:p>
                <a:pPr>
                  <a:defRPr>
                    <a:solidFill>
                      <a:schemeClr val="bg1"/>
                    </a:solidFill>
                  </a:defRPr>
                </a:pPr>
                <a:endParaRPr lang="cs-CZ"/>
              </a:p>
            </c:txPr>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List1!$B$33:$F$33</c:f>
              <c:numCache>
                <c:formatCode>#,##0.0</c:formatCode>
                <c:ptCount val="5"/>
                <c:pt idx="0">
                  <c:v>231.88900000000001</c:v>
                </c:pt>
                <c:pt idx="1">
                  <c:v>234.33699999999999</c:v>
                </c:pt>
                <c:pt idx="2">
                  <c:v>237.92699999999999</c:v>
                </c:pt>
                <c:pt idx="3">
                  <c:v>238.35400000000001</c:v>
                </c:pt>
                <c:pt idx="4">
                  <c:v>234.62799999999999</c:v>
                </c:pt>
              </c:numCache>
            </c:numRef>
          </c:val>
        </c:ser>
        <c:ser>
          <c:idx val="1"/>
          <c:order val="1"/>
          <c:tx>
            <c:strRef>
              <c:f>List1!$A$34</c:f>
              <c:strCache>
                <c:ptCount val="1"/>
                <c:pt idx="0">
                  <c:v>1.1.1 Státní rozpočet</c:v>
                </c:pt>
              </c:strCache>
            </c:strRef>
          </c:tx>
          <c:spPr>
            <a:solidFill>
              <a:srgbClr val="D96D75"/>
            </a:solidFill>
          </c:spPr>
          <c:invertIfNegative val="0"/>
          <c:dLbls>
            <c:txPr>
              <a:bodyPr/>
              <a:lstStyle/>
              <a:p>
                <a:pPr>
                  <a:defRPr b="1">
                    <a:solidFill>
                      <a:sysClr val="windowText" lastClr="000000"/>
                    </a:solidFill>
                  </a:defRPr>
                </a:pPr>
                <a:endParaRPr lang="cs-CZ"/>
              </a:p>
            </c:txPr>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List1!$B$34:$F$34</c:f>
              <c:numCache>
                <c:formatCode>#,##0.0</c:formatCode>
                <c:ptCount val="5"/>
                <c:pt idx="0">
                  <c:v>48.835000000000001</c:v>
                </c:pt>
                <c:pt idx="1">
                  <c:v>47.692</c:v>
                </c:pt>
                <c:pt idx="2">
                  <c:v>47.027999999999999</c:v>
                </c:pt>
                <c:pt idx="3">
                  <c:v>49.314999999999998</c:v>
                </c:pt>
                <c:pt idx="4">
                  <c:v>52.484999999999999</c:v>
                </c:pt>
              </c:numCache>
            </c:numRef>
          </c:val>
        </c:ser>
        <c:ser>
          <c:idx val="2"/>
          <c:order val="2"/>
          <c:tx>
            <c:strRef>
              <c:f>List1!$A$35</c:f>
              <c:strCache>
                <c:ptCount val="1"/>
                <c:pt idx="0">
                  <c:v>1.1.2 Místní rozpočty</c:v>
                </c:pt>
              </c:strCache>
            </c:strRef>
          </c:tx>
          <c:spPr>
            <a:solidFill>
              <a:srgbClr val="C00000"/>
            </a:solidFill>
          </c:spPr>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List1!$B$35:$F$35</c:f>
              <c:numCache>
                <c:formatCode>#,##0.0</c:formatCode>
                <c:ptCount val="5"/>
                <c:pt idx="0">
                  <c:v>8.0440000000000005</c:v>
                </c:pt>
                <c:pt idx="1">
                  <c:v>9.2430000000000003</c:v>
                </c:pt>
                <c:pt idx="2">
                  <c:v>9.9060000000000006</c:v>
                </c:pt>
                <c:pt idx="3">
                  <c:v>9.7430000000000003</c:v>
                </c:pt>
                <c:pt idx="4">
                  <c:v>9.5280000000000005</c:v>
                </c:pt>
              </c:numCache>
            </c:numRef>
          </c:val>
        </c:ser>
        <c:ser>
          <c:idx val="3"/>
          <c:order val="3"/>
          <c:tx>
            <c:strRef>
              <c:f>List1!$A$36</c:f>
              <c:strCache>
                <c:ptCount val="1"/>
                <c:pt idx="0">
                  <c:v>3 Přímé platby domácností</c:v>
                </c:pt>
              </c:strCache>
            </c:strRef>
          </c:tx>
          <c:spPr>
            <a:solidFill>
              <a:srgbClr val="92D050"/>
            </a:solidFill>
          </c:spPr>
          <c:invertIfNegative val="0"/>
          <c:dLbls>
            <c:txPr>
              <a:bodyPr/>
              <a:lstStyle/>
              <a:p>
                <a:pPr>
                  <a:defRPr b="1">
                    <a:solidFill>
                      <a:sysClr val="windowText" lastClr="000000"/>
                    </a:solidFill>
                  </a:defRPr>
                </a:pPr>
                <a:endParaRPr lang="cs-CZ"/>
              </a:p>
            </c:txPr>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List1!$B$36:$F$36</c:f>
              <c:numCache>
                <c:formatCode>#,##0.0</c:formatCode>
                <c:ptCount val="5"/>
                <c:pt idx="0">
                  <c:v>41.866999999999997</c:v>
                </c:pt>
                <c:pt idx="1">
                  <c:v>42.274999999999999</c:v>
                </c:pt>
                <c:pt idx="2">
                  <c:v>43.634</c:v>
                </c:pt>
                <c:pt idx="3">
                  <c:v>42.247</c:v>
                </c:pt>
                <c:pt idx="4">
                  <c:v>43.101999999999997</c:v>
                </c:pt>
              </c:numCache>
            </c:numRef>
          </c:val>
        </c:ser>
        <c:ser>
          <c:idx val="4"/>
          <c:order val="4"/>
          <c:tx>
            <c:strRef>
              <c:f>List1!$A$37</c:f>
              <c:strCache>
                <c:ptCount val="1"/>
                <c:pt idx="0">
                  <c:v>2.2 Neziskové organizace</c:v>
                </c:pt>
              </c:strCache>
            </c:strRef>
          </c:tx>
          <c:spPr>
            <a:solidFill>
              <a:srgbClr val="7030A0"/>
            </a:solidFill>
          </c:spPr>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List1!$B$37:$F$37</c:f>
              <c:numCache>
                <c:formatCode>#,##0.0</c:formatCode>
                <c:ptCount val="5"/>
                <c:pt idx="0">
                  <c:v>7.8879999999999999</c:v>
                </c:pt>
                <c:pt idx="1">
                  <c:v>7.82</c:v>
                </c:pt>
                <c:pt idx="2">
                  <c:v>7.7190000000000003</c:v>
                </c:pt>
                <c:pt idx="3">
                  <c:v>7.726</c:v>
                </c:pt>
                <c:pt idx="4">
                  <c:v>7.7569999999999997</c:v>
                </c:pt>
              </c:numCache>
            </c:numRef>
          </c:val>
        </c:ser>
        <c:ser>
          <c:idx val="5"/>
          <c:order val="5"/>
          <c:tx>
            <c:strRef>
              <c:f>List1!$A$38</c:f>
              <c:strCache>
                <c:ptCount val="1"/>
                <c:pt idx="0">
                  <c:v>2.3 Závodní preventivní péče</c:v>
                </c:pt>
              </c:strCache>
            </c:strRef>
          </c:tx>
          <c:spPr>
            <a:solidFill>
              <a:schemeClr val="tx1"/>
            </a:solidFill>
          </c:spPr>
          <c:invertIfNegative val="0"/>
          <c:cat>
            <c:numRef>
              <c:f>List1!$B$32:$F$32</c:f>
              <c:numCache>
                <c:formatCode>@</c:formatCode>
                <c:ptCount val="5"/>
                <c:pt idx="0">
                  <c:v>2010</c:v>
                </c:pt>
                <c:pt idx="1">
                  <c:v>2011</c:v>
                </c:pt>
                <c:pt idx="2">
                  <c:v>2012</c:v>
                </c:pt>
                <c:pt idx="3">
                  <c:v>2013</c:v>
                </c:pt>
                <c:pt idx="4">
                  <c:v>2014</c:v>
                </c:pt>
              </c:numCache>
            </c:numRef>
          </c:cat>
          <c:val>
            <c:numRef>
              <c:f>List1!$B$38:$F$38</c:f>
              <c:numCache>
                <c:formatCode>#,##0.0</c:formatCode>
                <c:ptCount val="5"/>
                <c:pt idx="0">
                  <c:v>0.90100000000000002</c:v>
                </c:pt>
                <c:pt idx="1">
                  <c:v>0.90800000000000003</c:v>
                </c:pt>
                <c:pt idx="2">
                  <c:v>0.871</c:v>
                </c:pt>
                <c:pt idx="3">
                  <c:v>1.0009999999999999</c:v>
                </c:pt>
                <c:pt idx="4">
                  <c:v>2.3740000000000001</c:v>
                </c:pt>
              </c:numCache>
            </c:numRef>
          </c:val>
        </c:ser>
        <c:ser>
          <c:idx val="6"/>
          <c:order val="6"/>
          <c:tx>
            <c:strRef>
              <c:f>List1!$A$39</c:f>
              <c:strCache>
                <c:ptCount val="1"/>
                <c:pt idx="0">
                  <c:v>2.1 Soukromé pojištění </c:v>
                </c:pt>
              </c:strCache>
            </c:strRef>
          </c:tx>
          <c:spPr>
            <a:solidFill>
              <a:schemeClr val="accent6"/>
            </a:solidFill>
          </c:spPr>
          <c:invertIfNegative val="0"/>
          <c:cat>
            <c:numRef>
              <c:f>List1!$B$32:$F$32</c:f>
              <c:numCache>
                <c:formatCode>@</c:formatCode>
                <c:ptCount val="5"/>
                <c:pt idx="0">
                  <c:v>2010</c:v>
                </c:pt>
                <c:pt idx="1">
                  <c:v>2011</c:v>
                </c:pt>
                <c:pt idx="2">
                  <c:v>2012</c:v>
                </c:pt>
                <c:pt idx="3">
                  <c:v>2013</c:v>
                </c:pt>
                <c:pt idx="4">
                  <c:v>2014</c:v>
                </c:pt>
              </c:numCache>
            </c:numRef>
          </c:cat>
          <c:val>
            <c:numRef>
              <c:f>List1!$B$39:$F$39</c:f>
              <c:numCache>
                <c:formatCode>#,##0.0</c:formatCode>
                <c:ptCount val="5"/>
                <c:pt idx="0">
                  <c:v>0.42699999999999999</c:v>
                </c:pt>
                <c:pt idx="1">
                  <c:v>0.47699999999999998</c:v>
                </c:pt>
                <c:pt idx="2">
                  <c:v>0.52</c:v>
                </c:pt>
                <c:pt idx="3">
                  <c:v>0.47499999999999998</c:v>
                </c:pt>
                <c:pt idx="4">
                  <c:v>0.53700000000000003</c:v>
                </c:pt>
              </c:numCache>
            </c:numRef>
          </c:val>
        </c:ser>
        <c:dLbls>
          <c:showLegendKey val="0"/>
          <c:showVal val="0"/>
          <c:showCatName val="0"/>
          <c:showSerName val="0"/>
          <c:showPercent val="0"/>
          <c:showBubbleSize val="0"/>
        </c:dLbls>
        <c:gapWidth val="50"/>
        <c:overlap val="100"/>
        <c:axId val="237814272"/>
        <c:axId val="237576768"/>
      </c:barChart>
      <c:barChart>
        <c:barDir val="col"/>
        <c:grouping val="stacked"/>
        <c:varyColors val="0"/>
        <c:ser>
          <c:idx val="7"/>
          <c:order val="7"/>
          <c:tx>
            <c:strRef>
              <c:f>List1!$A$40</c:f>
              <c:strCache>
                <c:ptCount val="1"/>
                <c:pt idx="0">
                  <c:v>Celkový součet</c:v>
                </c:pt>
              </c:strCache>
            </c:strRef>
          </c:tx>
          <c:spPr>
            <a:noFill/>
          </c:spPr>
          <c:invertIfNegative val="0"/>
          <c:dLbls>
            <c:spPr>
              <a:solidFill>
                <a:schemeClr val="bg1">
                  <a:lumMod val="95000"/>
                </a:schemeClr>
              </a:solidFill>
              <a:ln>
                <a:solidFill>
                  <a:schemeClr val="tx1">
                    <a:tint val="75000"/>
                    <a:shade val="95000"/>
                    <a:satMod val="105000"/>
                  </a:schemeClr>
                </a:solidFill>
              </a:ln>
            </c:spPr>
            <c:dLblPos val="inEnd"/>
            <c:showLegendKey val="0"/>
            <c:showVal val="1"/>
            <c:showCatName val="0"/>
            <c:showSerName val="0"/>
            <c:showPercent val="0"/>
            <c:showBubbleSize val="0"/>
            <c:showLeaderLines val="0"/>
          </c:dLbls>
          <c:cat>
            <c:numRef>
              <c:f>List1!$B$32:$F$32</c:f>
              <c:numCache>
                <c:formatCode>@</c:formatCode>
                <c:ptCount val="5"/>
                <c:pt idx="0">
                  <c:v>2010</c:v>
                </c:pt>
                <c:pt idx="1">
                  <c:v>2011</c:v>
                </c:pt>
                <c:pt idx="2">
                  <c:v>2012</c:v>
                </c:pt>
                <c:pt idx="3">
                  <c:v>2013</c:v>
                </c:pt>
                <c:pt idx="4">
                  <c:v>2014</c:v>
                </c:pt>
              </c:numCache>
            </c:numRef>
          </c:cat>
          <c:val>
            <c:numRef>
              <c:f>List1!$B$40:$F$40</c:f>
              <c:numCache>
                <c:formatCode>#,##0.0</c:formatCode>
                <c:ptCount val="5"/>
                <c:pt idx="0">
                  <c:v>339.85199999999998</c:v>
                </c:pt>
                <c:pt idx="1">
                  <c:v>342.75299999999999</c:v>
                </c:pt>
                <c:pt idx="2">
                  <c:v>347.60500000000002</c:v>
                </c:pt>
                <c:pt idx="3">
                  <c:v>348.86</c:v>
                </c:pt>
                <c:pt idx="4">
                  <c:v>350.411</c:v>
                </c:pt>
              </c:numCache>
            </c:numRef>
          </c:val>
        </c:ser>
        <c:dLbls>
          <c:showLegendKey val="0"/>
          <c:showVal val="0"/>
          <c:showCatName val="0"/>
          <c:showSerName val="0"/>
          <c:showPercent val="0"/>
          <c:showBubbleSize val="0"/>
        </c:dLbls>
        <c:gapWidth val="500"/>
        <c:overlap val="100"/>
        <c:axId val="237815296"/>
        <c:axId val="237577344"/>
      </c:barChart>
      <c:catAx>
        <c:axId val="237814272"/>
        <c:scaling>
          <c:orientation val="minMax"/>
        </c:scaling>
        <c:delete val="0"/>
        <c:axPos val="b"/>
        <c:numFmt formatCode="@" sourceLinked="1"/>
        <c:majorTickMark val="out"/>
        <c:minorTickMark val="none"/>
        <c:tickLblPos val="nextTo"/>
        <c:crossAx val="237576768"/>
        <c:crosses val="autoZero"/>
        <c:auto val="1"/>
        <c:lblAlgn val="ctr"/>
        <c:lblOffset val="100"/>
        <c:noMultiLvlLbl val="0"/>
      </c:catAx>
      <c:valAx>
        <c:axId val="237576768"/>
        <c:scaling>
          <c:orientation val="minMax"/>
        </c:scaling>
        <c:delete val="0"/>
        <c:axPos val="l"/>
        <c:majorGridlines>
          <c:spPr>
            <a:ln>
              <a:prstDash val="sysDash"/>
            </a:ln>
          </c:spPr>
        </c:majorGridlines>
        <c:title>
          <c:tx>
            <c:rich>
              <a:bodyPr rot="-5400000" vert="horz"/>
              <a:lstStyle/>
              <a:p>
                <a:pPr>
                  <a:defRPr/>
                </a:pPr>
                <a:r>
                  <a:rPr lang="cs-CZ"/>
                  <a:t>mld. Kč</a:t>
                </a:r>
              </a:p>
            </c:rich>
          </c:tx>
          <c:overlay val="0"/>
        </c:title>
        <c:numFmt formatCode="#,##0" sourceLinked="0"/>
        <c:majorTickMark val="out"/>
        <c:minorTickMark val="none"/>
        <c:tickLblPos val="nextTo"/>
        <c:crossAx val="237814272"/>
        <c:crosses val="autoZero"/>
        <c:crossBetween val="between"/>
      </c:valAx>
      <c:valAx>
        <c:axId val="237577344"/>
        <c:scaling>
          <c:orientation val="minMax"/>
          <c:max val="355"/>
          <c:min val="0"/>
        </c:scaling>
        <c:delete val="0"/>
        <c:axPos val="r"/>
        <c:numFmt formatCode="#,##0.0" sourceLinked="1"/>
        <c:majorTickMark val="none"/>
        <c:minorTickMark val="none"/>
        <c:tickLblPos val="none"/>
        <c:crossAx val="237815296"/>
        <c:crosses val="max"/>
        <c:crossBetween val="between"/>
        <c:majorUnit val="50"/>
        <c:minorUnit val="10"/>
      </c:valAx>
      <c:catAx>
        <c:axId val="237815296"/>
        <c:scaling>
          <c:orientation val="minMax"/>
        </c:scaling>
        <c:delete val="1"/>
        <c:axPos val="b"/>
        <c:numFmt formatCode="@" sourceLinked="1"/>
        <c:majorTickMark val="out"/>
        <c:minorTickMark val="none"/>
        <c:tickLblPos val="nextTo"/>
        <c:crossAx val="237577344"/>
        <c:crosses val="autoZero"/>
        <c:auto val="1"/>
        <c:lblAlgn val="ctr"/>
        <c:lblOffset val="100"/>
        <c:noMultiLvlLbl val="0"/>
      </c:catAx>
    </c:plotArea>
    <c:legend>
      <c:legendPos val="r"/>
      <c:legendEntry>
        <c:idx val="7"/>
        <c:delete val="1"/>
      </c:legendEntry>
      <c:layout>
        <c:manualLayout>
          <c:xMode val="edge"/>
          <c:yMode val="edge"/>
          <c:x val="0.72829155730533679"/>
          <c:y val="5.05349537037037E-2"/>
          <c:w val="0.22448622047244093"/>
          <c:h val="0.82653680555555564"/>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07174103237096E-2"/>
          <c:y val="5.1400554097404488E-2"/>
          <c:w val="0.837911854768154"/>
          <c:h val="0.8326195683872849"/>
        </c:manualLayout>
      </c:layout>
      <c:barChart>
        <c:barDir val="col"/>
        <c:grouping val="stacked"/>
        <c:varyColors val="0"/>
        <c:ser>
          <c:idx val="0"/>
          <c:order val="0"/>
          <c:tx>
            <c:strRef>
              <c:f>List1!$A$43</c:f>
              <c:strCache>
                <c:ptCount val="1"/>
                <c:pt idx="0">
                  <c:v>1.2 Zdravotní pojišťovny</c:v>
                </c:pt>
              </c:strCache>
            </c:strRef>
          </c:tx>
          <c:spPr>
            <a:solidFill>
              <a:srgbClr val="002060"/>
            </a:solidFill>
          </c:spPr>
          <c:invertIfNegative val="0"/>
          <c:dLbls>
            <c:numFmt formatCode="0.0%" sourceLinked="0"/>
            <c:txPr>
              <a:bodyPr/>
              <a:lstStyle/>
              <a:p>
                <a:pPr>
                  <a:defRPr>
                    <a:solidFill>
                      <a:schemeClr val="bg1"/>
                    </a:solidFill>
                  </a:defRPr>
                </a:pPr>
                <a:endParaRPr lang="cs-CZ"/>
              </a:p>
            </c:txPr>
            <c:showLegendKey val="0"/>
            <c:showVal val="1"/>
            <c:showCatName val="0"/>
            <c:showSerName val="0"/>
            <c:showPercent val="0"/>
            <c:showBubbleSize val="0"/>
            <c:showLeaderLines val="0"/>
          </c:dLbls>
          <c:cat>
            <c:numRef>
              <c:f>(List1!$B$42,List1!$F$42)</c:f>
              <c:numCache>
                <c:formatCode>@</c:formatCode>
                <c:ptCount val="2"/>
                <c:pt idx="0">
                  <c:v>2010</c:v>
                </c:pt>
                <c:pt idx="1">
                  <c:v>2014</c:v>
                </c:pt>
              </c:numCache>
            </c:numRef>
          </c:cat>
          <c:val>
            <c:numRef>
              <c:f>(List1!$B$43,List1!$F$43)</c:f>
              <c:numCache>
                <c:formatCode>0.0%</c:formatCode>
                <c:ptCount val="2"/>
                <c:pt idx="0">
                  <c:v>0.68232348198627646</c:v>
                </c:pt>
                <c:pt idx="1">
                  <c:v>0.6695794367185961</c:v>
                </c:pt>
              </c:numCache>
            </c:numRef>
          </c:val>
        </c:ser>
        <c:ser>
          <c:idx val="1"/>
          <c:order val="1"/>
          <c:tx>
            <c:strRef>
              <c:f>List1!$A$44</c:f>
              <c:strCache>
                <c:ptCount val="1"/>
                <c:pt idx="0">
                  <c:v>1.1.1 Státní rozpočet</c:v>
                </c:pt>
              </c:strCache>
            </c:strRef>
          </c:tx>
          <c:spPr>
            <a:solidFill>
              <a:srgbClr val="D96D75"/>
            </a:solidFill>
          </c:spPr>
          <c:invertIfNegative val="0"/>
          <c:dLbls>
            <c:txPr>
              <a:bodyPr/>
              <a:lstStyle/>
              <a:p>
                <a:pPr>
                  <a:defRPr b="1">
                    <a:solidFill>
                      <a:sysClr val="windowText" lastClr="000000"/>
                    </a:solidFill>
                  </a:defRPr>
                </a:pPr>
                <a:endParaRPr lang="cs-CZ"/>
              </a:p>
            </c:txPr>
            <c:showLegendKey val="0"/>
            <c:showVal val="1"/>
            <c:showCatName val="0"/>
            <c:showSerName val="0"/>
            <c:showPercent val="0"/>
            <c:showBubbleSize val="0"/>
            <c:showLeaderLines val="0"/>
          </c:dLbls>
          <c:cat>
            <c:numRef>
              <c:f>(List1!$B$42,List1!$F$42)</c:f>
              <c:numCache>
                <c:formatCode>@</c:formatCode>
                <c:ptCount val="2"/>
                <c:pt idx="0">
                  <c:v>2010</c:v>
                </c:pt>
                <c:pt idx="1">
                  <c:v>2014</c:v>
                </c:pt>
              </c:numCache>
            </c:numRef>
          </c:cat>
          <c:val>
            <c:numRef>
              <c:f>(List1!$B$44,List1!$F$44)</c:f>
              <c:numCache>
                <c:formatCode>0.0%</c:formatCode>
                <c:ptCount val="2"/>
                <c:pt idx="0">
                  <c:v>0.14369490248696493</c:v>
                </c:pt>
                <c:pt idx="1">
                  <c:v>0.14978125686693625</c:v>
                </c:pt>
              </c:numCache>
            </c:numRef>
          </c:val>
        </c:ser>
        <c:ser>
          <c:idx val="2"/>
          <c:order val="2"/>
          <c:tx>
            <c:strRef>
              <c:f>List1!$A$45</c:f>
              <c:strCache>
                <c:ptCount val="1"/>
                <c:pt idx="0">
                  <c:v>1.1.2 Místní rozpočty</c:v>
                </c:pt>
              </c:strCache>
            </c:strRef>
          </c:tx>
          <c:spPr>
            <a:solidFill>
              <a:srgbClr val="C00000"/>
            </a:solidFill>
          </c:spPr>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(List1!$B$42,List1!$F$42)</c:f>
              <c:numCache>
                <c:formatCode>@</c:formatCode>
                <c:ptCount val="2"/>
                <c:pt idx="0">
                  <c:v>2010</c:v>
                </c:pt>
                <c:pt idx="1">
                  <c:v>2014</c:v>
                </c:pt>
              </c:numCache>
            </c:numRef>
          </c:cat>
          <c:val>
            <c:numRef>
              <c:f>(List1!$B$45,List1!$F$45)</c:f>
              <c:numCache>
                <c:formatCode>0.0%</c:formatCode>
                <c:ptCount val="2"/>
                <c:pt idx="0">
                  <c:v>2.3669126560973603E-2</c:v>
                </c:pt>
                <c:pt idx="1">
                  <c:v>2.7190927225458107E-2</c:v>
                </c:pt>
              </c:numCache>
            </c:numRef>
          </c:val>
        </c:ser>
        <c:ser>
          <c:idx val="3"/>
          <c:order val="3"/>
          <c:tx>
            <c:strRef>
              <c:f>List1!$A$46</c:f>
              <c:strCache>
                <c:ptCount val="1"/>
                <c:pt idx="0">
                  <c:v>3 Přímé platby domácností</c:v>
                </c:pt>
              </c:strCache>
            </c:strRef>
          </c:tx>
          <c:spPr>
            <a:solidFill>
              <a:srgbClr val="92D050"/>
            </a:solidFill>
          </c:spPr>
          <c:invertIfNegative val="0"/>
          <c:dLbls>
            <c:txPr>
              <a:bodyPr/>
              <a:lstStyle/>
              <a:p>
                <a:pPr>
                  <a:defRPr b="1">
                    <a:solidFill>
                      <a:sysClr val="windowText" lastClr="000000"/>
                    </a:solidFill>
                  </a:defRPr>
                </a:pPr>
                <a:endParaRPr lang="cs-CZ"/>
              </a:p>
            </c:txPr>
            <c:showLegendKey val="0"/>
            <c:showVal val="1"/>
            <c:showCatName val="0"/>
            <c:showSerName val="0"/>
            <c:showPercent val="0"/>
            <c:showBubbleSize val="0"/>
            <c:showLeaderLines val="0"/>
          </c:dLbls>
          <c:cat>
            <c:numRef>
              <c:f>(List1!$B$42,List1!$F$42)</c:f>
              <c:numCache>
                <c:formatCode>@</c:formatCode>
                <c:ptCount val="2"/>
                <c:pt idx="0">
                  <c:v>2010</c:v>
                </c:pt>
                <c:pt idx="1">
                  <c:v>2014</c:v>
                </c:pt>
              </c:numCache>
            </c:numRef>
          </c:cat>
          <c:val>
            <c:numRef>
              <c:f>(List1!$B$46,List1!$F$46)</c:f>
              <c:numCache>
                <c:formatCode>0.0%</c:formatCode>
                <c:ptCount val="2"/>
                <c:pt idx="0">
                  <c:v>0.1231918599861116</c:v>
                </c:pt>
                <c:pt idx="1">
                  <c:v>0.12300412943657589</c:v>
                </c:pt>
              </c:numCache>
            </c:numRef>
          </c:val>
        </c:ser>
        <c:ser>
          <c:idx val="4"/>
          <c:order val="4"/>
          <c:tx>
            <c:strRef>
              <c:f>List1!$A$47</c:f>
              <c:strCache>
                <c:ptCount val="1"/>
                <c:pt idx="0">
                  <c:v>2.2 Neziskové organizace</c:v>
                </c:pt>
              </c:strCache>
            </c:strRef>
          </c:tx>
          <c:spPr>
            <a:solidFill>
              <a:srgbClr val="7030A0"/>
            </a:solidFill>
          </c:spPr>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(List1!$B$42,List1!$F$42)</c:f>
              <c:numCache>
                <c:formatCode>@</c:formatCode>
                <c:ptCount val="2"/>
                <c:pt idx="0">
                  <c:v>2010</c:v>
                </c:pt>
                <c:pt idx="1">
                  <c:v>2014</c:v>
                </c:pt>
              </c:numCache>
            </c:numRef>
          </c:cat>
          <c:val>
            <c:numRef>
              <c:f>(List1!$B$47,List1!$F$47)</c:f>
              <c:numCache>
                <c:formatCode>0.0%</c:formatCode>
                <c:ptCount val="2"/>
                <c:pt idx="0">
                  <c:v>2.321010322140226E-2</c:v>
                </c:pt>
                <c:pt idx="1">
                  <c:v>2.2136862141884813E-2</c:v>
                </c:pt>
              </c:numCache>
            </c:numRef>
          </c:val>
        </c:ser>
        <c:ser>
          <c:idx val="5"/>
          <c:order val="5"/>
          <c:tx>
            <c:strRef>
              <c:f>List1!$A$48</c:f>
              <c:strCache>
                <c:ptCount val="1"/>
                <c:pt idx="0">
                  <c:v>2.3 Závodní preventivní péče</c:v>
                </c:pt>
              </c:strCache>
            </c:strRef>
          </c:tx>
          <c:spPr>
            <a:solidFill>
              <a:schemeClr val="tx1"/>
            </a:solidFill>
          </c:spPr>
          <c:invertIfNegative val="0"/>
          <c:cat>
            <c:numRef>
              <c:f>(List1!$B$42,List1!$F$42)</c:f>
              <c:numCache>
                <c:formatCode>@</c:formatCode>
                <c:ptCount val="2"/>
                <c:pt idx="0">
                  <c:v>2010</c:v>
                </c:pt>
                <c:pt idx="1">
                  <c:v>2014</c:v>
                </c:pt>
              </c:numCache>
            </c:numRef>
          </c:cat>
          <c:val>
            <c:numRef>
              <c:f>(List1!$B$48,List1!$F$48)</c:f>
              <c:numCache>
                <c:formatCode>0.0%</c:formatCode>
                <c:ptCount val="2"/>
                <c:pt idx="0">
                  <c:v>2.6511540317549994E-3</c:v>
                </c:pt>
                <c:pt idx="1">
                  <c:v>6.7749014728418913E-3</c:v>
                </c:pt>
              </c:numCache>
            </c:numRef>
          </c:val>
        </c:ser>
        <c:ser>
          <c:idx val="6"/>
          <c:order val="6"/>
          <c:tx>
            <c:strRef>
              <c:f>List1!$A$49</c:f>
              <c:strCache>
                <c:ptCount val="1"/>
                <c:pt idx="0">
                  <c:v>2.1 Soukromé pojištění </c:v>
                </c:pt>
              </c:strCache>
            </c:strRef>
          </c:tx>
          <c:spPr>
            <a:solidFill>
              <a:srgbClr val="FFC000"/>
            </a:solidFill>
          </c:spPr>
          <c:invertIfNegative val="0"/>
          <c:cat>
            <c:numRef>
              <c:f>(List1!$B$42,List1!$F$42)</c:f>
              <c:numCache>
                <c:formatCode>@</c:formatCode>
                <c:ptCount val="2"/>
                <c:pt idx="0">
                  <c:v>2010</c:v>
                </c:pt>
                <c:pt idx="1">
                  <c:v>2014</c:v>
                </c:pt>
              </c:numCache>
            </c:numRef>
          </c:cat>
          <c:val>
            <c:numRef>
              <c:f>(List1!$B$49,List1!$F$49)</c:f>
              <c:numCache>
                <c:formatCode>0.0%</c:formatCode>
                <c:ptCount val="2"/>
                <c:pt idx="0">
                  <c:v>1.2564292692113037E-3</c:v>
                </c:pt>
                <c:pt idx="1">
                  <c:v>1.5324861377068644E-3</c:v>
                </c:pt>
              </c:numCache>
            </c:numRef>
          </c:val>
        </c:ser>
        <c:dLbls>
          <c:showLegendKey val="0"/>
          <c:showVal val="0"/>
          <c:showCatName val="0"/>
          <c:showSerName val="0"/>
          <c:showPercent val="0"/>
          <c:showBubbleSize val="0"/>
        </c:dLbls>
        <c:gapWidth val="50"/>
        <c:overlap val="100"/>
        <c:axId val="236047872"/>
        <c:axId val="237579072"/>
      </c:barChart>
      <c:catAx>
        <c:axId val="236047872"/>
        <c:scaling>
          <c:orientation val="minMax"/>
        </c:scaling>
        <c:delete val="0"/>
        <c:axPos val="b"/>
        <c:numFmt formatCode="@" sourceLinked="1"/>
        <c:majorTickMark val="out"/>
        <c:minorTickMark val="none"/>
        <c:tickLblPos val="nextTo"/>
        <c:crossAx val="237579072"/>
        <c:crosses val="autoZero"/>
        <c:auto val="1"/>
        <c:lblAlgn val="ctr"/>
        <c:lblOffset val="100"/>
        <c:noMultiLvlLbl val="0"/>
      </c:catAx>
      <c:valAx>
        <c:axId val="237579072"/>
        <c:scaling>
          <c:orientation val="minMax"/>
          <c:max val="1"/>
        </c:scaling>
        <c:delete val="0"/>
        <c:axPos val="l"/>
        <c:majorGridlines>
          <c:spPr>
            <a:ln>
              <a:prstDash val="sysDash"/>
            </a:ln>
          </c:spPr>
        </c:majorGridlines>
        <c:numFmt formatCode="0%" sourceLinked="0"/>
        <c:majorTickMark val="out"/>
        <c:minorTickMark val="none"/>
        <c:tickLblPos val="nextTo"/>
        <c:crossAx val="236047872"/>
        <c:crosses val="autoZero"/>
        <c:crossBetween val="between"/>
        <c:majorUnit val="0.1"/>
        <c:minorUnit val="1.0000000000000002E-2"/>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803671620324229"/>
          <c:y val="3.3639143730886847E-2"/>
          <c:w val="0.67845848893366767"/>
          <c:h val="0.81620416666666662"/>
        </c:manualLayout>
      </c:layout>
      <c:barChart>
        <c:barDir val="bar"/>
        <c:grouping val="clustered"/>
        <c:varyColors val="0"/>
        <c:ser>
          <c:idx val="0"/>
          <c:order val="0"/>
          <c:tx>
            <c:strRef>
              <c:f>List1!$B$65</c:f>
              <c:strCache>
                <c:ptCount val="1"/>
                <c:pt idx="0">
                  <c:v>2010</c:v>
                </c:pt>
              </c:strCache>
            </c:strRef>
          </c:tx>
          <c:invertIfNegative val="0"/>
          <c:dLbls>
            <c:txPr>
              <a:bodyPr/>
              <a:lstStyle/>
              <a:p>
                <a:pPr>
                  <a:defRPr b="1"/>
                </a:pPr>
                <a:endParaRPr lang="cs-CZ"/>
              </a:p>
            </c:txPr>
            <c:showLegendKey val="0"/>
            <c:showVal val="1"/>
            <c:showCatName val="0"/>
            <c:showSerName val="0"/>
            <c:showPercent val="0"/>
            <c:showBubbleSize val="0"/>
            <c:showLeaderLines val="0"/>
          </c:dLbls>
          <c:cat>
            <c:strRef>
              <c:f>List1!$A$66:$A$71</c:f>
              <c:strCache>
                <c:ptCount val="6"/>
                <c:pt idx="0">
                  <c:v>Preventivní péče</c:v>
                </c:pt>
                <c:pt idx="1">
                  <c:v>Rehabilitační péče</c:v>
                </c:pt>
                <c:pt idx="2">
                  <c:v>Doplňkové služby*</c:v>
                </c:pt>
                <c:pt idx="3">
                  <c:v>Dlouhodobá zdravotně-sociální péče</c:v>
                </c:pt>
                <c:pt idx="4">
                  <c:v>Léčiva a ostatní zdravotnické výrobky</c:v>
                </c:pt>
                <c:pt idx="5">
                  <c:v>Léčebná péče</c:v>
                </c:pt>
              </c:strCache>
            </c:strRef>
          </c:cat>
          <c:val>
            <c:numRef>
              <c:f>List1!$B$66:$B$71</c:f>
              <c:numCache>
                <c:formatCode>#,##0.0</c:formatCode>
                <c:ptCount val="6"/>
                <c:pt idx="0">
                  <c:v>9.99</c:v>
                </c:pt>
                <c:pt idx="1">
                  <c:v>13.663</c:v>
                </c:pt>
                <c:pt idx="2">
                  <c:v>37.039000000000001</c:v>
                </c:pt>
                <c:pt idx="3">
                  <c:v>52.786000000000001</c:v>
                </c:pt>
                <c:pt idx="4">
                  <c:v>65.12</c:v>
                </c:pt>
                <c:pt idx="5">
                  <c:v>136.69499999999999</c:v>
                </c:pt>
              </c:numCache>
            </c:numRef>
          </c:val>
        </c:ser>
        <c:ser>
          <c:idx val="1"/>
          <c:order val="1"/>
          <c:tx>
            <c:strRef>
              <c:f>List1!$D$65</c:f>
              <c:strCache>
                <c:ptCount val="1"/>
                <c:pt idx="0">
                  <c:v>2012</c:v>
                </c:pt>
              </c:strCache>
            </c:strRef>
          </c:tx>
          <c:invertIfNegative val="0"/>
          <c:dLbls>
            <c:txPr>
              <a:bodyPr/>
              <a:lstStyle/>
              <a:p>
                <a:pPr>
                  <a:defRPr b="1"/>
                </a:pPr>
                <a:endParaRPr lang="cs-CZ"/>
              </a:p>
            </c:txPr>
            <c:showLegendKey val="0"/>
            <c:showVal val="1"/>
            <c:showCatName val="0"/>
            <c:showSerName val="0"/>
            <c:showPercent val="0"/>
            <c:showBubbleSize val="0"/>
            <c:showLeaderLines val="0"/>
          </c:dLbls>
          <c:cat>
            <c:strRef>
              <c:f>List1!$A$66:$A$71</c:f>
              <c:strCache>
                <c:ptCount val="6"/>
                <c:pt idx="0">
                  <c:v>Preventivní péče</c:v>
                </c:pt>
                <c:pt idx="1">
                  <c:v>Rehabilitační péče</c:v>
                </c:pt>
                <c:pt idx="2">
                  <c:v>Doplňkové služby*</c:v>
                </c:pt>
                <c:pt idx="3">
                  <c:v>Dlouhodobá zdravotně-sociální péče</c:v>
                </c:pt>
                <c:pt idx="4">
                  <c:v>Léčiva a ostatní zdravotnické výrobky</c:v>
                </c:pt>
                <c:pt idx="5">
                  <c:v>Léčebná péče</c:v>
                </c:pt>
              </c:strCache>
            </c:strRef>
          </c:cat>
          <c:val>
            <c:numRef>
              <c:f>List1!$D$66:$D$71</c:f>
              <c:numCache>
                <c:formatCode>#,##0.0</c:formatCode>
                <c:ptCount val="6"/>
                <c:pt idx="0">
                  <c:v>10.595000000000001</c:v>
                </c:pt>
                <c:pt idx="1">
                  <c:v>13.544</c:v>
                </c:pt>
                <c:pt idx="2">
                  <c:v>38.213000000000001</c:v>
                </c:pt>
                <c:pt idx="3">
                  <c:v>53.003</c:v>
                </c:pt>
                <c:pt idx="4">
                  <c:v>70.625</c:v>
                </c:pt>
                <c:pt idx="5">
                  <c:v>137.54599999999999</c:v>
                </c:pt>
              </c:numCache>
            </c:numRef>
          </c:val>
        </c:ser>
        <c:ser>
          <c:idx val="2"/>
          <c:order val="2"/>
          <c:tx>
            <c:strRef>
              <c:f>List1!$F$65</c:f>
              <c:strCache>
                <c:ptCount val="1"/>
                <c:pt idx="0">
                  <c:v>2014</c:v>
                </c:pt>
              </c:strCache>
            </c:strRef>
          </c:tx>
          <c:invertIfNegative val="0"/>
          <c:dLbls>
            <c:txPr>
              <a:bodyPr/>
              <a:lstStyle/>
              <a:p>
                <a:pPr>
                  <a:defRPr b="1"/>
                </a:pPr>
                <a:endParaRPr lang="cs-CZ"/>
              </a:p>
            </c:txPr>
            <c:showLegendKey val="0"/>
            <c:showVal val="1"/>
            <c:showCatName val="0"/>
            <c:showSerName val="0"/>
            <c:showPercent val="0"/>
            <c:showBubbleSize val="0"/>
            <c:showLeaderLines val="0"/>
          </c:dLbls>
          <c:cat>
            <c:strRef>
              <c:f>List1!$A$66:$A$71</c:f>
              <c:strCache>
                <c:ptCount val="6"/>
                <c:pt idx="0">
                  <c:v>Preventivní péče</c:v>
                </c:pt>
                <c:pt idx="1">
                  <c:v>Rehabilitační péče</c:v>
                </c:pt>
                <c:pt idx="2">
                  <c:v>Doplňkové služby*</c:v>
                </c:pt>
                <c:pt idx="3">
                  <c:v>Dlouhodobá zdravotně-sociální péče</c:v>
                </c:pt>
                <c:pt idx="4">
                  <c:v>Léčiva a ostatní zdravotnické výrobky</c:v>
                </c:pt>
                <c:pt idx="5">
                  <c:v>Léčebná péče</c:v>
                </c:pt>
              </c:strCache>
            </c:strRef>
          </c:cat>
          <c:val>
            <c:numRef>
              <c:f>List1!$F$66:$F$71</c:f>
              <c:numCache>
                <c:formatCode>#,##0.0</c:formatCode>
                <c:ptCount val="6"/>
                <c:pt idx="0">
                  <c:v>11.433</c:v>
                </c:pt>
                <c:pt idx="1">
                  <c:v>13.497999999999999</c:v>
                </c:pt>
                <c:pt idx="2">
                  <c:v>38.883000000000003</c:v>
                </c:pt>
                <c:pt idx="3">
                  <c:v>62.106999999999999</c:v>
                </c:pt>
                <c:pt idx="4">
                  <c:v>65.843999999999994</c:v>
                </c:pt>
                <c:pt idx="5">
                  <c:v>135.346</c:v>
                </c:pt>
              </c:numCache>
            </c:numRef>
          </c:val>
        </c:ser>
        <c:dLbls>
          <c:showLegendKey val="0"/>
          <c:showVal val="0"/>
          <c:showCatName val="0"/>
          <c:showSerName val="0"/>
          <c:showPercent val="0"/>
          <c:showBubbleSize val="0"/>
        </c:dLbls>
        <c:gapWidth val="80"/>
        <c:axId val="237711360"/>
        <c:axId val="237577920"/>
      </c:barChart>
      <c:catAx>
        <c:axId val="237711360"/>
        <c:scaling>
          <c:orientation val="minMax"/>
        </c:scaling>
        <c:delete val="0"/>
        <c:axPos val="l"/>
        <c:numFmt formatCode="General" sourceLinked="1"/>
        <c:majorTickMark val="out"/>
        <c:minorTickMark val="none"/>
        <c:tickLblPos val="nextTo"/>
        <c:crossAx val="237577920"/>
        <c:crosses val="autoZero"/>
        <c:auto val="1"/>
        <c:lblAlgn val="ctr"/>
        <c:lblOffset val="100"/>
        <c:noMultiLvlLbl val="0"/>
      </c:catAx>
      <c:valAx>
        <c:axId val="237577920"/>
        <c:scaling>
          <c:orientation val="minMax"/>
        </c:scaling>
        <c:delete val="0"/>
        <c:axPos val="b"/>
        <c:majorGridlines>
          <c:spPr>
            <a:ln>
              <a:prstDash val="sysDash"/>
            </a:ln>
          </c:spPr>
        </c:majorGridlines>
        <c:title>
          <c:tx>
            <c:rich>
              <a:bodyPr/>
              <a:lstStyle/>
              <a:p>
                <a:pPr>
                  <a:defRPr/>
                </a:pPr>
                <a:r>
                  <a:rPr lang="cs-CZ"/>
                  <a:t>mld. Kč</a:t>
                </a:r>
              </a:p>
            </c:rich>
          </c:tx>
          <c:overlay val="0"/>
        </c:title>
        <c:numFmt formatCode="#,##0" sourceLinked="0"/>
        <c:majorTickMark val="out"/>
        <c:minorTickMark val="none"/>
        <c:tickLblPos val="nextTo"/>
        <c:crossAx val="237711360"/>
        <c:crosses val="autoZero"/>
        <c:crossBetween val="between"/>
      </c:valAx>
    </c:plotArea>
    <c:legend>
      <c:legendPos val="r"/>
      <c:layout>
        <c:manualLayout>
          <c:xMode val="edge"/>
          <c:yMode val="edge"/>
          <c:x val="0.89161222023881226"/>
          <c:y val="0.68179633509114113"/>
          <c:w val="6.6991556514406497E-2"/>
          <c:h val="0.17280550276043083"/>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181657949690598E-2"/>
          <c:y val="5.0925925925925923E-2"/>
          <c:w val="0.89613316993464054"/>
          <c:h val="0.65253864100320791"/>
        </c:manualLayout>
      </c:layout>
      <c:barChart>
        <c:barDir val="bar"/>
        <c:grouping val="percentStacked"/>
        <c:varyColors val="0"/>
        <c:ser>
          <c:idx val="0"/>
          <c:order val="0"/>
          <c:tx>
            <c:strRef>
              <c:f>List1!$A$86</c:f>
              <c:strCache>
                <c:ptCount val="1"/>
                <c:pt idx="0">
                  <c:v>Léčebná</c:v>
                </c:pt>
              </c:strCache>
            </c:strRef>
          </c:tx>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(List1!$B$86;List1!$D$86;List1!$F$86)</c:f>
              <c:numCache>
                <c:formatCode>0.0%</c:formatCode>
                <c:ptCount val="3"/>
                <c:pt idx="0">
                  <c:v>0.40221920129938915</c:v>
                </c:pt>
                <c:pt idx="1">
                  <c:v>0.39569626443808342</c:v>
                </c:pt>
                <c:pt idx="2">
                  <c:v>0.38624929011931702</c:v>
                </c:pt>
              </c:numCache>
            </c:numRef>
          </c:val>
        </c:ser>
        <c:ser>
          <c:idx val="1"/>
          <c:order val="1"/>
          <c:tx>
            <c:strRef>
              <c:f>List1!$A$87</c:f>
              <c:strCache>
                <c:ptCount val="1"/>
                <c:pt idx="0">
                  <c:v>Léčiva</c:v>
                </c:pt>
              </c:strCache>
            </c:strRef>
          </c:tx>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(List1!$B$87;List1!$D$87;List1!$F$87)</c:f>
              <c:numCache>
                <c:formatCode>0.0%</c:formatCode>
                <c:ptCount val="3"/>
                <c:pt idx="0">
                  <c:v>0.19161281969798621</c:v>
                </c:pt>
                <c:pt idx="1">
                  <c:v>0.20317601875692237</c:v>
                </c:pt>
                <c:pt idx="2">
                  <c:v>0.18790506005804611</c:v>
                </c:pt>
              </c:numCache>
            </c:numRef>
          </c:val>
        </c:ser>
        <c:ser>
          <c:idx val="2"/>
          <c:order val="2"/>
          <c:tx>
            <c:strRef>
              <c:f>List1!$A$88</c:f>
              <c:strCache>
                <c:ptCount val="1"/>
                <c:pt idx="0">
                  <c:v>Dlouhodobá </c:v>
                </c:pt>
              </c:strCache>
            </c:strRef>
          </c:tx>
          <c:invertIfNegative val="0"/>
          <c:dLbls>
            <c:txPr>
              <a:bodyPr/>
              <a:lstStyle/>
              <a:p>
                <a:pPr>
                  <a:defRPr b="1"/>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(List1!$B$88;List1!$D$88;List1!$F$88)</c:f>
              <c:numCache>
                <c:formatCode>0.0%</c:formatCode>
                <c:ptCount val="3"/>
                <c:pt idx="0">
                  <c:v>0.15532055129880068</c:v>
                </c:pt>
                <c:pt idx="1">
                  <c:v>0.15248054544669956</c:v>
                </c:pt>
                <c:pt idx="2">
                  <c:v>0.17724044051128532</c:v>
                </c:pt>
              </c:numCache>
            </c:numRef>
          </c:val>
        </c:ser>
        <c:ser>
          <c:idx val="3"/>
          <c:order val="3"/>
          <c:tx>
            <c:strRef>
              <c:f>List1!$A$89</c:f>
              <c:strCache>
                <c:ptCount val="1"/>
                <c:pt idx="0">
                  <c:v>Doplňkové služby*</c:v>
                </c:pt>
              </c:strCache>
            </c:strRef>
          </c:tx>
          <c:invertIfNegative val="0"/>
          <c:dLbls>
            <c:txPr>
              <a:bodyPr/>
              <a:lstStyle/>
              <a:p>
                <a:pPr>
                  <a:defRPr b="1">
                    <a:solidFill>
                      <a:schemeClr val="bg1"/>
                    </a:solidFill>
                  </a:defRPr>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(List1!$B$89;List1!$D$89;List1!$F$89)</c:f>
              <c:numCache>
                <c:formatCode>0.0%</c:formatCode>
                <c:ptCount val="3"/>
                <c:pt idx="0">
                  <c:v>0.10898567611783955</c:v>
                </c:pt>
                <c:pt idx="1">
                  <c:v>0.10993225068684283</c:v>
                </c:pt>
                <c:pt idx="2">
                  <c:v>0.11096398229507635</c:v>
                </c:pt>
              </c:numCache>
            </c:numRef>
          </c:val>
        </c:ser>
        <c:ser>
          <c:idx val="4"/>
          <c:order val="4"/>
          <c:tx>
            <c:strRef>
              <c:f>List1!$A$90</c:f>
              <c:strCache>
                <c:ptCount val="1"/>
                <c:pt idx="0">
                  <c:v>Rehabilitační </c:v>
                </c:pt>
              </c:strCache>
            </c:strRef>
          </c:tx>
          <c:invertIfNegative val="0"/>
          <c:dLbls>
            <c:txPr>
              <a:bodyPr rot="-5400000" vert="horz"/>
              <a:lstStyle/>
              <a:p>
                <a:pPr>
                  <a:defRPr b="1">
                    <a:solidFill>
                      <a:schemeClr val="bg1"/>
                    </a:solidFill>
                  </a:defRPr>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(List1!$B$90;List1!$D$90;List1!$F$90)</c:f>
              <c:numCache>
                <c:formatCode>0.0%</c:formatCode>
                <c:ptCount val="3"/>
                <c:pt idx="0">
                  <c:v>4.0202794157456777E-2</c:v>
                </c:pt>
                <c:pt idx="1">
                  <c:v>3.8963766343982395E-2</c:v>
                </c:pt>
                <c:pt idx="2">
                  <c:v>3.8520480236065649E-2</c:v>
                </c:pt>
              </c:numCache>
            </c:numRef>
          </c:val>
        </c:ser>
        <c:ser>
          <c:idx val="5"/>
          <c:order val="5"/>
          <c:tx>
            <c:strRef>
              <c:f>List1!$A$91</c:f>
              <c:strCache>
                <c:ptCount val="1"/>
                <c:pt idx="0">
                  <c:v>Preventivní </c:v>
                </c:pt>
              </c:strCache>
            </c:strRef>
          </c:tx>
          <c:invertIfNegative val="0"/>
          <c:dLbls>
            <c:txPr>
              <a:bodyPr rot="-5400000" vert="horz"/>
              <a:lstStyle/>
              <a:p>
                <a:pPr>
                  <a:defRPr b="1"/>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(List1!$B$91;List1!$D$91;List1!$F$91)</c:f>
              <c:numCache>
                <c:formatCode>0.0%</c:formatCode>
                <c:ptCount val="3"/>
                <c:pt idx="0">
                  <c:v>2.939514847639561E-2</c:v>
                </c:pt>
                <c:pt idx="1">
                  <c:v>3.0479998849268566E-2</c:v>
                </c:pt>
                <c:pt idx="2">
                  <c:v>3.2627400395535529E-2</c:v>
                </c:pt>
              </c:numCache>
            </c:numRef>
          </c:val>
        </c:ser>
        <c:ser>
          <c:idx val="6"/>
          <c:order val="6"/>
          <c:tx>
            <c:strRef>
              <c:f>List1!$A$92</c:f>
              <c:strCache>
                <c:ptCount val="1"/>
                <c:pt idx="0">
                  <c:v>Správa a ost. péče</c:v>
                </c:pt>
              </c:strCache>
            </c:strRef>
          </c:tx>
          <c:invertIfNegative val="0"/>
          <c:dLbls>
            <c:txPr>
              <a:bodyPr/>
              <a:lstStyle/>
              <a:p>
                <a:pPr>
                  <a:defRPr b="1"/>
                </a:pPr>
                <a:endParaRPr lang="cs-CZ"/>
              </a:p>
            </c:txPr>
            <c:showLegendKey val="0"/>
            <c:showVal val="1"/>
            <c:showCatName val="0"/>
            <c:showSerName val="0"/>
            <c:showPercent val="0"/>
            <c:showBubbleSize val="0"/>
            <c:showLeaderLines val="0"/>
          </c:dLbls>
          <c:cat>
            <c:numRef>
              <c:f>(List1!$B$85;List1!$D$85;List1!$F$85)</c:f>
              <c:numCache>
                <c:formatCode>General</c:formatCode>
                <c:ptCount val="3"/>
                <c:pt idx="0">
                  <c:v>2010</c:v>
                </c:pt>
                <c:pt idx="1">
                  <c:v>2012</c:v>
                </c:pt>
                <c:pt idx="2">
                  <c:v>2014</c:v>
                </c:pt>
              </c:numCache>
            </c:numRef>
          </c:cat>
          <c:val>
            <c:numRef>
              <c:f>(List1!$B$92;List1!$D$92;List1!$F$92)</c:f>
              <c:numCache>
                <c:formatCode>0.0%</c:formatCode>
                <c:ptCount val="3"/>
                <c:pt idx="0">
                  <c:v>7.2263808952132025E-2</c:v>
                </c:pt>
                <c:pt idx="1">
                  <c:v>6.9271155478200855E-2</c:v>
                </c:pt>
                <c:pt idx="2">
                  <c:v>6.6493346384674024E-2</c:v>
                </c:pt>
              </c:numCache>
            </c:numRef>
          </c:val>
        </c:ser>
        <c:dLbls>
          <c:showLegendKey val="0"/>
          <c:showVal val="0"/>
          <c:showCatName val="0"/>
          <c:showSerName val="0"/>
          <c:showPercent val="0"/>
          <c:showBubbleSize val="0"/>
        </c:dLbls>
        <c:gapWidth val="50"/>
        <c:overlap val="100"/>
        <c:axId val="237714432"/>
        <c:axId val="237580224"/>
      </c:barChart>
      <c:catAx>
        <c:axId val="237714432"/>
        <c:scaling>
          <c:orientation val="minMax"/>
        </c:scaling>
        <c:delete val="0"/>
        <c:axPos val="l"/>
        <c:numFmt formatCode="General" sourceLinked="1"/>
        <c:majorTickMark val="out"/>
        <c:minorTickMark val="none"/>
        <c:tickLblPos val="nextTo"/>
        <c:crossAx val="237580224"/>
        <c:crosses val="autoZero"/>
        <c:auto val="1"/>
        <c:lblAlgn val="ctr"/>
        <c:lblOffset val="100"/>
        <c:noMultiLvlLbl val="0"/>
      </c:catAx>
      <c:valAx>
        <c:axId val="237580224"/>
        <c:scaling>
          <c:orientation val="minMax"/>
        </c:scaling>
        <c:delete val="0"/>
        <c:axPos val="b"/>
        <c:majorGridlines>
          <c:spPr>
            <a:ln>
              <a:prstDash val="sysDash"/>
            </a:ln>
          </c:spPr>
        </c:majorGridlines>
        <c:numFmt formatCode="0%" sourceLinked="1"/>
        <c:majorTickMark val="out"/>
        <c:minorTickMark val="none"/>
        <c:tickLblPos val="nextTo"/>
        <c:crossAx val="237714432"/>
        <c:crosses val="autoZero"/>
        <c:crossBetween val="between"/>
      </c:valAx>
    </c:plotArea>
    <c:legend>
      <c:legendPos val="r"/>
      <c:layout>
        <c:manualLayout>
          <c:xMode val="edge"/>
          <c:yMode val="edge"/>
          <c:x val="5.0655386660550063E-2"/>
          <c:y val="0.83340185925035237"/>
          <c:w val="0.94617100599651316"/>
          <c:h val="0.12497666958296876"/>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06377707459456E-2"/>
          <c:y val="4.8775476176804097E-2"/>
          <c:w val="0.89360643003736684"/>
          <c:h val="0.66243426512559977"/>
        </c:manualLayout>
      </c:layout>
      <c:barChart>
        <c:barDir val="col"/>
        <c:grouping val="stacked"/>
        <c:varyColors val="0"/>
        <c:ser>
          <c:idx val="0"/>
          <c:order val="0"/>
          <c:tx>
            <c:strRef>
              <c:f>'tab. 2.3'!$J$18</c:f>
              <c:strCache>
                <c:ptCount val="1"/>
                <c:pt idx="0">
                  <c:v>Nemocnice</c:v>
                </c:pt>
              </c:strCache>
            </c:strRef>
          </c:tx>
          <c:spPr>
            <a:solidFill>
              <a:srgbClr val="D96D75"/>
            </a:solidFill>
            <a:ln>
              <a:solidFill>
                <a:srgbClr val="C00000"/>
              </a:solidFill>
            </a:ln>
          </c:spPr>
          <c:invertIfNegative val="0"/>
          <c:dLbls>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'tab. 2.3'!$K$17:$O$17</c:f>
              <c:numCache>
                <c:formatCode>General</c:formatCode>
                <c:ptCount val="5"/>
                <c:pt idx="0">
                  <c:v>2010</c:v>
                </c:pt>
                <c:pt idx="1">
                  <c:v>2011</c:v>
                </c:pt>
                <c:pt idx="2">
                  <c:v>2012</c:v>
                </c:pt>
                <c:pt idx="3">
                  <c:v>2013</c:v>
                </c:pt>
                <c:pt idx="4">
                  <c:v>2014</c:v>
                </c:pt>
              </c:numCache>
            </c:numRef>
          </c:cat>
          <c:val>
            <c:numRef>
              <c:f>'tab. 2.3'!$K$18:$O$18</c:f>
              <c:numCache>
                <c:formatCode>#,##0.0</c:formatCode>
                <c:ptCount val="5"/>
                <c:pt idx="0">
                  <c:v>134.16299999999998</c:v>
                </c:pt>
                <c:pt idx="1">
                  <c:v>133.59800000000001</c:v>
                </c:pt>
                <c:pt idx="2">
                  <c:v>134.345</c:v>
                </c:pt>
                <c:pt idx="3">
                  <c:v>136.44399999999999</c:v>
                </c:pt>
                <c:pt idx="4">
                  <c:v>139.54299999999998</c:v>
                </c:pt>
              </c:numCache>
            </c:numRef>
          </c:val>
        </c:ser>
        <c:ser>
          <c:idx val="1"/>
          <c:order val="1"/>
          <c:tx>
            <c:strRef>
              <c:f>'tab. 2.3'!$J$19</c:f>
              <c:strCache>
                <c:ptCount val="1"/>
                <c:pt idx="0">
                  <c:v>Lůžkové zařízení dlouhodobé péče</c:v>
                </c:pt>
              </c:strCache>
            </c:strRef>
          </c:tx>
          <c:spPr>
            <a:solidFill>
              <a:schemeClr val="accent2">
                <a:lumMod val="75000"/>
              </a:schemeClr>
            </a:solidFill>
            <a:ln>
              <a:solidFill>
                <a:schemeClr val="accent2">
                  <a:lumMod val="50000"/>
                </a:scheme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'tab. 2.3'!$K$17:$O$17</c:f>
              <c:numCache>
                <c:formatCode>General</c:formatCode>
                <c:ptCount val="5"/>
                <c:pt idx="0">
                  <c:v>2010</c:v>
                </c:pt>
                <c:pt idx="1">
                  <c:v>2011</c:v>
                </c:pt>
                <c:pt idx="2">
                  <c:v>2012</c:v>
                </c:pt>
                <c:pt idx="3">
                  <c:v>2013</c:v>
                </c:pt>
                <c:pt idx="4">
                  <c:v>2014</c:v>
                </c:pt>
              </c:numCache>
            </c:numRef>
          </c:cat>
          <c:val>
            <c:numRef>
              <c:f>'tab. 2.3'!$K$19:$O$19</c:f>
              <c:numCache>
                <c:formatCode>#,##0.0</c:formatCode>
                <c:ptCount val="5"/>
                <c:pt idx="0">
                  <c:v>20.780999999999995</c:v>
                </c:pt>
                <c:pt idx="1">
                  <c:v>20.944999999999997</c:v>
                </c:pt>
                <c:pt idx="2">
                  <c:v>21.033000000000001</c:v>
                </c:pt>
                <c:pt idx="3">
                  <c:v>21.888999999999996</c:v>
                </c:pt>
                <c:pt idx="4">
                  <c:v>22.567999999999998</c:v>
                </c:pt>
              </c:numCache>
            </c:numRef>
          </c:val>
        </c:ser>
        <c:ser>
          <c:idx val="2"/>
          <c:order val="2"/>
          <c:tx>
            <c:strRef>
              <c:f>'tab. 2.3'!$J$20</c:f>
              <c:strCache>
                <c:ptCount val="1"/>
                <c:pt idx="0">
                  <c:v>Zařízení ambulantní péče</c:v>
                </c:pt>
              </c:strCache>
            </c:strRef>
          </c:tx>
          <c:spPr>
            <a:solidFill>
              <a:srgbClr val="7DA9DF"/>
            </a:solidFill>
            <a:ln>
              <a:solidFill>
                <a:srgbClr val="187BB8"/>
              </a:solidFill>
            </a:ln>
          </c:spPr>
          <c:invertIfNegative val="0"/>
          <c:dLbls>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'tab. 2.3'!$K$17:$O$17</c:f>
              <c:numCache>
                <c:formatCode>General</c:formatCode>
                <c:ptCount val="5"/>
                <c:pt idx="0">
                  <c:v>2010</c:v>
                </c:pt>
                <c:pt idx="1">
                  <c:v>2011</c:v>
                </c:pt>
                <c:pt idx="2">
                  <c:v>2012</c:v>
                </c:pt>
                <c:pt idx="3">
                  <c:v>2013</c:v>
                </c:pt>
                <c:pt idx="4">
                  <c:v>2014</c:v>
                </c:pt>
              </c:numCache>
            </c:numRef>
          </c:cat>
          <c:val>
            <c:numRef>
              <c:f>'tab. 2.3'!$K$20:$O$20</c:f>
              <c:numCache>
                <c:formatCode>#,##0.0</c:formatCode>
                <c:ptCount val="5"/>
                <c:pt idx="0">
                  <c:v>66.175999999999988</c:v>
                </c:pt>
                <c:pt idx="1">
                  <c:v>69.012</c:v>
                </c:pt>
                <c:pt idx="2">
                  <c:v>68.403999999999996</c:v>
                </c:pt>
                <c:pt idx="3">
                  <c:v>70.650999999999982</c:v>
                </c:pt>
                <c:pt idx="4">
                  <c:v>70.11</c:v>
                </c:pt>
              </c:numCache>
            </c:numRef>
          </c:val>
        </c:ser>
        <c:ser>
          <c:idx val="4"/>
          <c:order val="3"/>
          <c:tx>
            <c:strRef>
              <c:f>'tab. 2.3'!$J$22</c:f>
              <c:strCache>
                <c:ptCount val="1"/>
                <c:pt idx="0">
                  <c:v>Lékárny a výdejny PZT</c:v>
                </c:pt>
              </c:strCache>
            </c:strRef>
          </c:tx>
          <c:spPr>
            <a:solidFill>
              <a:srgbClr val="876288"/>
            </a:solidFill>
            <a:ln>
              <a:solidFill>
                <a:schemeClr val="accent4">
                  <a:lumMod val="75000"/>
                </a:scheme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'tab. 2.3'!$K$17:$O$17</c:f>
              <c:numCache>
                <c:formatCode>General</c:formatCode>
                <c:ptCount val="5"/>
                <c:pt idx="0">
                  <c:v>2010</c:v>
                </c:pt>
                <c:pt idx="1">
                  <c:v>2011</c:v>
                </c:pt>
                <c:pt idx="2">
                  <c:v>2012</c:v>
                </c:pt>
                <c:pt idx="3">
                  <c:v>2013</c:v>
                </c:pt>
                <c:pt idx="4">
                  <c:v>2014</c:v>
                </c:pt>
              </c:numCache>
            </c:numRef>
          </c:cat>
          <c:val>
            <c:numRef>
              <c:f>'tab. 2.3'!$K$22:$O$22</c:f>
              <c:numCache>
                <c:formatCode>#,##0.0</c:formatCode>
                <c:ptCount val="5"/>
                <c:pt idx="0">
                  <c:v>59.795000000000009</c:v>
                </c:pt>
                <c:pt idx="1">
                  <c:v>61.706000000000003</c:v>
                </c:pt>
                <c:pt idx="2">
                  <c:v>63.732000000000006</c:v>
                </c:pt>
                <c:pt idx="3">
                  <c:v>59.83</c:v>
                </c:pt>
                <c:pt idx="4">
                  <c:v>54.386999999999993</c:v>
                </c:pt>
              </c:numCache>
            </c:numRef>
          </c:val>
        </c:ser>
        <c:ser>
          <c:idx val="5"/>
          <c:order val="4"/>
          <c:tx>
            <c:strRef>
              <c:f>'tab. 2.3'!$J$23</c:f>
              <c:strCache>
                <c:ptCount val="1"/>
                <c:pt idx="0">
                  <c:v>Domácnosti jako poskytovatelé ZP</c:v>
                </c:pt>
              </c:strCache>
            </c:strRef>
          </c:tx>
          <c:spPr>
            <a:solidFill>
              <a:schemeClr val="accent3">
                <a:lumMod val="40000"/>
                <a:lumOff val="60000"/>
              </a:schemeClr>
            </a:solidFill>
            <a:ln>
              <a:solidFill>
                <a:schemeClr val="accent3">
                  <a:lumMod val="75000"/>
                </a:schemeClr>
              </a:solidFill>
            </a:ln>
          </c:spPr>
          <c:invertIfNegative val="0"/>
          <c:dLbls>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'tab. 2.3'!$K$17:$O$17</c:f>
              <c:numCache>
                <c:formatCode>General</c:formatCode>
                <c:ptCount val="5"/>
                <c:pt idx="0">
                  <c:v>2010</c:v>
                </c:pt>
                <c:pt idx="1">
                  <c:v>2011</c:v>
                </c:pt>
                <c:pt idx="2">
                  <c:v>2012</c:v>
                </c:pt>
                <c:pt idx="3">
                  <c:v>2013</c:v>
                </c:pt>
                <c:pt idx="4">
                  <c:v>2014</c:v>
                </c:pt>
              </c:numCache>
            </c:numRef>
          </c:cat>
          <c:val>
            <c:numRef>
              <c:f>'tab. 2.3'!$K$23:$O$23</c:f>
              <c:numCache>
                <c:formatCode>#,##0.0</c:formatCode>
                <c:ptCount val="5"/>
                <c:pt idx="0">
                  <c:v>13.787999999999998</c:v>
                </c:pt>
                <c:pt idx="1">
                  <c:v>13.362000000000002</c:v>
                </c:pt>
                <c:pt idx="2">
                  <c:v>13.62</c:v>
                </c:pt>
                <c:pt idx="3">
                  <c:v>14.593</c:v>
                </c:pt>
                <c:pt idx="4">
                  <c:v>15.207000000000001</c:v>
                </c:pt>
              </c:numCache>
            </c:numRef>
          </c:val>
        </c:ser>
        <c:ser>
          <c:idx val="3"/>
          <c:order val="5"/>
          <c:tx>
            <c:strRef>
              <c:f>'tab. 2.3'!$J$21</c:f>
              <c:strCache>
                <c:ptCount val="1"/>
                <c:pt idx="0">
                  <c:v>Poskytovatelé doplňkových služeb</c:v>
                </c:pt>
              </c:strCache>
            </c:strRef>
          </c:tx>
          <c:spPr>
            <a:solidFill>
              <a:srgbClr val="9EB709"/>
            </a:solidFill>
            <a:ln>
              <a:solidFill>
                <a:schemeClr val="accent3">
                  <a:lumMod val="75000"/>
                </a:schemeClr>
              </a:solidFill>
            </a:ln>
          </c:spPr>
          <c:invertIfNegative val="0"/>
          <c:cat>
            <c:numRef>
              <c:f>'tab. 2.3'!$K$17:$O$17</c:f>
              <c:numCache>
                <c:formatCode>General</c:formatCode>
                <c:ptCount val="5"/>
                <c:pt idx="0">
                  <c:v>2010</c:v>
                </c:pt>
                <c:pt idx="1">
                  <c:v>2011</c:v>
                </c:pt>
                <c:pt idx="2">
                  <c:v>2012</c:v>
                </c:pt>
                <c:pt idx="3">
                  <c:v>2013</c:v>
                </c:pt>
                <c:pt idx="4">
                  <c:v>2014</c:v>
                </c:pt>
              </c:numCache>
            </c:numRef>
          </c:cat>
          <c:val>
            <c:numRef>
              <c:f>'tab. 2.3'!$K$21:$O$21</c:f>
              <c:numCache>
                <c:formatCode>#,##0.0</c:formatCode>
                <c:ptCount val="5"/>
                <c:pt idx="0">
                  <c:v>11.301</c:v>
                </c:pt>
                <c:pt idx="1">
                  <c:v>11.213999999999999</c:v>
                </c:pt>
                <c:pt idx="2">
                  <c:v>11.855000000000002</c:v>
                </c:pt>
                <c:pt idx="3">
                  <c:v>11.449</c:v>
                </c:pt>
                <c:pt idx="4">
                  <c:v>11.518000000000001</c:v>
                </c:pt>
              </c:numCache>
            </c:numRef>
          </c:val>
        </c:ser>
        <c:dLbls>
          <c:showLegendKey val="0"/>
          <c:showVal val="0"/>
          <c:showCatName val="0"/>
          <c:showSerName val="0"/>
          <c:showPercent val="0"/>
          <c:showBubbleSize val="0"/>
        </c:dLbls>
        <c:gapWidth val="150"/>
        <c:overlap val="100"/>
        <c:axId val="237815808"/>
        <c:axId val="237580800"/>
      </c:barChart>
      <c:catAx>
        <c:axId val="237815808"/>
        <c:scaling>
          <c:orientation val="minMax"/>
        </c:scaling>
        <c:delete val="0"/>
        <c:axPos val="b"/>
        <c:numFmt formatCode="General" sourceLinked="1"/>
        <c:majorTickMark val="out"/>
        <c:minorTickMark val="none"/>
        <c:tickLblPos val="nextTo"/>
        <c:spPr>
          <a:ln>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237580800"/>
        <c:crosses val="autoZero"/>
        <c:auto val="1"/>
        <c:lblAlgn val="ctr"/>
        <c:lblOffset val="100"/>
        <c:noMultiLvlLbl val="0"/>
      </c:catAx>
      <c:valAx>
        <c:axId val="237580800"/>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cs-CZ"/>
                  <a:t>mld. Kč</a:t>
                </a:r>
              </a:p>
            </c:rich>
          </c:tx>
          <c:overlay val="0"/>
        </c:title>
        <c:numFmt formatCode="#,##0" sourceLinked="0"/>
        <c:majorTickMark val="out"/>
        <c:minorTickMark val="none"/>
        <c:tickLblPos val="nextTo"/>
        <c:spPr>
          <a:ln>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237815808"/>
        <c:crosses val="autoZero"/>
        <c:crossBetween val="between"/>
      </c:valAx>
      <c:spPr>
        <a:ln>
          <a:noFill/>
        </a:ln>
      </c:spPr>
    </c:plotArea>
    <c:legend>
      <c:legendPos val="b"/>
      <c:layout>
        <c:manualLayout>
          <c:xMode val="edge"/>
          <c:yMode val="edge"/>
          <c:x val="0.10155877711547739"/>
          <c:y val="0.78344773569970416"/>
          <c:w val="0.84112656478687831"/>
          <c:h val="0.16052285837151711"/>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FA94-CFB1-401E-B80C-A7FECA58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3</TotalTime>
  <Pages>1</Pages>
  <Words>3622</Words>
  <Characters>21373</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5</cp:revision>
  <cp:lastPrinted>2016-05-06T05:31:00Z</cp:lastPrinted>
  <dcterms:created xsi:type="dcterms:W3CDTF">2016-05-26T13:41:00Z</dcterms:created>
  <dcterms:modified xsi:type="dcterms:W3CDTF">2016-05-26T14:51:00Z</dcterms:modified>
</cp:coreProperties>
</file>