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4" w:rsidRDefault="0097252D" w:rsidP="008E183C">
      <w:pPr>
        <w:pStyle w:val="Nadpis2"/>
        <w:spacing w:after="120"/>
      </w:pPr>
      <w:r>
        <w:t xml:space="preserve">3. ANALYTICKÁ ČÁST </w:t>
      </w:r>
      <w:bookmarkStart w:id="0" w:name="_Toc415056893"/>
    </w:p>
    <w:p w:rsidR="00080E37" w:rsidRDefault="0097252D" w:rsidP="00E77335">
      <w:pPr>
        <w:pStyle w:val="Nadpis2"/>
        <w:spacing w:after="120"/>
        <w:jc w:val="both"/>
      </w:pPr>
      <w:r>
        <w:t>3.1</w:t>
      </w:r>
      <w:bookmarkEnd w:id="0"/>
      <w:r w:rsidR="00052731">
        <w:t xml:space="preserve"> </w:t>
      </w:r>
      <w:r w:rsidR="00BB5FE5" w:rsidRPr="00BB5FE5">
        <w:t>Celková veřejná podpora VaV v soukromých podnicích – základní údaje</w:t>
      </w:r>
      <w:r w:rsidR="00052731">
        <w:t xml:space="preserve"> </w:t>
      </w:r>
    </w:p>
    <w:p w:rsidR="009F15A0" w:rsidRDefault="006F6EE2" w:rsidP="009F15A0">
      <w:pPr>
        <w:spacing w:before="120"/>
        <w:jc w:val="both"/>
      </w:pPr>
      <w:r>
        <w:t>V roce 2015 se v</w:t>
      </w:r>
      <w:r w:rsidR="00EF0F1E">
        <w:t> České republice vynaložilo na výzkum a vývoj (dále jen VaV) celkem 88,7 mld. Kč, z </w:t>
      </w:r>
      <w:r w:rsidR="0017776E">
        <w:t>toho soukromé podniky vydaly polovinu této částky (46 mld. Kč)</w:t>
      </w:r>
      <w:r w:rsidR="00EF0F1E">
        <w:t>. Č</w:t>
      </w:r>
      <w:r w:rsidR="00693DE1">
        <w:t xml:space="preserve">eský </w:t>
      </w:r>
      <w:r w:rsidR="00EF0F1E">
        <w:t>stát přispěl</w:t>
      </w:r>
      <w:r w:rsidR="005C5C6E" w:rsidRPr="007A22BC">
        <w:t xml:space="preserve"> na podporu výzkumu a vývoje</w:t>
      </w:r>
      <w:r w:rsidR="00FD3A0E">
        <w:t xml:space="preserve"> </w:t>
      </w:r>
      <w:r w:rsidR="005C5C6E" w:rsidRPr="007A22BC">
        <w:t xml:space="preserve">formou přímé a nepřímé </w:t>
      </w:r>
      <w:r w:rsidR="009F15A0">
        <w:t xml:space="preserve">veřejné </w:t>
      </w:r>
      <w:r w:rsidR="005C5C6E" w:rsidRPr="007A22BC">
        <w:t xml:space="preserve">podpory celkem </w:t>
      </w:r>
      <w:r w:rsidR="003A46A2">
        <w:t>31,1</w:t>
      </w:r>
      <w:r w:rsidR="00FD3A0E">
        <w:t xml:space="preserve"> mld. Kč</w:t>
      </w:r>
      <w:r w:rsidR="005C5C6E" w:rsidRPr="007A22BC">
        <w:t xml:space="preserve">. </w:t>
      </w:r>
      <w:r w:rsidR="00EB563D" w:rsidRPr="007A22BC">
        <w:t>Soukromé p</w:t>
      </w:r>
      <w:r w:rsidR="005C5C6E" w:rsidRPr="007A22BC">
        <w:t>odniky získaly z této částky</w:t>
      </w:r>
      <w:r w:rsidR="003A46A2">
        <w:t xml:space="preserve"> téměř</w:t>
      </w:r>
      <w:r w:rsidR="005C5C6E" w:rsidRPr="007A22BC">
        <w:t xml:space="preserve"> </w:t>
      </w:r>
      <w:r w:rsidR="00FD3A0E">
        <w:t xml:space="preserve">pětinu, tj. v absolutním vyjádření </w:t>
      </w:r>
      <w:r w:rsidR="003A46A2">
        <w:t>5,7</w:t>
      </w:r>
      <w:r w:rsidR="00D8256A">
        <w:t xml:space="preserve"> </w:t>
      </w:r>
      <w:r w:rsidR="005C5C6E" w:rsidRPr="007A22BC">
        <w:t xml:space="preserve">mld. Kč. </w:t>
      </w:r>
      <w:r w:rsidR="00FD3A0E">
        <w:t xml:space="preserve">Téměř </w:t>
      </w:r>
      <w:r w:rsidR="005E52CA">
        <w:t>dv</w:t>
      </w:r>
      <w:r w:rsidR="00EE59C6">
        <w:t>ě</w:t>
      </w:r>
      <w:r w:rsidR="005E52CA">
        <w:t xml:space="preserve"> třetin</w:t>
      </w:r>
      <w:r w:rsidR="00EE59C6">
        <w:t>y</w:t>
      </w:r>
      <w:r w:rsidR="005E52CA">
        <w:t xml:space="preserve"> </w:t>
      </w:r>
      <w:r w:rsidR="00F428B6">
        <w:t xml:space="preserve">uvedené </w:t>
      </w:r>
      <w:r w:rsidR="005E52CA">
        <w:t>částk</w:t>
      </w:r>
      <w:r w:rsidR="00BD60A1">
        <w:t>y připadly</w:t>
      </w:r>
      <w:r w:rsidR="008D7406">
        <w:t xml:space="preserve"> </w:t>
      </w:r>
      <w:r w:rsidR="003A46A2">
        <w:t>(3,2</w:t>
      </w:r>
      <w:r w:rsidR="00FD3A0E">
        <w:t xml:space="preserve"> mld.</w:t>
      </w:r>
      <w:r w:rsidR="009F15A0">
        <w:t xml:space="preserve"> </w:t>
      </w:r>
      <w:r w:rsidR="00FD3A0E">
        <w:t xml:space="preserve">Kč) </w:t>
      </w:r>
      <w:r w:rsidR="005C5C6E" w:rsidRPr="007A22BC">
        <w:t xml:space="preserve">na </w:t>
      </w:r>
      <w:r w:rsidR="005E52CA">
        <w:t xml:space="preserve">přímou </w:t>
      </w:r>
      <w:r w:rsidR="00E91769">
        <w:t xml:space="preserve">veřejnou </w:t>
      </w:r>
      <w:r w:rsidR="00FD3A0E" w:rsidRPr="007A22BC">
        <w:t>podporu</w:t>
      </w:r>
      <w:r w:rsidR="005E52CA">
        <w:t>. V</w:t>
      </w:r>
      <w:r w:rsidR="00E5766A">
        <w:t xml:space="preserve">íce </w:t>
      </w:r>
      <w:r w:rsidR="005E52CA">
        <w:t>než</w:t>
      </w:r>
      <w:r w:rsidR="00E5766A">
        <w:t xml:space="preserve"> </w:t>
      </w:r>
      <w:r w:rsidR="005C5C6E" w:rsidRPr="007A22BC">
        <w:t>třetina</w:t>
      </w:r>
      <w:r w:rsidR="003A46A2">
        <w:t xml:space="preserve"> (2,5</w:t>
      </w:r>
      <w:r w:rsidR="00FD3A0E">
        <w:t xml:space="preserve"> mld. Kč)</w:t>
      </w:r>
      <w:r w:rsidR="005C5C6E" w:rsidRPr="007A22BC">
        <w:t xml:space="preserve"> na </w:t>
      </w:r>
      <w:r w:rsidR="00FD3A0E" w:rsidRPr="007A22BC">
        <w:t xml:space="preserve">podporu </w:t>
      </w:r>
      <w:r w:rsidR="005C5C6E" w:rsidRPr="007A22BC">
        <w:t>nepřímou</w:t>
      </w:r>
      <w:r w:rsidR="007155A3">
        <w:t>, tzn. podporu</w:t>
      </w:r>
      <w:r w:rsidR="00E5766A">
        <w:t xml:space="preserve"> </w:t>
      </w:r>
      <w:r w:rsidR="00E5766A" w:rsidRPr="00E5766A">
        <w:t>získanou formou daňových odpočtů výdajů na VaV od základu daně z příjmů.</w:t>
      </w:r>
      <w:r w:rsidR="0013374F">
        <w:t xml:space="preserve"> Zahraniční veřejná podpora (zejména </w:t>
      </w:r>
      <w:r w:rsidR="0047507B">
        <w:t>z</w:t>
      </w:r>
      <w:r w:rsidR="00DF33F0">
        <w:t xml:space="preserve"> </w:t>
      </w:r>
      <w:r>
        <w:t>veřejných</w:t>
      </w:r>
      <w:r w:rsidR="00DF33F0">
        <w:t xml:space="preserve"> fondů EU</w:t>
      </w:r>
      <w:r w:rsidR="0013374F">
        <w:t xml:space="preserve">) dosáhla u soukromých podniků 1,5 mld. Kč. </w:t>
      </w:r>
      <w:r w:rsidR="007B7CBB">
        <w:t>V</w:t>
      </w:r>
      <w:r w:rsidR="00DA043A">
        <w:t xml:space="preserve"> roce 2015 obdržely </w:t>
      </w:r>
      <w:r w:rsidR="007B7CBB">
        <w:t>soukromé podniky</w:t>
      </w:r>
      <w:r w:rsidR="00DA043A">
        <w:t xml:space="preserve"> celkovou </w:t>
      </w:r>
      <w:r w:rsidR="007B7CBB">
        <w:t>veřejnou podporu VaV ve výši 7,2 mld. Kč</w:t>
      </w:r>
      <w:r w:rsidR="00A56E4D">
        <w:t>.</w:t>
      </w:r>
    </w:p>
    <w:p w:rsidR="00181BC2" w:rsidRDefault="00AB1F4B" w:rsidP="00A74DC3">
      <w:pPr>
        <w:spacing w:before="120" w:after="120"/>
        <w:jc w:val="both"/>
        <w:rPr>
          <w:b/>
        </w:rPr>
      </w:pPr>
      <w:r>
        <w:rPr>
          <w:b/>
        </w:rPr>
        <w:t>GRAF</w:t>
      </w:r>
      <w:r w:rsidR="00181BC2" w:rsidRPr="00645105">
        <w:rPr>
          <w:b/>
        </w:rPr>
        <w:t xml:space="preserve"> 1: Financování VaV </w:t>
      </w:r>
      <w:r w:rsidR="00672B6E">
        <w:rPr>
          <w:b/>
        </w:rPr>
        <w:t>v</w:t>
      </w:r>
      <w:r w:rsidR="0013794D">
        <w:rPr>
          <w:b/>
        </w:rPr>
        <w:t xml:space="preserve"> soukromých </w:t>
      </w:r>
      <w:r w:rsidR="00672B6E">
        <w:rPr>
          <w:b/>
        </w:rPr>
        <w:t xml:space="preserve">podnicích ČR </w:t>
      </w:r>
      <w:r w:rsidR="00181BC2" w:rsidRPr="00645105">
        <w:rPr>
          <w:b/>
        </w:rPr>
        <w:t>z veřejných zdrojů – základní údaje</w:t>
      </w:r>
      <w:r w:rsidR="004B62D9">
        <w:rPr>
          <w:b/>
        </w:rPr>
        <w:t xml:space="preserve"> v mil. Kč</w:t>
      </w:r>
    </w:p>
    <w:p w:rsidR="00AB1F4B" w:rsidRDefault="004B62D9" w:rsidP="00181BC2">
      <w:pPr>
        <w:spacing w:before="120"/>
        <w:jc w:val="both"/>
        <w:rPr>
          <w:b/>
        </w:rPr>
      </w:pPr>
      <w:r>
        <w:rPr>
          <w:noProof/>
        </w:rPr>
        <w:drawing>
          <wp:inline distT="0" distB="0" distL="0" distR="0">
            <wp:extent cx="5972810" cy="2459355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2C5B" w:rsidRPr="00DD319B" w:rsidRDefault="00832C5B" w:rsidP="000B3704">
      <w:pPr>
        <w:spacing w:before="120" w:after="120"/>
        <w:rPr>
          <w:i/>
          <w:sz w:val="16"/>
        </w:rPr>
      </w:pPr>
      <w:r w:rsidRPr="00DD319B">
        <w:rPr>
          <w:i/>
          <w:sz w:val="16"/>
        </w:rPr>
        <w:t xml:space="preserve">Zdroj dat: ČSÚ podle administrativních dat GFŘ, ČSÚ - </w:t>
      </w:r>
      <w:r>
        <w:rPr>
          <w:i/>
          <w:sz w:val="16"/>
        </w:rPr>
        <w:t>Š</w:t>
      </w:r>
      <w:r w:rsidRPr="00DD319B">
        <w:rPr>
          <w:i/>
          <w:sz w:val="16"/>
        </w:rPr>
        <w:t xml:space="preserve">etření o VaV (VTR 5-01) </w:t>
      </w:r>
    </w:p>
    <w:p w:rsidR="00484EC2" w:rsidRDefault="00E86C04" w:rsidP="00827A65">
      <w:pPr>
        <w:spacing w:before="240"/>
        <w:ind w:firstLine="284"/>
        <w:jc w:val="both"/>
      </w:pPr>
      <w:r>
        <w:t xml:space="preserve">V letech </w:t>
      </w:r>
      <w:r w:rsidR="00182FF5">
        <w:t>2011 až 2015</w:t>
      </w:r>
      <w:r w:rsidR="00182FF5" w:rsidRPr="00E608AE">
        <w:t xml:space="preserve"> ušetřily soukromé firmy </w:t>
      </w:r>
      <w:r w:rsidR="00C708C3">
        <w:t xml:space="preserve">díky </w:t>
      </w:r>
      <w:r>
        <w:t xml:space="preserve">daňové </w:t>
      </w:r>
      <w:r w:rsidR="00182FF5">
        <w:t>podpo</w:t>
      </w:r>
      <w:r>
        <w:t>ře</w:t>
      </w:r>
      <w:r w:rsidR="00182FF5">
        <w:t xml:space="preserve"> VaV téměř 11</w:t>
      </w:r>
      <w:r w:rsidR="00182FF5" w:rsidRPr="00E608AE">
        <w:t xml:space="preserve"> miliard korun</w:t>
      </w:r>
      <w:r>
        <w:t xml:space="preserve">. Přímou finanční podporou </w:t>
      </w:r>
      <w:r w:rsidR="00182FF5" w:rsidRPr="00AE1D7E">
        <w:t xml:space="preserve">získaly </w:t>
      </w:r>
      <w:r>
        <w:t xml:space="preserve">na VaV </w:t>
      </w:r>
      <w:r w:rsidR="00182FF5" w:rsidRPr="00AE1D7E">
        <w:t>ze státního r</w:t>
      </w:r>
      <w:r w:rsidR="00182FF5">
        <w:t>ozpočtu ČR dalších 19</w:t>
      </w:r>
      <w:r w:rsidR="00182FF5" w:rsidRPr="00AE1D7E">
        <w:t xml:space="preserve"> miliard korun. Český stát </w:t>
      </w:r>
      <w:r w:rsidR="007A7EE3">
        <w:t xml:space="preserve">v posledních </w:t>
      </w:r>
      <w:r w:rsidR="00182FF5" w:rsidRPr="00AE1D7E">
        <w:t>pět</w:t>
      </w:r>
      <w:r w:rsidR="007A7EE3">
        <w:t>i</w:t>
      </w:r>
      <w:r w:rsidR="00182FF5" w:rsidRPr="00AE1D7E">
        <w:t xml:space="preserve"> let</w:t>
      </w:r>
      <w:r w:rsidR="007A7EE3">
        <w:t>ech</w:t>
      </w:r>
      <w:r w:rsidR="00182FF5" w:rsidRPr="00AE1D7E">
        <w:t xml:space="preserve"> </w:t>
      </w:r>
      <w:r w:rsidR="006A0EB3">
        <w:t>investoval do</w:t>
      </w:r>
      <w:r w:rsidR="007A7EE3">
        <w:t xml:space="preserve"> VaV </w:t>
      </w:r>
      <w:r w:rsidR="006A0EB3">
        <w:t xml:space="preserve">v soukromých firmách </w:t>
      </w:r>
      <w:r w:rsidR="00182FF5" w:rsidRPr="00AE1D7E">
        <w:t xml:space="preserve">formou přímé a nepřímé veřejné podpory </w:t>
      </w:r>
      <w:r w:rsidR="007A7EE3">
        <w:t xml:space="preserve">částku </w:t>
      </w:r>
      <w:r w:rsidR="00182FF5" w:rsidRPr="00AE1D7E">
        <w:t>30</w:t>
      </w:r>
      <w:r w:rsidR="00C708C3">
        <w:t> </w:t>
      </w:r>
      <w:r w:rsidR="00182FF5">
        <w:t>mld.</w:t>
      </w:r>
      <w:r w:rsidR="00C708C3">
        <w:t> </w:t>
      </w:r>
      <w:r w:rsidR="00182FF5">
        <w:t>Kč (15,1 %)</w:t>
      </w:r>
      <w:r w:rsidR="00C708C3">
        <w:rPr>
          <w:rStyle w:val="Znakapoznpodarou"/>
        </w:rPr>
        <w:footnoteReference w:id="1"/>
      </w:r>
      <w:r w:rsidR="006A0EB3">
        <w:t xml:space="preserve">. </w:t>
      </w:r>
      <w:r w:rsidR="00182FF5" w:rsidRPr="00C43588">
        <w:t>V roce 2012, kdy financování VaV prováděného v soukromých podnicích z veřejných domácích zdrojů dosáhlo maxima (6,6 mld. Kč), se tento podíl př</w:t>
      </w:r>
      <w:r w:rsidR="00C43588" w:rsidRPr="00C43588">
        <w:t>iblížil hranici jedné pětiny (17,8</w:t>
      </w:r>
      <w:r w:rsidR="00182FF5" w:rsidRPr="00C43588">
        <w:t xml:space="preserve"> %). </w:t>
      </w:r>
      <w:r w:rsidR="00484EC2" w:rsidRPr="00C43588">
        <w:t xml:space="preserve">Po </w:t>
      </w:r>
      <w:r w:rsidR="0074337C">
        <w:t xml:space="preserve">roce 2012 </w:t>
      </w:r>
      <w:r w:rsidR="00484EC2" w:rsidRPr="00C43588">
        <w:t>celková částka veřejné podpory klesá</w:t>
      </w:r>
      <w:r w:rsidR="007C468A">
        <w:t xml:space="preserve">, což je dáno </w:t>
      </w:r>
      <w:r w:rsidR="00484EC2" w:rsidRPr="00C43588">
        <w:t>postupn</w:t>
      </w:r>
      <w:r w:rsidR="007C468A">
        <w:t>ým</w:t>
      </w:r>
      <w:r w:rsidR="00484EC2" w:rsidRPr="00C43588">
        <w:t xml:space="preserve"> pokles</w:t>
      </w:r>
      <w:r w:rsidR="007C468A">
        <w:t>em</w:t>
      </w:r>
      <w:r w:rsidR="00182FF5" w:rsidRPr="00C43588">
        <w:t xml:space="preserve"> přímé domácí podpory </w:t>
      </w:r>
      <w:r w:rsidR="00634017">
        <w:t>v souvislosti s poměrně razantním</w:t>
      </w:r>
      <w:r w:rsidR="007C468A">
        <w:t xml:space="preserve"> </w:t>
      </w:r>
      <w:r w:rsidR="00634017">
        <w:t>snížením</w:t>
      </w:r>
      <w:r w:rsidR="00484EC2" w:rsidRPr="00C43588">
        <w:t xml:space="preserve"> poskytnuté podpory z resortu Ministerstva průmyslu a obchodu</w:t>
      </w:r>
      <w:r w:rsidR="00D20C71" w:rsidRPr="00C43588">
        <w:rPr>
          <w:rStyle w:val="Znakapoznpodarou"/>
        </w:rPr>
        <w:footnoteReference w:id="2"/>
      </w:r>
      <w:r w:rsidR="00484EC2" w:rsidRPr="00C43588">
        <w:t xml:space="preserve">. </w:t>
      </w:r>
      <w:r w:rsidR="002874F0" w:rsidRPr="00C43588">
        <w:t>V uvedeném období dosáhl tento po</w:t>
      </w:r>
      <w:r w:rsidR="00C43588" w:rsidRPr="00C43588">
        <w:t>díl nejnižší hodnoty v roce 2015</w:t>
      </w:r>
      <w:r w:rsidR="002874F0" w:rsidRPr="00C43588">
        <w:t>, kdy soukromé podniky prostřednictvím domácí přímé a nepřím</w:t>
      </w:r>
      <w:r w:rsidR="00C43588" w:rsidRPr="00C43588">
        <w:t>é veřejné podpory financovaly 12,4</w:t>
      </w:r>
      <w:r w:rsidR="002874F0" w:rsidRPr="00C43588">
        <w:t> % ze svých celkových výdajů na VaV.</w:t>
      </w:r>
    </w:p>
    <w:p w:rsidR="003B75ED" w:rsidRDefault="00832C5B" w:rsidP="00827A65">
      <w:pPr>
        <w:spacing w:before="120"/>
        <w:ind w:firstLine="284"/>
        <w:jc w:val="both"/>
      </w:pPr>
      <w:r w:rsidRPr="00E608AE">
        <w:t xml:space="preserve">Kromě výše uvedené veřejné podpory z domácích zdrojů, financovaly soukromé podniky </w:t>
      </w:r>
      <w:r w:rsidR="0080322C">
        <w:t>vlastní</w:t>
      </w:r>
      <w:r w:rsidRPr="00E608AE">
        <w:t xml:space="preserve"> VaV </w:t>
      </w:r>
      <w:r w:rsidR="003C1098">
        <w:t xml:space="preserve">také </w:t>
      </w:r>
      <w:r w:rsidRPr="00E608AE">
        <w:t>z </w:t>
      </w:r>
      <w:r w:rsidRPr="00AE1D7E">
        <w:t>veřejných zahraniční</w:t>
      </w:r>
      <w:r>
        <w:t xml:space="preserve">ch zdrojů. </w:t>
      </w:r>
      <w:r w:rsidR="00DA5013">
        <w:t>V</w:t>
      </w:r>
      <w:r>
        <w:t> roce 2015</w:t>
      </w:r>
      <w:r w:rsidRPr="00AE1D7E">
        <w:t xml:space="preserve"> získaly př</w:t>
      </w:r>
      <w:r>
        <w:t>edevším ze zdrojů EU d</w:t>
      </w:r>
      <w:r w:rsidR="00DA5013">
        <w:t>odatečných</w:t>
      </w:r>
      <w:r>
        <w:t xml:space="preserve"> 1,5 </w:t>
      </w:r>
      <w:r w:rsidRPr="00AE1D7E">
        <w:t>mld. Kč</w:t>
      </w:r>
      <w:r>
        <w:t xml:space="preserve"> a za posledních pět let (2011 až 2015</w:t>
      </w:r>
      <w:r w:rsidRPr="00AE1D7E">
        <w:t xml:space="preserve">) </w:t>
      </w:r>
      <w:r>
        <w:t>celkem</w:t>
      </w:r>
      <w:r w:rsidRPr="00AE1D7E">
        <w:t xml:space="preserve"> 7</w:t>
      </w:r>
      <w:r>
        <w:t>,6</w:t>
      </w:r>
      <w:r w:rsidRPr="00AE1D7E">
        <w:t xml:space="preserve"> mld. Kč. </w:t>
      </w:r>
      <w:r>
        <w:t xml:space="preserve">Financování VaV ze zahraničních veřejných zdrojů se </w:t>
      </w:r>
      <w:r w:rsidR="00D04381">
        <w:t>v roce 2015</w:t>
      </w:r>
      <w:r>
        <w:t xml:space="preserve"> podílelo z 3,3 % na celkových výdajích soukromých podniků na VaV.   </w:t>
      </w:r>
      <w:r w:rsidRPr="00E608AE">
        <w:t xml:space="preserve"> </w:t>
      </w:r>
    </w:p>
    <w:p w:rsidR="00A74DC3" w:rsidRPr="00D740F1" w:rsidRDefault="00D740F1" w:rsidP="00827A65">
      <w:pPr>
        <w:spacing w:before="120"/>
        <w:ind w:firstLine="284"/>
        <w:jc w:val="both"/>
        <w:rPr>
          <w:u w:val="single"/>
        </w:rPr>
      </w:pPr>
      <w:r>
        <w:lastRenderedPageBreak/>
        <w:t>V souhrnu</w:t>
      </w:r>
      <w:r w:rsidR="002F0E9F">
        <w:t xml:space="preserve"> soukromé podniky získaly v roce 2015 </w:t>
      </w:r>
      <w:r w:rsidR="007105BB">
        <w:t xml:space="preserve">na </w:t>
      </w:r>
      <w:r w:rsidR="002F0E9F">
        <w:t xml:space="preserve">VaV ze všech veřejných zdrojů prostřednictvím přímé a </w:t>
      </w:r>
      <w:r w:rsidR="007105BB">
        <w:t>nepřímé (</w:t>
      </w:r>
      <w:r w:rsidR="002F0E9F">
        <w:t>daňové</w:t>
      </w:r>
      <w:r w:rsidR="007105BB">
        <w:t>) veřejné</w:t>
      </w:r>
      <w:r w:rsidR="002F0E9F">
        <w:t xml:space="preserve"> podpory</w:t>
      </w:r>
      <w:r w:rsidR="007105BB">
        <w:t xml:space="preserve"> VaV</w:t>
      </w:r>
      <w:r w:rsidR="002F0E9F">
        <w:t xml:space="preserve"> 7,2 mld. Kč</w:t>
      </w:r>
      <w:r w:rsidR="007105BB">
        <w:t xml:space="preserve">. Jde </w:t>
      </w:r>
      <w:r w:rsidR="002F0E9F">
        <w:t xml:space="preserve">o 0,4 mld. Kč </w:t>
      </w:r>
      <w:r w:rsidR="007105BB">
        <w:t xml:space="preserve">nižší částku </w:t>
      </w:r>
      <w:r w:rsidR="002F0E9F">
        <w:t xml:space="preserve">než v roce 2014. V roce 2015 </w:t>
      </w:r>
      <w:r w:rsidR="00F532C7">
        <w:t xml:space="preserve">směřovalo </w:t>
      </w:r>
      <w:r w:rsidR="002F0E9F">
        <w:t xml:space="preserve">do soukromých podniků 16,1 % celkového objemu veřejných zdrojů (domácích i zahraničních) určených na financování VaV v České republice. </w:t>
      </w:r>
      <w:r w:rsidR="00B01322" w:rsidRPr="00D740F1">
        <w:rPr>
          <w:u w:val="single"/>
        </w:rPr>
        <w:t xml:space="preserve">Jde o nejnižší podíl za posledních 11 let. </w:t>
      </w:r>
    </w:p>
    <w:p w:rsidR="00AB1F4B" w:rsidRPr="00645105" w:rsidRDefault="00AB1F4B" w:rsidP="00181BC2">
      <w:pPr>
        <w:spacing w:before="120"/>
        <w:jc w:val="both"/>
        <w:rPr>
          <w:b/>
        </w:rPr>
      </w:pPr>
      <w:r w:rsidRPr="00645105">
        <w:rPr>
          <w:b/>
        </w:rPr>
        <w:t xml:space="preserve">TAB 1: Financování VaV </w:t>
      </w:r>
      <w:r>
        <w:rPr>
          <w:b/>
        </w:rPr>
        <w:t xml:space="preserve">v soukromých podnicích ČR </w:t>
      </w:r>
      <w:r w:rsidRPr="00645105">
        <w:rPr>
          <w:b/>
        </w:rPr>
        <w:t>z veřejných zdrojů – základní údaje</w:t>
      </w: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950943" w:rsidRPr="00950943" w:rsidTr="00950943">
        <w:trPr>
          <w:trHeight w:val="45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a) absolutní hodnoty (mil. Kč)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Veřejné zdroje celkem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4 531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4 877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5 091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5 599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7 652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8 311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7 956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7 625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7 212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Domácí celkem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3 910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4 728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4 347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4 914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6 422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6 545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6 251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6 041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5 680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3 327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3 597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4 586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4 562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3 778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3 155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861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1 053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1 204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1 020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1 049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1 317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1 836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1 983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2 297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2 263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2 525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043E0A" w:rsidP="00574AB8">
            <w:pPr>
              <w:spacing w:line="240" w:lineRule="auto"/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Zahraniční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1 230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1 766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1 705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1 583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1 532</w:t>
            </w:r>
          </w:p>
        </w:tc>
      </w:tr>
      <w:tr w:rsidR="00950943" w:rsidRPr="00950943" w:rsidTr="00950943">
        <w:trPr>
          <w:trHeight w:val="99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950943" w:rsidRPr="00950943" w:rsidTr="00950943">
        <w:trPr>
          <w:trHeight w:val="765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b) podíl na celkových podnikových výdajích na VaV  (%)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Veřejné zdroje celkem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20,1%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18,7%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17,8%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17,0%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19,6%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20,1%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23,5%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22,6%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19,9%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17,0%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15,7%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574AB8">
            <w:pPr>
              <w:spacing w:line="240" w:lineRule="auto"/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Domácí celkem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18,9%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18,3%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17,3%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16,4%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18,2%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17,6%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19,7%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17,8%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15,6%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13,5%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12,4%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14,8%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13,9%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12,9%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12,6%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14,2%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12,9%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14,1%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12,4%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9,9%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8,4%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6,9%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950943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4,2%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4,4%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4,4%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3,9%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4,0%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4,7%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5,6%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5,4%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5,7%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5,1%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i/>
                <w:iCs/>
                <w:sz w:val="16"/>
                <w:szCs w:val="16"/>
              </w:rPr>
              <w:t>5,5%</w:t>
            </w:r>
          </w:p>
        </w:tc>
      </w:tr>
      <w:tr w:rsidR="00950943" w:rsidRPr="00950943" w:rsidTr="00950943">
        <w:trPr>
          <w:trHeight w:val="25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574AB8">
            <w:pPr>
              <w:spacing w:line="240" w:lineRule="auto"/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sz w:val="16"/>
                <w:szCs w:val="16"/>
              </w:rPr>
              <w:t>Zahraniční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1,2%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0,5%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0,5%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0,6%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1,4%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2,5%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3,8%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4,8%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4,3%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3,5%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50943" w:rsidRPr="00950943" w:rsidRDefault="00950943" w:rsidP="0095094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50943">
              <w:rPr>
                <w:rFonts w:cs="Arial"/>
                <w:b/>
                <w:bCs/>
                <w:i/>
                <w:iCs/>
                <w:sz w:val="16"/>
                <w:szCs w:val="16"/>
              </w:rPr>
              <w:t>3,3%</w:t>
            </w:r>
          </w:p>
        </w:tc>
      </w:tr>
    </w:tbl>
    <w:p w:rsidR="00181BC2" w:rsidRPr="00DD319B" w:rsidRDefault="00181BC2" w:rsidP="00E90EB8">
      <w:pPr>
        <w:spacing w:before="60" w:after="120"/>
        <w:rPr>
          <w:i/>
          <w:sz w:val="16"/>
        </w:rPr>
      </w:pPr>
      <w:r w:rsidRPr="00DD319B">
        <w:rPr>
          <w:i/>
          <w:sz w:val="16"/>
        </w:rPr>
        <w:t xml:space="preserve">Zdroj dat: ČSÚ podle administrativních dat GFŘ, </w:t>
      </w:r>
      <w:r w:rsidR="00950943">
        <w:rPr>
          <w:i/>
          <w:sz w:val="16"/>
        </w:rPr>
        <w:t>ČSÚ -</w:t>
      </w:r>
      <w:r w:rsidR="00950943" w:rsidRPr="00DD319B">
        <w:rPr>
          <w:i/>
          <w:sz w:val="16"/>
        </w:rPr>
        <w:t xml:space="preserve"> Šetření</w:t>
      </w:r>
      <w:r w:rsidRPr="00DD319B">
        <w:rPr>
          <w:i/>
          <w:sz w:val="16"/>
        </w:rPr>
        <w:t xml:space="preserve"> o VaV (VTR 5-01) </w:t>
      </w:r>
    </w:p>
    <w:p w:rsidR="00645105" w:rsidRDefault="005A2579" w:rsidP="00827A65">
      <w:pPr>
        <w:spacing w:before="120"/>
        <w:ind w:firstLine="284"/>
        <w:jc w:val="both"/>
      </w:pPr>
      <w:r>
        <w:t>Celkov</w:t>
      </w:r>
      <w:r w:rsidR="00FB2B28">
        <w:t xml:space="preserve">ý objem </w:t>
      </w:r>
      <w:r>
        <w:t xml:space="preserve">veřejné podpory VaV, </w:t>
      </w:r>
      <w:r w:rsidR="00F50F6D">
        <w:t xml:space="preserve">na níž dosáhly </w:t>
      </w:r>
      <w:r>
        <w:t xml:space="preserve">soukromé podniky v roce 2015, odpovídala podílu 0,16 % HDP. </w:t>
      </w:r>
      <w:r w:rsidR="00CA7561">
        <w:t>Podíváme</w:t>
      </w:r>
      <w:r w:rsidR="00117F44">
        <w:t>-li</w:t>
      </w:r>
      <w:r w:rsidR="00CA7561">
        <w:t xml:space="preserve"> se na podíl obou typů podpory </w:t>
      </w:r>
      <w:r w:rsidR="00C52CFF">
        <w:t xml:space="preserve">VaV </w:t>
      </w:r>
      <w:r w:rsidR="00CA7561">
        <w:t>odděleně, podílela se n</w:t>
      </w:r>
      <w:r>
        <w:t xml:space="preserve">epřímá </w:t>
      </w:r>
      <w:r w:rsidR="00C33933">
        <w:t xml:space="preserve">veřejná </w:t>
      </w:r>
      <w:r>
        <w:t xml:space="preserve">podpora </w:t>
      </w:r>
      <w:r w:rsidR="00C52CFF">
        <w:t>na HDP z</w:t>
      </w:r>
      <w:r w:rsidR="00117F44">
        <w:t xml:space="preserve"> </w:t>
      </w:r>
      <w:r>
        <w:t>0,06 %</w:t>
      </w:r>
      <w:r w:rsidR="007B447A">
        <w:t xml:space="preserve">, </w:t>
      </w:r>
      <w:r>
        <w:t xml:space="preserve">přímá </w:t>
      </w:r>
      <w:r w:rsidR="00C3533B">
        <w:t xml:space="preserve">veřejná </w:t>
      </w:r>
      <w:r>
        <w:t xml:space="preserve">domácí </w:t>
      </w:r>
      <w:r w:rsidR="0095235E">
        <w:t xml:space="preserve">podpora </w:t>
      </w:r>
      <w:r>
        <w:t xml:space="preserve">pak 0,07 %. Podíl zahraniční podpory </w:t>
      </w:r>
      <w:r w:rsidR="002A26AB">
        <w:t xml:space="preserve">VaV </w:t>
      </w:r>
      <w:r w:rsidR="00117F44">
        <w:t xml:space="preserve">u </w:t>
      </w:r>
      <w:r>
        <w:t xml:space="preserve">soukromých podniků </w:t>
      </w:r>
      <w:r w:rsidR="00EA5C9B">
        <w:t xml:space="preserve">na HDP </w:t>
      </w:r>
      <w:r>
        <w:t xml:space="preserve">byl o polovinu nižší (0,03 %) než u </w:t>
      </w:r>
      <w:r w:rsidR="00766481">
        <w:t xml:space="preserve">obou </w:t>
      </w:r>
      <w:r>
        <w:t xml:space="preserve">zmíněných forem </w:t>
      </w:r>
      <w:r w:rsidR="004225E1">
        <w:t xml:space="preserve">domácí </w:t>
      </w:r>
      <w:r>
        <w:t xml:space="preserve">podpory. </w:t>
      </w:r>
      <w:r w:rsidR="002914EE">
        <w:t xml:space="preserve">Nevyššího podílu </w:t>
      </w:r>
      <w:r w:rsidR="004225E1">
        <w:t xml:space="preserve">celkové </w:t>
      </w:r>
      <w:r w:rsidR="002914EE">
        <w:t xml:space="preserve">veřejné </w:t>
      </w:r>
      <w:r>
        <w:t>podpory VaV u soukromých podniků v relaci HDP bylo dosaženo v roce 2012 (0,20 %).</w:t>
      </w:r>
    </w:p>
    <w:p w:rsidR="00895421" w:rsidRDefault="00895421" w:rsidP="00895421">
      <w:pPr>
        <w:spacing w:before="120" w:after="120"/>
        <w:jc w:val="both"/>
        <w:rPr>
          <w:b/>
        </w:rPr>
      </w:pPr>
      <w:r>
        <w:rPr>
          <w:b/>
        </w:rPr>
        <w:t>GRAF</w:t>
      </w:r>
      <w:r w:rsidR="007A14F0">
        <w:rPr>
          <w:b/>
        </w:rPr>
        <w:t xml:space="preserve"> 2</w:t>
      </w:r>
      <w:r w:rsidRPr="00645105">
        <w:rPr>
          <w:b/>
        </w:rPr>
        <w:t xml:space="preserve">: Financování VaV </w:t>
      </w:r>
      <w:r>
        <w:rPr>
          <w:b/>
        </w:rPr>
        <w:t xml:space="preserve">v soukromých podnicích ČR </w:t>
      </w:r>
      <w:r w:rsidRPr="00645105">
        <w:rPr>
          <w:b/>
        </w:rPr>
        <w:t>z v</w:t>
      </w:r>
      <w:r w:rsidR="007A14F0">
        <w:rPr>
          <w:b/>
        </w:rPr>
        <w:t>eřejných zdrojů</w:t>
      </w:r>
      <w:r w:rsidR="00B21429">
        <w:rPr>
          <w:b/>
        </w:rPr>
        <w:t xml:space="preserve"> – podíl na </w:t>
      </w:r>
      <w:r w:rsidR="00F92858">
        <w:rPr>
          <w:b/>
        </w:rPr>
        <w:t>HDP</w:t>
      </w:r>
    </w:p>
    <w:p w:rsidR="00CC6896" w:rsidRDefault="006613D6" w:rsidP="00511C88">
      <w:pPr>
        <w:spacing w:before="120"/>
        <w:jc w:val="both"/>
      </w:pPr>
      <w:r>
        <w:rPr>
          <w:noProof/>
        </w:rPr>
        <w:drawing>
          <wp:inline distT="0" distB="0" distL="0" distR="0">
            <wp:extent cx="5762446" cy="2018581"/>
            <wp:effectExtent l="0" t="0" r="0" b="0"/>
            <wp:docPr id="46" name="Graf 46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2231" w:rsidRDefault="00B72231" w:rsidP="00877BA6">
      <w:pPr>
        <w:spacing w:before="120"/>
        <w:jc w:val="both"/>
      </w:pPr>
      <w:r w:rsidRPr="00DD319B">
        <w:rPr>
          <w:i/>
          <w:sz w:val="16"/>
        </w:rPr>
        <w:t xml:space="preserve">Zdroj dat: ČSÚ podle administrativních dat GFŘ, ČSÚ - </w:t>
      </w:r>
      <w:r>
        <w:rPr>
          <w:i/>
          <w:sz w:val="16"/>
        </w:rPr>
        <w:t>Š</w:t>
      </w:r>
      <w:r w:rsidRPr="00DD319B">
        <w:rPr>
          <w:i/>
          <w:sz w:val="16"/>
        </w:rPr>
        <w:t>etření o VaV (VTR 5-01)</w:t>
      </w:r>
      <w:r>
        <w:rPr>
          <w:i/>
          <w:sz w:val="16"/>
        </w:rPr>
        <w:t>,</w:t>
      </w:r>
    </w:p>
    <w:p w:rsidR="00877BA6" w:rsidRDefault="006950BA" w:rsidP="00827A65">
      <w:pPr>
        <w:spacing w:before="120"/>
        <w:ind w:firstLine="284"/>
        <w:jc w:val="both"/>
      </w:pPr>
      <w:r>
        <w:t>Z</w:t>
      </w:r>
      <w:r w:rsidR="00877BA6">
        <w:t>aměříme</w:t>
      </w:r>
      <w:r>
        <w:t>-li se</w:t>
      </w:r>
      <w:r w:rsidR="00877BA6">
        <w:t xml:space="preserve"> na podíl financování VaV soukromých podni</w:t>
      </w:r>
      <w:r w:rsidR="00BE41CD">
        <w:t>ků</w:t>
      </w:r>
      <w:r w:rsidR="00877BA6">
        <w:t xml:space="preserve"> veřejný</w:t>
      </w:r>
      <w:r w:rsidR="006C201D">
        <w:t>mi</w:t>
      </w:r>
      <w:r w:rsidR="00877BA6">
        <w:t xml:space="preserve"> domácí</w:t>
      </w:r>
      <w:r w:rsidR="006C201D">
        <w:t>mi</w:t>
      </w:r>
      <w:r w:rsidR="00877BA6">
        <w:t xml:space="preserve"> zdroj</w:t>
      </w:r>
      <w:r w:rsidR="006C201D">
        <w:t>i</w:t>
      </w:r>
      <w:r w:rsidR="00877BA6">
        <w:t xml:space="preserve"> na celkových výdajích státního rozpočtu ČR, </w:t>
      </w:r>
      <w:r w:rsidR="003138DC">
        <w:t xml:space="preserve">dosáhlo toto financování </w:t>
      </w:r>
      <w:r w:rsidR="00877BA6">
        <w:t>v roce 20</w:t>
      </w:r>
      <w:r w:rsidR="006338B4">
        <w:t>15 0,44</w:t>
      </w:r>
      <w:r w:rsidR="007C1FFE">
        <w:t> </w:t>
      </w:r>
      <w:r w:rsidR="00877BA6">
        <w:t xml:space="preserve">%. </w:t>
      </w:r>
      <w:r w:rsidR="00104526">
        <w:t>Z hlediska podílu na státním rozpočtu</w:t>
      </w:r>
      <w:r w:rsidR="00104526">
        <w:rPr>
          <w:rStyle w:val="Znakapoznpodarou"/>
        </w:rPr>
        <w:footnoteReference w:id="3"/>
      </w:r>
      <w:r w:rsidR="00104526">
        <w:t xml:space="preserve"> se </w:t>
      </w:r>
      <w:r w:rsidR="00877BA6">
        <w:t xml:space="preserve">nepřímá </w:t>
      </w:r>
      <w:r w:rsidR="00104526">
        <w:t xml:space="preserve">veřejná </w:t>
      </w:r>
      <w:r w:rsidR="00877BA6">
        <w:t>podpora VaV rovnala 0,19 %</w:t>
      </w:r>
      <w:r w:rsidR="00C37EA8">
        <w:t>. P</w:t>
      </w:r>
      <w:r w:rsidR="00877BA6">
        <w:t xml:space="preserve">římá </w:t>
      </w:r>
      <w:r w:rsidR="00C37EA8">
        <w:t xml:space="preserve">veřejná </w:t>
      </w:r>
      <w:r w:rsidR="00877BA6">
        <w:t xml:space="preserve">podpora </w:t>
      </w:r>
      <w:r w:rsidR="00C37EA8">
        <w:t xml:space="preserve">VaV </w:t>
      </w:r>
      <w:r w:rsidR="00877BA6">
        <w:t>ze státního rozpočtu pak 0,24 %</w:t>
      </w:r>
      <w:r w:rsidR="00104526">
        <w:t>.</w:t>
      </w:r>
      <w:r w:rsidR="00877BA6">
        <w:t xml:space="preserve"> Nevyššího podílu veřejné podpory VaV </w:t>
      </w:r>
      <w:r w:rsidR="0064082E">
        <w:t>ze</w:t>
      </w:r>
      <w:r w:rsidR="00877BA6">
        <w:t xml:space="preserve"> státní</w:t>
      </w:r>
      <w:r w:rsidR="0064082E">
        <w:t>ho</w:t>
      </w:r>
      <w:r w:rsidR="00877BA6">
        <w:t xml:space="preserve"> rozpočtu bylo dosaženo </w:t>
      </w:r>
      <w:r w:rsidR="005A2579">
        <w:t xml:space="preserve">stejně jako </w:t>
      </w:r>
      <w:r w:rsidR="00C37EA8">
        <w:t xml:space="preserve">u </w:t>
      </w:r>
      <w:r w:rsidR="005A2579">
        <w:t xml:space="preserve">podílu na HDP v roce 2012. </w:t>
      </w:r>
      <w:r w:rsidR="00E50680">
        <w:t>Podíl o</w:t>
      </w:r>
      <w:r w:rsidR="00877BA6">
        <w:t xml:space="preserve">d tohoto roku klesá z důvodu </w:t>
      </w:r>
      <w:r w:rsidR="00E50680">
        <w:t xml:space="preserve">klesajícího </w:t>
      </w:r>
      <w:r w:rsidR="00877BA6">
        <w:t xml:space="preserve">podílu přímé domácí </w:t>
      </w:r>
      <w:r w:rsidR="00E50680">
        <w:t xml:space="preserve">veřejné </w:t>
      </w:r>
      <w:r w:rsidR="00877BA6">
        <w:t>podpory</w:t>
      </w:r>
      <w:r w:rsidR="00E50680">
        <w:t xml:space="preserve"> VaV</w:t>
      </w:r>
      <w:r w:rsidR="00877BA6">
        <w:t xml:space="preserve">. Pokles přímé </w:t>
      </w:r>
      <w:r w:rsidR="005854DA">
        <w:t xml:space="preserve">veřejné </w:t>
      </w:r>
      <w:r w:rsidR="00877BA6">
        <w:t xml:space="preserve">podpory </w:t>
      </w:r>
      <w:r w:rsidR="00CE53F6">
        <w:t xml:space="preserve">není dostatečně kompenzován </w:t>
      </w:r>
      <w:r w:rsidR="00877BA6">
        <w:t>nárůst</w:t>
      </w:r>
      <w:r w:rsidR="00CE53F6">
        <w:t>em</w:t>
      </w:r>
      <w:r w:rsidR="00877BA6">
        <w:t xml:space="preserve"> nepřímé </w:t>
      </w:r>
      <w:r w:rsidR="00FF73AD">
        <w:t xml:space="preserve">veřejné </w:t>
      </w:r>
      <w:r w:rsidR="00877BA6">
        <w:t>podpory.</w:t>
      </w:r>
    </w:p>
    <w:p w:rsidR="00E878A4" w:rsidRPr="00877BA6" w:rsidRDefault="00E878A4" w:rsidP="00827A65">
      <w:pPr>
        <w:spacing w:before="120"/>
        <w:ind w:firstLine="284"/>
        <w:jc w:val="both"/>
      </w:pPr>
      <w:r>
        <w:lastRenderedPageBreak/>
        <w:t xml:space="preserve">Podrobnější informace </w:t>
      </w:r>
      <w:r w:rsidR="004E5288">
        <w:t xml:space="preserve">o přímé a nepřímé veřejné podpoře VaV </w:t>
      </w:r>
      <w:r>
        <w:t>za posledních 11 let jsou uvedeny v tabulce</w:t>
      </w:r>
      <w:r w:rsidR="004E5288">
        <w:t xml:space="preserve"> 2. </w:t>
      </w:r>
      <w:r w:rsidR="00B33C05">
        <w:t xml:space="preserve">Jsou v ní </w:t>
      </w:r>
      <w:r>
        <w:t xml:space="preserve">i údaje o </w:t>
      </w:r>
      <w:r w:rsidRPr="00645105">
        <w:t>financování VaV v soukromých podnicích z veřejných zdrojů</w:t>
      </w:r>
      <w:r w:rsidR="00E25DE3">
        <w:t>, a to v relaci k celkovým výdajům státního rozpočtu a</w:t>
      </w:r>
      <w:r w:rsidRPr="00645105">
        <w:t xml:space="preserve"> </w:t>
      </w:r>
      <w:r>
        <w:t>ve vztahu k HDP České republiky.</w:t>
      </w:r>
    </w:p>
    <w:p w:rsidR="00645105" w:rsidRPr="00645105" w:rsidRDefault="00645105" w:rsidP="00645105">
      <w:pPr>
        <w:spacing w:before="120"/>
        <w:jc w:val="both"/>
        <w:rPr>
          <w:b/>
        </w:rPr>
      </w:pPr>
      <w:r w:rsidRPr="00645105">
        <w:rPr>
          <w:b/>
        </w:rPr>
        <w:t xml:space="preserve">TAB </w:t>
      </w:r>
      <w:r>
        <w:rPr>
          <w:b/>
        </w:rPr>
        <w:t>2</w:t>
      </w:r>
      <w:r w:rsidRPr="00645105">
        <w:rPr>
          <w:b/>
        </w:rPr>
        <w:t xml:space="preserve">: Financování VaV </w:t>
      </w:r>
      <w:r w:rsidR="00672B6E">
        <w:rPr>
          <w:b/>
        </w:rPr>
        <w:t>v</w:t>
      </w:r>
      <w:r w:rsidR="0013794D">
        <w:rPr>
          <w:b/>
        </w:rPr>
        <w:t xml:space="preserve"> soukromých </w:t>
      </w:r>
      <w:r w:rsidR="00672B6E">
        <w:rPr>
          <w:b/>
        </w:rPr>
        <w:t xml:space="preserve">podnicích ČR </w:t>
      </w:r>
      <w:r w:rsidRPr="00645105">
        <w:rPr>
          <w:b/>
        </w:rPr>
        <w:t xml:space="preserve">z veřejných zdrojů – základní </w:t>
      </w:r>
      <w:r>
        <w:rPr>
          <w:b/>
        </w:rPr>
        <w:t>poměrové ukazatele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1035C" w:rsidRPr="0051035C" w:rsidTr="0051035C">
        <w:trPr>
          <w:trHeight w:val="66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 xml:space="preserve">a) podíl na celkových výdajích ze státního rozpočtu ČR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Veřejné zdroje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0,45%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0,44%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0,45%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0,42%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0,44%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0,48%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0,66%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0,72%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0,68%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0,63%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0,56%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6338B4" w:rsidP="0051035C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r w:rsidR="0051035C" w:rsidRPr="0051035C">
              <w:rPr>
                <w:rFonts w:cs="Arial"/>
                <w:b/>
                <w:bCs/>
                <w:sz w:val="16"/>
                <w:szCs w:val="16"/>
              </w:rPr>
              <w:t>Domácí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0,42%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0,43%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0,43%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0,40%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0,41%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0,42%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0,56%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0,57%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0,53%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0,50%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0,44%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0,40%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0,40%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0,31%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0,24%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0,20%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0,19%</w:t>
            </w:r>
          </w:p>
        </w:tc>
      </w:tr>
      <w:tr w:rsidR="0051035C" w:rsidRPr="0051035C" w:rsidTr="00396BC7">
        <w:trPr>
          <w:trHeight w:val="300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E9378E" w:rsidP="00574AB8">
            <w:pPr>
              <w:spacing w:line="240" w:lineRule="auto"/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Zahraniční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0,01%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0,01%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0,01%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0,06%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0,11%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0,15%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0,15%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0,13%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0,12%</w:t>
            </w:r>
          </w:p>
        </w:tc>
      </w:tr>
      <w:tr w:rsidR="00396BC7" w:rsidRPr="0051035C" w:rsidTr="00396BC7">
        <w:trPr>
          <w:trHeight w:val="100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 </w:t>
            </w:r>
          </w:p>
        </w:tc>
      </w:tr>
      <w:tr w:rsidR="0051035C" w:rsidRPr="0051035C" w:rsidTr="002F2EF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2F2EF8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b) podíl na HDP Č</w:t>
            </w:r>
            <w:r w:rsidR="0051035C" w:rsidRPr="0051035C">
              <w:rPr>
                <w:rFonts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51035C" w:rsidRPr="0051035C" w:rsidRDefault="0051035C" w:rsidP="002F2EF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Veřejné zdroje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0,21%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0,20%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813845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813845">
              <w:rPr>
                <w:rFonts w:cs="Arial"/>
                <w:b/>
                <w:sz w:val="16"/>
                <w:szCs w:val="16"/>
              </w:rPr>
              <w:t>0,16%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74AB8">
            <w:pPr>
              <w:spacing w:line="240" w:lineRule="auto"/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Domácí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0,12%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0,08%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0,10%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0,07%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ind w:firstLineChars="200" w:firstLine="320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0,06%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0,05%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1035C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1035C">
              <w:rPr>
                <w:rFonts w:cs="Arial"/>
                <w:sz w:val="16"/>
                <w:szCs w:val="16"/>
              </w:rPr>
              <w:t>0,06%</w:t>
            </w:r>
          </w:p>
        </w:tc>
      </w:tr>
      <w:tr w:rsidR="0051035C" w:rsidRPr="0051035C" w:rsidTr="005103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51035C" w:rsidRDefault="0051035C" w:rsidP="00574AB8">
            <w:pPr>
              <w:spacing w:line="240" w:lineRule="auto"/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 w:rsidRPr="0051035C">
              <w:rPr>
                <w:rFonts w:cs="Arial"/>
                <w:b/>
                <w:bCs/>
                <w:sz w:val="16"/>
                <w:szCs w:val="16"/>
              </w:rPr>
              <w:t>Zahraniční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0,03%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0,04%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1035C" w:rsidRPr="00C821FC" w:rsidRDefault="0051035C" w:rsidP="0051035C">
            <w:pPr>
              <w:spacing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C821FC">
              <w:rPr>
                <w:rFonts w:cs="Arial"/>
                <w:b/>
                <w:sz w:val="16"/>
                <w:szCs w:val="16"/>
              </w:rPr>
              <w:t>0,03%</w:t>
            </w:r>
          </w:p>
        </w:tc>
      </w:tr>
    </w:tbl>
    <w:p w:rsidR="00645105" w:rsidRPr="00DD319B" w:rsidRDefault="00645105" w:rsidP="0034730D">
      <w:pPr>
        <w:spacing w:before="60" w:after="360"/>
        <w:rPr>
          <w:i/>
          <w:sz w:val="16"/>
        </w:rPr>
      </w:pPr>
      <w:r w:rsidRPr="00DD319B">
        <w:rPr>
          <w:i/>
          <w:sz w:val="16"/>
        </w:rPr>
        <w:t xml:space="preserve">Zdroj dat: ČSÚ podle administrativních dat GFŘ, ČSÚ - </w:t>
      </w:r>
      <w:r w:rsidR="0099613B">
        <w:rPr>
          <w:i/>
          <w:sz w:val="16"/>
        </w:rPr>
        <w:t>Š</w:t>
      </w:r>
      <w:r w:rsidRPr="00DD319B">
        <w:rPr>
          <w:i/>
          <w:sz w:val="16"/>
        </w:rPr>
        <w:t>etření o VaV (VTR 5-01)</w:t>
      </w:r>
      <w:r w:rsidR="005A1B66">
        <w:rPr>
          <w:i/>
          <w:sz w:val="16"/>
        </w:rPr>
        <w:t>, ČSÚ -</w:t>
      </w:r>
      <w:r w:rsidR="00CC6896">
        <w:rPr>
          <w:i/>
          <w:sz w:val="16"/>
        </w:rPr>
        <w:t xml:space="preserve"> </w:t>
      </w:r>
      <w:r w:rsidR="0099613B">
        <w:rPr>
          <w:i/>
          <w:sz w:val="16"/>
        </w:rPr>
        <w:t>N</w:t>
      </w:r>
      <w:r w:rsidR="00CC6896">
        <w:rPr>
          <w:i/>
          <w:sz w:val="16"/>
        </w:rPr>
        <w:t>árodní účty</w:t>
      </w:r>
    </w:p>
    <w:p w:rsidR="005C3DF6" w:rsidRDefault="00BB5FE5" w:rsidP="00BB5FE5">
      <w:pPr>
        <w:pStyle w:val="Nadpis2"/>
        <w:spacing w:after="120"/>
        <w:jc w:val="both"/>
      </w:pPr>
      <w:r>
        <w:t>3.</w:t>
      </w:r>
      <w:r w:rsidR="008777BA" w:rsidRPr="00BB5FE5">
        <w:t xml:space="preserve">2 </w:t>
      </w:r>
      <w:r w:rsidR="00EA00A2" w:rsidRPr="00BB5FE5">
        <w:t>Nepřímá veřejná podpora VaV v soukromých podnicích – základní údaje</w:t>
      </w:r>
    </w:p>
    <w:p w:rsidR="00101389" w:rsidRDefault="002F7270" w:rsidP="00511C88">
      <w:pPr>
        <w:spacing w:before="120"/>
        <w:jc w:val="both"/>
      </w:pPr>
      <w:r w:rsidRPr="007A22BC">
        <w:t>Od roku 2005, kdy byla zavedena nepřímá veřejná (daňová) podpora VaV, r</w:t>
      </w:r>
      <w:r w:rsidR="007B78D9">
        <w:t xml:space="preserve">ostl </w:t>
      </w:r>
      <w:r w:rsidRPr="007A22BC">
        <w:t>poč</w:t>
      </w:r>
      <w:r w:rsidR="007B78D9">
        <w:t>e</w:t>
      </w:r>
      <w:r w:rsidRPr="007A22BC">
        <w:t xml:space="preserve">t </w:t>
      </w:r>
      <w:r w:rsidR="00CB13C9">
        <w:t xml:space="preserve">soukromých </w:t>
      </w:r>
      <w:r w:rsidRPr="007A22BC">
        <w:t>podniků, které se rozhodl</w:t>
      </w:r>
      <w:r w:rsidR="00C53A98">
        <w:t>y</w:t>
      </w:r>
      <w:r w:rsidRPr="007A22BC">
        <w:t xml:space="preserve"> v souvislosti s realizací svých výzkumných a vývojových projektů využít daňov</w:t>
      </w:r>
      <w:r w:rsidR="007B78D9">
        <w:t>é</w:t>
      </w:r>
      <w:r w:rsidRPr="007A22BC">
        <w:t xml:space="preserve"> podpor</w:t>
      </w:r>
      <w:r w:rsidR="007B78D9">
        <w:t>y</w:t>
      </w:r>
      <w:r w:rsidRPr="007A22BC">
        <w:t xml:space="preserve"> </w:t>
      </w:r>
      <w:r w:rsidR="002524A2">
        <w:t>VaV</w:t>
      </w:r>
      <w:r w:rsidRPr="007A22BC">
        <w:t xml:space="preserve">. </w:t>
      </w:r>
      <w:r w:rsidR="009142BB" w:rsidRPr="009142BB">
        <w:t xml:space="preserve">V roce 2005 využilo odečet výdajů na VaV celkem 454 </w:t>
      </w:r>
      <w:r w:rsidR="00A23769">
        <w:t>podniků. Oproti tomu v roce 2015</w:t>
      </w:r>
      <w:r w:rsidR="009142BB" w:rsidRPr="009142BB">
        <w:t xml:space="preserve"> jich bylo již 1</w:t>
      </w:r>
      <w:r w:rsidR="0063562D">
        <w:t xml:space="preserve"> 306, tedy téměř </w:t>
      </w:r>
      <w:r w:rsidR="007556C3">
        <w:t>trojnásobek</w:t>
      </w:r>
      <w:r w:rsidR="009142BB">
        <w:t>.</w:t>
      </w:r>
      <w:r w:rsidR="009142BB" w:rsidRPr="009142BB">
        <w:t xml:space="preserve"> </w:t>
      </w:r>
      <w:r w:rsidR="005B30A1">
        <w:t>Mezi</w:t>
      </w:r>
      <w:r w:rsidR="00F37371">
        <w:t>roční tempo růstu počtu subjektů</w:t>
      </w:r>
      <w:r w:rsidR="005B30A1">
        <w:t>, které uplatnily odečet výdajů na VaV, mezi roky 2014 a 2015 dosáhlo 3,3 %</w:t>
      </w:r>
      <w:r w:rsidR="00463E74">
        <w:t xml:space="preserve">. Tedy </w:t>
      </w:r>
      <w:r w:rsidR="005B30A1">
        <w:t>výrazně méně než mezi roky 2013 a 2014 (12,9 %).</w:t>
      </w:r>
      <w:r w:rsidR="00463E74">
        <w:t xml:space="preserve"> N</w:t>
      </w:r>
      <w:r w:rsidR="002F702A">
        <w:t>ejvyšší meziroční nárůst počtu soukromých podniků, které využily daňovou podpo</w:t>
      </w:r>
      <w:r w:rsidR="00F37371">
        <w:t>ru VaV,</w:t>
      </w:r>
      <w:r w:rsidR="00463E8E">
        <w:t xml:space="preserve"> ve výši 20</w:t>
      </w:r>
      <w:r w:rsidR="009602F1">
        <w:t> </w:t>
      </w:r>
      <w:r w:rsidR="00463E8E">
        <w:rPr>
          <w:lang w:val="en-US"/>
        </w:rPr>
        <w:t>%</w:t>
      </w:r>
      <w:r w:rsidR="00F37371">
        <w:t xml:space="preserve"> byl zaznamenán mezi lety</w:t>
      </w:r>
      <w:r w:rsidR="002F702A">
        <w:t xml:space="preserve"> 2010 a 2011</w:t>
      </w:r>
      <w:r w:rsidR="00620F61">
        <w:t>.</w:t>
      </w:r>
      <w:r w:rsidR="002F702A">
        <w:t xml:space="preserve"> </w:t>
      </w:r>
    </w:p>
    <w:p w:rsidR="00E6382B" w:rsidRDefault="00E6382B" w:rsidP="00511C88">
      <w:pPr>
        <w:spacing w:before="120"/>
        <w:jc w:val="both"/>
      </w:pPr>
      <w:r>
        <w:rPr>
          <w:b/>
        </w:rPr>
        <w:t>GRAF 3: Nepřímá veřejná pod</w:t>
      </w:r>
      <w:r w:rsidR="008909AD">
        <w:rPr>
          <w:b/>
        </w:rPr>
        <w:t>pora VaV</w:t>
      </w:r>
      <w:r>
        <w:rPr>
          <w:b/>
        </w:rPr>
        <w:t xml:space="preserve"> a počet soukromých podniků, které u</w:t>
      </w:r>
      <w:r w:rsidR="002401BE">
        <w:rPr>
          <w:b/>
        </w:rPr>
        <w:t>platnily daňové zvýhodnění</w:t>
      </w:r>
      <w:r w:rsidR="008909AD">
        <w:rPr>
          <w:b/>
        </w:rPr>
        <w:t xml:space="preserve"> VaV</w:t>
      </w:r>
      <w:r w:rsidR="002401BE">
        <w:rPr>
          <w:b/>
        </w:rPr>
        <w:t>; 2007</w:t>
      </w:r>
      <w:r>
        <w:rPr>
          <w:b/>
        </w:rPr>
        <w:t xml:space="preserve">–2015 </w:t>
      </w:r>
    </w:p>
    <w:p w:rsidR="00B72231" w:rsidRDefault="00047BCD" w:rsidP="00511C88">
      <w:pPr>
        <w:spacing w:before="120"/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5972810" cy="2459355"/>
            <wp:effectExtent l="0" t="0" r="889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2231" w:rsidRDefault="00B72231" w:rsidP="00511C88">
      <w:pPr>
        <w:spacing w:before="120"/>
        <w:jc w:val="both"/>
        <w:rPr>
          <w:i/>
          <w:sz w:val="16"/>
        </w:rPr>
      </w:pPr>
      <w:r w:rsidRPr="00DD319B">
        <w:rPr>
          <w:i/>
          <w:sz w:val="16"/>
        </w:rPr>
        <w:t>Zdroj dat: ČSÚ podle a</w:t>
      </w:r>
      <w:r>
        <w:rPr>
          <w:i/>
          <w:sz w:val="16"/>
        </w:rPr>
        <w:t>dministrativních dat GFŘ</w:t>
      </w:r>
    </w:p>
    <w:p w:rsidR="00101389" w:rsidRPr="00715D75" w:rsidRDefault="00285B5F" w:rsidP="00827A65">
      <w:pPr>
        <w:spacing w:before="120"/>
        <w:ind w:firstLine="284"/>
        <w:jc w:val="both"/>
        <w:rPr>
          <w:color w:val="FF0000"/>
        </w:rPr>
      </w:pPr>
      <w:r>
        <w:lastRenderedPageBreak/>
        <w:t>S narůstajícím</w:t>
      </w:r>
      <w:r w:rsidR="002E24FF">
        <w:t> počt</w:t>
      </w:r>
      <w:r>
        <w:t>em</w:t>
      </w:r>
      <w:r w:rsidR="002E24FF">
        <w:t xml:space="preserve"> podniků využívajících </w:t>
      </w:r>
      <w:r w:rsidR="0004366C">
        <w:t>nepřímou veřejnou podporu</w:t>
      </w:r>
      <w:r w:rsidR="002E24FF">
        <w:t xml:space="preserve"> </w:t>
      </w:r>
      <w:proofErr w:type="spellStart"/>
      <w:r w:rsidR="002E24FF">
        <w:t>VaV</w:t>
      </w:r>
      <w:proofErr w:type="spellEnd"/>
      <w:r w:rsidR="002E24FF">
        <w:t xml:space="preserve"> rostly </w:t>
      </w:r>
      <w:r w:rsidR="00DC1338">
        <w:t xml:space="preserve">rovněž </w:t>
      </w:r>
      <w:r w:rsidR="002E24FF">
        <w:t xml:space="preserve">souhrnné odečtené výdaje na VaV. Zatímco v roce 2005 byly z daňových základů v daňových přiznáních podniků odečteny </w:t>
      </w:r>
      <w:r w:rsidR="002E24FF" w:rsidRPr="007A22BC">
        <w:t>výdaje na VaV v</w:t>
      </w:r>
      <w:r w:rsidR="002E24FF">
        <w:t xml:space="preserve"> souhrnném </w:t>
      </w:r>
      <w:r w:rsidR="002E24FF" w:rsidRPr="007A22BC">
        <w:t>objemu 3,2</w:t>
      </w:r>
      <w:r w:rsidR="002E24FF">
        <w:t> </w:t>
      </w:r>
      <w:r w:rsidR="002E24FF" w:rsidRPr="007A22BC">
        <w:t>mld. Kč</w:t>
      </w:r>
      <w:r w:rsidR="002E24FF">
        <w:t xml:space="preserve">, čímž byla získána </w:t>
      </w:r>
      <w:r w:rsidR="002E24FF" w:rsidRPr="007A22BC">
        <w:t>nepřím</w:t>
      </w:r>
      <w:r w:rsidR="002E24FF">
        <w:t xml:space="preserve">á </w:t>
      </w:r>
      <w:r w:rsidR="006D78AF">
        <w:t xml:space="preserve">veřejná </w:t>
      </w:r>
      <w:r w:rsidR="002E24FF" w:rsidRPr="007A22BC">
        <w:t>podpor</w:t>
      </w:r>
      <w:r w:rsidR="002E24FF">
        <w:t>a</w:t>
      </w:r>
      <w:r w:rsidR="006D78AF">
        <w:t xml:space="preserve"> VaV</w:t>
      </w:r>
      <w:r w:rsidR="002E24FF">
        <w:rPr>
          <w:rStyle w:val="Znakapoznpodarou"/>
        </w:rPr>
        <w:footnoteReference w:id="4"/>
      </w:r>
      <w:r w:rsidR="002E24FF" w:rsidRPr="007A22BC">
        <w:t xml:space="preserve"> </w:t>
      </w:r>
      <w:r w:rsidR="006D78AF">
        <w:t xml:space="preserve">v hodnotě </w:t>
      </w:r>
      <w:r w:rsidR="002E24FF" w:rsidRPr="007A22BC">
        <w:t xml:space="preserve">819 mil. Kč, </w:t>
      </w:r>
      <w:r w:rsidR="002E24FF">
        <w:t>v roce 2015</w:t>
      </w:r>
      <w:r w:rsidR="002E24FF" w:rsidRPr="007A22BC">
        <w:t xml:space="preserve"> </w:t>
      </w:r>
      <w:r w:rsidR="002E24FF">
        <w:t>dosáhl</w:t>
      </w:r>
      <w:r w:rsidR="001F1EA8">
        <w:t>y</w:t>
      </w:r>
      <w:r w:rsidR="002E24FF">
        <w:t xml:space="preserve"> </w:t>
      </w:r>
      <w:r w:rsidR="002E24FF" w:rsidRPr="007A22BC">
        <w:t>odečten</w:t>
      </w:r>
      <w:r w:rsidR="001F1EA8">
        <w:t>é</w:t>
      </w:r>
      <w:r w:rsidR="002E24FF" w:rsidRPr="007A22BC">
        <w:t xml:space="preserve"> výdaj</w:t>
      </w:r>
      <w:r w:rsidR="001F1EA8">
        <w:t>e</w:t>
      </w:r>
      <w:r w:rsidR="002E24FF" w:rsidRPr="007A22BC">
        <w:t xml:space="preserve"> </w:t>
      </w:r>
      <w:r w:rsidR="002E24FF">
        <w:t>13,3 </w:t>
      </w:r>
      <w:r w:rsidR="002E24FF" w:rsidRPr="007A22BC">
        <w:t>mld. Kč</w:t>
      </w:r>
      <w:r w:rsidR="002E24FF">
        <w:t>.</w:t>
      </w:r>
      <w:r w:rsidR="00124C7E">
        <w:t xml:space="preserve"> Při dané sazbě daně právnických osob </w:t>
      </w:r>
      <w:r w:rsidR="00B1291C">
        <w:t xml:space="preserve">činila </w:t>
      </w:r>
      <w:r w:rsidR="00124C7E">
        <w:t>výše nepřímé veřejné podpory VaV 2,5 mld. Kč.</w:t>
      </w:r>
      <w:r w:rsidR="00503742">
        <w:t xml:space="preserve"> </w:t>
      </w:r>
      <w:r w:rsidR="00BF3D17">
        <w:t xml:space="preserve">Srovnáme-li hodnotu </w:t>
      </w:r>
      <w:r w:rsidR="00E20999">
        <w:t>s rokem 2014</w:t>
      </w:r>
      <w:r w:rsidR="00BF3D17">
        <w:t xml:space="preserve">, stoupla podpora </w:t>
      </w:r>
      <w:r w:rsidR="00E20999">
        <w:t>o</w:t>
      </w:r>
      <w:r w:rsidR="00413856">
        <w:t xml:space="preserve"> 11,5 %</w:t>
      </w:r>
      <w:r w:rsidR="008A0A10">
        <w:rPr>
          <w:rStyle w:val="Znakapoznpodarou"/>
        </w:rPr>
        <w:footnoteReference w:id="5"/>
      </w:r>
      <w:r w:rsidR="00413856">
        <w:t>.</w:t>
      </w:r>
      <w:r w:rsidR="00E20999">
        <w:t xml:space="preserve"> </w:t>
      </w:r>
      <w:r w:rsidR="0004366C">
        <w:t xml:space="preserve">Za období let 2010–2015 </w:t>
      </w:r>
      <w:r w:rsidR="00854C42">
        <w:t xml:space="preserve">ušetřily </w:t>
      </w:r>
      <w:r w:rsidR="0004366C">
        <w:t>soukromé podniky díky daňové podpoře VaV částku 12,2 mld. Kč</w:t>
      </w:r>
      <w:r w:rsidR="00D72D65">
        <w:t xml:space="preserve">. Od základu daně </w:t>
      </w:r>
      <w:r w:rsidR="0004366C">
        <w:t>odečetly výdaje na VaV v objemu 64,3 mld. Kč.</w:t>
      </w:r>
      <w:r w:rsidR="00E20999">
        <w:t xml:space="preserve"> </w:t>
      </w:r>
      <w:r w:rsidR="00124C7E">
        <w:t xml:space="preserve"> </w:t>
      </w:r>
      <w:r w:rsidR="002E24FF">
        <w:t xml:space="preserve"> </w:t>
      </w:r>
    </w:p>
    <w:p w:rsidR="002401BE" w:rsidRDefault="002401BE" w:rsidP="002401BE">
      <w:pPr>
        <w:spacing w:before="120"/>
        <w:jc w:val="both"/>
      </w:pPr>
      <w:r>
        <w:rPr>
          <w:b/>
        </w:rPr>
        <w:t>GRAF 4: Výše odečtených výdajů</w:t>
      </w:r>
      <w:r w:rsidR="003912FF">
        <w:rPr>
          <w:b/>
        </w:rPr>
        <w:t xml:space="preserve"> (nákladů)</w:t>
      </w:r>
      <w:r>
        <w:rPr>
          <w:b/>
        </w:rPr>
        <w:t xml:space="preserve"> na VaV u soukromých podniků, 2007–2015 </w:t>
      </w:r>
    </w:p>
    <w:p w:rsidR="002401BE" w:rsidRDefault="00F11F1D" w:rsidP="00F80F7B">
      <w:pPr>
        <w:spacing w:before="120"/>
        <w:jc w:val="both"/>
      </w:pPr>
      <w:r>
        <w:rPr>
          <w:noProof/>
        </w:rPr>
        <w:drawing>
          <wp:inline distT="0" distB="0" distL="0" distR="0">
            <wp:extent cx="5972810" cy="2459355"/>
            <wp:effectExtent l="0" t="0" r="889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730D" w:rsidRPr="0034730D" w:rsidRDefault="0034730D" w:rsidP="00F80F7B">
      <w:pPr>
        <w:spacing w:before="120"/>
        <w:jc w:val="both"/>
        <w:rPr>
          <w:i/>
          <w:sz w:val="16"/>
        </w:rPr>
      </w:pPr>
      <w:r w:rsidRPr="00DD319B">
        <w:rPr>
          <w:i/>
          <w:sz w:val="16"/>
        </w:rPr>
        <w:t>Zdroj dat: ČSÚ podle a</w:t>
      </w:r>
      <w:r>
        <w:rPr>
          <w:i/>
          <w:sz w:val="16"/>
        </w:rPr>
        <w:t>dministrativních dat GFŘ</w:t>
      </w:r>
    </w:p>
    <w:p w:rsidR="002E24FF" w:rsidRDefault="001208D1" w:rsidP="00827A65">
      <w:pPr>
        <w:spacing w:before="120"/>
        <w:ind w:firstLine="284"/>
        <w:jc w:val="both"/>
      </w:pPr>
      <w:r>
        <w:t xml:space="preserve">Jeden podnik </w:t>
      </w:r>
      <w:r w:rsidR="00134A5F">
        <w:t xml:space="preserve">odečetl </w:t>
      </w:r>
      <w:r>
        <w:t xml:space="preserve">v roce 2015 </w:t>
      </w:r>
      <w:r w:rsidR="00134A5F">
        <w:t>výdaje</w:t>
      </w:r>
      <w:r w:rsidR="00DC1338">
        <w:t xml:space="preserve"> na </w:t>
      </w:r>
      <w:proofErr w:type="spellStart"/>
      <w:r w:rsidR="00DC1338">
        <w:t>VaV</w:t>
      </w:r>
      <w:proofErr w:type="spellEnd"/>
      <w:r w:rsidR="00134A5F">
        <w:t xml:space="preserve"> v </w:t>
      </w:r>
      <w:r>
        <w:t>průměr</w:t>
      </w:r>
      <w:r w:rsidR="00134A5F">
        <w:t xml:space="preserve">né výši </w:t>
      </w:r>
      <w:r>
        <w:t>10,2 mil. Kč.</w:t>
      </w:r>
      <w:r w:rsidR="00CF72A1">
        <w:t xml:space="preserve"> Nejvyšší průměrná </w:t>
      </w:r>
      <w:r w:rsidR="00342153">
        <w:t xml:space="preserve">odečtená </w:t>
      </w:r>
      <w:r w:rsidR="00CF72A1">
        <w:t>částka</w:t>
      </w:r>
      <w:r w:rsidR="00342153">
        <w:t xml:space="preserve"> výdajů na VaV</w:t>
      </w:r>
      <w:r w:rsidR="00CF72A1">
        <w:t xml:space="preserve"> připad</w:t>
      </w:r>
      <w:r w:rsidR="00BF752C">
        <w:t>ající na jeden podnik byla zjištěna</w:t>
      </w:r>
      <w:r w:rsidR="00CF72A1">
        <w:t xml:space="preserve"> v roce 2011, a to </w:t>
      </w:r>
      <w:r w:rsidR="000546F3">
        <w:t>11,3 mil. Kč.</w:t>
      </w:r>
      <w:r w:rsidR="00CF72A1">
        <w:t xml:space="preserve"> </w:t>
      </w:r>
      <w:r w:rsidR="002E24FF" w:rsidRPr="00413D2F">
        <w:t xml:space="preserve">Pokud bychom brali v potaz pouze soukromé podniky, u nichž máme podrobné informace o jejich prováděném VaV z ročního statistické šetření o výzkumu a vývoji VTR 5-01, </w:t>
      </w:r>
      <w:r w:rsidR="005E6DBE">
        <w:t xml:space="preserve">využila by </w:t>
      </w:r>
      <w:r w:rsidR="002E24FF" w:rsidRPr="00413D2F">
        <w:t>v roce 2015 možnosti daň</w:t>
      </w:r>
      <w:r w:rsidR="00413D2F" w:rsidRPr="00413D2F">
        <w:t>ového odpočtu výdajů na VaV téměř</w:t>
      </w:r>
      <w:r w:rsidR="002E24FF" w:rsidRPr="00413D2F">
        <w:t xml:space="preserve"> </w:t>
      </w:r>
      <w:r w:rsidR="003E517B" w:rsidRPr="00413D2F">
        <w:t>třetina (33</w:t>
      </w:r>
      <w:r w:rsidR="002E24FF" w:rsidRPr="00413D2F">
        <w:t>%) těchto podniků. V roce 2010 to byla jedna pětina.</w:t>
      </w:r>
      <w:r w:rsidR="00413D2F">
        <w:t xml:space="preserve"> Dle údajů uvedeného šetření </w:t>
      </w:r>
      <w:r w:rsidR="00B20CAF">
        <w:t xml:space="preserve">využívají </w:t>
      </w:r>
      <w:r w:rsidR="00413D2F">
        <w:t xml:space="preserve">soukromé podniky nepřímou </w:t>
      </w:r>
      <w:r w:rsidR="00B20CAF">
        <w:t xml:space="preserve">veřejnou </w:t>
      </w:r>
      <w:r w:rsidR="00413D2F">
        <w:t>podporu VaV téměř stejně jako přímou veřejnou podporu VaV. V roce 2015 participovala na projektech financov</w:t>
      </w:r>
      <w:r w:rsidR="00BF752C">
        <w:t xml:space="preserve">aných z veřejných rozpočtů </w:t>
      </w:r>
      <w:r w:rsidR="00413D2F">
        <w:t>třet</w:t>
      </w:r>
      <w:r w:rsidR="00BF752C">
        <w:t>ina soukromých podniků (34,2 </w:t>
      </w:r>
      <w:r w:rsidR="00413D2F">
        <w:t>%).</w:t>
      </w:r>
      <w:r w:rsidR="00577204">
        <w:t xml:space="preserve"> Zajímav</w:t>
      </w:r>
      <w:r w:rsidR="00B20CAF">
        <w:t xml:space="preserve">á je rovněž </w:t>
      </w:r>
      <w:r w:rsidR="00577204">
        <w:t xml:space="preserve">skutečnost, že </w:t>
      </w:r>
      <w:r w:rsidR="007361AB">
        <w:t xml:space="preserve">mezi </w:t>
      </w:r>
      <w:r w:rsidR="00C23D40">
        <w:t>soukromý</w:t>
      </w:r>
      <w:r w:rsidR="001D1747">
        <w:t>mi</w:t>
      </w:r>
      <w:r w:rsidR="00C23D40">
        <w:t xml:space="preserve"> podnik</w:t>
      </w:r>
      <w:r w:rsidR="0059258E">
        <w:t>y</w:t>
      </w:r>
      <w:r w:rsidR="00C23D40">
        <w:t xml:space="preserve"> sledovaný</w:t>
      </w:r>
      <w:r w:rsidR="0059258E">
        <w:t>mi šetřením o výzkumu a vývoji (VTR 5-01)</w:t>
      </w:r>
      <w:r w:rsidR="00C23D40">
        <w:t>, nevyužilo žádnou formu veřejné podpory VaV (</w:t>
      </w:r>
      <w:r w:rsidR="00642B43">
        <w:t xml:space="preserve">tzn. </w:t>
      </w:r>
      <w:r w:rsidR="00C23D40">
        <w:t>ani zahraniční) 21,9 %.</w:t>
      </w:r>
      <w:r w:rsidR="00413D2F">
        <w:t xml:space="preserve"> </w:t>
      </w:r>
    </w:p>
    <w:p w:rsidR="004972CB" w:rsidRDefault="008224C3" w:rsidP="00827A65">
      <w:pPr>
        <w:spacing w:before="120"/>
        <w:ind w:firstLine="284"/>
        <w:jc w:val="both"/>
        <w:rPr>
          <w:i/>
        </w:rPr>
      </w:pPr>
      <w:r>
        <w:rPr>
          <w:i/>
        </w:rPr>
        <w:t>V dalším textu bude analyzován</w:t>
      </w:r>
      <w:r w:rsidR="004972CB" w:rsidRPr="004972CB">
        <w:rPr>
          <w:i/>
        </w:rPr>
        <w:t xml:space="preserve"> pouze ukazatel nepřímé </w:t>
      </w:r>
      <w:r w:rsidR="00386236">
        <w:rPr>
          <w:i/>
        </w:rPr>
        <w:t>veřejné podpory VaV. Údaje o objemu</w:t>
      </w:r>
      <w:r w:rsidR="004972CB" w:rsidRPr="004972CB">
        <w:rPr>
          <w:i/>
        </w:rPr>
        <w:t xml:space="preserve"> odečtených výdajů na VaV v různých členěních naleznete v tabulkové příloze.</w:t>
      </w:r>
      <w:r>
        <w:rPr>
          <w:i/>
        </w:rPr>
        <w:t xml:space="preserve"> </w:t>
      </w:r>
    </w:p>
    <w:p w:rsidR="0018416B" w:rsidRDefault="00BC0AD9" w:rsidP="00827A65">
      <w:pPr>
        <w:spacing w:before="120"/>
        <w:ind w:firstLine="284"/>
        <w:jc w:val="both"/>
      </w:pPr>
      <w:r>
        <w:t xml:space="preserve">Mezi </w:t>
      </w:r>
      <w:r w:rsidR="00DE3AD5" w:rsidRPr="003E1A32">
        <w:t>soukromý</w:t>
      </w:r>
      <w:r>
        <w:t>mi</w:t>
      </w:r>
      <w:r w:rsidR="00DE3AD5" w:rsidRPr="003E1A32">
        <w:t xml:space="preserve"> podnik</w:t>
      </w:r>
      <w:r>
        <w:t>y</w:t>
      </w:r>
      <w:r w:rsidR="0070607A" w:rsidRPr="003E1A32">
        <w:t xml:space="preserve">, </w:t>
      </w:r>
      <w:r>
        <w:t xml:space="preserve">které </w:t>
      </w:r>
      <w:r w:rsidR="0070607A" w:rsidRPr="003E1A32">
        <w:t>v roce 2015</w:t>
      </w:r>
      <w:r w:rsidR="00DE3AD5" w:rsidRPr="003E1A32">
        <w:t xml:space="preserve"> uplatnily daňový odpočet výdajů na VaV</w:t>
      </w:r>
      <w:r w:rsidR="00D05CBC" w:rsidRPr="003E1A32">
        <w:t xml:space="preserve">, </w:t>
      </w:r>
      <w:r w:rsidR="00741F63">
        <w:t xml:space="preserve">tímto způsobem </w:t>
      </w:r>
      <w:r w:rsidR="00AA28E1">
        <w:t xml:space="preserve">ušetřilo </w:t>
      </w:r>
      <w:r w:rsidR="00D05CBC" w:rsidRPr="003E1A32">
        <w:t>sedm</w:t>
      </w:r>
      <w:r w:rsidR="00AA28E1">
        <w:t xml:space="preserve">desát procent </w:t>
      </w:r>
      <w:r w:rsidR="00D05CBC" w:rsidRPr="003E1A32">
        <w:t xml:space="preserve">méně než milion korun. </w:t>
      </w:r>
      <w:r w:rsidR="000265DC" w:rsidRPr="003E1A32">
        <w:t xml:space="preserve">Tato skutečnost souvisí </w:t>
      </w:r>
      <w:r w:rsidR="00C34457">
        <w:t xml:space="preserve">i </w:t>
      </w:r>
      <w:r w:rsidR="000265DC" w:rsidRPr="003E1A32">
        <w:t>s tím, že</w:t>
      </w:r>
      <w:r w:rsidR="00AD67C2" w:rsidRPr="003E1A32">
        <w:t xml:space="preserve"> v České republice </w:t>
      </w:r>
      <w:r w:rsidR="00386236">
        <w:t xml:space="preserve">více než </w:t>
      </w:r>
      <w:r w:rsidR="00AD67C2" w:rsidRPr="003E1A32">
        <w:t>polovina z podniků prov</w:t>
      </w:r>
      <w:r w:rsidR="003E1A32" w:rsidRPr="003E1A32">
        <w:t xml:space="preserve">ádějících VaV za </w:t>
      </w:r>
      <w:r w:rsidR="00BA51F2">
        <w:t>tuto činnost utratila</w:t>
      </w:r>
      <w:r w:rsidR="003E1A32" w:rsidRPr="003E1A32">
        <w:t xml:space="preserve"> v roce 2015</w:t>
      </w:r>
      <w:r w:rsidR="00AD67C2" w:rsidRPr="003E1A32">
        <w:t xml:space="preserve"> méně než </w:t>
      </w:r>
      <w:r w:rsidR="00386236">
        <w:t xml:space="preserve">5 </w:t>
      </w:r>
      <w:r w:rsidR="00AD67C2" w:rsidRPr="003E1A32">
        <w:t>mil</w:t>
      </w:r>
      <w:r w:rsidR="00453F26">
        <w:t>. Kč.</w:t>
      </w:r>
      <w:r w:rsidR="004944EE">
        <w:t xml:space="preserve"> </w:t>
      </w:r>
      <w:r w:rsidR="00D05CBC" w:rsidRPr="003E1A32">
        <w:t>Naopak n</w:t>
      </w:r>
      <w:r w:rsidR="00A11E10" w:rsidRPr="003E1A32">
        <w:t xml:space="preserve">epřímou veřejnou podporu VaV </w:t>
      </w:r>
      <w:r w:rsidR="0023512E" w:rsidRPr="003E1A32">
        <w:t>přesahující 10 mil. Kč získal</w:t>
      </w:r>
      <w:r w:rsidR="00F02B3F" w:rsidRPr="003E1A32">
        <w:t xml:space="preserve">a </w:t>
      </w:r>
      <w:r w:rsidR="000265DC" w:rsidRPr="003E1A32">
        <w:t xml:space="preserve">díky této možnosti </w:t>
      </w:r>
      <w:r w:rsidR="00D05CBC" w:rsidRPr="003E1A32">
        <w:t xml:space="preserve">jen </w:t>
      </w:r>
      <w:r w:rsidR="00F02B3F" w:rsidRPr="003E1A32">
        <w:t xml:space="preserve">3 </w:t>
      </w:r>
      <w:r w:rsidR="00F02B3F" w:rsidRPr="003E1A32">
        <w:rPr>
          <w:lang w:val="en-US"/>
        </w:rPr>
        <w:t>%</w:t>
      </w:r>
      <w:r w:rsidR="003E1A32" w:rsidRPr="003E1A32">
        <w:rPr>
          <w:lang w:val="en-US"/>
        </w:rPr>
        <w:t xml:space="preserve"> (39</w:t>
      </w:r>
      <w:r w:rsidR="00D05CBC" w:rsidRPr="003E1A32">
        <w:rPr>
          <w:lang w:val="en-US"/>
        </w:rPr>
        <w:t>)</w:t>
      </w:r>
      <w:r w:rsidR="00DE1008" w:rsidRPr="003E1A32">
        <w:t xml:space="preserve"> </w:t>
      </w:r>
      <w:r w:rsidR="00501BA8" w:rsidRPr="003E1A32">
        <w:t xml:space="preserve">soukromých </w:t>
      </w:r>
      <w:r w:rsidR="00DE1008" w:rsidRPr="003E1A32">
        <w:t>podniků</w:t>
      </w:r>
      <w:r w:rsidR="00D05CBC" w:rsidRPr="003E1A32">
        <w:t>.</w:t>
      </w:r>
    </w:p>
    <w:p w:rsidR="00280C39" w:rsidRDefault="00FC47B4" w:rsidP="00827A65">
      <w:pPr>
        <w:spacing w:before="120"/>
        <w:ind w:firstLine="284"/>
        <w:jc w:val="both"/>
      </w:pPr>
      <w:r>
        <w:t>Zajímav</w:t>
      </w:r>
      <w:r w:rsidR="00D71C8B">
        <w:t xml:space="preserve">á je </w:t>
      </w:r>
      <w:r>
        <w:t xml:space="preserve">skutečnost, že </w:t>
      </w:r>
      <w:r w:rsidR="00BC6BDD">
        <w:t xml:space="preserve">zatímco mezi podniky pod zahraniční kontrolou, jež uplatnily </w:t>
      </w:r>
      <w:r w:rsidR="00EF00AA">
        <w:t>daňový odpočet</w:t>
      </w:r>
      <w:r w:rsidR="00BC6BDD">
        <w:t xml:space="preserve">, ušetřila v roce </w:t>
      </w:r>
      <w:r w:rsidR="00FE7501">
        <w:t>201</w:t>
      </w:r>
      <w:r w:rsidR="003B7D25">
        <w:t>5</w:t>
      </w:r>
      <w:r w:rsidR="00FE7501">
        <w:t xml:space="preserve"> </w:t>
      </w:r>
      <w:r w:rsidR="003B7D25">
        <w:t>téměř polovina (47</w:t>
      </w:r>
      <w:r w:rsidR="00631FE8">
        <w:t> </w:t>
      </w:r>
      <w:r w:rsidR="00BC6BDD">
        <w:rPr>
          <w:lang w:val="en-US"/>
        </w:rPr>
        <w:t>%</w:t>
      </w:r>
      <w:r w:rsidR="00BC6BDD">
        <w:t xml:space="preserve">) </w:t>
      </w:r>
      <w:r w:rsidR="00946443">
        <w:t xml:space="preserve">částku přesahující </w:t>
      </w:r>
      <w:r w:rsidR="00BC6BDD">
        <w:t xml:space="preserve">milión korun, </w:t>
      </w:r>
      <w:r w:rsidR="00B260DE">
        <w:t xml:space="preserve">mezi </w:t>
      </w:r>
      <w:r w:rsidR="00BC6BDD">
        <w:t>domácí</w:t>
      </w:r>
      <w:r w:rsidR="00B35719">
        <w:t>mi</w:t>
      </w:r>
      <w:r w:rsidR="00BC6BDD">
        <w:t xml:space="preserve"> podnik</w:t>
      </w:r>
      <w:r w:rsidR="00DE3FC2">
        <w:t>y</w:t>
      </w:r>
      <w:r w:rsidR="00BC6BDD">
        <w:t xml:space="preserve"> dosáhla </w:t>
      </w:r>
      <w:r w:rsidR="00BC6BDD">
        <w:lastRenderedPageBreak/>
        <w:t>s</w:t>
      </w:r>
      <w:r w:rsidR="003B7D25">
        <w:t>rovnatelné úspory jen pětina (23</w:t>
      </w:r>
      <w:r w:rsidR="00334056">
        <w:t> </w:t>
      </w:r>
      <w:r w:rsidR="00BC6BDD">
        <w:rPr>
          <w:lang w:val="en-US"/>
        </w:rPr>
        <w:t>%</w:t>
      </w:r>
      <w:r w:rsidR="00BC6BDD">
        <w:t xml:space="preserve">). </w:t>
      </w:r>
      <w:r w:rsidR="00EF58F3">
        <w:t>Na nepřímou veřejnou podporu přesahující 10 mil. Kč dosáhlo 1 % soukromých domácích podniků</w:t>
      </w:r>
      <w:r w:rsidR="00EE70BE">
        <w:t>. V</w:t>
      </w:r>
      <w:r w:rsidR="00727ACC">
        <w:t xml:space="preserve"> </w:t>
      </w:r>
      <w:r w:rsidR="00EE70BE">
        <w:t>samostatné skupině</w:t>
      </w:r>
      <w:r w:rsidR="004944EE">
        <w:t xml:space="preserve"> </w:t>
      </w:r>
      <w:r w:rsidR="000265DC">
        <w:t>podnik</w:t>
      </w:r>
      <w:r w:rsidR="00EE70BE">
        <w:t>ů</w:t>
      </w:r>
      <w:r w:rsidR="000265DC">
        <w:t xml:space="preserve"> pod zahraniční kontrolou </w:t>
      </w:r>
      <w:r w:rsidR="00EF58F3">
        <w:t xml:space="preserve">to bylo 7 %. </w:t>
      </w:r>
    </w:p>
    <w:p w:rsidR="006670FB" w:rsidRPr="007974EF" w:rsidRDefault="00EF00AA" w:rsidP="00280C39">
      <w:pPr>
        <w:spacing w:before="120"/>
        <w:jc w:val="both"/>
      </w:pPr>
      <w:r w:rsidRPr="006670FB">
        <w:t xml:space="preserve">Podrobnější údaje </w:t>
      </w:r>
      <w:r w:rsidR="006670FB">
        <w:t>lze nalézt v následujícím grafu nebo v tabulce č. 2 tabulkové přílo</w:t>
      </w:r>
      <w:r w:rsidR="00B678F3">
        <w:t>hy</w:t>
      </w:r>
      <w:r w:rsidR="006670FB">
        <w:t>.</w:t>
      </w:r>
    </w:p>
    <w:p w:rsidR="00FC47B4" w:rsidRDefault="007974EF" w:rsidP="0097638C">
      <w:pPr>
        <w:spacing w:before="120" w:after="120"/>
        <w:jc w:val="both"/>
        <w:rPr>
          <w:b/>
        </w:rPr>
      </w:pPr>
      <w:r>
        <w:rPr>
          <w:b/>
        </w:rPr>
        <w:t>GRAF 5</w:t>
      </w:r>
      <w:r w:rsidR="00FC47B4" w:rsidRPr="00710A84">
        <w:rPr>
          <w:b/>
        </w:rPr>
        <w:t xml:space="preserve">: </w:t>
      </w:r>
      <w:r w:rsidR="009A7503">
        <w:rPr>
          <w:b/>
        </w:rPr>
        <w:t>S</w:t>
      </w:r>
      <w:r w:rsidR="00FC47B4">
        <w:rPr>
          <w:b/>
        </w:rPr>
        <w:t>oukrom</w:t>
      </w:r>
      <w:r w:rsidR="009A7503">
        <w:rPr>
          <w:b/>
        </w:rPr>
        <w:t>é</w:t>
      </w:r>
      <w:r w:rsidR="00FC47B4">
        <w:rPr>
          <w:b/>
        </w:rPr>
        <w:t xml:space="preserve"> podnik</w:t>
      </w:r>
      <w:r w:rsidR="009A7503">
        <w:rPr>
          <w:b/>
        </w:rPr>
        <w:t>y</w:t>
      </w:r>
      <w:r w:rsidR="00CB6F91">
        <w:rPr>
          <w:b/>
        </w:rPr>
        <w:t xml:space="preserve"> využívající</w:t>
      </w:r>
      <w:r w:rsidR="00794BA7" w:rsidRPr="004E7D3D">
        <w:rPr>
          <w:b/>
        </w:rPr>
        <w:t xml:space="preserve"> </w:t>
      </w:r>
      <w:r w:rsidR="004E7D3D" w:rsidRPr="004E7D3D">
        <w:rPr>
          <w:b/>
        </w:rPr>
        <w:t>nepřím</w:t>
      </w:r>
      <w:r w:rsidR="000265DC">
        <w:rPr>
          <w:b/>
        </w:rPr>
        <w:t>ou</w:t>
      </w:r>
      <w:r w:rsidR="004E7D3D" w:rsidRPr="004E7D3D">
        <w:rPr>
          <w:b/>
        </w:rPr>
        <w:t xml:space="preserve"> veřejn</w:t>
      </w:r>
      <w:r w:rsidR="00CB6F91">
        <w:rPr>
          <w:b/>
        </w:rPr>
        <w:t>ou</w:t>
      </w:r>
      <w:r w:rsidR="004E7D3D" w:rsidRPr="004E7D3D">
        <w:rPr>
          <w:b/>
        </w:rPr>
        <w:t xml:space="preserve"> podpor</w:t>
      </w:r>
      <w:r w:rsidR="000265DC">
        <w:rPr>
          <w:b/>
        </w:rPr>
        <w:t>u</w:t>
      </w:r>
      <w:r w:rsidR="004E7D3D" w:rsidRPr="004E7D3D">
        <w:rPr>
          <w:b/>
        </w:rPr>
        <w:t xml:space="preserve"> VaV</w:t>
      </w:r>
      <w:r w:rsidR="009A7503">
        <w:rPr>
          <w:b/>
        </w:rPr>
        <w:t xml:space="preserve"> podle její výše</w:t>
      </w:r>
      <w:r w:rsidR="00951123">
        <w:rPr>
          <w:b/>
        </w:rPr>
        <w:t>, 2010</w:t>
      </w:r>
      <w:r w:rsidR="0097638C">
        <w:rPr>
          <w:b/>
        </w:rPr>
        <w:t>–2015</w:t>
      </w:r>
    </w:p>
    <w:p w:rsidR="00FC47B4" w:rsidRPr="00710A84" w:rsidRDefault="0097638C" w:rsidP="00FC47B4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4391025" cy="2162175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7638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20000" cy="2160000"/>
            <wp:effectExtent l="0" t="0" r="0" b="0"/>
            <wp:docPr id="13" name="Graf 13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1FBF" w:rsidRDefault="00FC47B4" w:rsidP="00907169">
      <w:pPr>
        <w:spacing w:before="120"/>
        <w:jc w:val="both"/>
        <w:rPr>
          <w:rStyle w:val="st"/>
          <w:sz w:val="22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121F3D" w:rsidRPr="00F056D2" w:rsidRDefault="00B15254" w:rsidP="00693FBD">
      <w:pPr>
        <w:spacing w:before="120"/>
        <w:ind w:firstLine="284"/>
        <w:jc w:val="both"/>
        <w:rPr>
          <w:strike/>
          <w:color w:val="C00000"/>
        </w:rPr>
      </w:pPr>
      <w:r>
        <w:t>Mezi soukromými podniky</w:t>
      </w:r>
      <w:r w:rsidR="00A04299">
        <w:rPr>
          <w:rStyle w:val="Znakapoznpodarou"/>
        </w:rPr>
        <w:footnoteReference w:id="6"/>
      </w:r>
      <w:r>
        <w:t xml:space="preserve"> využívajícími nepřímou podporu VaV </w:t>
      </w:r>
      <w:r w:rsidR="00963AA4">
        <w:t xml:space="preserve">z hlediska jejich počtu </w:t>
      </w:r>
      <w:r>
        <w:t>dlouhodobě převažují subjekty v domácím vlastnictví nad podniky pod zahraniční kontrolou</w:t>
      </w:r>
      <w:r w:rsidR="00745E09">
        <w:t>. V</w:t>
      </w:r>
      <w:r w:rsidR="00171CD8">
        <w:t> roce 201</w:t>
      </w:r>
      <w:r w:rsidR="00F056D2">
        <w:t>5</w:t>
      </w:r>
      <w:r w:rsidR="00171CD8">
        <w:t xml:space="preserve"> </w:t>
      </w:r>
      <w:r w:rsidR="00745E09">
        <w:t xml:space="preserve">jich </w:t>
      </w:r>
      <w:r w:rsidR="00171CD8">
        <w:t>bylo 2,5krát</w:t>
      </w:r>
      <w:r w:rsidR="00745E09">
        <w:t xml:space="preserve"> více</w:t>
      </w:r>
      <w:r>
        <w:t>.</w:t>
      </w:r>
      <w:r w:rsidR="00121F3D">
        <w:t xml:space="preserve"> Tato skutečnost </w:t>
      </w:r>
      <w:r w:rsidR="004836E2">
        <w:t xml:space="preserve">odráží rozdělení </w:t>
      </w:r>
      <w:r w:rsidR="00731782">
        <w:t>celkov</w:t>
      </w:r>
      <w:r w:rsidR="004836E2">
        <w:t>ého</w:t>
      </w:r>
      <w:r w:rsidR="00731782">
        <w:t xml:space="preserve"> poč</w:t>
      </w:r>
      <w:r w:rsidR="004836E2">
        <w:t>tu</w:t>
      </w:r>
      <w:r w:rsidR="00731782">
        <w:t xml:space="preserve"> podniků provádějících VaV</w:t>
      </w:r>
      <w:r w:rsidR="00171CD8">
        <w:t xml:space="preserve"> na území ČR</w:t>
      </w:r>
      <w:r w:rsidR="009142BB">
        <w:t xml:space="preserve">. V rámci </w:t>
      </w:r>
      <w:r w:rsidR="004944EE">
        <w:t>r</w:t>
      </w:r>
      <w:r w:rsidR="009142BB">
        <w:t xml:space="preserve">očního šetření </w:t>
      </w:r>
      <w:r w:rsidR="004944EE">
        <w:t>o výzkumu a vývoji (</w:t>
      </w:r>
      <w:r w:rsidR="00434E4A">
        <w:t>VTR 5-01</w:t>
      </w:r>
      <w:r w:rsidR="004944EE">
        <w:t>)</w:t>
      </w:r>
      <w:r w:rsidR="009142BB">
        <w:t xml:space="preserve"> bylo zjištěno</w:t>
      </w:r>
      <w:r w:rsidR="00731782">
        <w:t>,</w:t>
      </w:r>
      <w:r w:rsidR="004836E2">
        <w:t xml:space="preserve"> </w:t>
      </w:r>
      <w:r w:rsidR="009142BB">
        <w:t xml:space="preserve">že počet </w:t>
      </w:r>
      <w:r w:rsidR="00731782">
        <w:t>domácí</w:t>
      </w:r>
      <w:r w:rsidR="009142BB">
        <w:t>ch</w:t>
      </w:r>
      <w:r w:rsidR="00731782">
        <w:t xml:space="preserve"> </w:t>
      </w:r>
      <w:r w:rsidR="00D90BEC">
        <w:t>podnik</w:t>
      </w:r>
      <w:r w:rsidR="009142BB">
        <w:t>ů</w:t>
      </w:r>
      <w:r w:rsidR="00D90BEC">
        <w:t xml:space="preserve"> </w:t>
      </w:r>
      <w:r w:rsidR="00523DBF">
        <w:t>provádějících VaV je výrazně vyšší než</w:t>
      </w:r>
      <w:r w:rsidR="00963AA4">
        <w:t xml:space="preserve"> počet</w:t>
      </w:r>
      <w:r w:rsidR="00523DBF">
        <w:t xml:space="preserve"> </w:t>
      </w:r>
      <w:r w:rsidR="000265DC">
        <w:t>podnik</w:t>
      </w:r>
      <w:r w:rsidR="00523DBF">
        <w:t>ů</w:t>
      </w:r>
      <w:r w:rsidR="000265DC">
        <w:t xml:space="preserve"> pod </w:t>
      </w:r>
      <w:r w:rsidR="00731782">
        <w:t>zahraniční</w:t>
      </w:r>
      <w:r w:rsidR="00D90BEC">
        <w:t xml:space="preserve"> </w:t>
      </w:r>
      <w:r w:rsidR="000265DC">
        <w:t>kontrolou</w:t>
      </w:r>
      <w:r w:rsidR="00D90BEC">
        <w:t xml:space="preserve">. </w:t>
      </w:r>
      <w:r w:rsidR="00D90BEC" w:rsidRPr="002050B6">
        <w:t>V roce 201</w:t>
      </w:r>
      <w:r w:rsidR="00F056D2" w:rsidRPr="002050B6">
        <w:t>5</w:t>
      </w:r>
      <w:r w:rsidR="00D90BEC" w:rsidRPr="002050B6">
        <w:t xml:space="preserve"> na jeden podnik pod zahraniční kontrolou provádějící VaV připadaly tři </w:t>
      </w:r>
      <w:r w:rsidR="00A04299" w:rsidRPr="002050B6">
        <w:t>soukromé</w:t>
      </w:r>
      <w:r w:rsidR="00963AA4" w:rsidRPr="002050B6">
        <w:t xml:space="preserve"> domácí</w:t>
      </w:r>
      <w:r w:rsidR="00A04299" w:rsidRPr="002050B6">
        <w:t xml:space="preserve"> </w:t>
      </w:r>
      <w:r w:rsidR="00D90BEC" w:rsidRPr="002050B6">
        <w:t>podniky.</w:t>
      </w:r>
      <w:r w:rsidR="008E41C1">
        <w:t xml:space="preserve"> </w:t>
      </w:r>
      <w:r w:rsidR="003F278C">
        <w:t xml:space="preserve">Ze soukromých podniků, </w:t>
      </w:r>
      <w:r w:rsidR="00AD67C2">
        <w:t xml:space="preserve">u kterých za rok </w:t>
      </w:r>
      <w:r w:rsidR="00F056D2">
        <w:t>2015</w:t>
      </w:r>
      <w:r w:rsidR="003F278C">
        <w:t xml:space="preserve"> byly </w:t>
      </w:r>
      <w:r w:rsidR="00AD67C2">
        <w:t xml:space="preserve">známy podrobné údaje o jejich VaV činnosti z šetření </w:t>
      </w:r>
      <w:r w:rsidR="003F278C">
        <w:t>VTR 5-01</w:t>
      </w:r>
      <w:r w:rsidR="00AD67C2">
        <w:t xml:space="preserve"> (podrobněji viz poznámka </w:t>
      </w:r>
      <w:r w:rsidR="00C351C0">
        <w:t>2</w:t>
      </w:r>
      <w:r w:rsidR="00AD67C2">
        <w:t>)</w:t>
      </w:r>
      <w:r w:rsidR="003F278C">
        <w:t xml:space="preserve">, </w:t>
      </w:r>
      <w:r w:rsidR="003F278C" w:rsidRPr="00F22085">
        <w:t xml:space="preserve">nepřímou veřejnou podporu využily </w:t>
      </w:r>
      <w:r w:rsidR="00080342" w:rsidRPr="00F22085">
        <w:t>častěji</w:t>
      </w:r>
      <w:r w:rsidR="003F278C" w:rsidRPr="00F22085">
        <w:t xml:space="preserve"> zahranič</w:t>
      </w:r>
      <w:r w:rsidR="008C2BD7" w:rsidRPr="00F22085">
        <w:t>ní podniky (49 %) než domácí (37</w:t>
      </w:r>
      <w:r w:rsidR="003F278C" w:rsidRPr="00F22085">
        <w:t xml:space="preserve"> %).</w:t>
      </w:r>
      <w:r w:rsidR="003F278C">
        <w:t xml:space="preserve"> </w:t>
      </w:r>
    </w:p>
    <w:p w:rsidR="00B15254" w:rsidRPr="00190BF6" w:rsidRDefault="0091647B" w:rsidP="00693FBD">
      <w:pPr>
        <w:spacing w:before="120"/>
        <w:ind w:firstLine="284"/>
        <w:jc w:val="both"/>
        <w:rPr>
          <w:rFonts w:eastAsia="MS Gothic"/>
          <w:b/>
          <w:bCs/>
          <w:color w:val="009BB4"/>
          <w:szCs w:val="26"/>
        </w:rPr>
      </w:pPr>
      <w:r>
        <w:t>Jak bylo</w:t>
      </w:r>
      <w:r w:rsidR="00F056D2">
        <w:t xml:space="preserve"> uvedeno dříve</w:t>
      </w:r>
      <w:r w:rsidR="00A70410">
        <w:t>, soukromé domácí podniky v mnohem vyšší míře</w:t>
      </w:r>
      <w:r w:rsidR="00FE7501">
        <w:t>,</w:t>
      </w:r>
      <w:r w:rsidR="00A70410">
        <w:t xml:space="preserve"> oproti podnikům pod zahraniční kontrolou</w:t>
      </w:r>
      <w:r w:rsidR="00FE7501">
        <w:t>,</w:t>
      </w:r>
      <w:r w:rsidR="00A70410">
        <w:t xml:space="preserve"> využívají přímou veřejnou podporu VaV</w:t>
      </w:r>
      <w:r w:rsidR="00AD67C2">
        <w:t xml:space="preserve"> a </w:t>
      </w:r>
      <w:r>
        <w:t>z důvodu exkluzivity</w:t>
      </w:r>
      <w:r w:rsidR="00AD67C2">
        <w:t xml:space="preserve"> nemohou na jejich projekty VaV podpořené přímo ze státního rozpočtu nebo ze zdrojů EU využít zároveň podporu nepřímou</w:t>
      </w:r>
      <w:r w:rsidR="00A70410">
        <w:t xml:space="preserve">. </w:t>
      </w:r>
      <w:r w:rsidR="00D90BEC">
        <w:t xml:space="preserve"> </w:t>
      </w:r>
      <w:r w:rsidR="00731782">
        <w:t xml:space="preserve"> </w:t>
      </w:r>
      <w:r w:rsidR="00B15254">
        <w:t xml:space="preserve"> </w:t>
      </w:r>
    </w:p>
    <w:p w:rsidR="00B15254" w:rsidRPr="00710A84" w:rsidRDefault="00F22085" w:rsidP="009A4061">
      <w:pPr>
        <w:spacing w:before="120"/>
        <w:jc w:val="both"/>
        <w:rPr>
          <w:b/>
        </w:rPr>
      </w:pPr>
      <w:r>
        <w:rPr>
          <w:b/>
        </w:rPr>
        <w:t>GRAF 6</w:t>
      </w:r>
      <w:r w:rsidR="00B15254" w:rsidRPr="00113CE1">
        <w:rPr>
          <w:b/>
        </w:rPr>
        <w:t xml:space="preserve">: </w:t>
      </w:r>
      <w:r w:rsidR="008E41C1">
        <w:rPr>
          <w:b/>
        </w:rPr>
        <w:t>Soukromé podniky</w:t>
      </w:r>
      <w:r w:rsidR="00CB6F91">
        <w:rPr>
          <w:b/>
        </w:rPr>
        <w:t xml:space="preserve"> využívající </w:t>
      </w:r>
      <w:r w:rsidR="008E41C1" w:rsidRPr="004E7D3D">
        <w:rPr>
          <w:b/>
        </w:rPr>
        <w:t>nepřím</w:t>
      </w:r>
      <w:r w:rsidR="00CB6F91">
        <w:rPr>
          <w:b/>
        </w:rPr>
        <w:t>ou</w:t>
      </w:r>
      <w:r w:rsidR="008E41C1" w:rsidRPr="004E7D3D">
        <w:rPr>
          <w:b/>
        </w:rPr>
        <w:t xml:space="preserve"> veřejn</w:t>
      </w:r>
      <w:r w:rsidR="00CB6F91">
        <w:rPr>
          <w:b/>
        </w:rPr>
        <w:t>ou</w:t>
      </w:r>
      <w:r w:rsidR="008E41C1" w:rsidRPr="004E7D3D">
        <w:rPr>
          <w:b/>
        </w:rPr>
        <w:t xml:space="preserve"> podpor</w:t>
      </w:r>
      <w:r w:rsidR="00CB6F91">
        <w:rPr>
          <w:b/>
        </w:rPr>
        <w:t>u</w:t>
      </w:r>
      <w:r w:rsidR="008E41C1" w:rsidRPr="004E7D3D">
        <w:rPr>
          <w:b/>
        </w:rPr>
        <w:t xml:space="preserve"> VaV</w:t>
      </w:r>
      <w:r w:rsidR="008E41C1">
        <w:rPr>
          <w:b/>
        </w:rPr>
        <w:t xml:space="preserve"> </w:t>
      </w:r>
      <w:r w:rsidR="00D90BEC" w:rsidRPr="00F536F9">
        <w:rPr>
          <w:b/>
        </w:rPr>
        <w:t>podle jejich vlastnictví</w:t>
      </w:r>
      <w:r w:rsidR="0091647B">
        <w:rPr>
          <w:b/>
        </w:rPr>
        <w:t xml:space="preserve"> (počet a výše podpory)</w:t>
      </w:r>
      <w:r w:rsidR="00951123">
        <w:rPr>
          <w:b/>
        </w:rPr>
        <w:t>, 2010</w:t>
      </w:r>
      <w:r>
        <w:rPr>
          <w:b/>
        </w:rPr>
        <w:t>–2015</w:t>
      </w:r>
    </w:p>
    <w:p w:rsidR="00B15254" w:rsidRDefault="00DF38DC" w:rsidP="00B15254">
      <w:pPr>
        <w:jc w:val="both"/>
      </w:pPr>
      <w:r>
        <w:rPr>
          <w:noProof/>
        </w:rPr>
        <w:drawing>
          <wp:inline distT="0" distB="0" distL="0" distR="0">
            <wp:extent cx="3159197" cy="1987860"/>
            <wp:effectExtent l="0" t="0" r="3175" b="0"/>
            <wp:docPr id="18" name="Graf 18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3A9C96A-4640-46F1-965A-E7FEE69137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8175" cy="1987860"/>
            <wp:effectExtent l="0" t="0" r="0" b="0"/>
            <wp:docPr id="21" name="Graf 21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C9D0B43-E0F4-4557-871A-5682BB25C5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76E1F" w:rsidRPr="00D76E1F" w:rsidDel="00D76E1F">
        <w:rPr>
          <w:noProof/>
        </w:rPr>
        <w:t xml:space="preserve"> </w:t>
      </w:r>
    </w:p>
    <w:p w:rsidR="003D53AA" w:rsidRDefault="003D53AA" w:rsidP="003D53AA">
      <w:pPr>
        <w:jc w:val="both"/>
        <w:rPr>
          <w:i/>
          <w:sz w:val="18"/>
          <w:szCs w:val="18"/>
        </w:rPr>
      </w:pPr>
      <w:r w:rsidRPr="009558BD">
        <w:rPr>
          <w:i/>
          <w:sz w:val="18"/>
        </w:rPr>
        <w:t xml:space="preserve">Zdroj: </w:t>
      </w:r>
      <w:r w:rsidRPr="00DE6696">
        <w:rPr>
          <w:i/>
          <w:sz w:val="18"/>
        </w:rPr>
        <w:t xml:space="preserve">ČSÚ podle </w:t>
      </w:r>
      <w:r w:rsidR="001667C4">
        <w:rPr>
          <w:i/>
          <w:sz w:val="18"/>
          <w:szCs w:val="18"/>
        </w:rPr>
        <w:t>administrativních dat GFŘ</w:t>
      </w:r>
    </w:p>
    <w:p w:rsidR="00CE4504" w:rsidRDefault="00CE4504" w:rsidP="00693FBD">
      <w:pPr>
        <w:spacing w:before="120"/>
        <w:ind w:firstLine="284"/>
        <w:jc w:val="both"/>
      </w:pPr>
      <w:r>
        <w:lastRenderedPageBreak/>
        <w:t xml:space="preserve">V roce 2015 připadla v průměru na jeden podnik nepřímá veřejná podpora VaV ve výši 1,9 mil. Kč. U soukromých zahraničních podniků to bylo dvakrát více. U soukromých domácích podniků byla průměrná částka nižší (1,1 mil. Kč), a to </w:t>
      </w:r>
      <w:r w:rsidR="000537B8">
        <w:t xml:space="preserve">z důvodu vyššího počtu podniků (také vyššího zastoupení mikro a malých podniků) a nižší celkové částky nepřímé podpory VaV než u zahraničních podniků. </w:t>
      </w:r>
      <w:r>
        <w:t xml:space="preserve">   </w:t>
      </w:r>
    </w:p>
    <w:p w:rsidR="005419BA" w:rsidRDefault="00CE08D6" w:rsidP="00693FBD">
      <w:pPr>
        <w:spacing w:before="120"/>
        <w:ind w:firstLine="284"/>
        <w:jc w:val="both"/>
      </w:pPr>
      <w:r>
        <w:t>Odpočty výdajů na VaV</w:t>
      </w:r>
      <w:r w:rsidR="000B3355">
        <w:t xml:space="preserve"> a</w:t>
      </w:r>
      <w:r w:rsidR="00CB3DC4">
        <w:t xml:space="preserve"> z nich odvozená</w:t>
      </w:r>
      <w:r w:rsidR="000B3355">
        <w:t xml:space="preserve"> nepřímá veřejná podpora VaV</w:t>
      </w:r>
      <w:r>
        <w:t xml:space="preserve"> nebyly uplatňovány rovnoměrně ve všech </w:t>
      </w:r>
      <w:r w:rsidR="00182307">
        <w:t>velikostních skupinách podniků</w:t>
      </w:r>
      <w:r w:rsidR="000E0C52">
        <w:rPr>
          <w:rStyle w:val="Znakapoznpodarou"/>
        </w:rPr>
        <w:footnoteReference w:id="7"/>
      </w:r>
      <w:r w:rsidR="00182307">
        <w:t xml:space="preserve">. </w:t>
      </w:r>
      <w:r w:rsidR="00644C9D">
        <w:t xml:space="preserve">Nejvyšší </w:t>
      </w:r>
      <w:r w:rsidR="002E4155">
        <w:t>počet</w:t>
      </w:r>
      <w:r w:rsidR="00644C9D">
        <w:t xml:space="preserve"> </w:t>
      </w:r>
      <w:r w:rsidR="00135C14" w:rsidRPr="00135C14">
        <w:t>soukromý</w:t>
      </w:r>
      <w:r w:rsidR="00644C9D">
        <w:t xml:space="preserve">ch </w:t>
      </w:r>
      <w:r w:rsidR="00182307">
        <w:t>podnik</w:t>
      </w:r>
      <w:r w:rsidR="00644C9D">
        <w:t>ů</w:t>
      </w:r>
      <w:r w:rsidR="00182307">
        <w:t xml:space="preserve"> </w:t>
      </w:r>
      <w:r w:rsidR="00EB74A4">
        <w:t>(</w:t>
      </w:r>
      <w:r w:rsidR="000B3355">
        <w:t>471</w:t>
      </w:r>
      <w:r w:rsidR="006C446E">
        <w:t>;</w:t>
      </w:r>
      <w:r w:rsidR="00EB74A4">
        <w:t xml:space="preserve"> </w:t>
      </w:r>
      <w:r w:rsidR="000B3355">
        <w:t>36</w:t>
      </w:r>
      <w:r w:rsidR="006C446E">
        <w:t> %)</w:t>
      </w:r>
      <w:r w:rsidR="00135C14" w:rsidRPr="00135C14">
        <w:t>, které v roce 201</w:t>
      </w:r>
      <w:r w:rsidR="000B3355">
        <w:t>5</w:t>
      </w:r>
      <w:r w:rsidR="00135C14" w:rsidRPr="00135C14">
        <w:t xml:space="preserve"> </w:t>
      </w:r>
      <w:r w:rsidR="00644C9D">
        <w:t xml:space="preserve">uplatnily </w:t>
      </w:r>
      <w:r w:rsidR="00182307">
        <w:t xml:space="preserve">odpočty </w:t>
      </w:r>
      <w:r w:rsidR="00BE33B7">
        <w:t xml:space="preserve">výdajů </w:t>
      </w:r>
      <w:r w:rsidR="00AF775B">
        <w:t>na</w:t>
      </w:r>
      <w:r w:rsidR="00182307">
        <w:t xml:space="preserve"> VaV</w:t>
      </w:r>
      <w:r w:rsidR="00644C9D">
        <w:t xml:space="preserve">, </w:t>
      </w:r>
      <w:r w:rsidR="007B3FCD">
        <w:t xml:space="preserve">byly </w:t>
      </w:r>
      <w:r w:rsidR="002E4155">
        <w:t>středn</w:t>
      </w:r>
      <w:r w:rsidR="00E05B49">
        <w:t>ě velké</w:t>
      </w:r>
      <w:r w:rsidR="002E4155">
        <w:t xml:space="preserve"> podniky. </w:t>
      </w:r>
      <w:r w:rsidR="00D7198E">
        <w:t xml:space="preserve">Zástupci této velikostní kategorie </w:t>
      </w:r>
      <w:r w:rsidR="00191E4B">
        <w:t xml:space="preserve">početně </w:t>
      </w:r>
      <w:r w:rsidR="00D57EE6">
        <w:t xml:space="preserve">převažují </w:t>
      </w:r>
      <w:r w:rsidR="001F20F5">
        <w:t xml:space="preserve">i </w:t>
      </w:r>
      <w:r w:rsidR="00D57EE6">
        <w:t xml:space="preserve">mezi jednotkami </w:t>
      </w:r>
      <w:r w:rsidR="002E4155">
        <w:t>provádějí</w:t>
      </w:r>
      <w:r w:rsidR="00CF0137">
        <w:t>cí</w:t>
      </w:r>
      <w:r w:rsidR="00D57EE6">
        <w:t>mi</w:t>
      </w:r>
      <w:r w:rsidR="002E4155">
        <w:t xml:space="preserve"> VaV na území </w:t>
      </w:r>
      <w:r w:rsidR="00971E56">
        <w:t>Č</w:t>
      </w:r>
      <w:r w:rsidR="002E4155">
        <w:t>eské republiky.</w:t>
      </w:r>
      <w:r w:rsidR="000B3355">
        <w:t xml:space="preserve"> Uvedená skupina soukromých podniků získala druhou nejvyšší částku nepřímé podpory VaV (567 mil. Kč; 22 % z celkové výše nepřímé veřejné podpory VaV). Druhou nejpočetnější velikostní skupinou uplatňující daňové zvýhodnění VaV tvořily m</w:t>
      </w:r>
      <w:r w:rsidR="00574547">
        <w:t>alé podniky</w:t>
      </w:r>
      <w:r w:rsidR="000B3355">
        <w:t xml:space="preserve">, které </w:t>
      </w:r>
      <w:r w:rsidR="00574547">
        <w:t xml:space="preserve">uplatnily odečet výdajů na VaV ve </w:t>
      </w:r>
      <w:r w:rsidR="000B3355">
        <w:t>343</w:t>
      </w:r>
      <w:r w:rsidR="00574547">
        <w:t xml:space="preserve"> případech</w:t>
      </w:r>
      <w:r w:rsidR="000B3355">
        <w:t xml:space="preserve"> a získaly</w:t>
      </w:r>
      <w:r w:rsidR="00574547">
        <w:t xml:space="preserve"> </w:t>
      </w:r>
      <w:r w:rsidR="000B3355">
        <w:t>tak nepřímou podporu VaV ve výši 181 mil. Kč.</w:t>
      </w:r>
    </w:p>
    <w:p w:rsidR="00144E72" w:rsidRDefault="005419BA" w:rsidP="00693FBD">
      <w:pPr>
        <w:spacing w:before="120"/>
        <w:ind w:firstLine="284"/>
        <w:jc w:val="both"/>
      </w:pPr>
      <w:r>
        <w:t>Velké podniky mnohem častěji, a to především</w:t>
      </w:r>
      <w:r w:rsidR="00847509">
        <w:t xml:space="preserve"> u podniků</w:t>
      </w:r>
      <w:r>
        <w:t xml:space="preserve"> pod zahraniční kontrolou, využívají nepřím</w:t>
      </w:r>
      <w:r w:rsidR="00FE7501">
        <w:t xml:space="preserve">é </w:t>
      </w:r>
      <w:r w:rsidR="00D338DA">
        <w:t xml:space="preserve">veřejné podpory VaV </w:t>
      </w:r>
      <w:r>
        <w:t>oproti přímé</w:t>
      </w:r>
      <w:r w:rsidR="0092016C">
        <w:t xml:space="preserve"> veřejné podpoře</w:t>
      </w:r>
      <w:r>
        <w:t xml:space="preserve">. </w:t>
      </w:r>
      <w:r w:rsidR="00A1441D">
        <w:t>V</w:t>
      </w:r>
      <w:r>
        <w:t> roce 201</w:t>
      </w:r>
      <w:r w:rsidR="00A1441D">
        <w:t>5</w:t>
      </w:r>
      <w:r>
        <w:t xml:space="preserve"> </w:t>
      </w:r>
      <w:r w:rsidR="00507292">
        <w:t xml:space="preserve">využilo </w:t>
      </w:r>
      <w:r>
        <w:t>nepřímou veřejnou podporu VaV</w:t>
      </w:r>
      <w:r w:rsidR="00A1441D">
        <w:t xml:space="preserve"> 314 velkých podniků, které získaly nepřímou podporu VaV v objemu 1,7 mld. Kč, což představuje </w:t>
      </w:r>
      <w:r w:rsidR="00CB3DC4">
        <w:t>více než dvou třetinový podíl z celkové částky</w:t>
      </w:r>
      <w:r w:rsidR="00A1441D">
        <w:t xml:space="preserve"> nepřímé veřejné podpory u soukromých podniků. </w:t>
      </w:r>
      <w:r w:rsidR="00927D22">
        <w:t xml:space="preserve">Na jeden podnik tak v průměru připadala daňová podpora VaV ve výši 5,6 mil. Kč. </w:t>
      </w:r>
      <w:r w:rsidR="001A15B4">
        <w:t>U středních podniků to bylo 5krát méně.</w:t>
      </w:r>
      <w:r w:rsidR="00927D22">
        <w:t xml:space="preserve"> </w:t>
      </w:r>
      <w:r>
        <w:t xml:space="preserve"> </w:t>
      </w:r>
    </w:p>
    <w:p w:rsidR="00201A1B" w:rsidRDefault="00201A1B" w:rsidP="0054507F">
      <w:pPr>
        <w:rPr>
          <w:b/>
        </w:rPr>
      </w:pPr>
    </w:p>
    <w:p w:rsidR="00DE25AE" w:rsidRPr="00BF09A3" w:rsidRDefault="00BF09A3" w:rsidP="00716471">
      <w:pPr>
        <w:spacing w:after="60"/>
        <w:rPr>
          <w:b/>
        </w:rPr>
      </w:pPr>
      <w:r w:rsidRPr="00A75964">
        <w:rPr>
          <w:b/>
        </w:rPr>
        <w:t xml:space="preserve">GRAF </w:t>
      </w:r>
      <w:r w:rsidR="00E1486C">
        <w:rPr>
          <w:b/>
        </w:rPr>
        <w:t>7</w:t>
      </w:r>
      <w:r w:rsidRPr="00A75964">
        <w:rPr>
          <w:b/>
        </w:rPr>
        <w:t xml:space="preserve">: </w:t>
      </w:r>
      <w:r w:rsidR="009A4061">
        <w:rPr>
          <w:b/>
        </w:rPr>
        <w:t xml:space="preserve">Soukromé podniky využívající </w:t>
      </w:r>
      <w:r w:rsidR="009A4061" w:rsidRPr="004E7D3D">
        <w:rPr>
          <w:b/>
        </w:rPr>
        <w:t>nepřím</w:t>
      </w:r>
      <w:r w:rsidR="009A4061">
        <w:rPr>
          <w:b/>
        </w:rPr>
        <w:t>ou</w:t>
      </w:r>
      <w:r w:rsidR="009A4061" w:rsidRPr="004E7D3D">
        <w:rPr>
          <w:b/>
        </w:rPr>
        <w:t xml:space="preserve"> veřejn</w:t>
      </w:r>
      <w:r w:rsidR="009A4061">
        <w:rPr>
          <w:b/>
        </w:rPr>
        <w:t>ou</w:t>
      </w:r>
      <w:r w:rsidR="009A4061" w:rsidRPr="004E7D3D">
        <w:rPr>
          <w:b/>
        </w:rPr>
        <w:t xml:space="preserve"> podpor</w:t>
      </w:r>
      <w:r w:rsidR="009A4061">
        <w:rPr>
          <w:b/>
        </w:rPr>
        <w:t>u</w:t>
      </w:r>
      <w:r w:rsidR="009A4061" w:rsidRPr="004E7D3D">
        <w:rPr>
          <w:b/>
        </w:rPr>
        <w:t xml:space="preserve"> VaV</w:t>
      </w:r>
      <w:r w:rsidR="009A4061">
        <w:rPr>
          <w:b/>
        </w:rPr>
        <w:t xml:space="preserve"> </w:t>
      </w:r>
      <w:r w:rsidR="00201A1B" w:rsidRPr="00201A1B">
        <w:rPr>
          <w:b/>
        </w:rPr>
        <w:t xml:space="preserve">podle jejich </w:t>
      </w:r>
      <w:r w:rsidR="00201A1B">
        <w:rPr>
          <w:b/>
        </w:rPr>
        <w:t>velikosti</w:t>
      </w:r>
      <w:r w:rsidR="0018200F">
        <w:rPr>
          <w:b/>
        </w:rPr>
        <w:t xml:space="preserve"> (počet a výše podpory)</w:t>
      </w:r>
      <w:r w:rsidR="00951123">
        <w:rPr>
          <w:b/>
        </w:rPr>
        <w:t>, 2010</w:t>
      </w:r>
      <w:r w:rsidR="00E1486C">
        <w:rPr>
          <w:b/>
        </w:rPr>
        <w:t>–2015</w:t>
      </w:r>
    </w:p>
    <w:p w:rsidR="00201A1B" w:rsidRDefault="00201A1B" w:rsidP="00F22E88">
      <w:pPr>
        <w:jc w:val="both"/>
        <w:rPr>
          <w:i/>
          <w:sz w:val="18"/>
        </w:rPr>
      </w:pPr>
      <w:r w:rsidRPr="00201A1B">
        <w:rPr>
          <w:noProof/>
        </w:rPr>
        <w:t xml:space="preserve"> </w:t>
      </w:r>
      <w:r w:rsidR="00645A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3810</wp:posOffset>
            </wp:positionV>
            <wp:extent cx="1619885" cy="2159635"/>
            <wp:effectExtent l="0" t="0" r="0" b="0"/>
            <wp:wrapTight wrapText="bothSides">
              <wp:wrapPolygon edited="0">
                <wp:start x="4064" y="953"/>
                <wp:lineTo x="3302" y="1524"/>
                <wp:lineTo x="3810" y="2096"/>
                <wp:lineTo x="10669" y="4382"/>
                <wp:lineTo x="4318" y="5335"/>
                <wp:lineTo x="4318" y="6097"/>
                <wp:lineTo x="10669" y="7431"/>
                <wp:lineTo x="4318" y="9527"/>
                <wp:lineTo x="4318" y="10289"/>
                <wp:lineTo x="13971" y="10479"/>
                <wp:lineTo x="10923" y="13528"/>
                <wp:lineTo x="4318" y="13909"/>
                <wp:lineTo x="4318" y="14671"/>
                <wp:lineTo x="10669" y="16576"/>
                <wp:lineTo x="4318" y="17338"/>
                <wp:lineTo x="4318" y="18101"/>
                <wp:lineTo x="10669" y="19625"/>
                <wp:lineTo x="4826" y="19815"/>
                <wp:lineTo x="3810" y="20006"/>
                <wp:lineTo x="3810" y="20959"/>
                <wp:lineTo x="17781" y="20959"/>
                <wp:lineTo x="18035" y="20006"/>
                <wp:lineTo x="16003" y="19815"/>
                <wp:lineTo x="10669" y="19625"/>
                <wp:lineTo x="17273" y="18672"/>
                <wp:lineTo x="17273" y="17719"/>
                <wp:lineTo x="10669" y="16576"/>
                <wp:lineTo x="17273" y="15624"/>
                <wp:lineTo x="17273" y="14671"/>
                <wp:lineTo x="10923" y="13528"/>
                <wp:lineTo x="18035" y="10479"/>
                <wp:lineTo x="10669" y="7431"/>
                <wp:lineTo x="17273" y="6478"/>
                <wp:lineTo x="17273" y="5525"/>
                <wp:lineTo x="10669" y="4382"/>
                <wp:lineTo x="12193" y="4382"/>
                <wp:lineTo x="18289" y="1905"/>
                <wp:lineTo x="18035" y="953"/>
                <wp:lineTo x="4064" y="953"/>
              </wp:wrapPolygon>
            </wp:wrapTight>
            <wp:docPr id="34" name="Graf 34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645A5A">
        <w:rPr>
          <w:noProof/>
        </w:rPr>
        <w:drawing>
          <wp:inline distT="0" distB="0" distL="0" distR="0">
            <wp:extent cx="4467226" cy="2160000"/>
            <wp:effectExtent l="0" t="0" r="0" b="0"/>
            <wp:docPr id="35" name="Graf 35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87F82" w:rsidRPr="00687F82">
        <w:rPr>
          <w:noProof/>
        </w:rPr>
        <w:t xml:space="preserve"> </w:t>
      </w:r>
    </w:p>
    <w:p w:rsidR="00BC1FBF" w:rsidRDefault="00DE6696" w:rsidP="00716471">
      <w:pPr>
        <w:spacing w:before="60" w:after="120"/>
        <w:jc w:val="both"/>
        <w:rPr>
          <w:rStyle w:val="st"/>
          <w:sz w:val="22"/>
        </w:rPr>
      </w:pPr>
      <w:r w:rsidRPr="009558BD">
        <w:rPr>
          <w:i/>
          <w:sz w:val="18"/>
        </w:rPr>
        <w:t xml:space="preserve">Zdroj: </w:t>
      </w:r>
      <w:r w:rsidRPr="00DE6696">
        <w:rPr>
          <w:i/>
          <w:sz w:val="18"/>
        </w:rPr>
        <w:t>ČSÚ podle administrativních dat GFŘ</w:t>
      </w:r>
      <w:r w:rsidRPr="009558BD" w:rsidDel="00DE6696">
        <w:rPr>
          <w:i/>
          <w:sz w:val="18"/>
        </w:rPr>
        <w:t xml:space="preserve"> </w:t>
      </w:r>
    </w:p>
    <w:p w:rsidR="00FA5FDF" w:rsidRDefault="00574547" w:rsidP="0018200F">
      <w:pPr>
        <w:spacing w:before="120"/>
        <w:ind w:firstLine="284"/>
        <w:jc w:val="both"/>
      </w:pPr>
      <w:r>
        <w:t xml:space="preserve">Sledujeme-li </w:t>
      </w:r>
      <w:r w:rsidR="00F50352">
        <w:t xml:space="preserve">daňovou podporu VaV </w:t>
      </w:r>
      <w:r>
        <w:t xml:space="preserve">z hlediska </w:t>
      </w:r>
      <w:r w:rsidR="00DE7E9F">
        <w:t>ekonomické činnosti podniků</w:t>
      </w:r>
      <w:r>
        <w:t xml:space="preserve">, které daného nástroje využily, </w:t>
      </w:r>
      <w:r w:rsidR="006B0C92">
        <w:t xml:space="preserve">tak zjistíme, že z celkového počtu podniků uplatňujících daňový odečet výdajů na VaV jich téměř dvě třetiny působilo </w:t>
      </w:r>
      <w:r>
        <w:t>ve zpracovatelském průmyslu (</w:t>
      </w:r>
      <w:r w:rsidR="001A6B8D">
        <w:t>CZ-</w:t>
      </w:r>
      <w:r>
        <w:t>NACE C). V roce 201</w:t>
      </w:r>
      <w:r w:rsidR="006B0C92">
        <w:t>5</w:t>
      </w:r>
      <w:r>
        <w:t xml:space="preserve"> v dané </w:t>
      </w:r>
      <w:r w:rsidR="006D5215">
        <w:t>sekci</w:t>
      </w:r>
      <w:r>
        <w:t xml:space="preserve"> žádalo o daňový odpočet výdajů na VaV </w:t>
      </w:r>
      <w:r w:rsidR="00C634DF">
        <w:t>785</w:t>
      </w:r>
      <w:r>
        <w:t xml:space="preserve"> soukromých podniků</w:t>
      </w:r>
      <w:r w:rsidR="00184606">
        <w:rPr>
          <w:rStyle w:val="Znakapoznpodarou"/>
        </w:rPr>
        <w:footnoteReference w:id="8"/>
      </w:r>
      <w:r w:rsidR="00D32602">
        <w:t>, tj. 2krát více než v roce 2007.</w:t>
      </w:r>
      <w:r w:rsidR="00C634DF">
        <w:t xml:space="preserve"> Uvedené podniky získaly daňovou podporu</w:t>
      </w:r>
      <w:r w:rsidR="002656DE">
        <w:t xml:space="preserve"> VaV ve výši 1,7 mld. Kč</w:t>
      </w:r>
      <w:r w:rsidR="000F436F">
        <w:rPr>
          <w:rStyle w:val="Znakapoznpodarou"/>
        </w:rPr>
        <w:footnoteReference w:id="9"/>
      </w:r>
      <w:r w:rsidR="002656DE">
        <w:t>. V </w:t>
      </w:r>
      <w:r w:rsidR="00C634DF">
        <w:t>průměru</w:t>
      </w:r>
      <w:r w:rsidR="002656DE">
        <w:t xml:space="preserve"> získal podni</w:t>
      </w:r>
      <w:r w:rsidR="00184606">
        <w:t>k v</w:t>
      </w:r>
      <w:r w:rsidR="002656DE">
        <w:t xml:space="preserve">e zpracovatelském průmyslu </w:t>
      </w:r>
      <w:r w:rsidR="00184606" w:rsidRPr="0099779C">
        <w:t xml:space="preserve">nepřímou veřejnou </w:t>
      </w:r>
      <w:r w:rsidR="002656DE" w:rsidRPr="0099779C">
        <w:t>podporu</w:t>
      </w:r>
      <w:r w:rsidR="00184606" w:rsidRPr="0099779C">
        <w:t xml:space="preserve"> VaV</w:t>
      </w:r>
      <w:r w:rsidR="002656DE" w:rsidRPr="0099779C">
        <w:t xml:space="preserve"> ve výši 2 mil. Kč</w:t>
      </w:r>
      <w:r w:rsidR="00C634DF" w:rsidRPr="0099779C">
        <w:t>.</w:t>
      </w:r>
      <w:r w:rsidRPr="0099779C">
        <w:t xml:space="preserve"> </w:t>
      </w:r>
      <w:r w:rsidR="00A65F61" w:rsidRPr="0099779C">
        <w:t>Z celkového počtu soukromých podniků provádějících VaV</w:t>
      </w:r>
      <w:r w:rsidR="00CA27C1" w:rsidRPr="0099779C">
        <w:t xml:space="preserve"> </w:t>
      </w:r>
      <w:r w:rsidR="00A174B3" w:rsidRPr="0099779C">
        <w:t>dle</w:t>
      </w:r>
      <w:r w:rsidR="00CA27C1" w:rsidRPr="0099779C">
        <w:t xml:space="preserve"> šetření VTR</w:t>
      </w:r>
      <w:r w:rsidR="0027509A" w:rsidRPr="0099779C">
        <w:t xml:space="preserve"> 5-01</w:t>
      </w:r>
      <w:r w:rsidR="00A65F61" w:rsidRPr="0099779C">
        <w:t xml:space="preserve"> </w:t>
      </w:r>
      <w:r w:rsidR="00E55662" w:rsidRPr="0099779C">
        <w:t xml:space="preserve">v tomto odvětví </w:t>
      </w:r>
      <w:r w:rsidR="00A65F61" w:rsidRPr="0099779C">
        <w:t>využilo nepřímou veř</w:t>
      </w:r>
      <w:r w:rsidR="00577F03" w:rsidRPr="0099779C">
        <w:t xml:space="preserve">ejnou podporu </w:t>
      </w:r>
      <w:r w:rsidR="0099779C" w:rsidRPr="0099779C">
        <w:t>47</w:t>
      </w:r>
      <w:r w:rsidR="00577F03" w:rsidRPr="0099779C">
        <w:t xml:space="preserve"> %</w:t>
      </w:r>
      <w:r w:rsidR="00B949F1" w:rsidRPr="0099779C">
        <w:t>. V</w:t>
      </w:r>
      <w:r w:rsidR="00A65F61" w:rsidRPr="0099779C">
        <w:t xml:space="preserve"> roce 2010 </w:t>
      </w:r>
      <w:r w:rsidR="00171FA5" w:rsidRPr="0099779C">
        <w:t xml:space="preserve">jich </w:t>
      </w:r>
      <w:r w:rsidR="00A65F61" w:rsidRPr="0099779C">
        <w:t xml:space="preserve">bylo </w:t>
      </w:r>
      <w:r w:rsidR="008C7ED2" w:rsidRPr="0099779C">
        <w:t>27 </w:t>
      </w:r>
      <w:r w:rsidR="00A65F61" w:rsidRPr="0099779C">
        <w:t>%.</w:t>
      </w:r>
    </w:p>
    <w:p w:rsidR="00FA5FDF" w:rsidRPr="00951123" w:rsidRDefault="00CB79B5" w:rsidP="0018200F">
      <w:pPr>
        <w:spacing w:before="120"/>
        <w:ind w:firstLine="284"/>
        <w:jc w:val="both"/>
      </w:pPr>
      <w:r w:rsidRPr="00F917D2">
        <w:t>Daňová podpora VaV je také důležitá pro soukromé podniky působící v oblasti Informačních a komunikačních činností (poskytování IT služeb) [CZ-NACE J] a oblasti Profesních, vědeckých a technických činností [CZ-NACE M].</w:t>
      </w:r>
      <w:r w:rsidR="00D76E2C" w:rsidRPr="00F917D2">
        <w:t xml:space="preserve"> V oblasti poskytování IT služeb využilo v roce 2015 </w:t>
      </w:r>
      <w:r w:rsidR="005363E4">
        <w:t>daňové zvýhodnění</w:t>
      </w:r>
      <w:r w:rsidR="00D76E2C" w:rsidRPr="00F917D2">
        <w:t xml:space="preserve"> VaV 161 podniků, které získaly </w:t>
      </w:r>
      <w:r w:rsidR="005363E4">
        <w:t xml:space="preserve">nepřímou veřejnou </w:t>
      </w:r>
      <w:r w:rsidR="00D76E2C" w:rsidRPr="00F917D2">
        <w:t>podporu</w:t>
      </w:r>
      <w:r w:rsidR="005363E4">
        <w:t xml:space="preserve"> VaV</w:t>
      </w:r>
      <w:r w:rsidR="00D76E2C" w:rsidRPr="00F917D2">
        <w:t xml:space="preserve"> ve výši 396 mil. Kč. U podniků v CZ-NACE M to bylo </w:t>
      </w:r>
      <w:r w:rsidR="00D76E2C" w:rsidRPr="00F917D2">
        <w:lastRenderedPageBreak/>
        <w:t xml:space="preserve">151 podniků (částka daňové podpory VaV – 237 mil. Kč). </w:t>
      </w:r>
      <w:r w:rsidR="00CE2846" w:rsidRPr="00F917D2">
        <w:t xml:space="preserve">V těchto </w:t>
      </w:r>
      <w:r w:rsidR="00F917D2" w:rsidRPr="00F917D2">
        <w:t xml:space="preserve">dvou </w:t>
      </w:r>
      <w:r w:rsidR="00CE2846" w:rsidRPr="00F917D2">
        <w:t>odvětv</w:t>
      </w:r>
      <w:r w:rsidR="003562CA" w:rsidRPr="00F917D2">
        <w:t>ových</w:t>
      </w:r>
      <w:r w:rsidR="00434E4A" w:rsidRPr="00F917D2">
        <w:t xml:space="preserve"> sekcích</w:t>
      </w:r>
      <w:r w:rsidR="001A0B10" w:rsidRPr="00F917D2">
        <w:t xml:space="preserve"> však</w:t>
      </w:r>
      <w:r w:rsidR="00CE2846" w:rsidRPr="00F917D2">
        <w:t>, na rozdíl od zpracovatel</w:t>
      </w:r>
      <w:r w:rsidR="00AE3995" w:rsidRPr="00F917D2">
        <w:t>ského průmyslu, převažovaly</w:t>
      </w:r>
      <w:r w:rsidR="00CE2846" w:rsidRPr="00F917D2">
        <w:t xml:space="preserve"> mezi podniky využívající</w:t>
      </w:r>
      <w:r w:rsidR="001A0B10" w:rsidRPr="00F917D2">
        <w:t>mi</w:t>
      </w:r>
      <w:r w:rsidR="00CE2846" w:rsidRPr="00F917D2">
        <w:t xml:space="preserve"> odečet výdajů na VaV malé podniky. </w:t>
      </w:r>
      <w:r w:rsidR="008C08CC" w:rsidRPr="00F917D2">
        <w:t>Podniky zařazené v sekci M klasifikace CZ-NACE využívají častěji přímou veřejnou podporu VaV než nepřímou.</w:t>
      </w:r>
      <w:r w:rsidR="00CE2846" w:rsidRPr="00F917D2">
        <w:t xml:space="preserve"> </w:t>
      </w:r>
      <w:r w:rsidR="0088780D" w:rsidRPr="00F917D2">
        <w:t>To je dáno především tím, že</w:t>
      </w:r>
      <w:r w:rsidR="00490DC2" w:rsidRPr="00F917D2">
        <w:t xml:space="preserve"> </w:t>
      </w:r>
      <w:r w:rsidR="0088780D" w:rsidRPr="00F917D2">
        <w:t>v této odvětvové sekci se nacházející i podniky s převažující ekonomickou činnosti v oblasti VaV (CZ NACE 72) – soukromé výzkumné organizace, které jsou často příjemci přímé veřejné podpory.</w:t>
      </w:r>
      <w:r w:rsidR="0088780D" w:rsidRPr="00951123">
        <w:t xml:space="preserve">  </w:t>
      </w:r>
    </w:p>
    <w:p w:rsidR="00574547" w:rsidRDefault="00574547" w:rsidP="0018200F">
      <w:pPr>
        <w:spacing w:before="120"/>
        <w:ind w:firstLine="284"/>
        <w:jc w:val="both"/>
      </w:pPr>
      <w:r>
        <w:t>Pokud v roce 2007 nevyužil možnosti odpočtu výdajů na V</w:t>
      </w:r>
      <w:r w:rsidR="00AA77CA">
        <w:t xml:space="preserve">aV žádný podnik v sekci </w:t>
      </w:r>
      <w:r w:rsidR="00CD6A92">
        <w:t>P</w:t>
      </w:r>
      <w:r>
        <w:t>eněžnictví a pojišťovnictví</w:t>
      </w:r>
      <w:r w:rsidR="00CD6A92">
        <w:t xml:space="preserve"> (CZ-NACE K)</w:t>
      </w:r>
      <w:r>
        <w:t>, pak v roce 201</w:t>
      </w:r>
      <w:r w:rsidR="00320639">
        <w:t>5</w:t>
      </w:r>
      <w:r>
        <w:t xml:space="preserve"> to bylo 2</w:t>
      </w:r>
      <w:r w:rsidR="00320639">
        <w:t>4</w:t>
      </w:r>
      <w:r>
        <w:t xml:space="preserve"> podniků</w:t>
      </w:r>
      <w:r w:rsidR="00D46EE4">
        <w:t>. Částka daňové podpory VaV dosáhla 63 mil. Kč</w:t>
      </w:r>
      <w:r>
        <w:t xml:space="preserve">. Podniky z této sekce se naučily využívat </w:t>
      </w:r>
      <w:r w:rsidR="00DE7E9F">
        <w:t>daňové podpory VaV</w:t>
      </w:r>
      <w:r>
        <w:t xml:space="preserve"> a preferují tento nást</w:t>
      </w:r>
      <w:r w:rsidR="00577F03">
        <w:t>roj před přímou veřejnou podporou</w:t>
      </w:r>
      <w:r>
        <w:t xml:space="preserve"> VaV, kterou v roce 201</w:t>
      </w:r>
      <w:r w:rsidR="00320639">
        <w:t>5</w:t>
      </w:r>
      <w:r>
        <w:t xml:space="preserve"> nevyužil ani jeden z nich.</w:t>
      </w:r>
    </w:p>
    <w:p w:rsidR="00AC7183" w:rsidRDefault="00DA4844" w:rsidP="00205553">
      <w:pPr>
        <w:spacing w:before="120" w:after="60"/>
        <w:jc w:val="both"/>
        <w:rPr>
          <w:b/>
        </w:rPr>
      </w:pPr>
      <w:r w:rsidRPr="00FD2946">
        <w:rPr>
          <w:b/>
        </w:rPr>
        <w:t xml:space="preserve">GRAF </w:t>
      </w:r>
      <w:r w:rsidR="009E670B" w:rsidRPr="00FD2946">
        <w:rPr>
          <w:b/>
        </w:rPr>
        <w:t>8</w:t>
      </w:r>
      <w:r w:rsidRPr="00FD2946">
        <w:rPr>
          <w:b/>
        </w:rPr>
        <w:t xml:space="preserve">: </w:t>
      </w:r>
      <w:r w:rsidR="00C93A0D" w:rsidRPr="00FD2946">
        <w:rPr>
          <w:b/>
        </w:rPr>
        <w:t>Soukromé podniky využívající nepřímou veřejnou podporu VaV</w:t>
      </w:r>
      <w:r w:rsidR="00C93A0D" w:rsidRPr="00FD2946" w:rsidDel="00C93A0D">
        <w:rPr>
          <w:b/>
        </w:rPr>
        <w:t xml:space="preserve"> </w:t>
      </w:r>
      <w:r w:rsidR="00A65F61" w:rsidRPr="00FD2946">
        <w:rPr>
          <w:b/>
        </w:rPr>
        <w:t>podle odvětvových sekcí klasifikace CZ</w:t>
      </w:r>
      <w:r w:rsidR="001A6B8D" w:rsidRPr="00FD2946">
        <w:rPr>
          <w:b/>
        </w:rPr>
        <w:t>-</w:t>
      </w:r>
      <w:r w:rsidR="009E670B" w:rsidRPr="00FD2946">
        <w:rPr>
          <w:b/>
        </w:rPr>
        <w:t>NACE</w:t>
      </w:r>
      <w:r w:rsidR="0018200F" w:rsidRPr="00FD2946">
        <w:rPr>
          <w:b/>
        </w:rPr>
        <w:t xml:space="preserve"> (počet a výše podpory)</w:t>
      </w:r>
      <w:r w:rsidR="009E670B" w:rsidRPr="00FD2946">
        <w:rPr>
          <w:b/>
        </w:rPr>
        <w:t>, 2010 a 2015</w:t>
      </w:r>
    </w:p>
    <w:p w:rsidR="006E1970" w:rsidRDefault="00143385" w:rsidP="00951123">
      <w:pPr>
        <w:spacing w:before="120"/>
        <w:jc w:val="both"/>
        <w:rPr>
          <w:noProof/>
        </w:rPr>
      </w:pPr>
      <w:r w:rsidRPr="00143385">
        <w:rPr>
          <w:noProof/>
        </w:rPr>
        <w:t xml:space="preserve"> </w:t>
      </w:r>
      <w:r w:rsidR="00AF7C4B">
        <w:rPr>
          <w:noProof/>
        </w:rPr>
        <w:drawing>
          <wp:inline distT="0" distB="0" distL="0" distR="0">
            <wp:extent cx="5972810" cy="1756410"/>
            <wp:effectExtent l="0" t="0" r="8890" b="0"/>
            <wp:docPr id="9" name="Graf 9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AF7C4B">
        <w:rPr>
          <w:noProof/>
        </w:rPr>
        <w:drawing>
          <wp:inline distT="0" distB="0" distL="0" distR="0">
            <wp:extent cx="5972810" cy="1405255"/>
            <wp:effectExtent l="0" t="0" r="8890" b="4445"/>
            <wp:docPr id="16" name="Graf 16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A4977" w:rsidRDefault="000A4977" w:rsidP="00951123">
      <w:pPr>
        <w:spacing w:before="120"/>
        <w:jc w:val="both"/>
        <w:rPr>
          <w:i/>
          <w:sz w:val="18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61701C" w:rsidRDefault="00215B5B" w:rsidP="00B64CB3">
      <w:pPr>
        <w:spacing w:before="120"/>
        <w:ind w:firstLine="284"/>
        <w:jc w:val="both"/>
      </w:pPr>
      <w:r>
        <w:t>V</w:t>
      </w:r>
      <w:r w:rsidR="00F46606">
        <w:t>e</w:t>
      </w:r>
      <w:r>
        <w:t xml:space="preserve"> zpracovatelské</w:t>
      </w:r>
      <w:r w:rsidR="00F46606">
        <w:t>m</w:t>
      </w:r>
      <w:r>
        <w:t xml:space="preserve"> průmyslu </w:t>
      </w:r>
      <w:r w:rsidR="00B64CB3">
        <w:t xml:space="preserve">co do počtu uplatnily daňový odečet výdajů na VaV nejvíce podniky (183 subjektů) </w:t>
      </w:r>
      <w:r>
        <w:t>ve</w:t>
      </w:r>
      <w:r w:rsidR="009F374A" w:rsidRPr="00183BA3">
        <w:t xml:space="preserve"> strojírens</w:t>
      </w:r>
      <w:r w:rsidR="00933073" w:rsidRPr="00183BA3">
        <w:t>ké</w:t>
      </w:r>
      <w:r>
        <w:t>m</w:t>
      </w:r>
      <w:r w:rsidR="00933073" w:rsidRPr="00183BA3">
        <w:t xml:space="preserve"> a </w:t>
      </w:r>
      <w:r w:rsidR="00A65F61" w:rsidRPr="00183BA3">
        <w:t>opravárens</w:t>
      </w:r>
      <w:r w:rsidR="00933073" w:rsidRPr="00183BA3">
        <w:t>ké</w:t>
      </w:r>
      <w:r>
        <w:t>m</w:t>
      </w:r>
      <w:r w:rsidR="007A3CED" w:rsidRPr="00183BA3">
        <w:t xml:space="preserve"> </w:t>
      </w:r>
      <w:r w:rsidR="00933073" w:rsidRPr="00183BA3">
        <w:t xml:space="preserve">průmyslu </w:t>
      </w:r>
      <w:r w:rsidR="007A3CED" w:rsidRPr="00183BA3">
        <w:t>(</w:t>
      </w:r>
      <w:r w:rsidR="00D87C69">
        <w:t>CZ-</w:t>
      </w:r>
      <w:r w:rsidR="007A3CED" w:rsidRPr="00183BA3">
        <w:t>NACE 28, 331</w:t>
      </w:r>
      <w:r>
        <w:t xml:space="preserve">). </w:t>
      </w:r>
      <w:r w:rsidR="00882081" w:rsidRPr="00882081">
        <w:t xml:space="preserve">Ze všech podniků provádějících VaV ve strojírenském a opravárenském průmyslu, o kterých máme informace ze šetření </w:t>
      </w:r>
      <w:r w:rsidR="0028177B">
        <w:t>o výzkumu a vývoji (</w:t>
      </w:r>
      <w:r w:rsidR="00882081" w:rsidRPr="00882081">
        <w:t xml:space="preserve">VTR 5-01, využila </w:t>
      </w:r>
      <w:r w:rsidR="00B64CB3">
        <w:t xml:space="preserve">v roce 2015 </w:t>
      </w:r>
      <w:r w:rsidR="00882081" w:rsidRPr="00882081">
        <w:t xml:space="preserve">nepřímou veřejnou podporu VaV téměř </w:t>
      </w:r>
      <w:r w:rsidR="00741D6A" w:rsidRPr="00741D6A">
        <w:t>polovina (49</w:t>
      </w:r>
      <w:r w:rsidR="00882081" w:rsidRPr="00741D6A">
        <w:t xml:space="preserve"> %).</w:t>
      </w:r>
      <w:r w:rsidR="00C74DB8" w:rsidRPr="00741D6A">
        <w:t xml:space="preserve"> Podniky</w:t>
      </w:r>
      <w:r w:rsidR="00C74DB8">
        <w:t xml:space="preserve"> v tomto odvětví nárokovaly daňovou podporu pro své VaV činnosti ve výši 274 mil. Kč.</w:t>
      </w:r>
    </w:p>
    <w:p w:rsidR="0061701C" w:rsidRDefault="00D722FD" w:rsidP="00B64CB3">
      <w:pPr>
        <w:spacing w:before="120"/>
        <w:ind w:firstLine="284"/>
        <w:jc w:val="both"/>
      </w:pPr>
      <w:r>
        <w:t>Ze všech odvětví zpracovatelského průmyslu uplatnily vůbec nejvyšší částku daňové podpory VaV (529 mil. Kč) podniky působící v</w:t>
      </w:r>
      <w:r w:rsidR="00994A4E" w:rsidRPr="00183BA3">
        <w:t> </w:t>
      </w:r>
      <w:r w:rsidR="00A56914" w:rsidRPr="00183BA3">
        <w:t>automobilové</w:t>
      </w:r>
      <w:r>
        <w:t>m</w:t>
      </w:r>
      <w:r w:rsidR="00A56914" w:rsidRPr="00183BA3">
        <w:t xml:space="preserve"> průmyslu</w:t>
      </w:r>
      <w:r w:rsidR="007A3CED" w:rsidRPr="00183BA3">
        <w:t xml:space="preserve"> (</w:t>
      </w:r>
      <w:r w:rsidR="00D87C69">
        <w:t>CZ-</w:t>
      </w:r>
      <w:r w:rsidR="007A3CED" w:rsidRPr="00183BA3">
        <w:t>NACE 29)</w:t>
      </w:r>
      <w:r>
        <w:t>. Uvedenou částku obdrželo celkem 46 soukromých podniků. Na jeden podnik tak v průměru připadlo 11,5 mil. Kč</w:t>
      </w:r>
      <w:r w:rsidR="007B1B84">
        <w:rPr>
          <w:rStyle w:val="Znakapoznpodarou"/>
        </w:rPr>
        <w:footnoteReference w:id="10"/>
      </w:r>
      <w:r>
        <w:t xml:space="preserve">. </w:t>
      </w:r>
      <w:r w:rsidR="00AE501C" w:rsidRPr="00183BA3">
        <w:t>Z uvedeného celkového počtu podniků, které uplatnily odečet výdajů VaV</w:t>
      </w:r>
      <w:r w:rsidR="00BE76F6" w:rsidRPr="00183BA3">
        <w:t xml:space="preserve"> v tomto odvětví</w:t>
      </w:r>
      <w:r w:rsidR="00AE501C" w:rsidRPr="00183BA3">
        <w:t>, jich 3</w:t>
      </w:r>
      <w:r w:rsidR="00D36B56">
        <w:t>7</w:t>
      </w:r>
      <w:r w:rsidR="00AE501C" w:rsidRPr="00183BA3">
        <w:t xml:space="preserve"> spadalo do kategorie velkých </w:t>
      </w:r>
      <w:r w:rsidR="009E5D62" w:rsidRPr="00183BA3">
        <w:t>jednotek</w:t>
      </w:r>
      <w:r w:rsidR="00AE501C" w:rsidRPr="00183BA3">
        <w:t>. Zbytek</w:t>
      </w:r>
      <w:r w:rsidR="009D2817">
        <w:t xml:space="preserve"> tvořily </w:t>
      </w:r>
      <w:r w:rsidR="00AE501C" w:rsidRPr="00183BA3">
        <w:t>mal</w:t>
      </w:r>
      <w:r w:rsidR="009D2817">
        <w:t>é</w:t>
      </w:r>
      <w:r w:rsidR="00AE501C" w:rsidRPr="00183BA3">
        <w:t xml:space="preserve"> a střední</w:t>
      </w:r>
      <w:r w:rsidR="009D2817">
        <w:t xml:space="preserve"> podnikatelské subjekty</w:t>
      </w:r>
      <w:r w:rsidR="00AE501C" w:rsidRPr="00183BA3">
        <w:t>.</w:t>
      </w:r>
      <w:r w:rsidR="00D36B56">
        <w:t xml:space="preserve"> Z pohledu vlastnictví</w:t>
      </w:r>
      <w:r w:rsidR="00856E6C" w:rsidRPr="00183BA3">
        <w:t xml:space="preserve"> početně</w:t>
      </w:r>
      <w:r w:rsidR="00D36B56">
        <w:t xml:space="preserve"> o polovinu</w:t>
      </w:r>
      <w:r w:rsidR="00856E6C" w:rsidRPr="00183BA3">
        <w:t xml:space="preserve"> převažovaly </w:t>
      </w:r>
      <w:r w:rsidR="004A7F6D" w:rsidRPr="00183BA3">
        <w:t>zahraniční</w:t>
      </w:r>
      <w:r w:rsidR="00AA024F">
        <w:t xml:space="preserve"> podniky</w:t>
      </w:r>
      <w:r w:rsidR="004A7F6D" w:rsidRPr="00183BA3">
        <w:t xml:space="preserve"> </w:t>
      </w:r>
      <w:r w:rsidR="00D36B56">
        <w:t>(30</w:t>
      </w:r>
      <w:r w:rsidR="00F94952" w:rsidRPr="00183BA3">
        <w:t>)</w:t>
      </w:r>
      <w:r w:rsidR="00856E6C" w:rsidRPr="00183BA3">
        <w:t xml:space="preserve"> nad domácími </w:t>
      </w:r>
      <w:r w:rsidR="00F94952" w:rsidRPr="00183BA3">
        <w:t>(1</w:t>
      </w:r>
      <w:r w:rsidR="00D36B56">
        <w:t>6</w:t>
      </w:r>
      <w:r w:rsidR="00F94952" w:rsidRPr="00183BA3">
        <w:t>)</w:t>
      </w:r>
      <w:r w:rsidR="00856E6C" w:rsidRPr="00183BA3">
        <w:t>.</w:t>
      </w:r>
      <w:r w:rsidR="0013058F">
        <w:t xml:space="preserve"> </w:t>
      </w:r>
    </w:p>
    <w:p w:rsidR="0070709B" w:rsidRDefault="00AE4D94" w:rsidP="0070709B">
      <w:pPr>
        <w:spacing w:before="120"/>
        <w:ind w:firstLine="284"/>
        <w:jc w:val="both"/>
      </w:pPr>
      <w:r>
        <w:t>V odvětví</w:t>
      </w:r>
      <w:r w:rsidR="0070709B" w:rsidRPr="00183BA3">
        <w:t xml:space="preserve"> zabývající se výrobou počítačů, elektronických a optických přístrojů či zařízení</w:t>
      </w:r>
      <w:r w:rsidR="0070709B">
        <w:t xml:space="preserve">, potažmo </w:t>
      </w:r>
      <w:r w:rsidR="0070709B" w:rsidRPr="00183BA3">
        <w:t>elektronick</w:t>
      </w:r>
      <w:r w:rsidR="0070709B">
        <w:t>ém</w:t>
      </w:r>
      <w:r w:rsidR="0070709B" w:rsidRPr="00183BA3">
        <w:t xml:space="preserve"> průmysl</w:t>
      </w:r>
      <w:r w:rsidR="0070709B">
        <w:t>u</w:t>
      </w:r>
      <w:r w:rsidR="0070709B" w:rsidRPr="00183BA3">
        <w:t xml:space="preserve"> (</w:t>
      </w:r>
      <w:r w:rsidR="0070709B">
        <w:t>CZ-</w:t>
      </w:r>
      <w:r w:rsidR="0070709B" w:rsidRPr="00183BA3">
        <w:t xml:space="preserve">NACE 26) odečetlo své </w:t>
      </w:r>
      <w:r w:rsidR="0070709B">
        <w:t>výdaje</w:t>
      </w:r>
      <w:r w:rsidR="0070709B" w:rsidRPr="00183BA3">
        <w:t xml:space="preserve"> na VaV od daňového základu 60 podniků, jejichž převážnou část tvořily malé a středně velké subjekty. </w:t>
      </w:r>
    </w:p>
    <w:p w:rsidR="00510D4F" w:rsidRDefault="00630B4A" w:rsidP="006E3720">
      <w:pPr>
        <w:spacing w:before="120"/>
        <w:jc w:val="both"/>
        <w:rPr>
          <w:b/>
        </w:rPr>
      </w:pPr>
      <w:r w:rsidRPr="006E3720">
        <w:rPr>
          <w:b/>
        </w:rPr>
        <w:lastRenderedPageBreak/>
        <w:t>GRAF 9</w:t>
      </w:r>
      <w:r w:rsidR="00E158E3" w:rsidRPr="006E3720">
        <w:rPr>
          <w:b/>
        </w:rPr>
        <w:t xml:space="preserve">: </w:t>
      </w:r>
      <w:r w:rsidR="00C93A0D" w:rsidRPr="006E3720">
        <w:rPr>
          <w:b/>
        </w:rPr>
        <w:t>Soukromé podniky využívající nepřímou veřejnou podporu VaV</w:t>
      </w:r>
      <w:r w:rsidR="00C93A0D" w:rsidRPr="006E3720" w:rsidDel="00C93A0D">
        <w:rPr>
          <w:b/>
        </w:rPr>
        <w:t xml:space="preserve"> </w:t>
      </w:r>
      <w:r w:rsidR="00F35998" w:rsidRPr="006E3720">
        <w:rPr>
          <w:b/>
        </w:rPr>
        <w:t xml:space="preserve">ve zpracovatelském průmyslu </w:t>
      </w:r>
      <w:r w:rsidR="005419BA" w:rsidRPr="006E3720">
        <w:rPr>
          <w:b/>
        </w:rPr>
        <w:t>podle odvětví klasifikace CZ</w:t>
      </w:r>
      <w:r w:rsidR="00D87C69" w:rsidRPr="006E3720">
        <w:rPr>
          <w:b/>
        </w:rPr>
        <w:t>-</w:t>
      </w:r>
      <w:r w:rsidR="005419BA" w:rsidRPr="006E3720">
        <w:rPr>
          <w:b/>
        </w:rPr>
        <w:t>NACE</w:t>
      </w:r>
      <w:r w:rsidRPr="006E3720">
        <w:rPr>
          <w:b/>
        </w:rPr>
        <w:t>, 2015</w:t>
      </w:r>
    </w:p>
    <w:p w:rsidR="006E3720" w:rsidRPr="006E3720" w:rsidRDefault="00751074" w:rsidP="006E3720">
      <w:pPr>
        <w:spacing w:before="120"/>
        <w:jc w:val="both"/>
        <w:rPr>
          <w:b/>
        </w:rPr>
      </w:pPr>
      <w:r>
        <w:rPr>
          <w:noProof/>
        </w:rPr>
        <w:drawing>
          <wp:inline distT="0" distB="0" distL="0" distR="0">
            <wp:extent cx="5972810" cy="2810510"/>
            <wp:effectExtent l="0" t="0" r="8890" b="8890"/>
            <wp:docPr id="4" name="Graf 4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AC2FB3">
        <w:rPr>
          <w:noProof/>
        </w:rPr>
        <w:drawing>
          <wp:inline distT="0" distB="0" distL="0" distR="0" wp14:anchorId="05132EF3" wp14:editId="244E80B8">
            <wp:extent cx="5972810" cy="2810510"/>
            <wp:effectExtent l="0" t="0" r="8890" b="8890"/>
            <wp:docPr id="15" name="Graf 15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1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0714" w:rsidRDefault="005A0714" w:rsidP="00091E44">
      <w:pPr>
        <w:jc w:val="both"/>
      </w:pPr>
    </w:p>
    <w:p w:rsidR="00603BF6" w:rsidRDefault="006E0C59" w:rsidP="006E1970">
      <w:pPr>
        <w:spacing w:before="60" w:after="100" w:afterAutospacing="1"/>
        <w:jc w:val="both"/>
        <w:rPr>
          <w:i/>
          <w:sz w:val="18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D74F7F" w:rsidRDefault="00206C36" w:rsidP="00AD1D52">
      <w:pPr>
        <w:spacing w:before="120"/>
        <w:ind w:firstLine="284"/>
        <w:jc w:val="both"/>
      </w:pPr>
      <w:r>
        <w:t>Srovnáváme-li počty soukromých podniků, které v roce 201</w:t>
      </w:r>
      <w:r w:rsidR="00D70357">
        <w:t>5</w:t>
      </w:r>
      <w:r>
        <w:t xml:space="preserve"> využily </w:t>
      </w:r>
      <w:r w:rsidR="004E07F2">
        <w:t>daňovou podporu</w:t>
      </w:r>
      <w:r>
        <w:t xml:space="preserve"> VaV</w:t>
      </w:r>
      <w:r w:rsidR="005455DA">
        <w:t>,</w:t>
      </w:r>
      <w:r>
        <w:t xml:space="preserve"> </w:t>
      </w:r>
      <w:r w:rsidR="005455DA">
        <w:t>mezi</w:t>
      </w:r>
      <w:r>
        <w:t xml:space="preserve"> jednotlivými </w:t>
      </w:r>
      <w:r w:rsidR="00BE76F6">
        <w:t xml:space="preserve">kraji </w:t>
      </w:r>
      <w:r>
        <w:t xml:space="preserve">České republiky, nejvíce </w:t>
      </w:r>
      <w:r w:rsidR="002976B9">
        <w:t>jich</w:t>
      </w:r>
      <w:r>
        <w:t xml:space="preserve"> sídlilo</w:t>
      </w:r>
      <w:r w:rsidR="002976B9">
        <w:t xml:space="preserve"> v </w:t>
      </w:r>
      <w:r w:rsidR="00472688">
        <w:t>Praze</w:t>
      </w:r>
      <w:r w:rsidR="00C140D5">
        <w:t xml:space="preserve"> (</w:t>
      </w:r>
      <w:r w:rsidR="00D70357">
        <w:t>333</w:t>
      </w:r>
      <w:r w:rsidR="00C140D5">
        <w:t>)</w:t>
      </w:r>
      <w:r w:rsidR="00472688">
        <w:t xml:space="preserve">. </w:t>
      </w:r>
      <w:r>
        <w:t xml:space="preserve">Za </w:t>
      </w:r>
      <w:r w:rsidR="000541B5">
        <w:t>hlavním městem</w:t>
      </w:r>
      <w:r>
        <w:t xml:space="preserve"> následuj</w:t>
      </w:r>
      <w:r w:rsidR="007A04CE">
        <w:t>í</w:t>
      </w:r>
      <w:r>
        <w:t xml:space="preserve"> </w:t>
      </w:r>
      <w:r w:rsidR="00472688">
        <w:t>Jihomoravský kraj s</w:t>
      </w:r>
      <w:r w:rsidR="00C7594F">
        <w:t xml:space="preserve"> </w:t>
      </w:r>
      <w:r w:rsidR="00D70357">
        <w:t>187</w:t>
      </w:r>
      <w:r w:rsidR="00472688">
        <w:t xml:space="preserve"> podniky a </w:t>
      </w:r>
      <w:r w:rsidR="00D70357">
        <w:t>Zlínský</w:t>
      </w:r>
      <w:r w:rsidR="00472688">
        <w:t xml:space="preserve"> </w:t>
      </w:r>
      <w:r w:rsidR="003C54D3">
        <w:t>kraj s</w:t>
      </w:r>
      <w:r w:rsidR="005455DA">
        <w:t>e</w:t>
      </w:r>
      <w:r w:rsidR="00C7594F">
        <w:t xml:space="preserve"> </w:t>
      </w:r>
      <w:r w:rsidR="00D70357">
        <w:t>122</w:t>
      </w:r>
      <w:r w:rsidR="00472688">
        <w:t xml:space="preserve"> podniky. </w:t>
      </w:r>
      <w:r>
        <w:t xml:space="preserve">Nejméně </w:t>
      </w:r>
      <w:r w:rsidR="00D31E66">
        <w:t>subjektů</w:t>
      </w:r>
      <w:r w:rsidR="00D74F7F">
        <w:t xml:space="preserve">, které uplatnily odečet výdajů na VaV, </w:t>
      </w:r>
      <w:r w:rsidR="009A2016">
        <w:t xml:space="preserve">pocházelo z </w:t>
      </w:r>
      <w:r w:rsidR="00D74F7F">
        <w:t>Karlovarské</w:t>
      </w:r>
      <w:r w:rsidR="009A2016">
        <w:t>ho</w:t>
      </w:r>
      <w:r w:rsidR="00D74F7F">
        <w:t xml:space="preserve"> kraj</w:t>
      </w:r>
      <w:r w:rsidR="009A2016">
        <w:t>e</w:t>
      </w:r>
      <w:r w:rsidR="00D74F7F">
        <w:t xml:space="preserve"> (</w:t>
      </w:r>
      <w:r w:rsidR="00D70357">
        <w:t>14</w:t>
      </w:r>
      <w:r w:rsidR="00D74F7F">
        <w:t xml:space="preserve"> </w:t>
      </w:r>
      <w:r w:rsidR="00933073">
        <w:t>podniků</w:t>
      </w:r>
      <w:r w:rsidR="00D74F7F">
        <w:t>).</w:t>
      </w:r>
      <w:r w:rsidR="008D3CBD">
        <w:t xml:space="preserve"> </w:t>
      </w:r>
      <w:r w:rsidR="009A2016">
        <w:t>Rozložení</w:t>
      </w:r>
      <w:r w:rsidR="008D3CBD">
        <w:t xml:space="preserve"> p</w:t>
      </w:r>
      <w:r w:rsidR="0070046A">
        <w:t xml:space="preserve">odniků </w:t>
      </w:r>
      <w:r w:rsidR="009A2016">
        <w:t xml:space="preserve">napříč regiony </w:t>
      </w:r>
      <w:r w:rsidR="0070046A">
        <w:t xml:space="preserve">z velké části </w:t>
      </w:r>
      <w:r w:rsidR="009A2016">
        <w:t xml:space="preserve">odráží </w:t>
      </w:r>
      <w:r w:rsidR="008D3CBD">
        <w:t xml:space="preserve">celkové rozložení </w:t>
      </w:r>
      <w:r w:rsidR="003D1BBE">
        <w:t xml:space="preserve">soukromých </w:t>
      </w:r>
      <w:r w:rsidR="008D3CBD">
        <w:t>podniků provádějících VaV</w:t>
      </w:r>
      <w:r w:rsidR="003D1BBE">
        <w:t xml:space="preserve">, </w:t>
      </w:r>
      <w:r w:rsidR="00EE14BA">
        <w:t>což lze doložit daty z</w:t>
      </w:r>
      <w:r w:rsidR="005C4540">
        <w:t>e</w:t>
      </w:r>
      <w:r w:rsidR="00C96482">
        <w:t xml:space="preserve"> šetření </w:t>
      </w:r>
      <w:r w:rsidR="003D1BBE">
        <w:t>o výzkumu a vývoji (</w:t>
      </w:r>
      <w:r w:rsidR="00C96482">
        <w:t>VTR</w:t>
      </w:r>
      <w:r w:rsidR="003D1BBE">
        <w:t xml:space="preserve"> 5-01)</w:t>
      </w:r>
      <w:r w:rsidR="008D3CBD">
        <w:t xml:space="preserve">. </w:t>
      </w:r>
    </w:p>
    <w:p w:rsidR="006C7EA7" w:rsidRDefault="00C140D5" w:rsidP="00AD1D52">
      <w:pPr>
        <w:spacing w:before="120"/>
        <w:ind w:firstLine="284"/>
        <w:jc w:val="both"/>
      </w:pPr>
      <w:r>
        <w:t xml:space="preserve">Ve všech krajích, </w:t>
      </w:r>
      <w:r w:rsidR="005455DA">
        <w:t>kromě</w:t>
      </w:r>
      <w:r w:rsidR="00F502E5">
        <w:t xml:space="preserve"> </w:t>
      </w:r>
      <w:r>
        <w:t xml:space="preserve">hlavního města Prahy, </w:t>
      </w:r>
      <w:r w:rsidR="00ED0646">
        <w:t>v roce 2015</w:t>
      </w:r>
      <w:r w:rsidR="005455DA">
        <w:t xml:space="preserve"> mezi </w:t>
      </w:r>
      <w:r>
        <w:t>žadatel</w:t>
      </w:r>
      <w:r w:rsidR="005455DA">
        <w:t>i</w:t>
      </w:r>
      <w:r>
        <w:t xml:space="preserve"> </w:t>
      </w:r>
      <w:r w:rsidR="005455DA">
        <w:t xml:space="preserve">o </w:t>
      </w:r>
      <w:r w:rsidR="002036A6">
        <w:t>nepřím</w:t>
      </w:r>
      <w:r w:rsidR="005455DA">
        <w:t>ou</w:t>
      </w:r>
      <w:r w:rsidR="002036A6">
        <w:t xml:space="preserve"> veřejn</w:t>
      </w:r>
      <w:r w:rsidR="005455DA">
        <w:t>ou</w:t>
      </w:r>
      <w:r w:rsidR="002036A6">
        <w:t xml:space="preserve"> podpor</w:t>
      </w:r>
      <w:r w:rsidR="005455DA">
        <w:t>u</w:t>
      </w:r>
      <w:r w:rsidR="002036A6">
        <w:t xml:space="preserve"> VaV</w:t>
      </w:r>
      <w:r w:rsidR="005455DA">
        <w:t xml:space="preserve">, převažovaly podniky </w:t>
      </w:r>
      <w:r>
        <w:t>působící ve zpracovatelském průmyslu (</w:t>
      </w:r>
      <w:r w:rsidR="008B5965">
        <w:t>CZ-</w:t>
      </w:r>
      <w:r>
        <w:t>NACE C).</w:t>
      </w:r>
      <w:r w:rsidR="004E07F2">
        <w:t xml:space="preserve"> </w:t>
      </w:r>
      <w:r w:rsidR="004D4F8D">
        <w:t xml:space="preserve">Pro Prahu je charakteristické </w:t>
      </w:r>
      <w:r w:rsidR="0050486B">
        <w:t>silné zastoupení firem</w:t>
      </w:r>
      <w:r w:rsidR="004D4F8D">
        <w:t xml:space="preserve"> provádějících výzkum a vývoj</w:t>
      </w:r>
      <w:r w:rsidR="0050486B">
        <w:t xml:space="preserve"> </w:t>
      </w:r>
      <w:r w:rsidR="004D4F8D">
        <w:t>v oblasti informačních a komunikačních technologií (</w:t>
      </w:r>
      <w:r w:rsidR="002036A6">
        <w:t xml:space="preserve">sekce </w:t>
      </w:r>
      <w:r w:rsidR="0050486B">
        <w:t> </w:t>
      </w:r>
      <w:r w:rsidR="008B5965">
        <w:t>CZ-</w:t>
      </w:r>
      <w:r w:rsidR="0050486B">
        <w:t>NACE J</w:t>
      </w:r>
      <w:r w:rsidR="004D4F8D">
        <w:t>)</w:t>
      </w:r>
      <w:r w:rsidR="0050486B">
        <w:t>.</w:t>
      </w:r>
      <w:r w:rsidR="001C45AC">
        <w:t xml:space="preserve"> </w:t>
      </w:r>
    </w:p>
    <w:p w:rsidR="006C7EA7" w:rsidRDefault="002814B4" w:rsidP="002814B4">
      <w:pPr>
        <w:ind w:firstLine="284"/>
        <w:jc w:val="both"/>
      </w:pPr>
      <w:r>
        <w:t xml:space="preserve">Z celkové částky nepřímé veřejné podpory VaV </w:t>
      </w:r>
      <w:r w:rsidR="009D3D3E">
        <w:t>získané soukromými podniky v</w:t>
      </w:r>
      <w:r>
        <w:t> ČR,</w:t>
      </w:r>
      <w:r w:rsidR="009D3D3E">
        <w:t xml:space="preserve"> připadla třetina </w:t>
      </w:r>
      <w:r w:rsidR="00312451">
        <w:t xml:space="preserve">(850 mil. Kč) </w:t>
      </w:r>
      <w:r w:rsidR="009D3D3E">
        <w:t xml:space="preserve">podnikům sídlícím v hlavním </w:t>
      </w:r>
      <w:r w:rsidR="00CB654D">
        <w:t xml:space="preserve">městě, z toho podnikům v oblasti IT služeb (CZ-NACE J) pak </w:t>
      </w:r>
      <w:r w:rsidR="006E582A">
        <w:t>více než třetina (</w:t>
      </w:r>
      <w:r w:rsidR="00CB654D">
        <w:t>306 mil. Kč</w:t>
      </w:r>
      <w:r w:rsidR="006E582A">
        <w:t>).</w:t>
      </w:r>
      <w:r w:rsidR="00312451">
        <w:t xml:space="preserve"> Hranici půl miliardy Kč překonal již pouze Středočeský kraj (527 mil. Kč). </w:t>
      </w:r>
      <w:r w:rsidR="00E44790">
        <w:t xml:space="preserve">Téměř </w:t>
      </w:r>
      <w:r w:rsidR="00E44790">
        <w:lastRenderedPageBreak/>
        <w:t xml:space="preserve">veškerou podporu (96 %; 506 mil. Kč) zde získaly podniky ve zpracovatelském průmyslu. </w:t>
      </w:r>
      <w:r w:rsidR="00312451">
        <w:t>Vý</w:t>
      </w:r>
      <w:r w:rsidR="00B34DA5">
        <w:t xml:space="preserve">znamnou roli </w:t>
      </w:r>
      <w:r w:rsidR="00312451">
        <w:t>hrají</w:t>
      </w:r>
      <w:r w:rsidR="00B34DA5">
        <w:t xml:space="preserve"> zejména</w:t>
      </w:r>
      <w:r w:rsidR="00312451">
        <w:t xml:space="preserve"> podniky provádějící VaV v odvětví automobilového průmyslu.</w:t>
      </w:r>
      <w:r w:rsidR="009D12F1">
        <w:t xml:space="preserve"> Převážná část nepřímé veřejné podpory VaV ve Středočeském kraji směřovala do podniků pod zahraniční kontrolou (86 %; 451 mil. Kč). </w:t>
      </w:r>
      <w:r w:rsidR="00E44790">
        <w:t xml:space="preserve"> </w:t>
      </w:r>
    </w:p>
    <w:p w:rsidR="0083159F" w:rsidRDefault="00630B4A" w:rsidP="006E582A">
      <w:pPr>
        <w:spacing w:before="120"/>
        <w:jc w:val="both"/>
        <w:rPr>
          <w:b/>
        </w:rPr>
      </w:pPr>
      <w:r w:rsidRPr="00275BC0">
        <w:rPr>
          <w:b/>
        </w:rPr>
        <w:t>GRAF 10</w:t>
      </w:r>
      <w:r w:rsidR="0083159F" w:rsidRPr="00275BC0">
        <w:rPr>
          <w:b/>
        </w:rPr>
        <w:t xml:space="preserve">: </w:t>
      </w:r>
      <w:r w:rsidR="00EC5D6C" w:rsidRPr="00275BC0">
        <w:rPr>
          <w:b/>
        </w:rPr>
        <w:t>Soukromé podniky využívající nepřímou veřejnou podporu VaV</w:t>
      </w:r>
      <w:r w:rsidR="00EC5D6C" w:rsidRPr="00275BC0" w:rsidDel="00C93A0D">
        <w:rPr>
          <w:b/>
        </w:rPr>
        <w:t xml:space="preserve"> </w:t>
      </w:r>
      <w:r w:rsidR="0083159F" w:rsidRPr="00275BC0">
        <w:rPr>
          <w:b/>
        </w:rPr>
        <w:t xml:space="preserve">podle </w:t>
      </w:r>
      <w:r w:rsidR="00322A85" w:rsidRPr="00275BC0">
        <w:rPr>
          <w:b/>
        </w:rPr>
        <w:t>kraje</w:t>
      </w:r>
      <w:r w:rsidR="00AC3697" w:rsidRPr="00275BC0">
        <w:rPr>
          <w:b/>
        </w:rPr>
        <w:t xml:space="preserve"> </w:t>
      </w:r>
      <w:r w:rsidR="00322A85" w:rsidRPr="00275BC0">
        <w:rPr>
          <w:b/>
        </w:rPr>
        <w:t>sídla</w:t>
      </w:r>
      <w:r w:rsidR="000313F1" w:rsidRPr="00275BC0">
        <w:rPr>
          <w:b/>
        </w:rPr>
        <w:t xml:space="preserve"> podniku</w:t>
      </w:r>
      <w:r w:rsidR="00BE607F" w:rsidRPr="00275BC0">
        <w:rPr>
          <w:b/>
        </w:rPr>
        <w:t xml:space="preserve"> (</w:t>
      </w:r>
      <w:r w:rsidR="00391F28" w:rsidRPr="00275BC0">
        <w:rPr>
          <w:b/>
        </w:rPr>
        <w:t xml:space="preserve">klasifikace </w:t>
      </w:r>
      <w:r w:rsidR="002A7621" w:rsidRPr="00275BC0">
        <w:rPr>
          <w:b/>
        </w:rPr>
        <w:t>CZ-</w:t>
      </w:r>
      <w:r w:rsidR="00BE607F" w:rsidRPr="00275BC0">
        <w:rPr>
          <w:b/>
        </w:rPr>
        <w:t>NUTS</w:t>
      </w:r>
      <w:r w:rsidR="00482B61" w:rsidRPr="00275BC0">
        <w:rPr>
          <w:rStyle w:val="Znakapoznpodarou"/>
          <w:b/>
        </w:rPr>
        <w:footnoteReference w:id="11"/>
      </w:r>
      <w:r w:rsidR="00BE607F" w:rsidRPr="00275BC0">
        <w:rPr>
          <w:b/>
        </w:rPr>
        <w:t xml:space="preserve"> 3)</w:t>
      </w:r>
      <w:r w:rsidRPr="00275BC0">
        <w:rPr>
          <w:b/>
        </w:rPr>
        <w:t>, 2015</w:t>
      </w:r>
    </w:p>
    <w:p w:rsidR="0083159F" w:rsidRPr="00710A84" w:rsidRDefault="00751074" w:rsidP="00604FC4">
      <w:pPr>
        <w:spacing w:before="120"/>
        <w:jc w:val="both"/>
        <w:rPr>
          <w:b/>
        </w:rPr>
      </w:pPr>
      <w:r>
        <w:rPr>
          <w:noProof/>
        </w:rPr>
        <w:drawing>
          <wp:inline distT="0" distB="0" distL="0" distR="0">
            <wp:extent cx="5972810" cy="2696210"/>
            <wp:effectExtent l="0" t="0" r="8890" b="8890"/>
            <wp:docPr id="2" name="Graf 2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2810" cy="2801620"/>
            <wp:effectExtent l="0" t="0" r="8890" b="0"/>
            <wp:docPr id="3" name="Graf 3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F26E7" w:rsidRDefault="006F26E7" w:rsidP="00782C2D">
      <w:pPr>
        <w:spacing w:before="120"/>
        <w:jc w:val="both"/>
        <w:rPr>
          <w:i/>
          <w:sz w:val="18"/>
        </w:rPr>
      </w:pPr>
    </w:p>
    <w:p w:rsidR="008D3CBD" w:rsidRDefault="006E0C59" w:rsidP="00782C2D">
      <w:pPr>
        <w:spacing w:before="120"/>
        <w:jc w:val="both"/>
        <w:rPr>
          <w:b/>
          <w:highlight w:val="yellow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5B65C2" w:rsidRPr="00A5724F" w:rsidRDefault="005B65C2" w:rsidP="00A5724F">
      <w:pPr>
        <w:jc w:val="both"/>
        <w:rPr>
          <w:i/>
          <w:sz w:val="18"/>
        </w:rPr>
      </w:pPr>
      <w:bookmarkStart w:id="1" w:name="_Toc415056896"/>
    </w:p>
    <w:p w:rsidR="001775E7" w:rsidRDefault="007214BF" w:rsidP="005C0BF9">
      <w:pPr>
        <w:pStyle w:val="Nadpis2"/>
        <w:pageBreakBefore/>
      </w:pPr>
      <w:r>
        <w:lastRenderedPageBreak/>
        <w:t>3.3</w:t>
      </w:r>
      <w:r w:rsidR="00FC3657">
        <w:t xml:space="preserve"> </w:t>
      </w:r>
      <w:r w:rsidR="002D3A94">
        <w:t>Nepřímá veřejná podpora VaV</w:t>
      </w:r>
      <w:r w:rsidR="00D424DE">
        <w:t xml:space="preserve"> </w:t>
      </w:r>
      <w:r w:rsidR="001775E7">
        <w:t>v mezinárodním kontextu</w:t>
      </w:r>
    </w:p>
    <w:bookmarkEnd w:id="1"/>
    <w:p w:rsidR="00DF11D8" w:rsidRDefault="00DC698A" w:rsidP="00124784">
      <w:pPr>
        <w:spacing w:before="120"/>
        <w:jc w:val="both"/>
      </w:pPr>
      <w:r>
        <w:t xml:space="preserve">Nepřímá veřejná (daňová) podpora VaV je v zemích OECD hojně využívaným nástrojem podpory VaV v podnikové sféře. </w:t>
      </w:r>
      <w:r w:rsidR="00172B12">
        <w:t xml:space="preserve">S výjimkou </w:t>
      </w:r>
      <w:r>
        <w:t>šest</w:t>
      </w:r>
      <w:r w:rsidR="00172B12">
        <w:t>i</w:t>
      </w:r>
      <w:r>
        <w:t xml:space="preserve"> zemí mohou </w:t>
      </w:r>
      <w:r w:rsidR="00172B12">
        <w:t>podniky v</w:t>
      </w:r>
      <w:r>
        <w:t xml:space="preserve"> zemích OECD podniky využ</w:t>
      </w:r>
      <w:r w:rsidR="006C50CC">
        <w:t>ít</w:t>
      </w:r>
      <w:r>
        <w:t xml:space="preserve"> některou z možností daňové podpory VaV. Mezi země, </w:t>
      </w:r>
      <w:r w:rsidR="009F5EC5">
        <w:t>v</w:t>
      </w:r>
      <w:r w:rsidR="00DD319B">
        <w:t> </w:t>
      </w:r>
      <w:r w:rsidR="009F5EC5">
        <w:t>nichž</w:t>
      </w:r>
      <w:r w:rsidR="00DD319B">
        <w:t xml:space="preserve"> </w:t>
      </w:r>
      <w:r>
        <w:t xml:space="preserve">daňová podpora VaV </w:t>
      </w:r>
      <w:r w:rsidR="00DB6452">
        <w:t xml:space="preserve">není </w:t>
      </w:r>
      <w:r w:rsidR="00172B12">
        <w:t xml:space="preserve">zatím </w:t>
      </w:r>
      <w:r>
        <w:t>zavedena</w:t>
      </w:r>
      <w:r w:rsidR="00F55CC4">
        <w:t>,</w:t>
      </w:r>
      <w:r w:rsidR="00A20A84">
        <w:t xml:space="preserve"> patří </w:t>
      </w:r>
      <w:r>
        <w:t xml:space="preserve">i </w:t>
      </w:r>
      <w:r w:rsidR="00172B12">
        <w:t xml:space="preserve">Německo – </w:t>
      </w:r>
      <w:r w:rsidR="005C22C7" w:rsidRPr="005C22C7">
        <w:t>hlavní obchodní partner</w:t>
      </w:r>
      <w:r w:rsidR="00172B12">
        <w:t xml:space="preserve"> České republiky</w:t>
      </w:r>
      <w:r w:rsidR="005C22C7">
        <w:t>.</w:t>
      </w:r>
      <w:r>
        <w:t xml:space="preserve"> </w:t>
      </w:r>
    </w:p>
    <w:p w:rsidR="00DC698A" w:rsidRPr="00DF11D8" w:rsidRDefault="007214BF" w:rsidP="00DF11D8">
      <w:pPr>
        <w:pStyle w:val="Nadpis3"/>
        <w:spacing w:before="120"/>
        <w:rPr>
          <w:sz w:val="22"/>
        </w:rPr>
      </w:pPr>
      <w:r>
        <w:rPr>
          <w:rStyle w:val="st"/>
          <w:sz w:val="22"/>
        </w:rPr>
        <w:t>3.3</w:t>
      </w:r>
      <w:r w:rsidR="00DF11D8" w:rsidRPr="00E17709">
        <w:rPr>
          <w:rStyle w:val="st"/>
          <w:sz w:val="22"/>
        </w:rPr>
        <w:t>.</w:t>
      </w:r>
      <w:r w:rsidR="00DF11D8">
        <w:rPr>
          <w:rStyle w:val="st"/>
          <w:sz w:val="22"/>
        </w:rPr>
        <w:t>1</w:t>
      </w:r>
      <w:r w:rsidR="00DF11D8" w:rsidRPr="00E17709">
        <w:rPr>
          <w:rStyle w:val="st"/>
          <w:sz w:val="22"/>
        </w:rPr>
        <w:t xml:space="preserve"> </w:t>
      </w:r>
      <w:r w:rsidR="00DF11D8">
        <w:rPr>
          <w:rStyle w:val="st"/>
          <w:sz w:val="22"/>
        </w:rPr>
        <w:t>Podíl</w:t>
      </w:r>
      <w:r w:rsidR="00DF11D8" w:rsidRPr="00E17709">
        <w:rPr>
          <w:rStyle w:val="st"/>
          <w:sz w:val="22"/>
        </w:rPr>
        <w:t xml:space="preserve"> nepřímé veřejné podpory VaV</w:t>
      </w:r>
      <w:r w:rsidR="00DF11D8">
        <w:rPr>
          <w:rStyle w:val="st"/>
          <w:sz w:val="22"/>
        </w:rPr>
        <w:t xml:space="preserve"> na hrubém domácím produktu</w:t>
      </w:r>
      <w:r w:rsidR="00DF11D8" w:rsidRPr="00E17709">
        <w:rPr>
          <w:rStyle w:val="st"/>
          <w:sz w:val="22"/>
        </w:rPr>
        <w:t xml:space="preserve">  </w:t>
      </w:r>
      <w:r w:rsidR="00DC698A">
        <w:t xml:space="preserve">  </w:t>
      </w:r>
    </w:p>
    <w:p w:rsidR="00124784" w:rsidRDefault="001775E7" w:rsidP="008E5C16">
      <w:pPr>
        <w:spacing w:before="120"/>
        <w:ind w:firstLine="284"/>
        <w:jc w:val="both"/>
      </w:pPr>
      <w:r>
        <w:t xml:space="preserve">Nejvyšší podíl </w:t>
      </w:r>
      <w:r w:rsidR="00DC698A">
        <w:t xml:space="preserve">nepřímé veřejné podpory </w:t>
      </w:r>
      <w:r w:rsidR="00B07572">
        <w:t xml:space="preserve">VaV </w:t>
      </w:r>
      <w:r>
        <w:t>k HDP byl v roce 201</w:t>
      </w:r>
      <w:r w:rsidR="00BE3ADF">
        <w:t>4</w:t>
      </w:r>
      <w:r>
        <w:t xml:space="preserve"> z vybraných ze</w:t>
      </w:r>
      <w:r w:rsidR="00BE3ADF">
        <w:t>mí OECD dosažen v Irsku (0,29 %). Druhou zemí s nejvyšším podílem nepřímé veřejné podpory VaV na HDP byla Francie (0,27</w:t>
      </w:r>
      <w:r>
        <w:t> %).</w:t>
      </w:r>
      <w:r w:rsidR="003071E1">
        <w:t xml:space="preserve"> V této zemi </w:t>
      </w:r>
      <w:r w:rsidR="00B07572">
        <w:t xml:space="preserve">jako </w:t>
      </w:r>
      <w:r w:rsidR="00F55CC4">
        <w:t xml:space="preserve">v </w:t>
      </w:r>
      <w:r w:rsidR="00B07572">
        <w:t xml:space="preserve">jedné z mála </w:t>
      </w:r>
      <w:r w:rsidR="00B822E5">
        <w:t xml:space="preserve">dosáhla výše </w:t>
      </w:r>
      <w:r w:rsidR="00F55CC4">
        <w:t>nepřím</w:t>
      </w:r>
      <w:r w:rsidR="00B822E5">
        <w:t>é</w:t>
      </w:r>
      <w:r w:rsidR="00F55CC4">
        <w:t xml:space="preserve"> podpor</w:t>
      </w:r>
      <w:r w:rsidR="00B822E5">
        <w:t xml:space="preserve">y VaV vyšší hodnoty než výše financování VaV v soukromých podnicích přímo ze státního rozpočtu. </w:t>
      </w:r>
      <w:r>
        <w:t>Zajímavá je pozice České republiky</w:t>
      </w:r>
      <w:r w:rsidR="00CE56E4">
        <w:t>. Ta se</w:t>
      </w:r>
      <w:r>
        <w:t xml:space="preserve"> </w:t>
      </w:r>
      <w:r w:rsidR="00CE56E4">
        <w:t xml:space="preserve">s </w:t>
      </w:r>
      <w:r>
        <w:t>podíl</w:t>
      </w:r>
      <w:r w:rsidR="00CE56E4">
        <w:t>em</w:t>
      </w:r>
      <w:r>
        <w:t xml:space="preserve"> </w:t>
      </w:r>
      <w:r w:rsidR="005C22C7">
        <w:t>nepřímé veřejné podpory</w:t>
      </w:r>
      <w:r w:rsidR="00B07572">
        <w:t xml:space="preserve"> VaV </w:t>
      </w:r>
      <w:r>
        <w:t xml:space="preserve">k HDP </w:t>
      </w:r>
      <w:r w:rsidR="00CE56E4">
        <w:t xml:space="preserve">ve výši </w:t>
      </w:r>
      <w:r w:rsidR="00BE3ADF">
        <w:t>0,05</w:t>
      </w:r>
      <w:r w:rsidR="00710C31">
        <w:t> </w:t>
      </w:r>
      <w:r>
        <w:t>%</w:t>
      </w:r>
      <w:r w:rsidR="00710C31">
        <w:t xml:space="preserve"> </w:t>
      </w:r>
      <w:r>
        <w:t xml:space="preserve">ocitla </w:t>
      </w:r>
      <w:r w:rsidR="00A81347">
        <w:t xml:space="preserve">na úrovni Dánska (0,06 %), </w:t>
      </w:r>
      <w:r>
        <w:t>Spojen</w:t>
      </w:r>
      <w:r w:rsidR="00A81347">
        <w:t>ých</w:t>
      </w:r>
      <w:r>
        <w:t xml:space="preserve"> stát</w:t>
      </w:r>
      <w:r w:rsidR="00A81347">
        <w:t>ů</w:t>
      </w:r>
      <w:r>
        <w:t xml:space="preserve"> (0,0</w:t>
      </w:r>
      <w:r w:rsidR="00A81347">
        <w:t>7</w:t>
      </w:r>
      <w:r>
        <w:t> %</w:t>
      </w:r>
      <w:r w:rsidR="00BE3ADF">
        <w:t xml:space="preserve"> v roce 2013</w:t>
      </w:r>
      <w:r>
        <w:t>)</w:t>
      </w:r>
      <w:r w:rsidR="00BE3ADF">
        <w:t xml:space="preserve"> a Číny (0,06</w:t>
      </w:r>
      <w:r w:rsidR="00A81347">
        <w:t> %)</w:t>
      </w:r>
      <w:r>
        <w:t>. V rámci tzv. nových členských zemí EU j</w:t>
      </w:r>
      <w:r w:rsidR="00F638C8">
        <w:t>sou</w:t>
      </w:r>
      <w:r>
        <w:t xml:space="preserve"> na tom lépe než ČR pouze Maďarsko (0,1</w:t>
      </w:r>
      <w:r w:rsidR="00BE3ADF">
        <w:t>5 %) a Slovinsko (0,10</w:t>
      </w:r>
      <w:r w:rsidR="003B75E7">
        <w:t> </w:t>
      </w:r>
      <w:r>
        <w:t xml:space="preserve">%). </w:t>
      </w:r>
    </w:p>
    <w:p w:rsidR="00124784" w:rsidRPr="006D7F8A" w:rsidRDefault="00242ACA" w:rsidP="008E5C16">
      <w:pPr>
        <w:spacing w:before="120" w:after="120"/>
        <w:ind w:firstLine="284"/>
        <w:jc w:val="both"/>
      </w:pPr>
      <w:r>
        <w:t xml:space="preserve">V případě Finska (0,01 %), které stále patří k zemím s vysokou mírou investic do VaV v EU, byl nástroj </w:t>
      </w:r>
      <w:r w:rsidR="005C22C7">
        <w:t xml:space="preserve">daňové </w:t>
      </w:r>
      <w:r>
        <w:t>podpory VaV zaveden až v roce 2013</w:t>
      </w:r>
      <w:r w:rsidR="006C50CC">
        <w:t>.</w:t>
      </w:r>
      <w:r w:rsidR="009B5624">
        <w:t xml:space="preserve"> Daňová podpora ve Finsku ovšem nezohledňuje výši výdajů na VaV. </w:t>
      </w:r>
      <w:r w:rsidR="001775E7">
        <w:t xml:space="preserve">V Číně dosáhl podíl </w:t>
      </w:r>
      <w:r w:rsidR="005C22C7">
        <w:t>nepřímé veřejné podpory</w:t>
      </w:r>
      <w:r w:rsidR="00B07572">
        <w:t xml:space="preserve"> VaV </w:t>
      </w:r>
      <w:r w:rsidR="001775E7">
        <w:t>na HDP v roce 20</w:t>
      </w:r>
      <w:r w:rsidR="00DB4A23">
        <w:t>13</w:t>
      </w:r>
      <w:r w:rsidR="001775E7">
        <w:t xml:space="preserve"> </w:t>
      </w:r>
      <w:r w:rsidR="00B822E5">
        <w:t xml:space="preserve">výše zmíněného </w:t>
      </w:r>
      <w:r w:rsidR="001775E7">
        <w:t>podílu 0,0</w:t>
      </w:r>
      <w:r w:rsidR="00DB4A23">
        <w:t>7</w:t>
      </w:r>
      <w:r w:rsidR="001775E7">
        <w:t> %.</w:t>
      </w:r>
      <w:r w:rsidR="001D3737">
        <w:t xml:space="preserve"> Z asijských ekonomik zaznamenala nejvyšší podíl nepřímé veřejné podpory VaV na HDP Jižní Korea (0,19 %). </w:t>
      </w:r>
      <w:r w:rsidR="001775E7">
        <w:t xml:space="preserve"> </w:t>
      </w:r>
      <w:r w:rsidR="001D3737">
        <w:t>V Japonsku byl podíl na úrovni 0,14 %.</w:t>
      </w:r>
      <w:r w:rsidR="00E203F4">
        <w:t xml:space="preserve"> Přitom výdaje na VaV v Japonsku byly v roce 2014 byly téměř 3krát větší než v Jižní Koreji. </w:t>
      </w:r>
    </w:p>
    <w:p w:rsidR="001775E7" w:rsidRDefault="00E076DE" w:rsidP="00514B3C">
      <w:pPr>
        <w:spacing w:before="120" w:after="100" w:afterAutospacing="1"/>
        <w:jc w:val="both"/>
        <w:rPr>
          <w:b/>
        </w:rPr>
      </w:pPr>
      <w:r>
        <w:rPr>
          <w:b/>
        </w:rPr>
        <w:t>GRAF 1</w:t>
      </w:r>
      <w:r w:rsidR="001775E7">
        <w:rPr>
          <w:b/>
        </w:rPr>
        <w:t>1</w:t>
      </w:r>
      <w:r w:rsidR="001775E7" w:rsidRPr="00710A84">
        <w:rPr>
          <w:b/>
        </w:rPr>
        <w:t xml:space="preserve">: </w:t>
      </w:r>
      <w:r w:rsidR="002D3A94">
        <w:rPr>
          <w:b/>
        </w:rPr>
        <w:t>Nepřímá veřejná podpora VaV</w:t>
      </w:r>
      <w:r w:rsidR="00CD5FCE">
        <w:rPr>
          <w:b/>
        </w:rPr>
        <w:t xml:space="preserve"> </w:t>
      </w:r>
      <w:r w:rsidR="001775E7">
        <w:rPr>
          <w:b/>
        </w:rPr>
        <w:t>ve vybraných zemích</w:t>
      </w:r>
      <w:r w:rsidR="00E0386D">
        <w:rPr>
          <w:b/>
        </w:rPr>
        <w:t xml:space="preserve"> OECD</w:t>
      </w:r>
      <w:r w:rsidR="001775E7">
        <w:rPr>
          <w:b/>
        </w:rPr>
        <w:t xml:space="preserve"> v roce 201</w:t>
      </w:r>
      <w:r w:rsidR="00EB4236">
        <w:rPr>
          <w:b/>
        </w:rPr>
        <w:t>4</w:t>
      </w:r>
      <w:r w:rsidR="001775E7">
        <w:rPr>
          <w:b/>
        </w:rPr>
        <w:t xml:space="preserve"> </w:t>
      </w:r>
      <w:r w:rsidR="00EE19D4">
        <w:rPr>
          <w:b/>
        </w:rPr>
        <w:t>(podíl n</w:t>
      </w:r>
      <w:r w:rsidR="00F12B9A">
        <w:rPr>
          <w:b/>
        </w:rPr>
        <w:t>a</w:t>
      </w:r>
      <w:r w:rsidR="00EE19D4">
        <w:rPr>
          <w:b/>
        </w:rPr>
        <w:t xml:space="preserve"> HDP)</w:t>
      </w:r>
    </w:p>
    <w:p w:rsidR="00AE5259" w:rsidRDefault="00B73E45" w:rsidP="005F6A35">
      <w:pPr>
        <w:spacing w:before="120"/>
        <w:jc w:val="both"/>
        <w:rPr>
          <w:i/>
          <w:sz w:val="18"/>
        </w:rPr>
      </w:pPr>
      <w:r w:rsidRPr="00B73E45">
        <w:rPr>
          <w:noProof/>
        </w:rPr>
        <w:t xml:space="preserve"> </w:t>
      </w:r>
      <w:r w:rsidRPr="006C7525">
        <w:rPr>
          <w:i/>
          <w:sz w:val="18"/>
        </w:rPr>
        <w:t xml:space="preserve"> </w:t>
      </w:r>
      <w:r w:rsidR="008E1D9E">
        <w:rPr>
          <w:noProof/>
        </w:rPr>
        <w:drawing>
          <wp:inline distT="0" distB="0" distL="0" distR="0">
            <wp:extent cx="5972810" cy="2686685"/>
            <wp:effectExtent l="0" t="0" r="889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E5259" w:rsidRPr="006C7525">
        <w:rPr>
          <w:i/>
          <w:sz w:val="18"/>
        </w:rPr>
        <w:t>Zdroj: OECD</w:t>
      </w:r>
      <w:r w:rsidR="00E07EEF" w:rsidRPr="006C7525">
        <w:rPr>
          <w:i/>
          <w:sz w:val="18"/>
        </w:rPr>
        <w:t xml:space="preserve"> </w:t>
      </w:r>
      <w:r w:rsidR="006C7525">
        <w:rPr>
          <w:i/>
          <w:sz w:val="18"/>
        </w:rPr>
        <w:t>201</w:t>
      </w:r>
      <w:r w:rsidR="00B57987">
        <w:rPr>
          <w:i/>
          <w:sz w:val="18"/>
        </w:rPr>
        <w:t>7</w:t>
      </w:r>
    </w:p>
    <w:p w:rsidR="00AE5259" w:rsidRPr="001775E7" w:rsidRDefault="00AE5259" w:rsidP="001775E7">
      <w:pPr>
        <w:jc w:val="both"/>
        <w:rPr>
          <w:i/>
          <w:sz w:val="18"/>
        </w:rPr>
      </w:pPr>
    </w:p>
    <w:p w:rsidR="00DF11D8" w:rsidRPr="00DF11D8" w:rsidRDefault="007214BF" w:rsidP="00DF11D8">
      <w:pPr>
        <w:pStyle w:val="Nadpis3"/>
        <w:spacing w:before="120"/>
        <w:rPr>
          <w:sz w:val="22"/>
        </w:rPr>
      </w:pPr>
      <w:r>
        <w:rPr>
          <w:rStyle w:val="st"/>
          <w:sz w:val="22"/>
        </w:rPr>
        <w:t>3.3</w:t>
      </w:r>
      <w:bookmarkStart w:id="2" w:name="_GoBack"/>
      <w:bookmarkEnd w:id="2"/>
      <w:r w:rsidR="00DF11D8" w:rsidRPr="00E17709">
        <w:rPr>
          <w:rStyle w:val="st"/>
          <w:sz w:val="22"/>
        </w:rPr>
        <w:t>.</w:t>
      </w:r>
      <w:r w:rsidR="00DF11D8">
        <w:rPr>
          <w:rStyle w:val="st"/>
          <w:sz w:val="22"/>
        </w:rPr>
        <w:t>2</w:t>
      </w:r>
      <w:r w:rsidR="00DF11D8" w:rsidRPr="00E17709">
        <w:rPr>
          <w:rStyle w:val="st"/>
          <w:sz w:val="22"/>
        </w:rPr>
        <w:t xml:space="preserve"> </w:t>
      </w:r>
      <w:r w:rsidR="00DF11D8">
        <w:rPr>
          <w:rStyle w:val="st"/>
          <w:sz w:val="22"/>
        </w:rPr>
        <w:t>Výše</w:t>
      </w:r>
      <w:r w:rsidR="00DF11D8" w:rsidRPr="00E17709">
        <w:rPr>
          <w:rStyle w:val="st"/>
          <w:sz w:val="22"/>
        </w:rPr>
        <w:t xml:space="preserve"> nepřímé veřejné podpory VaV</w:t>
      </w:r>
      <w:r w:rsidR="00DF11D8">
        <w:rPr>
          <w:rStyle w:val="st"/>
          <w:sz w:val="22"/>
        </w:rPr>
        <w:t xml:space="preserve"> v paritě kupní síly</w:t>
      </w:r>
      <w:r w:rsidR="00DF11D8" w:rsidRPr="00E17709">
        <w:rPr>
          <w:rStyle w:val="st"/>
          <w:sz w:val="22"/>
        </w:rPr>
        <w:t xml:space="preserve">  </w:t>
      </w:r>
      <w:r w:rsidR="00DF11D8">
        <w:t xml:space="preserve">  </w:t>
      </w:r>
    </w:p>
    <w:p w:rsidR="003A0B95" w:rsidRPr="008B0BBF" w:rsidRDefault="001775E7" w:rsidP="008E5C16">
      <w:pPr>
        <w:spacing w:before="120"/>
        <w:ind w:firstLine="284"/>
        <w:jc w:val="both"/>
      </w:pPr>
      <w:r w:rsidRPr="008B0BBF">
        <w:t xml:space="preserve">Nejvyšší absolutní částku </w:t>
      </w:r>
      <w:r w:rsidR="00D96588" w:rsidRPr="008B0BBF">
        <w:t>nepřímé veřejné podpory</w:t>
      </w:r>
      <w:r w:rsidR="00B07572" w:rsidRPr="008B0BBF">
        <w:t xml:space="preserve"> VaV</w:t>
      </w:r>
      <w:r w:rsidR="00347A9E" w:rsidRPr="008B0BBF">
        <w:t>,</w:t>
      </w:r>
      <w:r w:rsidRPr="008B0BBF">
        <w:t xml:space="preserve"> měřeno v paritě kupní síly</w:t>
      </w:r>
      <w:r w:rsidR="00347A9E" w:rsidRPr="008B0BBF">
        <w:t>,</w:t>
      </w:r>
      <w:r w:rsidR="008B0BBF" w:rsidRPr="008B0BBF">
        <w:t xml:space="preserve"> obdržely v roce 2013</w:t>
      </w:r>
      <w:r w:rsidRPr="008B0BBF">
        <w:t xml:space="preserve"> podniky ve Spojených státech (</w:t>
      </w:r>
      <w:r w:rsidR="008B0BBF" w:rsidRPr="008B0BBF">
        <w:t>11 294</w:t>
      </w:r>
      <w:r w:rsidRPr="008B0BBF">
        <w:t xml:space="preserve"> mil. USD). Na druhém místě </w:t>
      </w:r>
      <w:r w:rsidR="005C64B3">
        <w:t xml:space="preserve">byla </w:t>
      </w:r>
      <w:r w:rsidR="00416B8E" w:rsidRPr="008B0BBF">
        <w:t xml:space="preserve">Čína </w:t>
      </w:r>
      <w:r w:rsidRPr="008B0BBF">
        <w:t>s  nepřímou podporou VaV ve výši </w:t>
      </w:r>
      <w:r w:rsidR="008B0BBF" w:rsidRPr="008B0BBF">
        <w:t>9 412</w:t>
      </w:r>
      <w:r w:rsidRPr="008B0BBF">
        <w:t> mil. USD.</w:t>
      </w:r>
      <w:r w:rsidR="008B0BBF" w:rsidRPr="008B0BBF">
        <w:t xml:space="preserve"> </w:t>
      </w:r>
      <w:r w:rsidR="008B0BBF" w:rsidRPr="000701B1">
        <w:t xml:space="preserve">Výše nepřímé </w:t>
      </w:r>
      <w:r w:rsidR="008810E4">
        <w:t xml:space="preserve">veřejné </w:t>
      </w:r>
      <w:r w:rsidR="008B0BBF" w:rsidRPr="000701B1">
        <w:t>podpory VaV v Číně v let</w:t>
      </w:r>
      <w:r w:rsidR="00B97D6A">
        <w:t>ech</w:t>
      </w:r>
      <w:r w:rsidR="008B0BBF" w:rsidRPr="000701B1">
        <w:t xml:space="preserve"> 2011–2013 spíše stagnuje. V</w:t>
      </w:r>
      <w:r w:rsidR="00251F9F">
        <w:t xml:space="preserve">e </w:t>
      </w:r>
      <w:r w:rsidR="008B0BBF" w:rsidRPr="000701B1">
        <w:t>Spojených stát</w:t>
      </w:r>
      <w:r w:rsidR="00100806">
        <w:t>ech</w:t>
      </w:r>
      <w:r w:rsidR="008B0BBF" w:rsidRPr="000701B1">
        <w:t xml:space="preserve"> byl zaznamenán mírný růst.</w:t>
      </w:r>
      <w:r w:rsidR="008B0BBF" w:rsidRPr="008B0BBF">
        <w:t xml:space="preserve"> </w:t>
      </w:r>
      <w:r w:rsidR="009125DA">
        <w:t xml:space="preserve">Po USA a Číně se z hlediska </w:t>
      </w:r>
      <w:r w:rsidR="009B4DF9">
        <w:t xml:space="preserve">objemu nepřímé veřejné podpory VaV </w:t>
      </w:r>
      <w:r w:rsidR="00BF1D46">
        <w:t>umístily</w:t>
      </w:r>
      <w:r w:rsidRPr="008B0BBF">
        <w:t xml:space="preserve"> </w:t>
      </w:r>
      <w:r w:rsidR="00416B8E" w:rsidRPr="008B0BBF">
        <w:t xml:space="preserve">dvě </w:t>
      </w:r>
      <w:r w:rsidRPr="008B0BBF">
        <w:t>velké asijské ekonomiky</w:t>
      </w:r>
      <w:r w:rsidR="00D91D14">
        <w:t xml:space="preserve">: </w:t>
      </w:r>
      <w:r w:rsidRPr="008B0BBF">
        <w:t xml:space="preserve">Japonsko a </w:t>
      </w:r>
      <w:r w:rsidR="008B0BBF" w:rsidRPr="008B0BBF">
        <w:t xml:space="preserve">Korejská republika. Částka nepřímé veřejné podpory VaV </w:t>
      </w:r>
      <w:r w:rsidR="009251C3">
        <w:t>byla</w:t>
      </w:r>
      <w:r w:rsidR="008B0BBF" w:rsidRPr="008B0BBF">
        <w:t xml:space="preserve"> v případě Korejské republiky (3 201 mil. USD)</w:t>
      </w:r>
      <w:r w:rsidR="005B496A">
        <w:t>. V</w:t>
      </w:r>
      <w:r w:rsidR="008B0BBF" w:rsidRPr="008B0BBF">
        <w:t xml:space="preserve">e srovnání s Japonskem (6 586 mil. USD) </w:t>
      </w:r>
      <w:r w:rsidR="005B496A">
        <w:lastRenderedPageBreak/>
        <w:t xml:space="preserve">byla </w:t>
      </w:r>
      <w:r w:rsidR="008B0BBF" w:rsidRPr="008B0BBF">
        <w:t>poloviční.</w:t>
      </w:r>
      <w:r w:rsidRPr="008B0BBF">
        <w:t xml:space="preserve"> </w:t>
      </w:r>
      <w:r w:rsidR="008B0BBF" w:rsidRPr="008B0BBF">
        <w:t>Prvně u</w:t>
      </w:r>
      <w:r w:rsidRPr="008B0BBF">
        <w:t>vedené země</w:t>
      </w:r>
      <w:r w:rsidR="00311E71">
        <w:t xml:space="preserve">, </w:t>
      </w:r>
      <w:r w:rsidRPr="008B0BBF">
        <w:t>USA a Čína</w:t>
      </w:r>
      <w:r w:rsidR="00311E71">
        <w:t xml:space="preserve">, </w:t>
      </w:r>
      <w:r w:rsidRPr="008B0BBF">
        <w:t>používají jako nástroj nepřímé veřejné podpory slevu na dani</w:t>
      </w:r>
      <w:r w:rsidRPr="008B0BBF">
        <w:rPr>
          <w:rStyle w:val="Znakapoznpodarou"/>
        </w:rPr>
        <w:footnoteReference w:id="12"/>
      </w:r>
      <w:r w:rsidRPr="008B0BBF">
        <w:t>.</w:t>
      </w:r>
    </w:p>
    <w:p w:rsidR="003678B8" w:rsidRDefault="00416B8E" w:rsidP="008E5C16">
      <w:pPr>
        <w:spacing w:before="120"/>
        <w:ind w:firstLine="284"/>
        <w:jc w:val="both"/>
      </w:pPr>
      <w:r>
        <w:t>V</w:t>
      </w:r>
      <w:r w:rsidR="00293089">
        <w:t> Evropské unii</w:t>
      </w:r>
      <w:r>
        <w:t xml:space="preserve"> využívají nepřímou veřejnou podporu VaV nejvíce firmy ve Francii</w:t>
      </w:r>
      <w:r w:rsidR="009D2BE1">
        <w:t>.</w:t>
      </w:r>
      <w:r w:rsidR="004155CD">
        <w:t xml:space="preserve"> N</w:t>
      </w:r>
      <w:r w:rsidR="002D3A94">
        <w:t>epřímá veřejná podpora VaV</w:t>
      </w:r>
      <w:r w:rsidR="00CD5FCE">
        <w:t xml:space="preserve"> </w:t>
      </w:r>
      <w:r w:rsidR="004155CD">
        <w:t xml:space="preserve">zde </w:t>
      </w:r>
      <w:r w:rsidR="008B0BBF">
        <w:t>v roce 2013</w:t>
      </w:r>
      <w:r>
        <w:t xml:space="preserve"> dosáhl</w:t>
      </w:r>
      <w:r w:rsidR="00293089">
        <w:t>a</w:t>
      </w:r>
      <w:r w:rsidR="008B0BBF">
        <w:t xml:space="preserve"> 7 143</w:t>
      </w:r>
      <w:r>
        <w:t xml:space="preserve"> mil. USD</w:t>
      </w:r>
      <w:r w:rsidR="00B822E5">
        <w:t xml:space="preserve"> v PPP</w:t>
      </w:r>
      <w:r w:rsidR="003A5EC2">
        <w:t>, dvakrát</w:t>
      </w:r>
      <w:r>
        <w:t xml:space="preserve"> více než ve </w:t>
      </w:r>
      <w:r w:rsidR="003A5EC2">
        <w:t>Spojeném království</w:t>
      </w:r>
      <w:r>
        <w:t xml:space="preserve"> (</w:t>
      </w:r>
      <w:r w:rsidR="003A5EC2">
        <w:t>3</w:t>
      </w:r>
      <w:r w:rsidR="00B07572">
        <w:t> </w:t>
      </w:r>
      <w:r w:rsidR="003A5EC2">
        <w:t>539</w:t>
      </w:r>
      <w:r w:rsidR="00B07572">
        <w:t> </w:t>
      </w:r>
      <w:r w:rsidR="003A0B95">
        <w:t>mil.</w:t>
      </w:r>
      <w:r w:rsidR="00B07572">
        <w:t> </w:t>
      </w:r>
      <w:r w:rsidR="003A0B95">
        <w:t>USD</w:t>
      </w:r>
      <w:r w:rsidR="00B822E5">
        <w:t xml:space="preserve"> v PPP</w:t>
      </w:r>
      <w:r w:rsidR="003A0B95">
        <w:t>).</w:t>
      </w:r>
    </w:p>
    <w:p w:rsidR="001775E7" w:rsidRDefault="001775E7" w:rsidP="008E5C16">
      <w:pPr>
        <w:spacing w:before="120" w:after="120"/>
        <w:ind w:firstLine="284"/>
        <w:jc w:val="both"/>
      </w:pPr>
      <w:r>
        <w:t xml:space="preserve">Pozice České republiky je úměrná velikosti ekonomiky a objemu výdajů podniků </w:t>
      </w:r>
      <w:r w:rsidR="005A4539">
        <w:t>na</w:t>
      </w:r>
      <w:r>
        <w:t xml:space="preserve"> výzkum a vývoj</w:t>
      </w:r>
      <w:r w:rsidR="00E96046">
        <w:rPr>
          <w:rStyle w:val="Znakapoznpodarou"/>
        </w:rPr>
        <w:footnoteReference w:id="13"/>
      </w:r>
      <w:r>
        <w:t>. V roce 201</w:t>
      </w:r>
      <w:r w:rsidR="003A5EC2">
        <w:t>4</w:t>
      </w:r>
      <w:r>
        <w:t xml:space="preserve"> dosáhla výše </w:t>
      </w:r>
      <w:r w:rsidR="00D96588">
        <w:t>nepřímé veřejné podpory</w:t>
      </w:r>
      <w:r w:rsidR="00552AF9">
        <w:t xml:space="preserve"> VaV </w:t>
      </w:r>
      <w:r>
        <w:t>v ČR 1</w:t>
      </w:r>
      <w:r w:rsidR="0072281F">
        <w:t>80</w:t>
      </w:r>
      <w:r w:rsidR="00552AF9">
        <w:t> </w:t>
      </w:r>
      <w:r>
        <w:t>mil.</w:t>
      </w:r>
      <w:r w:rsidR="00552AF9">
        <w:t> </w:t>
      </w:r>
      <w:r>
        <w:t>USD</w:t>
      </w:r>
      <w:r w:rsidR="00B822E5">
        <w:t xml:space="preserve"> (měřeno v paritě kupní síly)</w:t>
      </w:r>
      <w:r>
        <w:t xml:space="preserve">. </w:t>
      </w:r>
      <w:r w:rsidR="00233AA3">
        <w:t>Z tzv. nových členských zemí EU nás výš</w:t>
      </w:r>
      <w:r w:rsidR="00293089">
        <w:t>í</w:t>
      </w:r>
      <w:r w:rsidR="0072281F">
        <w:t xml:space="preserve"> poskytnuté</w:t>
      </w:r>
      <w:r w:rsidR="00233AA3">
        <w:t xml:space="preserve"> </w:t>
      </w:r>
      <w:r w:rsidR="00D96588">
        <w:t>nepřímé veřejné podpory</w:t>
      </w:r>
      <w:r w:rsidR="00233AA3">
        <w:t xml:space="preserve"> Va</w:t>
      </w:r>
      <w:r w:rsidR="0072281F">
        <w:t>V předstihlo pouze Maďarsko (384</w:t>
      </w:r>
      <w:r w:rsidR="00D96588">
        <w:t> </w:t>
      </w:r>
      <w:r w:rsidR="00233AA3">
        <w:t>mil.</w:t>
      </w:r>
      <w:r w:rsidR="00D96588">
        <w:t> </w:t>
      </w:r>
      <w:r w:rsidR="00233AA3">
        <w:t>USD v paritě kupní síly).</w:t>
      </w:r>
    </w:p>
    <w:p w:rsidR="001775E7" w:rsidRDefault="00E076DE" w:rsidP="00514B3C">
      <w:pPr>
        <w:spacing w:before="120" w:after="100" w:afterAutospacing="1"/>
        <w:jc w:val="both"/>
      </w:pPr>
      <w:r>
        <w:rPr>
          <w:b/>
        </w:rPr>
        <w:t>GRAF 1</w:t>
      </w:r>
      <w:r w:rsidR="001775E7">
        <w:rPr>
          <w:b/>
        </w:rPr>
        <w:t>2</w:t>
      </w:r>
      <w:r w:rsidR="001775E7" w:rsidRPr="00710A84">
        <w:rPr>
          <w:b/>
        </w:rPr>
        <w:t xml:space="preserve">: </w:t>
      </w:r>
      <w:r w:rsidR="001775E7">
        <w:rPr>
          <w:b/>
        </w:rPr>
        <w:t>Nepřímá veřejná podpora</w:t>
      </w:r>
      <w:r w:rsidR="00CD5FCE">
        <w:rPr>
          <w:b/>
        </w:rPr>
        <w:t xml:space="preserve"> VaV</w:t>
      </w:r>
      <w:r w:rsidR="001775E7">
        <w:rPr>
          <w:b/>
        </w:rPr>
        <w:t xml:space="preserve"> ve vybraných zemích </w:t>
      </w:r>
      <w:r w:rsidR="00EB4236">
        <w:rPr>
          <w:b/>
        </w:rPr>
        <w:t xml:space="preserve">EU/OECD </w:t>
      </w:r>
      <w:r w:rsidR="001775E7">
        <w:rPr>
          <w:b/>
        </w:rPr>
        <w:t>v roce 201</w:t>
      </w:r>
      <w:r w:rsidR="00EB4236">
        <w:rPr>
          <w:b/>
        </w:rPr>
        <w:t>4</w:t>
      </w:r>
      <w:r w:rsidR="001775E7">
        <w:rPr>
          <w:b/>
        </w:rPr>
        <w:t xml:space="preserve"> v mil. USD </w:t>
      </w:r>
      <w:r w:rsidR="00CD5FCE">
        <w:rPr>
          <w:b/>
        </w:rPr>
        <w:t>(</w:t>
      </w:r>
      <w:r w:rsidR="001775E7">
        <w:rPr>
          <w:b/>
        </w:rPr>
        <w:t>v paritě kupní síly</w:t>
      </w:r>
      <w:r w:rsidR="00CD5FCE">
        <w:rPr>
          <w:b/>
        </w:rPr>
        <w:t>)</w:t>
      </w:r>
    </w:p>
    <w:p w:rsidR="006343AA" w:rsidRPr="00710016" w:rsidRDefault="00B73E45" w:rsidP="00593415">
      <w:pPr>
        <w:jc w:val="both"/>
      </w:pPr>
      <w:r w:rsidRPr="00B73E45">
        <w:rPr>
          <w:noProof/>
        </w:rPr>
        <w:t xml:space="preserve"> </w:t>
      </w:r>
      <w:r w:rsidR="008B0BBF">
        <w:rPr>
          <w:noProof/>
        </w:rPr>
        <w:drawing>
          <wp:inline distT="0" distB="0" distL="0" distR="0">
            <wp:extent cx="5972810" cy="2686685"/>
            <wp:effectExtent l="0" t="0" r="889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E5259" w:rsidRDefault="00AE5259" w:rsidP="005F6A35">
      <w:pPr>
        <w:spacing w:before="120"/>
        <w:jc w:val="both"/>
        <w:rPr>
          <w:i/>
          <w:sz w:val="18"/>
        </w:rPr>
      </w:pPr>
      <w:r>
        <w:rPr>
          <w:i/>
          <w:sz w:val="18"/>
        </w:rPr>
        <w:t>Zdroj: OECD</w:t>
      </w:r>
      <w:r w:rsidR="00402062">
        <w:rPr>
          <w:i/>
          <w:sz w:val="18"/>
        </w:rPr>
        <w:t xml:space="preserve"> 201</w:t>
      </w:r>
      <w:r w:rsidR="00EB4236">
        <w:rPr>
          <w:i/>
          <w:sz w:val="18"/>
        </w:rPr>
        <w:t>7</w:t>
      </w:r>
    </w:p>
    <w:p w:rsidR="006C3C9F" w:rsidRDefault="006C3C9F" w:rsidP="002A4F13">
      <w:pPr>
        <w:spacing w:after="100" w:afterAutospacing="1"/>
        <w:jc w:val="both"/>
        <w:rPr>
          <w:rFonts w:eastAsia="MS Gothic"/>
          <w:b/>
          <w:bCs/>
          <w:color w:val="009BB4"/>
          <w:sz w:val="28"/>
          <w:szCs w:val="26"/>
        </w:rPr>
      </w:pPr>
    </w:p>
    <w:p w:rsidR="0023512E" w:rsidRDefault="0023512E" w:rsidP="002A4F13">
      <w:pPr>
        <w:spacing w:after="100" w:afterAutospacing="1"/>
        <w:jc w:val="both"/>
        <w:rPr>
          <w:rFonts w:eastAsia="MS Gothic"/>
          <w:b/>
          <w:bCs/>
          <w:color w:val="009BB4"/>
          <w:sz w:val="28"/>
          <w:szCs w:val="26"/>
        </w:rPr>
      </w:pPr>
    </w:p>
    <w:p w:rsidR="00A65F61" w:rsidRPr="00080E37" w:rsidRDefault="00A65F61" w:rsidP="002A4F13">
      <w:pPr>
        <w:spacing w:after="100" w:afterAutospacing="1"/>
        <w:jc w:val="both"/>
        <w:rPr>
          <w:rFonts w:eastAsia="MS Gothic"/>
          <w:b/>
          <w:bCs/>
          <w:color w:val="009BB4"/>
          <w:sz w:val="28"/>
          <w:szCs w:val="26"/>
        </w:rPr>
      </w:pPr>
    </w:p>
    <w:sectPr w:rsidR="00A65F61" w:rsidRPr="00080E37" w:rsidSect="00F43141">
      <w:headerReference w:type="even" r:id="rId27"/>
      <w:headerReference w:type="default" r:id="rId28"/>
      <w:footerReference w:type="even" r:id="rId29"/>
      <w:footerReference w:type="default" r:id="rId30"/>
      <w:pgSz w:w="11906" w:h="16838" w:code="9"/>
      <w:pgMar w:top="1134" w:right="1134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70" w:rsidRDefault="002D2170" w:rsidP="00E71A58">
      <w:r>
        <w:separator/>
      </w:r>
    </w:p>
  </w:endnote>
  <w:endnote w:type="continuationSeparator" w:id="0">
    <w:p w:rsidR="002D2170" w:rsidRDefault="002D217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DF" w:rsidRDefault="00C634DF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7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1322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B01322" w:rsidRPr="005A21E0">
      <w:rPr>
        <w:rFonts w:ascii="Arial" w:hAnsi="Arial" w:cs="Arial"/>
        <w:sz w:val="16"/>
        <w:szCs w:val="16"/>
      </w:rPr>
      <w:fldChar w:fldCharType="separate"/>
    </w:r>
    <w:r w:rsidR="007214BF">
      <w:rPr>
        <w:rFonts w:ascii="Arial" w:hAnsi="Arial" w:cs="Arial"/>
        <w:noProof/>
        <w:sz w:val="16"/>
        <w:szCs w:val="16"/>
      </w:rPr>
      <w:t>30</w:t>
    </w:r>
    <w:r w:rsidR="00B01322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DF" w:rsidRDefault="00C634D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8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C634DF" w:rsidRDefault="00C634DF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B01322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B01322" w:rsidRPr="00B6608F">
      <w:rPr>
        <w:rFonts w:ascii="Arial" w:hAnsi="Arial" w:cs="Arial"/>
        <w:sz w:val="16"/>
        <w:szCs w:val="16"/>
      </w:rPr>
      <w:fldChar w:fldCharType="separate"/>
    </w:r>
    <w:r w:rsidR="007214BF">
      <w:rPr>
        <w:rFonts w:ascii="Arial" w:hAnsi="Arial" w:cs="Arial"/>
        <w:noProof/>
        <w:sz w:val="16"/>
        <w:szCs w:val="16"/>
      </w:rPr>
      <w:t>29</w:t>
    </w:r>
    <w:r w:rsidR="00B01322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70" w:rsidRDefault="002D2170" w:rsidP="00E71A58">
      <w:r>
        <w:separator/>
      </w:r>
    </w:p>
  </w:footnote>
  <w:footnote w:type="continuationSeparator" w:id="0">
    <w:p w:rsidR="002D2170" w:rsidRDefault="002D2170" w:rsidP="00E71A58">
      <w:r>
        <w:continuationSeparator/>
      </w:r>
    </w:p>
  </w:footnote>
  <w:footnote w:id="1">
    <w:p w:rsidR="00C708C3" w:rsidRDefault="00C708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 xml:space="preserve">Podíl na výdajích na VaV soukromých podniků zjištěných na základě šetření o výzkumu a vývoji (VTR 5-01).  </w:t>
      </w:r>
    </w:p>
  </w:footnote>
  <w:footnote w:id="2">
    <w:p w:rsidR="00C634DF" w:rsidRPr="008E3D7C" w:rsidRDefault="00C634DF">
      <w:pPr>
        <w:pStyle w:val="Textpoznpodarou"/>
        <w:rPr>
          <w:sz w:val="18"/>
          <w:szCs w:val="18"/>
        </w:rPr>
      </w:pPr>
      <w:r w:rsidRPr="008E3D7C">
        <w:rPr>
          <w:rStyle w:val="Znakapoznpodarou"/>
          <w:sz w:val="18"/>
          <w:szCs w:val="18"/>
        </w:rPr>
        <w:footnoteRef/>
      </w:r>
      <w:r w:rsidRPr="008E3D7C">
        <w:rPr>
          <w:sz w:val="18"/>
          <w:szCs w:val="18"/>
        </w:rPr>
        <w:t xml:space="preserve"> Podrobnější údaje o přímé veřejné podpoře výzkumu a vývoje v členění nejen podle poskytovatelů (resortů) poskytuje statistika státních rozpočtových výdajů na VaV (mezinárodní zkr. GBARD). Poslední publikované údaje jsou za rok 2015. Blíže viz publikace:</w:t>
      </w:r>
    </w:p>
    <w:p w:rsidR="00C634DF" w:rsidRPr="008E3D7C" w:rsidRDefault="002D2170">
      <w:pPr>
        <w:pStyle w:val="Textpoznpodarou"/>
        <w:rPr>
          <w:sz w:val="18"/>
          <w:szCs w:val="18"/>
        </w:rPr>
      </w:pPr>
      <w:hyperlink r:id="rId1" w:history="1">
        <w:r w:rsidR="00B01322" w:rsidRPr="007D7D1D">
          <w:rPr>
            <w:rStyle w:val="Hypertextovodkaz"/>
            <w:rFonts w:cs="Arial"/>
            <w:color w:val="009BB4"/>
            <w:sz w:val="18"/>
            <w:szCs w:val="18"/>
          </w:rPr>
          <w:t>https://www.czso.cz/csu/czso/prima-verejna-podpora-vyzkumu-a-vyvoje-v-ceske-republice-2015</w:t>
        </w:r>
      </w:hyperlink>
      <w:r w:rsidR="00C634DF" w:rsidRPr="008E3D7C">
        <w:rPr>
          <w:sz w:val="18"/>
          <w:szCs w:val="18"/>
        </w:rPr>
        <w:t xml:space="preserve"> </w:t>
      </w:r>
    </w:p>
  </w:footnote>
  <w:footnote w:id="3">
    <w:p w:rsidR="00104526" w:rsidRPr="007A17A9" w:rsidRDefault="00104526" w:rsidP="00104526">
      <w:pPr>
        <w:pStyle w:val="Textpoznpodarou"/>
        <w:rPr>
          <w:sz w:val="18"/>
          <w:szCs w:val="18"/>
        </w:rPr>
      </w:pPr>
      <w:r w:rsidRPr="007A17A9">
        <w:rPr>
          <w:rStyle w:val="Znakapoznpodarou"/>
          <w:sz w:val="18"/>
          <w:szCs w:val="18"/>
        </w:rPr>
        <w:footnoteRef/>
      </w:r>
      <w:r w:rsidRPr="007A17A9">
        <w:rPr>
          <w:sz w:val="18"/>
          <w:szCs w:val="18"/>
        </w:rPr>
        <w:t xml:space="preserve"> Vlivem zaokrouhlování není součet podílů přímé a nepřímé podpory roven 0,44 %. Podíl nepřímé veřejné podpory je zaokrouhlen na 0,19% (0,1946 %).     </w:t>
      </w:r>
    </w:p>
  </w:footnote>
  <w:footnote w:id="4">
    <w:p w:rsidR="00C634DF" w:rsidRPr="008E3D7C" w:rsidRDefault="00B01322">
      <w:pPr>
        <w:pStyle w:val="Textpoznpodarou"/>
        <w:rPr>
          <w:sz w:val="18"/>
          <w:szCs w:val="18"/>
        </w:rPr>
      </w:pPr>
      <w:r w:rsidRPr="00B01322">
        <w:rPr>
          <w:rStyle w:val="Znakapoznpodarou"/>
          <w:sz w:val="18"/>
          <w:szCs w:val="18"/>
        </w:rPr>
        <w:footnoteRef/>
      </w:r>
      <w:r w:rsidRPr="003814B5">
        <w:rPr>
          <w:sz w:val="18"/>
          <w:szCs w:val="18"/>
        </w:rPr>
        <w:t xml:space="preserve"> Výpočet nepřímé veřejné podpory VaV (</w:t>
      </w:r>
      <w:r w:rsidRPr="003814B5">
        <w:rPr>
          <w:b/>
          <w:sz w:val="18"/>
          <w:szCs w:val="18"/>
        </w:rPr>
        <w:t>NVPVaV = uplatněné náklady na VaV * sazba daně právnických osob</w:t>
      </w:r>
      <w:r w:rsidRPr="003814B5">
        <w:rPr>
          <w:sz w:val="18"/>
          <w:szCs w:val="18"/>
        </w:rPr>
        <w:t>) je odvislý od sazby daně právnických osob</w:t>
      </w:r>
      <w:r w:rsidR="00060E3B">
        <w:rPr>
          <w:sz w:val="18"/>
          <w:szCs w:val="18"/>
        </w:rPr>
        <w:t xml:space="preserve">. Ta se v jednotlivých letech mění. </w:t>
      </w:r>
      <w:r w:rsidR="00C634DF" w:rsidRPr="008E3D7C">
        <w:rPr>
          <w:sz w:val="18"/>
          <w:szCs w:val="18"/>
        </w:rPr>
        <w:t>V roce 2005 byla daňová sazba na úrovni 26</w:t>
      </w:r>
      <w:r w:rsidR="00BB2C27">
        <w:rPr>
          <w:sz w:val="18"/>
          <w:szCs w:val="18"/>
        </w:rPr>
        <w:t> </w:t>
      </w:r>
      <w:r w:rsidR="00C634DF" w:rsidRPr="008E3D7C">
        <w:rPr>
          <w:sz w:val="18"/>
          <w:szCs w:val="18"/>
        </w:rPr>
        <w:t xml:space="preserve">%, </w:t>
      </w:r>
      <w:r w:rsidR="00007126">
        <w:rPr>
          <w:sz w:val="18"/>
          <w:szCs w:val="18"/>
        </w:rPr>
        <w:t xml:space="preserve">následně </w:t>
      </w:r>
      <w:r w:rsidR="00C634DF" w:rsidRPr="008E3D7C">
        <w:rPr>
          <w:sz w:val="18"/>
          <w:szCs w:val="18"/>
        </w:rPr>
        <w:t>klesala až na</w:t>
      </w:r>
      <w:r w:rsidR="00C46027" w:rsidRPr="008E3D7C">
        <w:rPr>
          <w:sz w:val="18"/>
          <w:szCs w:val="18"/>
        </w:rPr>
        <w:t xml:space="preserve"> </w:t>
      </w:r>
      <w:r w:rsidR="00C634DF" w:rsidRPr="008E3D7C">
        <w:rPr>
          <w:sz w:val="18"/>
          <w:szCs w:val="18"/>
        </w:rPr>
        <w:t xml:space="preserve">19 % v letech 2010–2015. Pokud by byla sazba daně v roce 2005 nynějších 19 %, </w:t>
      </w:r>
      <w:r w:rsidR="00496186">
        <w:rPr>
          <w:sz w:val="18"/>
          <w:szCs w:val="18"/>
        </w:rPr>
        <w:t xml:space="preserve">dosáhla </w:t>
      </w:r>
      <w:r w:rsidR="00C634DF" w:rsidRPr="008E3D7C">
        <w:rPr>
          <w:sz w:val="18"/>
          <w:szCs w:val="18"/>
        </w:rPr>
        <w:t xml:space="preserve">by výše nepřímé </w:t>
      </w:r>
      <w:r w:rsidR="00496186">
        <w:rPr>
          <w:sz w:val="18"/>
          <w:szCs w:val="18"/>
        </w:rPr>
        <w:t xml:space="preserve">veřejné podpory VaV </w:t>
      </w:r>
      <w:r w:rsidR="00C634DF" w:rsidRPr="008E3D7C">
        <w:rPr>
          <w:sz w:val="18"/>
          <w:szCs w:val="18"/>
        </w:rPr>
        <w:t>nikoliv zmíněných 819 mil. Kč, ale pou</w:t>
      </w:r>
      <w:r w:rsidR="00496186">
        <w:rPr>
          <w:sz w:val="18"/>
          <w:szCs w:val="18"/>
        </w:rPr>
        <w:t>hých</w:t>
      </w:r>
      <w:r w:rsidR="00C634DF" w:rsidRPr="008E3D7C">
        <w:rPr>
          <w:sz w:val="18"/>
          <w:szCs w:val="18"/>
        </w:rPr>
        <w:t xml:space="preserve"> 608 mil. Kč</w:t>
      </w:r>
      <w:r w:rsidR="00F0200A">
        <w:rPr>
          <w:sz w:val="18"/>
          <w:szCs w:val="18"/>
        </w:rPr>
        <w:t>. B</w:t>
      </w:r>
      <w:r w:rsidR="00D71C8B" w:rsidRPr="008E3D7C">
        <w:rPr>
          <w:sz w:val="18"/>
          <w:szCs w:val="18"/>
        </w:rPr>
        <w:t xml:space="preserve">yla by </w:t>
      </w:r>
      <w:r w:rsidR="00C634DF" w:rsidRPr="008E3D7C">
        <w:rPr>
          <w:sz w:val="18"/>
          <w:szCs w:val="18"/>
        </w:rPr>
        <w:t xml:space="preserve">tedy o 211 mil. Kč nižší.     </w:t>
      </w:r>
    </w:p>
  </w:footnote>
  <w:footnote w:id="5">
    <w:p w:rsidR="00C634DF" w:rsidRPr="003814B5" w:rsidRDefault="00B01322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 w:rsidRPr="003814B5">
        <w:rPr>
          <w:sz w:val="18"/>
          <w:szCs w:val="18"/>
        </w:rPr>
        <w:t xml:space="preserve"> Za rok 2014 mohly soukromé podniky poprvé od základu daně z příjmu odečíst v rámci uznatelných výdajů na VaV i výdaje na služby VaV a nehmotné výsledky VaV pořízené od výzkumných organizací.</w:t>
      </w:r>
    </w:p>
  </w:footnote>
  <w:footnote w:id="6">
    <w:p w:rsidR="00C634DF" w:rsidRPr="008E3D7C" w:rsidRDefault="00C634DF">
      <w:pPr>
        <w:pStyle w:val="Textpoznpodarou"/>
        <w:rPr>
          <w:sz w:val="18"/>
          <w:szCs w:val="18"/>
        </w:rPr>
      </w:pPr>
      <w:r w:rsidRPr="008E3D7C">
        <w:rPr>
          <w:rStyle w:val="Znakapoznpodarou"/>
          <w:sz w:val="18"/>
          <w:szCs w:val="18"/>
        </w:rPr>
        <w:footnoteRef/>
      </w:r>
      <w:r w:rsidRPr="008E3D7C">
        <w:rPr>
          <w:sz w:val="18"/>
          <w:szCs w:val="18"/>
        </w:rPr>
        <w:t xml:space="preserve"> Kromě soukromých podniků mohou využívat nepřímou veřejnou podporu VaV i ostatní právnické osoby, mezi které patří například podniky veřejné. Jejich počet, jak již bylo uvedeno výše, je však velmi nízký a s těmito subjekty v</w:t>
      </w:r>
      <w:r w:rsidR="00B01322">
        <w:rPr>
          <w:sz w:val="18"/>
          <w:szCs w:val="18"/>
        </w:rPr>
        <w:t> analýze dále nepracujeme. Daňovou podporu VaV v roce 2015 využilo pouze 5 veřejných podniků ze 45, které prováděly VaV. Z pohledu souhrnné částky veřejné nepřímé podpory (2,3 mld. Kč) si odečetly zanedbatelných 6 mil. korun. Tyto podniky jednoznačně preferují přímou veřejnou podporu VaV.</w:t>
      </w:r>
    </w:p>
  </w:footnote>
  <w:footnote w:id="7">
    <w:p w:rsidR="00C634DF" w:rsidRPr="008E3D7C" w:rsidRDefault="00B01322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 w:rsidRPr="004944EE">
        <w:rPr>
          <w:sz w:val="18"/>
          <w:szCs w:val="18"/>
        </w:rPr>
        <w:t xml:space="preserve"> Podniky byly z hlediska velikosti rozčleněny do následujících skupin: mikro (velmi malé) podniky (0-9 zaměstnanců), malé podniky (10-49 zaměstnanců), střední podniky (50-249 zaměstnanců) a velké podniky (250 a více zaměstnanců).</w:t>
      </w:r>
    </w:p>
  </w:footnote>
  <w:footnote w:id="8">
    <w:p w:rsidR="00184606" w:rsidRPr="008E3D7C" w:rsidRDefault="00B01322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 w:rsidRPr="004944EE">
        <w:rPr>
          <w:sz w:val="18"/>
          <w:szCs w:val="18"/>
        </w:rPr>
        <w:t xml:space="preserve"> Ve zpracovatelském průmyslu využilo nepřímou veřejnou podporu VaV 303 středních a 251 velkých podniků. Rovných 70 % podniků spadalo do kategorie soukromých domácích podniků.</w:t>
      </w:r>
    </w:p>
  </w:footnote>
  <w:footnote w:id="9">
    <w:p w:rsidR="000F436F" w:rsidRPr="008E3D7C" w:rsidRDefault="00B01322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 w:rsidRPr="004944EE">
        <w:rPr>
          <w:sz w:val="18"/>
          <w:szCs w:val="18"/>
        </w:rPr>
        <w:t xml:space="preserve"> Podniky odečetly výdaje na výzkum a vývoj v objemu 9,1 mld. Kč.</w:t>
      </w:r>
    </w:p>
  </w:footnote>
  <w:footnote w:id="10">
    <w:p w:rsidR="007B1B84" w:rsidRPr="008E3D7C" w:rsidRDefault="00B01322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 w:rsidRPr="006C0693">
        <w:rPr>
          <w:sz w:val="18"/>
          <w:szCs w:val="18"/>
        </w:rPr>
        <w:t xml:space="preserve"> V tomto významném odvětví českého průmyslu soukromé podniky odečetly výdaje na VaV v objemu 2,8 mld. Kč, což představuje rovných 21 % z celkové odečtené částky výdajů na VaV soukromých podniků v ČR.</w:t>
      </w:r>
    </w:p>
  </w:footnote>
  <w:footnote w:id="11">
    <w:p w:rsidR="00C634DF" w:rsidRPr="008E3D7C" w:rsidRDefault="00B01322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 w:rsidRPr="000541B5">
        <w:rPr>
          <w:sz w:val="18"/>
          <w:szCs w:val="18"/>
        </w:rPr>
        <w:t xml:space="preserve"> Klasifikace CZ-NUTS (</w:t>
      </w:r>
      <w:r w:rsidRPr="000541B5">
        <w:rPr>
          <w:i/>
          <w:sz w:val="18"/>
          <w:szCs w:val="18"/>
        </w:rPr>
        <w:t>La Nomenclature des Unités Territoriales Statistiques</w:t>
      </w:r>
      <w:r w:rsidRPr="000541B5">
        <w:rPr>
          <w:sz w:val="18"/>
          <w:szCs w:val="18"/>
        </w:rPr>
        <w:t>) je klasifikací územních statistických jednotek zavedená Českým statistickým úřadem dle dohody s Eurost</w:t>
      </w:r>
      <w:r w:rsidR="00DA7822">
        <w:rPr>
          <w:sz w:val="18"/>
          <w:szCs w:val="18"/>
        </w:rPr>
        <w:t>a</w:t>
      </w:r>
      <w:r w:rsidRPr="000541B5">
        <w:rPr>
          <w:sz w:val="18"/>
          <w:szCs w:val="18"/>
        </w:rPr>
        <w:t>tem na základě usnesení vlády České republiky č. 707/1998 ze dne 26. Října 1998. Klasifikace nahradila dříve platný Číselník krajů a okresů (ČKO) Poslední verze klasifikace je platná od roku 2011. Podrobnější informace o uspořádání CZ-NUTS jsou k nahlédnutí na internetových stránkách ČSÚ pod odkazem:</w:t>
      </w:r>
    </w:p>
    <w:p w:rsidR="00C634DF" w:rsidRPr="000541B5" w:rsidRDefault="002D2170">
      <w:pPr>
        <w:pStyle w:val="Textpoznpodarou"/>
        <w:rPr>
          <w:sz w:val="18"/>
          <w:szCs w:val="18"/>
        </w:rPr>
      </w:pPr>
      <w:hyperlink r:id="rId2" w:history="1">
        <w:r w:rsidR="00B01322" w:rsidRPr="000541B5">
          <w:rPr>
            <w:rStyle w:val="Hypertextovodkaz"/>
            <w:rFonts w:cs="Arial"/>
            <w:color w:val="009BB4"/>
            <w:sz w:val="18"/>
            <w:szCs w:val="18"/>
          </w:rPr>
          <w:t>https://www.czso.cz/csu/czso/klasifikace_uzemnich_statistickych_jednotek_-cz_nuts-_2011</w:t>
        </w:r>
      </w:hyperlink>
      <w:r w:rsidR="00C634DF" w:rsidRPr="008E3D7C">
        <w:rPr>
          <w:sz w:val="18"/>
          <w:szCs w:val="18"/>
        </w:rPr>
        <w:t xml:space="preserve"> </w:t>
      </w:r>
    </w:p>
  </w:footnote>
  <w:footnote w:id="12">
    <w:p w:rsidR="00C634DF" w:rsidRPr="008E3D7C" w:rsidRDefault="00C634DF" w:rsidP="001775E7">
      <w:pPr>
        <w:pStyle w:val="Textpoznpodarou"/>
        <w:rPr>
          <w:sz w:val="18"/>
          <w:szCs w:val="18"/>
        </w:rPr>
      </w:pPr>
      <w:r w:rsidRPr="008E3D7C">
        <w:rPr>
          <w:rStyle w:val="Znakapoznpodarou"/>
          <w:sz w:val="18"/>
          <w:szCs w:val="18"/>
        </w:rPr>
        <w:footnoteRef/>
      </w:r>
      <w:r w:rsidRPr="008E3D7C">
        <w:rPr>
          <w:sz w:val="18"/>
          <w:szCs w:val="18"/>
        </w:rPr>
        <w:t xml:space="preserve"> Blíže k nástrojům nepřímé veřejné podpory VaV v zemích OECD viz: </w:t>
      </w:r>
      <w:hyperlink r:id="rId3" w:history="1">
        <w:r w:rsidR="00B01322" w:rsidRPr="002F3795">
          <w:rPr>
            <w:rStyle w:val="Hypertextovodkaz"/>
            <w:rFonts w:cs="Arial"/>
            <w:color w:val="009BB4"/>
            <w:sz w:val="18"/>
            <w:szCs w:val="18"/>
          </w:rPr>
          <w:t>http://www.oecd.org/sti/rd-tax-stats.htm</w:t>
        </w:r>
      </w:hyperlink>
      <w:r w:rsidRPr="008E3D7C">
        <w:rPr>
          <w:sz w:val="18"/>
          <w:szCs w:val="18"/>
        </w:rPr>
        <w:t xml:space="preserve">   </w:t>
      </w:r>
    </w:p>
  </w:footnote>
  <w:footnote w:id="13">
    <w:p w:rsidR="00E96046" w:rsidRPr="008E3D7C" w:rsidRDefault="00B01322">
      <w:pPr>
        <w:pStyle w:val="Textpoznpodarou"/>
        <w:rPr>
          <w:sz w:val="18"/>
          <w:szCs w:val="18"/>
        </w:rPr>
      </w:pPr>
      <w:r w:rsidRPr="00B01322">
        <w:rPr>
          <w:rStyle w:val="Znakapoznpodarou"/>
          <w:sz w:val="18"/>
          <w:szCs w:val="18"/>
        </w:rPr>
        <w:footnoteRef/>
      </w:r>
      <w:r w:rsidRPr="002F3795">
        <w:rPr>
          <w:sz w:val="18"/>
          <w:szCs w:val="18"/>
        </w:rPr>
        <w:t xml:space="preserve"> Částka nepřímé veřejné podpory VaV je přímo úměrná objemu odečtených výdajů na VaV od základu daně. Blíže viz metodika.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DF" w:rsidRPr="00AD306C" w:rsidRDefault="00C634DF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DF" w:rsidRDefault="00C634DF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  <w:p w:rsidR="00C634DF" w:rsidRPr="00DC5B3B" w:rsidRDefault="00C634DF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C33"/>
    <w:multiLevelType w:val="hybridMultilevel"/>
    <w:tmpl w:val="DE726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71B96"/>
    <w:multiLevelType w:val="hybridMultilevel"/>
    <w:tmpl w:val="E6E44220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1E5E"/>
    <w:rsid w:val="00001F7E"/>
    <w:rsid w:val="00002B55"/>
    <w:rsid w:val="0000316C"/>
    <w:rsid w:val="00004431"/>
    <w:rsid w:val="0000517D"/>
    <w:rsid w:val="000052DD"/>
    <w:rsid w:val="00006457"/>
    <w:rsid w:val="00006C7C"/>
    <w:rsid w:val="00006FA4"/>
    <w:rsid w:val="00007080"/>
    <w:rsid w:val="00007126"/>
    <w:rsid w:val="0000767A"/>
    <w:rsid w:val="00007718"/>
    <w:rsid w:val="000077E7"/>
    <w:rsid w:val="000100CF"/>
    <w:rsid w:val="00010702"/>
    <w:rsid w:val="00010728"/>
    <w:rsid w:val="00011687"/>
    <w:rsid w:val="000119C9"/>
    <w:rsid w:val="00011AD9"/>
    <w:rsid w:val="000125B7"/>
    <w:rsid w:val="00012D08"/>
    <w:rsid w:val="000133D7"/>
    <w:rsid w:val="00013CE2"/>
    <w:rsid w:val="0001459E"/>
    <w:rsid w:val="000146A5"/>
    <w:rsid w:val="00014CF5"/>
    <w:rsid w:val="00014FA5"/>
    <w:rsid w:val="000158B9"/>
    <w:rsid w:val="00016CCE"/>
    <w:rsid w:val="000173E5"/>
    <w:rsid w:val="00017A46"/>
    <w:rsid w:val="00020A5D"/>
    <w:rsid w:val="000262A4"/>
    <w:rsid w:val="000265DC"/>
    <w:rsid w:val="00027052"/>
    <w:rsid w:val="00027363"/>
    <w:rsid w:val="0002738F"/>
    <w:rsid w:val="000313F1"/>
    <w:rsid w:val="000318CE"/>
    <w:rsid w:val="00031D06"/>
    <w:rsid w:val="000327AC"/>
    <w:rsid w:val="0003523C"/>
    <w:rsid w:val="00035E0B"/>
    <w:rsid w:val="000368A7"/>
    <w:rsid w:val="00036ABF"/>
    <w:rsid w:val="00036CDB"/>
    <w:rsid w:val="000372D7"/>
    <w:rsid w:val="00037A9F"/>
    <w:rsid w:val="00040041"/>
    <w:rsid w:val="0004366C"/>
    <w:rsid w:val="00043A7E"/>
    <w:rsid w:val="00043E0A"/>
    <w:rsid w:val="0004428A"/>
    <w:rsid w:val="0004694F"/>
    <w:rsid w:val="000472C0"/>
    <w:rsid w:val="000472ED"/>
    <w:rsid w:val="00047B0D"/>
    <w:rsid w:val="00047BCD"/>
    <w:rsid w:val="00050C64"/>
    <w:rsid w:val="00051C4D"/>
    <w:rsid w:val="00052731"/>
    <w:rsid w:val="000537B8"/>
    <w:rsid w:val="000541B5"/>
    <w:rsid w:val="000544F1"/>
    <w:rsid w:val="000546F3"/>
    <w:rsid w:val="0005471A"/>
    <w:rsid w:val="000552B5"/>
    <w:rsid w:val="000556B7"/>
    <w:rsid w:val="00055877"/>
    <w:rsid w:val="0005601A"/>
    <w:rsid w:val="00056886"/>
    <w:rsid w:val="0005739C"/>
    <w:rsid w:val="000576D7"/>
    <w:rsid w:val="00060045"/>
    <w:rsid w:val="00060E3B"/>
    <w:rsid w:val="00061057"/>
    <w:rsid w:val="000628CD"/>
    <w:rsid w:val="00062E48"/>
    <w:rsid w:val="00062EC5"/>
    <w:rsid w:val="00064171"/>
    <w:rsid w:val="0006554E"/>
    <w:rsid w:val="00065675"/>
    <w:rsid w:val="00065E55"/>
    <w:rsid w:val="00065F83"/>
    <w:rsid w:val="00066B31"/>
    <w:rsid w:val="00066B5A"/>
    <w:rsid w:val="00067EB6"/>
    <w:rsid w:val="000701B1"/>
    <w:rsid w:val="0007230C"/>
    <w:rsid w:val="00072BC9"/>
    <w:rsid w:val="00072EB4"/>
    <w:rsid w:val="00073592"/>
    <w:rsid w:val="00073875"/>
    <w:rsid w:val="00073ED4"/>
    <w:rsid w:val="0007414B"/>
    <w:rsid w:val="000741A9"/>
    <w:rsid w:val="000741DB"/>
    <w:rsid w:val="00074570"/>
    <w:rsid w:val="0007693C"/>
    <w:rsid w:val="00080342"/>
    <w:rsid w:val="00080828"/>
    <w:rsid w:val="00080E37"/>
    <w:rsid w:val="0008124F"/>
    <w:rsid w:val="000812FD"/>
    <w:rsid w:val="00081AAC"/>
    <w:rsid w:val="00081AB2"/>
    <w:rsid w:val="00082F96"/>
    <w:rsid w:val="000831D2"/>
    <w:rsid w:val="00083ADC"/>
    <w:rsid w:val="00084E88"/>
    <w:rsid w:val="00085870"/>
    <w:rsid w:val="00085C2F"/>
    <w:rsid w:val="00085DD1"/>
    <w:rsid w:val="0008627A"/>
    <w:rsid w:val="000867D1"/>
    <w:rsid w:val="00087634"/>
    <w:rsid w:val="00087A0A"/>
    <w:rsid w:val="00090449"/>
    <w:rsid w:val="00090E52"/>
    <w:rsid w:val="00091E44"/>
    <w:rsid w:val="00092126"/>
    <w:rsid w:val="00093C42"/>
    <w:rsid w:val="00093D46"/>
    <w:rsid w:val="00093E8B"/>
    <w:rsid w:val="00094EC1"/>
    <w:rsid w:val="0009671D"/>
    <w:rsid w:val="000A05A7"/>
    <w:rsid w:val="000A0CD3"/>
    <w:rsid w:val="000A1183"/>
    <w:rsid w:val="000A1703"/>
    <w:rsid w:val="000A195F"/>
    <w:rsid w:val="000A19D1"/>
    <w:rsid w:val="000A1EC6"/>
    <w:rsid w:val="000A2BFE"/>
    <w:rsid w:val="000A2D07"/>
    <w:rsid w:val="000A2F25"/>
    <w:rsid w:val="000A3812"/>
    <w:rsid w:val="000A3956"/>
    <w:rsid w:val="000A403D"/>
    <w:rsid w:val="000A447E"/>
    <w:rsid w:val="000A46E5"/>
    <w:rsid w:val="000A4977"/>
    <w:rsid w:val="000A590E"/>
    <w:rsid w:val="000A76ED"/>
    <w:rsid w:val="000A7E0B"/>
    <w:rsid w:val="000B05FC"/>
    <w:rsid w:val="000B0735"/>
    <w:rsid w:val="000B0777"/>
    <w:rsid w:val="000B3355"/>
    <w:rsid w:val="000B3704"/>
    <w:rsid w:val="000B3D2A"/>
    <w:rsid w:val="000B409F"/>
    <w:rsid w:val="000B46B1"/>
    <w:rsid w:val="000B67B8"/>
    <w:rsid w:val="000C06D6"/>
    <w:rsid w:val="000C0AF8"/>
    <w:rsid w:val="000C149D"/>
    <w:rsid w:val="000C177D"/>
    <w:rsid w:val="000C1883"/>
    <w:rsid w:val="000C1CE8"/>
    <w:rsid w:val="000C2CF5"/>
    <w:rsid w:val="000C32EC"/>
    <w:rsid w:val="000C3408"/>
    <w:rsid w:val="000C4625"/>
    <w:rsid w:val="000C49A4"/>
    <w:rsid w:val="000C4ABE"/>
    <w:rsid w:val="000C4C58"/>
    <w:rsid w:val="000C513B"/>
    <w:rsid w:val="000C5C5D"/>
    <w:rsid w:val="000C5EE6"/>
    <w:rsid w:val="000C633F"/>
    <w:rsid w:val="000C769F"/>
    <w:rsid w:val="000C7896"/>
    <w:rsid w:val="000C7A65"/>
    <w:rsid w:val="000D009C"/>
    <w:rsid w:val="000D02F8"/>
    <w:rsid w:val="000D0EAF"/>
    <w:rsid w:val="000D2A47"/>
    <w:rsid w:val="000D759F"/>
    <w:rsid w:val="000D7C42"/>
    <w:rsid w:val="000E0B4B"/>
    <w:rsid w:val="000E0C52"/>
    <w:rsid w:val="000E2043"/>
    <w:rsid w:val="000E3341"/>
    <w:rsid w:val="000E36B0"/>
    <w:rsid w:val="000E4238"/>
    <w:rsid w:val="000E42CB"/>
    <w:rsid w:val="000E4300"/>
    <w:rsid w:val="000E50E5"/>
    <w:rsid w:val="000E525D"/>
    <w:rsid w:val="000E5C80"/>
    <w:rsid w:val="000F0B7C"/>
    <w:rsid w:val="000F1C92"/>
    <w:rsid w:val="000F1F88"/>
    <w:rsid w:val="000F21F1"/>
    <w:rsid w:val="000F2D48"/>
    <w:rsid w:val="000F34FD"/>
    <w:rsid w:val="000F393A"/>
    <w:rsid w:val="000F41F1"/>
    <w:rsid w:val="000F430B"/>
    <w:rsid w:val="000F436F"/>
    <w:rsid w:val="000F525F"/>
    <w:rsid w:val="000F5C63"/>
    <w:rsid w:val="000F5D9B"/>
    <w:rsid w:val="000F5ED1"/>
    <w:rsid w:val="000F63D9"/>
    <w:rsid w:val="000F6A39"/>
    <w:rsid w:val="000F72F7"/>
    <w:rsid w:val="000F7B0B"/>
    <w:rsid w:val="00100806"/>
    <w:rsid w:val="00101389"/>
    <w:rsid w:val="00102205"/>
    <w:rsid w:val="00103B21"/>
    <w:rsid w:val="00104526"/>
    <w:rsid w:val="0010546D"/>
    <w:rsid w:val="00105AEC"/>
    <w:rsid w:val="00106DA0"/>
    <w:rsid w:val="0011034C"/>
    <w:rsid w:val="001103C6"/>
    <w:rsid w:val="00110C27"/>
    <w:rsid w:val="00110CA8"/>
    <w:rsid w:val="001115E4"/>
    <w:rsid w:val="0011197B"/>
    <w:rsid w:val="00112972"/>
    <w:rsid w:val="00112DEE"/>
    <w:rsid w:val="00113CE1"/>
    <w:rsid w:val="00114441"/>
    <w:rsid w:val="00114D74"/>
    <w:rsid w:val="001153FB"/>
    <w:rsid w:val="00117EB4"/>
    <w:rsid w:val="00117F44"/>
    <w:rsid w:val="001208D1"/>
    <w:rsid w:val="001212C8"/>
    <w:rsid w:val="00121CFA"/>
    <w:rsid w:val="00121F3D"/>
    <w:rsid w:val="00122888"/>
    <w:rsid w:val="00122D2E"/>
    <w:rsid w:val="00123520"/>
    <w:rsid w:val="00123AFD"/>
    <w:rsid w:val="00124784"/>
    <w:rsid w:val="00124C7E"/>
    <w:rsid w:val="001252B0"/>
    <w:rsid w:val="00127484"/>
    <w:rsid w:val="00127CDF"/>
    <w:rsid w:val="0013058F"/>
    <w:rsid w:val="001309C0"/>
    <w:rsid w:val="00130C70"/>
    <w:rsid w:val="00130FDD"/>
    <w:rsid w:val="00131BBF"/>
    <w:rsid w:val="00132B18"/>
    <w:rsid w:val="00132FA8"/>
    <w:rsid w:val="0013374F"/>
    <w:rsid w:val="00134A5F"/>
    <w:rsid w:val="00135C14"/>
    <w:rsid w:val="00136190"/>
    <w:rsid w:val="0013656F"/>
    <w:rsid w:val="00136C92"/>
    <w:rsid w:val="0013794D"/>
    <w:rsid w:val="00137A58"/>
    <w:rsid w:val="0014042E"/>
    <w:rsid w:val="001405FA"/>
    <w:rsid w:val="00140A1B"/>
    <w:rsid w:val="001410BB"/>
    <w:rsid w:val="001425C3"/>
    <w:rsid w:val="00142EC4"/>
    <w:rsid w:val="00143385"/>
    <w:rsid w:val="00143453"/>
    <w:rsid w:val="00144E72"/>
    <w:rsid w:val="00145297"/>
    <w:rsid w:val="00145800"/>
    <w:rsid w:val="00146553"/>
    <w:rsid w:val="00146D95"/>
    <w:rsid w:val="00146D9E"/>
    <w:rsid w:val="001475F6"/>
    <w:rsid w:val="00150863"/>
    <w:rsid w:val="0015209E"/>
    <w:rsid w:val="00152BC9"/>
    <w:rsid w:val="0015444D"/>
    <w:rsid w:val="001544C2"/>
    <w:rsid w:val="00154730"/>
    <w:rsid w:val="00154AC5"/>
    <w:rsid w:val="00155181"/>
    <w:rsid w:val="00155215"/>
    <w:rsid w:val="001555BA"/>
    <w:rsid w:val="00156A62"/>
    <w:rsid w:val="00156C72"/>
    <w:rsid w:val="00156F9A"/>
    <w:rsid w:val="00157256"/>
    <w:rsid w:val="00157324"/>
    <w:rsid w:val="001604A9"/>
    <w:rsid w:val="001608FF"/>
    <w:rsid w:val="00161C15"/>
    <w:rsid w:val="00161E99"/>
    <w:rsid w:val="00162076"/>
    <w:rsid w:val="00162EB8"/>
    <w:rsid w:val="00163793"/>
    <w:rsid w:val="0016425E"/>
    <w:rsid w:val="00166027"/>
    <w:rsid w:val="0016610C"/>
    <w:rsid w:val="001667C4"/>
    <w:rsid w:val="00166CFA"/>
    <w:rsid w:val="00166E59"/>
    <w:rsid w:val="00170BC0"/>
    <w:rsid w:val="001714F2"/>
    <w:rsid w:val="00171CD8"/>
    <w:rsid w:val="00171FA5"/>
    <w:rsid w:val="00172761"/>
    <w:rsid w:val="00172871"/>
    <w:rsid w:val="00172948"/>
    <w:rsid w:val="00172B12"/>
    <w:rsid w:val="00172EC3"/>
    <w:rsid w:val="00175980"/>
    <w:rsid w:val="00175A98"/>
    <w:rsid w:val="00175E27"/>
    <w:rsid w:val="00176B3E"/>
    <w:rsid w:val="001775E7"/>
    <w:rsid w:val="0017776E"/>
    <w:rsid w:val="00177999"/>
    <w:rsid w:val="00177F2C"/>
    <w:rsid w:val="00180381"/>
    <w:rsid w:val="00181A8D"/>
    <w:rsid w:val="00181BC2"/>
    <w:rsid w:val="00181CD5"/>
    <w:rsid w:val="00181D98"/>
    <w:rsid w:val="0018200F"/>
    <w:rsid w:val="00182307"/>
    <w:rsid w:val="00182C43"/>
    <w:rsid w:val="00182FF5"/>
    <w:rsid w:val="00183BA3"/>
    <w:rsid w:val="0018408A"/>
    <w:rsid w:val="0018416B"/>
    <w:rsid w:val="00184606"/>
    <w:rsid w:val="00184C8B"/>
    <w:rsid w:val="00185010"/>
    <w:rsid w:val="001860FA"/>
    <w:rsid w:val="0018680C"/>
    <w:rsid w:val="00187673"/>
    <w:rsid w:val="0018773B"/>
    <w:rsid w:val="00190BF6"/>
    <w:rsid w:val="00191BAF"/>
    <w:rsid w:val="00191E4B"/>
    <w:rsid w:val="00191F3E"/>
    <w:rsid w:val="00192CDA"/>
    <w:rsid w:val="0019317E"/>
    <w:rsid w:val="0019470B"/>
    <w:rsid w:val="001947F8"/>
    <w:rsid w:val="001949BD"/>
    <w:rsid w:val="00195C8C"/>
    <w:rsid w:val="00195D5A"/>
    <w:rsid w:val="00195FB6"/>
    <w:rsid w:val="00196754"/>
    <w:rsid w:val="00196897"/>
    <w:rsid w:val="001969C9"/>
    <w:rsid w:val="001972E3"/>
    <w:rsid w:val="00197D1F"/>
    <w:rsid w:val="001A0B10"/>
    <w:rsid w:val="001A14B9"/>
    <w:rsid w:val="001A14BB"/>
    <w:rsid w:val="001A15B4"/>
    <w:rsid w:val="001A1B2E"/>
    <w:rsid w:val="001A31F2"/>
    <w:rsid w:val="001A364E"/>
    <w:rsid w:val="001A3B6E"/>
    <w:rsid w:val="001A3BF7"/>
    <w:rsid w:val="001A4051"/>
    <w:rsid w:val="001A42D3"/>
    <w:rsid w:val="001A4D44"/>
    <w:rsid w:val="001A4F0B"/>
    <w:rsid w:val="001A51D6"/>
    <w:rsid w:val="001A552F"/>
    <w:rsid w:val="001A5BBB"/>
    <w:rsid w:val="001A62EE"/>
    <w:rsid w:val="001A6513"/>
    <w:rsid w:val="001A6B8D"/>
    <w:rsid w:val="001A6CFC"/>
    <w:rsid w:val="001A6FCE"/>
    <w:rsid w:val="001B0260"/>
    <w:rsid w:val="001B0873"/>
    <w:rsid w:val="001B0ACC"/>
    <w:rsid w:val="001B0CFD"/>
    <w:rsid w:val="001B200B"/>
    <w:rsid w:val="001B26AC"/>
    <w:rsid w:val="001B2E25"/>
    <w:rsid w:val="001B3110"/>
    <w:rsid w:val="001B3462"/>
    <w:rsid w:val="001B7194"/>
    <w:rsid w:val="001B75ED"/>
    <w:rsid w:val="001B7941"/>
    <w:rsid w:val="001B7C2E"/>
    <w:rsid w:val="001C1F75"/>
    <w:rsid w:val="001C30F8"/>
    <w:rsid w:val="001C3BB4"/>
    <w:rsid w:val="001C3D3D"/>
    <w:rsid w:val="001C441F"/>
    <w:rsid w:val="001C45AC"/>
    <w:rsid w:val="001C4A4E"/>
    <w:rsid w:val="001C4C36"/>
    <w:rsid w:val="001C51A8"/>
    <w:rsid w:val="001C553F"/>
    <w:rsid w:val="001C59D9"/>
    <w:rsid w:val="001C5F73"/>
    <w:rsid w:val="001C628C"/>
    <w:rsid w:val="001C69DE"/>
    <w:rsid w:val="001C7670"/>
    <w:rsid w:val="001D0AA2"/>
    <w:rsid w:val="001D1747"/>
    <w:rsid w:val="001D1EA4"/>
    <w:rsid w:val="001D3737"/>
    <w:rsid w:val="001D3DFA"/>
    <w:rsid w:val="001D406B"/>
    <w:rsid w:val="001D5183"/>
    <w:rsid w:val="001D622E"/>
    <w:rsid w:val="001D6CC7"/>
    <w:rsid w:val="001D7660"/>
    <w:rsid w:val="001D7670"/>
    <w:rsid w:val="001D7A62"/>
    <w:rsid w:val="001D7DF2"/>
    <w:rsid w:val="001E0904"/>
    <w:rsid w:val="001E2E1C"/>
    <w:rsid w:val="001E33F1"/>
    <w:rsid w:val="001E35CE"/>
    <w:rsid w:val="001E3980"/>
    <w:rsid w:val="001E3C82"/>
    <w:rsid w:val="001E3D08"/>
    <w:rsid w:val="001E42DA"/>
    <w:rsid w:val="001E437E"/>
    <w:rsid w:val="001E5173"/>
    <w:rsid w:val="001E5436"/>
    <w:rsid w:val="001E5CBD"/>
    <w:rsid w:val="001E60BF"/>
    <w:rsid w:val="001E64F8"/>
    <w:rsid w:val="001E74D7"/>
    <w:rsid w:val="001E7867"/>
    <w:rsid w:val="001F0082"/>
    <w:rsid w:val="001F0D50"/>
    <w:rsid w:val="001F13B6"/>
    <w:rsid w:val="001F199C"/>
    <w:rsid w:val="001F1EA8"/>
    <w:rsid w:val="001F20F5"/>
    <w:rsid w:val="001F21E6"/>
    <w:rsid w:val="001F28A3"/>
    <w:rsid w:val="001F36C7"/>
    <w:rsid w:val="001F38BE"/>
    <w:rsid w:val="001F3E03"/>
    <w:rsid w:val="001F4573"/>
    <w:rsid w:val="001F4597"/>
    <w:rsid w:val="001F46EA"/>
    <w:rsid w:val="001F4C47"/>
    <w:rsid w:val="001F52C4"/>
    <w:rsid w:val="001F647A"/>
    <w:rsid w:val="001F68A0"/>
    <w:rsid w:val="001F7541"/>
    <w:rsid w:val="00200515"/>
    <w:rsid w:val="00201371"/>
    <w:rsid w:val="00201A1B"/>
    <w:rsid w:val="0020344B"/>
    <w:rsid w:val="002036A6"/>
    <w:rsid w:val="00203AC6"/>
    <w:rsid w:val="002048C3"/>
    <w:rsid w:val="0020498B"/>
    <w:rsid w:val="002050B6"/>
    <w:rsid w:val="00205553"/>
    <w:rsid w:val="0020650B"/>
    <w:rsid w:val="00206877"/>
    <w:rsid w:val="00206B1E"/>
    <w:rsid w:val="00206C36"/>
    <w:rsid w:val="002073DB"/>
    <w:rsid w:val="00207A19"/>
    <w:rsid w:val="00211943"/>
    <w:rsid w:val="00215943"/>
    <w:rsid w:val="00215B5B"/>
    <w:rsid w:val="00215E0F"/>
    <w:rsid w:val="00216EB6"/>
    <w:rsid w:val="00217B5D"/>
    <w:rsid w:val="002201D9"/>
    <w:rsid w:val="00220822"/>
    <w:rsid w:val="00220865"/>
    <w:rsid w:val="0022139E"/>
    <w:rsid w:val="002216A8"/>
    <w:rsid w:val="002216F1"/>
    <w:rsid w:val="00221863"/>
    <w:rsid w:val="00222322"/>
    <w:rsid w:val="0022275B"/>
    <w:rsid w:val="0022439C"/>
    <w:rsid w:val="002248D4"/>
    <w:rsid w:val="00224F4C"/>
    <w:rsid w:val="002252E0"/>
    <w:rsid w:val="002255F6"/>
    <w:rsid w:val="00225C66"/>
    <w:rsid w:val="00225EE9"/>
    <w:rsid w:val="002279DD"/>
    <w:rsid w:val="00230B30"/>
    <w:rsid w:val="00230FA2"/>
    <w:rsid w:val="00233AA3"/>
    <w:rsid w:val="00234209"/>
    <w:rsid w:val="0023512E"/>
    <w:rsid w:val="00236333"/>
    <w:rsid w:val="00236443"/>
    <w:rsid w:val="00236538"/>
    <w:rsid w:val="002401BE"/>
    <w:rsid w:val="0024129B"/>
    <w:rsid w:val="00242ACA"/>
    <w:rsid w:val="0024309D"/>
    <w:rsid w:val="002436BA"/>
    <w:rsid w:val="0024379D"/>
    <w:rsid w:val="002439D6"/>
    <w:rsid w:val="002443A5"/>
    <w:rsid w:val="00244A15"/>
    <w:rsid w:val="00244F0F"/>
    <w:rsid w:val="00246967"/>
    <w:rsid w:val="002478CD"/>
    <w:rsid w:val="0024799E"/>
    <w:rsid w:val="002516CC"/>
    <w:rsid w:val="00251F9F"/>
    <w:rsid w:val="0025234A"/>
    <w:rsid w:val="002524A2"/>
    <w:rsid w:val="0025274E"/>
    <w:rsid w:val="00254352"/>
    <w:rsid w:val="00254BF0"/>
    <w:rsid w:val="0026372B"/>
    <w:rsid w:val="00264463"/>
    <w:rsid w:val="00264937"/>
    <w:rsid w:val="00264FB0"/>
    <w:rsid w:val="002656DE"/>
    <w:rsid w:val="00265BD4"/>
    <w:rsid w:val="00266DBA"/>
    <w:rsid w:val="00267C5E"/>
    <w:rsid w:val="002704E6"/>
    <w:rsid w:val="00270567"/>
    <w:rsid w:val="00273BD1"/>
    <w:rsid w:val="0027509A"/>
    <w:rsid w:val="00275BC0"/>
    <w:rsid w:val="00276B63"/>
    <w:rsid w:val="00277099"/>
    <w:rsid w:val="002771CE"/>
    <w:rsid w:val="00277478"/>
    <w:rsid w:val="00277706"/>
    <w:rsid w:val="00280C39"/>
    <w:rsid w:val="00281435"/>
    <w:rsid w:val="002814B4"/>
    <w:rsid w:val="0028177B"/>
    <w:rsid w:val="0028217C"/>
    <w:rsid w:val="00283284"/>
    <w:rsid w:val="002835A8"/>
    <w:rsid w:val="002840A2"/>
    <w:rsid w:val="00284FE3"/>
    <w:rsid w:val="00285461"/>
    <w:rsid w:val="00285B5F"/>
    <w:rsid w:val="002872C2"/>
    <w:rsid w:val="002874F0"/>
    <w:rsid w:val="00287BE0"/>
    <w:rsid w:val="00287CCB"/>
    <w:rsid w:val="00287FFD"/>
    <w:rsid w:val="00290C0F"/>
    <w:rsid w:val="002914EE"/>
    <w:rsid w:val="00292845"/>
    <w:rsid w:val="00293089"/>
    <w:rsid w:val="00293295"/>
    <w:rsid w:val="00293916"/>
    <w:rsid w:val="00293CEF"/>
    <w:rsid w:val="00293F7A"/>
    <w:rsid w:val="00294C49"/>
    <w:rsid w:val="00295694"/>
    <w:rsid w:val="0029633E"/>
    <w:rsid w:val="002976B9"/>
    <w:rsid w:val="00297B1F"/>
    <w:rsid w:val="00297FBA"/>
    <w:rsid w:val="002A0214"/>
    <w:rsid w:val="002A0702"/>
    <w:rsid w:val="002A07F7"/>
    <w:rsid w:val="002A143B"/>
    <w:rsid w:val="002A1933"/>
    <w:rsid w:val="002A21A2"/>
    <w:rsid w:val="002A26AB"/>
    <w:rsid w:val="002A2816"/>
    <w:rsid w:val="002A2CF9"/>
    <w:rsid w:val="002A4F13"/>
    <w:rsid w:val="002A67A5"/>
    <w:rsid w:val="002A7621"/>
    <w:rsid w:val="002B0FA7"/>
    <w:rsid w:val="002B1DF8"/>
    <w:rsid w:val="002B2848"/>
    <w:rsid w:val="002B439B"/>
    <w:rsid w:val="002B6CDB"/>
    <w:rsid w:val="002B6E4D"/>
    <w:rsid w:val="002B7691"/>
    <w:rsid w:val="002B782B"/>
    <w:rsid w:val="002C09AB"/>
    <w:rsid w:val="002C0D94"/>
    <w:rsid w:val="002C0FFC"/>
    <w:rsid w:val="002C1CCB"/>
    <w:rsid w:val="002C2278"/>
    <w:rsid w:val="002C31C4"/>
    <w:rsid w:val="002C31D3"/>
    <w:rsid w:val="002C43BD"/>
    <w:rsid w:val="002C453D"/>
    <w:rsid w:val="002C63C8"/>
    <w:rsid w:val="002D0D0A"/>
    <w:rsid w:val="002D13DD"/>
    <w:rsid w:val="002D2170"/>
    <w:rsid w:val="002D3010"/>
    <w:rsid w:val="002D3A94"/>
    <w:rsid w:val="002D3DF2"/>
    <w:rsid w:val="002D3EAF"/>
    <w:rsid w:val="002D3F0F"/>
    <w:rsid w:val="002D4104"/>
    <w:rsid w:val="002D47D8"/>
    <w:rsid w:val="002D487C"/>
    <w:rsid w:val="002D56ED"/>
    <w:rsid w:val="002D6AFD"/>
    <w:rsid w:val="002D7465"/>
    <w:rsid w:val="002D7A34"/>
    <w:rsid w:val="002E0064"/>
    <w:rsid w:val="002E02A1"/>
    <w:rsid w:val="002E0AD7"/>
    <w:rsid w:val="002E1BC6"/>
    <w:rsid w:val="002E24FF"/>
    <w:rsid w:val="002E29E6"/>
    <w:rsid w:val="002E2BDD"/>
    <w:rsid w:val="002E2E66"/>
    <w:rsid w:val="002E3F91"/>
    <w:rsid w:val="002E4155"/>
    <w:rsid w:val="002E53EB"/>
    <w:rsid w:val="002E58FA"/>
    <w:rsid w:val="002E7BB0"/>
    <w:rsid w:val="002E7D89"/>
    <w:rsid w:val="002F08EF"/>
    <w:rsid w:val="002F0E9F"/>
    <w:rsid w:val="002F1C06"/>
    <w:rsid w:val="002F23F1"/>
    <w:rsid w:val="002F2B01"/>
    <w:rsid w:val="002F2EF8"/>
    <w:rsid w:val="002F3032"/>
    <w:rsid w:val="002F313B"/>
    <w:rsid w:val="002F3249"/>
    <w:rsid w:val="002F3795"/>
    <w:rsid w:val="002F3B62"/>
    <w:rsid w:val="002F3C65"/>
    <w:rsid w:val="002F3CFD"/>
    <w:rsid w:val="002F455B"/>
    <w:rsid w:val="002F473A"/>
    <w:rsid w:val="002F4840"/>
    <w:rsid w:val="002F53A6"/>
    <w:rsid w:val="002F702A"/>
    <w:rsid w:val="002F7055"/>
    <w:rsid w:val="002F7080"/>
    <w:rsid w:val="002F7270"/>
    <w:rsid w:val="002F74C6"/>
    <w:rsid w:val="002F7590"/>
    <w:rsid w:val="00301010"/>
    <w:rsid w:val="0030115C"/>
    <w:rsid w:val="00301900"/>
    <w:rsid w:val="00301A1D"/>
    <w:rsid w:val="00301C0F"/>
    <w:rsid w:val="00304147"/>
    <w:rsid w:val="00304771"/>
    <w:rsid w:val="00305F36"/>
    <w:rsid w:val="003061B7"/>
    <w:rsid w:val="00306C5B"/>
    <w:rsid w:val="003071E1"/>
    <w:rsid w:val="0030764E"/>
    <w:rsid w:val="00307719"/>
    <w:rsid w:val="00307C28"/>
    <w:rsid w:val="00307E36"/>
    <w:rsid w:val="00311453"/>
    <w:rsid w:val="00311D3E"/>
    <w:rsid w:val="00311E71"/>
    <w:rsid w:val="00312451"/>
    <w:rsid w:val="00313553"/>
    <w:rsid w:val="003138DC"/>
    <w:rsid w:val="00314AAB"/>
    <w:rsid w:val="003155FB"/>
    <w:rsid w:val="003156E7"/>
    <w:rsid w:val="00320639"/>
    <w:rsid w:val="003209D6"/>
    <w:rsid w:val="00320DA4"/>
    <w:rsid w:val="0032123B"/>
    <w:rsid w:val="0032123E"/>
    <w:rsid w:val="00321F4E"/>
    <w:rsid w:val="003225B0"/>
    <w:rsid w:val="00322A85"/>
    <w:rsid w:val="00322B58"/>
    <w:rsid w:val="00324598"/>
    <w:rsid w:val="00324D33"/>
    <w:rsid w:val="003257F5"/>
    <w:rsid w:val="0032669A"/>
    <w:rsid w:val="00326E14"/>
    <w:rsid w:val="00326F52"/>
    <w:rsid w:val="003276F5"/>
    <w:rsid w:val="00327C7C"/>
    <w:rsid w:val="00331292"/>
    <w:rsid w:val="0033140D"/>
    <w:rsid w:val="00331641"/>
    <w:rsid w:val="00332DE4"/>
    <w:rsid w:val="0033380D"/>
    <w:rsid w:val="00334056"/>
    <w:rsid w:val="003350DA"/>
    <w:rsid w:val="003357F1"/>
    <w:rsid w:val="003363FB"/>
    <w:rsid w:val="00336576"/>
    <w:rsid w:val="003366B6"/>
    <w:rsid w:val="00337C62"/>
    <w:rsid w:val="00341B7E"/>
    <w:rsid w:val="00341C43"/>
    <w:rsid w:val="00341E45"/>
    <w:rsid w:val="00342153"/>
    <w:rsid w:val="003429AA"/>
    <w:rsid w:val="00342A7A"/>
    <w:rsid w:val="00344516"/>
    <w:rsid w:val="00346B28"/>
    <w:rsid w:val="0034730D"/>
    <w:rsid w:val="00347A9E"/>
    <w:rsid w:val="00353BD5"/>
    <w:rsid w:val="00354634"/>
    <w:rsid w:val="00354986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669A4"/>
    <w:rsid w:val="003678B8"/>
    <w:rsid w:val="00367A06"/>
    <w:rsid w:val="00367B0E"/>
    <w:rsid w:val="00370721"/>
    <w:rsid w:val="003715C8"/>
    <w:rsid w:val="00371906"/>
    <w:rsid w:val="00372ECF"/>
    <w:rsid w:val="00373282"/>
    <w:rsid w:val="003738F1"/>
    <w:rsid w:val="00373D64"/>
    <w:rsid w:val="003743BD"/>
    <w:rsid w:val="003747CC"/>
    <w:rsid w:val="00374920"/>
    <w:rsid w:val="00376624"/>
    <w:rsid w:val="00377B43"/>
    <w:rsid w:val="00380B0F"/>
    <w:rsid w:val="00381287"/>
    <w:rsid w:val="003814B5"/>
    <w:rsid w:val="00381B38"/>
    <w:rsid w:val="00382234"/>
    <w:rsid w:val="0038306D"/>
    <w:rsid w:val="00383531"/>
    <w:rsid w:val="00383C4C"/>
    <w:rsid w:val="0038458E"/>
    <w:rsid w:val="00384823"/>
    <w:rsid w:val="003855FD"/>
    <w:rsid w:val="00385D98"/>
    <w:rsid w:val="003860DA"/>
    <w:rsid w:val="00386236"/>
    <w:rsid w:val="003864AE"/>
    <w:rsid w:val="003869AD"/>
    <w:rsid w:val="003909D7"/>
    <w:rsid w:val="003912FF"/>
    <w:rsid w:val="00391589"/>
    <w:rsid w:val="0039159A"/>
    <w:rsid w:val="00391639"/>
    <w:rsid w:val="00391B49"/>
    <w:rsid w:val="00391F28"/>
    <w:rsid w:val="0039328F"/>
    <w:rsid w:val="00393D3B"/>
    <w:rsid w:val="00394169"/>
    <w:rsid w:val="00394398"/>
    <w:rsid w:val="00394756"/>
    <w:rsid w:val="00394FBF"/>
    <w:rsid w:val="00395EBF"/>
    <w:rsid w:val="00395EF5"/>
    <w:rsid w:val="00396BC7"/>
    <w:rsid w:val="00397F92"/>
    <w:rsid w:val="003A054D"/>
    <w:rsid w:val="003A071A"/>
    <w:rsid w:val="003A0B95"/>
    <w:rsid w:val="003A139A"/>
    <w:rsid w:val="003A1BC5"/>
    <w:rsid w:val="003A212A"/>
    <w:rsid w:val="003A2B4D"/>
    <w:rsid w:val="003A36EE"/>
    <w:rsid w:val="003A384C"/>
    <w:rsid w:val="003A3962"/>
    <w:rsid w:val="003A3B7E"/>
    <w:rsid w:val="003A46A2"/>
    <w:rsid w:val="003A4766"/>
    <w:rsid w:val="003A478C"/>
    <w:rsid w:val="003A5525"/>
    <w:rsid w:val="003A5EC2"/>
    <w:rsid w:val="003A6AB3"/>
    <w:rsid w:val="003A6B38"/>
    <w:rsid w:val="003A7D04"/>
    <w:rsid w:val="003B07C1"/>
    <w:rsid w:val="003B07D7"/>
    <w:rsid w:val="003B0B1C"/>
    <w:rsid w:val="003B0D43"/>
    <w:rsid w:val="003B1105"/>
    <w:rsid w:val="003B1C34"/>
    <w:rsid w:val="003B2C29"/>
    <w:rsid w:val="003B3719"/>
    <w:rsid w:val="003B3854"/>
    <w:rsid w:val="003B4AB9"/>
    <w:rsid w:val="003B5A32"/>
    <w:rsid w:val="003B75E7"/>
    <w:rsid w:val="003B75ED"/>
    <w:rsid w:val="003B7D25"/>
    <w:rsid w:val="003C0343"/>
    <w:rsid w:val="003C1098"/>
    <w:rsid w:val="003C1606"/>
    <w:rsid w:val="003C1BDB"/>
    <w:rsid w:val="003C20FF"/>
    <w:rsid w:val="003C2B86"/>
    <w:rsid w:val="003C2D8C"/>
    <w:rsid w:val="003C3177"/>
    <w:rsid w:val="003C334B"/>
    <w:rsid w:val="003C4755"/>
    <w:rsid w:val="003C48BB"/>
    <w:rsid w:val="003C4AB2"/>
    <w:rsid w:val="003C54D3"/>
    <w:rsid w:val="003C565A"/>
    <w:rsid w:val="003C5BE5"/>
    <w:rsid w:val="003C5FB3"/>
    <w:rsid w:val="003C77D1"/>
    <w:rsid w:val="003C7C38"/>
    <w:rsid w:val="003D1BBE"/>
    <w:rsid w:val="003D1BF5"/>
    <w:rsid w:val="003D20B9"/>
    <w:rsid w:val="003D2A5D"/>
    <w:rsid w:val="003D3D33"/>
    <w:rsid w:val="003D4D7C"/>
    <w:rsid w:val="003D4F10"/>
    <w:rsid w:val="003D53AA"/>
    <w:rsid w:val="003E0297"/>
    <w:rsid w:val="003E05A0"/>
    <w:rsid w:val="003E081A"/>
    <w:rsid w:val="003E0B6A"/>
    <w:rsid w:val="003E183C"/>
    <w:rsid w:val="003E1A32"/>
    <w:rsid w:val="003E1CB4"/>
    <w:rsid w:val="003E23A0"/>
    <w:rsid w:val="003E2BEE"/>
    <w:rsid w:val="003E4697"/>
    <w:rsid w:val="003E517B"/>
    <w:rsid w:val="003E5D6E"/>
    <w:rsid w:val="003E6B24"/>
    <w:rsid w:val="003E6D10"/>
    <w:rsid w:val="003E7003"/>
    <w:rsid w:val="003E71A3"/>
    <w:rsid w:val="003E796F"/>
    <w:rsid w:val="003E7A25"/>
    <w:rsid w:val="003F0699"/>
    <w:rsid w:val="003F073D"/>
    <w:rsid w:val="003F1F84"/>
    <w:rsid w:val="003F244B"/>
    <w:rsid w:val="003F278C"/>
    <w:rsid w:val="003F313C"/>
    <w:rsid w:val="003F357B"/>
    <w:rsid w:val="003F50AF"/>
    <w:rsid w:val="003F52E9"/>
    <w:rsid w:val="003F563D"/>
    <w:rsid w:val="003F62AA"/>
    <w:rsid w:val="003F73F0"/>
    <w:rsid w:val="00400636"/>
    <w:rsid w:val="00401B38"/>
    <w:rsid w:val="00402062"/>
    <w:rsid w:val="0040255C"/>
    <w:rsid w:val="00403558"/>
    <w:rsid w:val="004039E7"/>
    <w:rsid w:val="00403C51"/>
    <w:rsid w:val="00403ED7"/>
    <w:rsid w:val="00404665"/>
    <w:rsid w:val="00405D48"/>
    <w:rsid w:val="00406C11"/>
    <w:rsid w:val="00407395"/>
    <w:rsid w:val="004073A2"/>
    <w:rsid w:val="00407605"/>
    <w:rsid w:val="004079F7"/>
    <w:rsid w:val="004106A5"/>
    <w:rsid w:val="00410C60"/>
    <w:rsid w:val="00410D5F"/>
    <w:rsid w:val="0041207B"/>
    <w:rsid w:val="00412A29"/>
    <w:rsid w:val="00412F1A"/>
    <w:rsid w:val="00413856"/>
    <w:rsid w:val="0041398E"/>
    <w:rsid w:val="00413C01"/>
    <w:rsid w:val="00413D2F"/>
    <w:rsid w:val="00413D6B"/>
    <w:rsid w:val="00414240"/>
    <w:rsid w:val="00414606"/>
    <w:rsid w:val="004155CD"/>
    <w:rsid w:val="00415677"/>
    <w:rsid w:val="004166B2"/>
    <w:rsid w:val="00416B8E"/>
    <w:rsid w:val="0041734A"/>
    <w:rsid w:val="00417F05"/>
    <w:rsid w:val="00420985"/>
    <w:rsid w:val="00421359"/>
    <w:rsid w:val="00421554"/>
    <w:rsid w:val="00422315"/>
    <w:rsid w:val="004225E1"/>
    <w:rsid w:val="004236B3"/>
    <w:rsid w:val="00423910"/>
    <w:rsid w:val="00424AB7"/>
    <w:rsid w:val="00424DD4"/>
    <w:rsid w:val="00425C3A"/>
    <w:rsid w:val="004260A7"/>
    <w:rsid w:val="00426330"/>
    <w:rsid w:val="00426422"/>
    <w:rsid w:val="00427185"/>
    <w:rsid w:val="00427765"/>
    <w:rsid w:val="00427FC8"/>
    <w:rsid w:val="00430090"/>
    <w:rsid w:val="00430301"/>
    <w:rsid w:val="00430674"/>
    <w:rsid w:val="00430AEE"/>
    <w:rsid w:val="00430CE0"/>
    <w:rsid w:val="004313F0"/>
    <w:rsid w:val="0043194A"/>
    <w:rsid w:val="004322C6"/>
    <w:rsid w:val="0043232A"/>
    <w:rsid w:val="00432D64"/>
    <w:rsid w:val="004341DF"/>
    <w:rsid w:val="00434E4A"/>
    <w:rsid w:val="00434EA2"/>
    <w:rsid w:val="00435439"/>
    <w:rsid w:val="00435CBA"/>
    <w:rsid w:val="00436048"/>
    <w:rsid w:val="004362C7"/>
    <w:rsid w:val="004377D2"/>
    <w:rsid w:val="0044161B"/>
    <w:rsid w:val="004423DA"/>
    <w:rsid w:val="00442B70"/>
    <w:rsid w:val="00443FBC"/>
    <w:rsid w:val="00444354"/>
    <w:rsid w:val="00445784"/>
    <w:rsid w:val="00446C05"/>
    <w:rsid w:val="004477D7"/>
    <w:rsid w:val="0044781D"/>
    <w:rsid w:val="004479AD"/>
    <w:rsid w:val="00451E6B"/>
    <w:rsid w:val="0045366B"/>
    <w:rsid w:val="00453F26"/>
    <w:rsid w:val="0045479C"/>
    <w:rsid w:val="00454B4B"/>
    <w:rsid w:val="00455781"/>
    <w:rsid w:val="00455BF7"/>
    <w:rsid w:val="00455E35"/>
    <w:rsid w:val="004567A9"/>
    <w:rsid w:val="00456844"/>
    <w:rsid w:val="00456CEB"/>
    <w:rsid w:val="00460032"/>
    <w:rsid w:val="004624F4"/>
    <w:rsid w:val="00463277"/>
    <w:rsid w:val="00463E74"/>
    <w:rsid w:val="00463E8E"/>
    <w:rsid w:val="004644D9"/>
    <w:rsid w:val="0046625C"/>
    <w:rsid w:val="00466611"/>
    <w:rsid w:val="00471D56"/>
    <w:rsid w:val="00472688"/>
    <w:rsid w:val="00473149"/>
    <w:rsid w:val="00473708"/>
    <w:rsid w:val="0047507B"/>
    <w:rsid w:val="004753E9"/>
    <w:rsid w:val="00475D13"/>
    <w:rsid w:val="00475FE9"/>
    <w:rsid w:val="00480A0A"/>
    <w:rsid w:val="00480CC3"/>
    <w:rsid w:val="0048139F"/>
    <w:rsid w:val="00481B3C"/>
    <w:rsid w:val="00482B61"/>
    <w:rsid w:val="004836E2"/>
    <w:rsid w:val="00483CCC"/>
    <w:rsid w:val="00484781"/>
    <w:rsid w:val="00484EC2"/>
    <w:rsid w:val="00485894"/>
    <w:rsid w:val="00485EF6"/>
    <w:rsid w:val="0048673C"/>
    <w:rsid w:val="00486EDF"/>
    <w:rsid w:val="0048734B"/>
    <w:rsid w:val="00487705"/>
    <w:rsid w:val="0049040D"/>
    <w:rsid w:val="00490AA9"/>
    <w:rsid w:val="00490B42"/>
    <w:rsid w:val="00490DC2"/>
    <w:rsid w:val="00490DDC"/>
    <w:rsid w:val="004918CF"/>
    <w:rsid w:val="00492782"/>
    <w:rsid w:val="00493D07"/>
    <w:rsid w:val="004944EE"/>
    <w:rsid w:val="00494BB0"/>
    <w:rsid w:val="00496186"/>
    <w:rsid w:val="00496630"/>
    <w:rsid w:val="004972CB"/>
    <w:rsid w:val="00497328"/>
    <w:rsid w:val="004976DF"/>
    <w:rsid w:val="004A0405"/>
    <w:rsid w:val="004A0961"/>
    <w:rsid w:val="004A0C12"/>
    <w:rsid w:val="004A0CD4"/>
    <w:rsid w:val="004A2867"/>
    <w:rsid w:val="004A2ED0"/>
    <w:rsid w:val="004A30F7"/>
    <w:rsid w:val="004A3B8F"/>
    <w:rsid w:val="004A4C70"/>
    <w:rsid w:val="004A4D9F"/>
    <w:rsid w:val="004A6811"/>
    <w:rsid w:val="004A742A"/>
    <w:rsid w:val="004A774A"/>
    <w:rsid w:val="004A77DF"/>
    <w:rsid w:val="004A7F6D"/>
    <w:rsid w:val="004B00D8"/>
    <w:rsid w:val="004B0EFC"/>
    <w:rsid w:val="004B116C"/>
    <w:rsid w:val="004B1EFD"/>
    <w:rsid w:val="004B21BD"/>
    <w:rsid w:val="004B22F1"/>
    <w:rsid w:val="004B32AB"/>
    <w:rsid w:val="004B38CF"/>
    <w:rsid w:val="004B443E"/>
    <w:rsid w:val="004B55B7"/>
    <w:rsid w:val="004B62D9"/>
    <w:rsid w:val="004B6C36"/>
    <w:rsid w:val="004B789D"/>
    <w:rsid w:val="004C0ADF"/>
    <w:rsid w:val="004C1966"/>
    <w:rsid w:val="004C19A9"/>
    <w:rsid w:val="004C1E7C"/>
    <w:rsid w:val="004C219B"/>
    <w:rsid w:val="004C2813"/>
    <w:rsid w:val="004C2E6C"/>
    <w:rsid w:val="004C3411"/>
    <w:rsid w:val="004C3867"/>
    <w:rsid w:val="004C4121"/>
    <w:rsid w:val="004C4CD0"/>
    <w:rsid w:val="004C5035"/>
    <w:rsid w:val="004C5416"/>
    <w:rsid w:val="004C5960"/>
    <w:rsid w:val="004C6F38"/>
    <w:rsid w:val="004C70DC"/>
    <w:rsid w:val="004D0211"/>
    <w:rsid w:val="004D29B8"/>
    <w:rsid w:val="004D3AA6"/>
    <w:rsid w:val="004D4145"/>
    <w:rsid w:val="004D4ED3"/>
    <w:rsid w:val="004D4F8D"/>
    <w:rsid w:val="004D6B14"/>
    <w:rsid w:val="004D70A1"/>
    <w:rsid w:val="004D7352"/>
    <w:rsid w:val="004D7622"/>
    <w:rsid w:val="004D7DD4"/>
    <w:rsid w:val="004E07F2"/>
    <w:rsid w:val="004E0DA0"/>
    <w:rsid w:val="004E1FB2"/>
    <w:rsid w:val="004E2F6C"/>
    <w:rsid w:val="004E3005"/>
    <w:rsid w:val="004E3936"/>
    <w:rsid w:val="004E3D6B"/>
    <w:rsid w:val="004E3E7B"/>
    <w:rsid w:val="004E44F4"/>
    <w:rsid w:val="004E46DF"/>
    <w:rsid w:val="004E4AF3"/>
    <w:rsid w:val="004E5288"/>
    <w:rsid w:val="004E57C7"/>
    <w:rsid w:val="004E5C31"/>
    <w:rsid w:val="004E600C"/>
    <w:rsid w:val="004E6919"/>
    <w:rsid w:val="004E6BC8"/>
    <w:rsid w:val="004E7551"/>
    <w:rsid w:val="004E789E"/>
    <w:rsid w:val="004E7A13"/>
    <w:rsid w:val="004E7D3D"/>
    <w:rsid w:val="004E7E94"/>
    <w:rsid w:val="004F02B7"/>
    <w:rsid w:val="004F06F5"/>
    <w:rsid w:val="004F0BD9"/>
    <w:rsid w:val="004F0C6A"/>
    <w:rsid w:val="004F0F92"/>
    <w:rsid w:val="004F1915"/>
    <w:rsid w:val="004F2019"/>
    <w:rsid w:val="004F25E7"/>
    <w:rsid w:val="004F2F3C"/>
    <w:rsid w:val="004F33A0"/>
    <w:rsid w:val="004F4117"/>
    <w:rsid w:val="004F411B"/>
    <w:rsid w:val="004F4FE7"/>
    <w:rsid w:val="004F5578"/>
    <w:rsid w:val="004F5E50"/>
    <w:rsid w:val="004F663F"/>
    <w:rsid w:val="004F6B41"/>
    <w:rsid w:val="004F6BBE"/>
    <w:rsid w:val="004F7E6A"/>
    <w:rsid w:val="00500748"/>
    <w:rsid w:val="00500D87"/>
    <w:rsid w:val="00500EBF"/>
    <w:rsid w:val="00501BA8"/>
    <w:rsid w:val="0050264F"/>
    <w:rsid w:val="00502D0B"/>
    <w:rsid w:val="00502D0E"/>
    <w:rsid w:val="005036CD"/>
    <w:rsid w:val="00503742"/>
    <w:rsid w:val="0050375D"/>
    <w:rsid w:val="00503A24"/>
    <w:rsid w:val="00503DFA"/>
    <w:rsid w:val="0050486B"/>
    <w:rsid w:val="005055DF"/>
    <w:rsid w:val="00505692"/>
    <w:rsid w:val="0050601E"/>
    <w:rsid w:val="00507292"/>
    <w:rsid w:val="005072D0"/>
    <w:rsid w:val="00507F95"/>
    <w:rsid w:val="0051035C"/>
    <w:rsid w:val="005108C0"/>
    <w:rsid w:val="00510A30"/>
    <w:rsid w:val="00510CB2"/>
    <w:rsid w:val="00510D4F"/>
    <w:rsid w:val="005110A5"/>
    <w:rsid w:val="005116AE"/>
    <w:rsid w:val="00511873"/>
    <w:rsid w:val="00511B1D"/>
    <w:rsid w:val="00511C88"/>
    <w:rsid w:val="0051240C"/>
    <w:rsid w:val="00512441"/>
    <w:rsid w:val="00512D79"/>
    <w:rsid w:val="005130E9"/>
    <w:rsid w:val="00513433"/>
    <w:rsid w:val="00513B7E"/>
    <w:rsid w:val="00514924"/>
    <w:rsid w:val="00514B3C"/>
    <w:rsid w:val="00515CA9"/>
    <w:rsid w:val="005161B9"/>
    <w:rsid w:val="00516807"/>
    <w:rsid w:val="00516C32"/>
    <w:rsid w:val="00516CC3"/>
    <w:rsid w:val="005171EB"/>
    <w:rsid w:val="00517B67"/>
    <w:rsid w:val="00520BF3"/>
    <w:rsid w:val="00523A55"/>
    <w:rsid w:val="00523DBF"/>
    <w:rsid w:val="00525137"/>
    <w:rsid w:val="005251DD"/>
    <w:rsid w:val="00526E88"/>
    <w:rsid w:val="00527020"/>
    <w:rsid w:val="0052748E"/>
    <w:rsid w:val="0052775C"/>
    <w:rsid w:val="00527BD3"/>
    <w:rsid w:val="00527DA3"/>
    <w:rsid w:val="00527E4A"/>
    <w:rsid w:val="00530BFD"/>
    <w:rsid w:val="0053206D"/>
    <w:rsid w:val="005323FC"/>
    <w:rsid w:val="0053254A"/>
    <w:rsid w:val="00532B87"/>
    <w:rsid w:val="0053330F"/>
    <w:rsid w:val="00533F4C"/>
    <w:rsid w:val="00535248"/>
    <w:rsid w:val="00535DB6"/>
    <w:rsid w:val="005361D3"/>
    <w:rsid w:val="005363E4"/>
    <w:rsid w:val="005363FE"/>
    <w:rsid w:val="00536462"/>
    <w:rsid w:val="00540B2D"/>
    <w:rsid w:val="005419BA"/>
    <w:rsid w:val="00542027"/>
    <w:rsid w:val="005438A7"/>
    <w:rsid w:val="005438DE"/>
    <w:rsid w:val="00543CE7"/>
    <w:rsid w:val="0054507F"/>
    <w:rsid w:val="005455DA"/>
    <w:rsid w:val="005458F4"/>
    <w:rsid w:val="00545AFD"/>
    <w:rsid w:val="005460BD"/>
    <w:rsid w:val="00546883"/>
    <w:rsid w:val="00551344"/>
    <w:rsid w:val="005529F6"/>
    <w:rsid w:val="00552AF9"/>
    <w:rsid w:val="00552F1A"/>
    <w:rsid w:val="0055358A"/>
    <w:rsid w:val="00553D4C"/>
    <w:rsid w:val="0055454F"/>
    <w:rsid w:val="005554D3"/>
    <w:rsid w:val="0055632A"/>
    <w:rsid w:val="00560C17"/>
    <w:rsid w:val="00560FB2"/>
    <w:rsid w:val="005629BB"/>
    <w:rsid w:val="00562F22"/>
    <w:rsid w:val="00563888"/>
    <w:rsid w:val="00563D83"/>
    <w:rsid w:val="00564633"/>
    <w:rsid w:val="00564B70"/>
    <w:rsid w:val="0056597A"/>
    <w:rsid w:val="00565A4E"/>
    <w:rsid w:val="00566393"/>
    <w:rsid w:val="005668B7"/>
    <w:rsid w:val="00566C7B"/>
    <w:rsid w:val="005679C5"/>
    <w:rsid w:val="005706B1"/>
    <w:rsid w:val="005709D3"/>
    <w:rsid w:val="00570CD6"/>
    <w:rsid w:val="005716C1"/>
    <w:rsid w:val="00571D93"/>
    <w:rsid w:val="00572349"/>
    <w:rsid w:val="005729F5"/>
    <w:rsid w:val="00573FFF"/>
    <w:rsid w:val="00574197"/>
    <w:rsid w:val="00574490"/>
    <w:rsid w:val="00574547"/>
    <w:rsid w:val="00574590"/>
    <w:rsid w:val="00574AB8"/>
    <w:rsid w:val="00574E66"/>
    <w:rsid w:val="00575AFF"/>
    <w:rsid w:val="00576FE4"/>
    <w:rsid w:val="00577204"/>
    <w:rsid w:val="00577F03"/>
    <w:rsid w:val="00581786"/>
    <w:rsid w:val="00581B79"/>
    <w:rsid w:val="00582FE0"/>
    <w:rsid w:val="005830FC"/>
    <w:rsid w:val="00583F8C"/>
    <w:rsid w:val="00583FFD"/>
    <w:rsid w:val="005854DA"/>
    <w:rsid w:val="0058628D"/>
    <w:rsid w:val="0058644C"/>
    <w:rsid w:val="005866E9"/>
    <w:rsid w:val="005872D8"/>
    <w:rsid w:val="005874A9"/>
    <w:rsid w:val="00587F1E"/>
    <w:rsid w:val="00590645"/>
    <w:rsid w:val="00591A62"/>
    <w:rsid w:val="0059258E"/>
    <w:rsid w:val="00593152"/>
    <w:rsid w:val="00593415"/>
    <w:rsid w:val="00593616"/>
    <w:rsid w:val="005938F5"/>
    <w:rsid w:val="0059475B"/>
    <w:rsid w:val="0059538A"/>
    <w:rsid w:val="00595B7A"/>
    <w:rsid w:val="005962A0"/>
    <w:rsid w:val="005965AB"/>
    <w:rsid w:val="005A0714"/>
    <w:rsid w:val="005A0B78"/>
    <w:rsid w:val="005A1B66"/>
    <w:rsid w:val="005A21E0"/>
    <w:rsid w:val="005A2579"/>
    <w:rsid w:val="005A28B5"/>
    <w:rsid w:val="005A2ADA"/>
    <w:rsid w:val="005A35C9"/>
    <w:rsid w:val="005A3CEB"/>
    <w:rsid w:val="005A4539"/>
    <w:rsid w:val="005A5FA9"/>
    <w:rsid w:val="005A60BF"/>
    <w:rsid w:val="005A779E"/>
    <w:rsid w:val="005A7D8C"/>
    <w:rsid w:val="005B02E2"/>
    <w:rsid w:val="005B0B56"/>
    <w:rsid w:val="005B1FC4"/>
    <w:rsid w:val="005B259E"/>
    <w:rsid w:val="005B30A1"/>
    <w:rsid w:val="005B3B22"/>
    <w:rsid w:val="005B4204"/>
    <w:rsid w:val="005B4222"/>
    <w:rsid w:val="005B48E0"/>
    <w:rsid w:val="005B496A"/>
    <w:rsid w:val="005B4A27"/>
    <w:rsid w:val="005B52EE"/>
    <w:rsid w:val="005B5E34"/>
    <w:rsid w:val="005B609E"/>
    <w:rsid w:val="005B65C2"/>
    <w:rsid w:val="005B6B27"/>
    <w:rsid w:val="005B7AFC"/>
    <w:rsid w:val="005C0BF9"/>
    <w:rsid w:val="005C11AC"/>
    <w:rsid w:val="005C22C7"/>
    <w:rsid w:val="005C2E31"/>
    <w:rsid w:val="005C3DF6"/>
    <w:rsid w:val="005C4540"/>
    <w:rsid w:val="005C4A63"/>
    <w:rsid w:val="005C5616"/>
    <w:rsid w:val="005C5C6E"/>
    <w:rsid w:val="005C64B3"/>
    <w:rsid w:val="005C665F"/>
    <w:rsid w:val="005C66E8"/>
    <w:rsid w:val="005D12C9"/>
    <w:rsid w:val="005D148B"/>
    <w:rsid w:val="005D16F5"/>
    <w:rsid w:val="005D353F"/>
    <w:rsid w:val="005D3651"/>
    <w:rsid w:val="005D37AA"/>
    <w:rsid w:val="005D3A8D"/>
    <w:rsid w:val="005D44A6"/>
    <w:rsid w:val="005D5459"/>
    <w:rsid w:val="005D5733"/>
    <w:rsid w:val="005D57F6"/>
    <w:rsid w:val="005D5802"/>
    <w:rsid w:val="005D5C82"/>
    <w:rsid w:val="005D5E5F"/>
    <w:rsid w:val="005D5F3F"/>
    <w:rsid w:val="005D601C"/>
    <w:rsid w:val="005D78C1"/>
    <w:rsid w:val="005E2022"/>
    <w:rsid w:val="005E2A52"/>
    <w:rsid w:val="005E2DDB"/>
    <w:rsid w:val="005E3325"/>
    <w:rsid w:val="005E33B5"/>
    <w:rsid w:val="005E3A2D"/>
    <w:rsid w:val="005E3FBD"/>
    <w:rsid w:val="005E4BB3"/>
    <w:rsid w:val="005E505B"/>
    <w:rsid w:val="005E51A7"/>
    <w:rsid w:val="005E52CA"/>
    <w:rsid w:val="005E5841"/>
    <w:rsid w:val="005E68B8"/>
    <w:rsid w:val="005E6B47"/>
    <w:rsid w:val="005E6DBE"/>
    <w:rsid w:val="005E763D"/>
    <w:rsid w:val="005E7685"/>
    <w:rsid w:val="005F0BD1"/>
    <w:rsid w:val="005F2478"/>
    <w:rsid w:val="005F260F"/>
    <w:rsid w:val="005F269E"/>
    <w:rsid w:val="005F3C22"/>
    <w:rsid w:val="005F479D"/>
    <w:rsid w:val="005F47E7"/>
    <w:rsid w:val="005F5310"/>
    <w:rsid w:val="005F55C1"/>
    <w:rsid w:val="005F6069"/>
    <w:rsid w:val="005F6461"/>
    <w:rsid w:val="005F6A35"/>
    <w:rsid w:val="005F6F84"/>
    <w:rsid w:val="006010B5"/>
    <w:rsid w:val="00601C10"/>
    <w:rsid w:val="0060342E"/>
    <w:rsid w:val="00603BF6"/>
    <w:rsid w:val="00604307"/>
    <w:rsid w:val="0060487F"/>
    <w:rsid w:val="00604FC4"/>
    <w:rsid w:val="00605CFF"/>
    <w:rsid w:val="00607283"/>
    <w:rsid w:val="006078AD"/>
    <w:rsid w:val="006079E4"/>
    <w:rsid w:val="00607CF0"/>
    <w:rsid w:val="00610EDF"/>
    <w:rsid w:val="006115C5"/>
    <w:rsid w:val="00611722"/>
    <w:rsid w:val="00611903"/>
    <w:rsid w:val="006119BF"/>
    <w:rsid w:val="006137B9"/>
    <w:rsid w:val="00613E83"/>
    <w:rsid w:val="00613EFD"/>
    <w:rsid w:val="00615C16"/>
    <w:rsid w:val="00615C91"/>
    <w:rsid w:val="00616A62"/>
    <w:rsid w:val="00616B56"/>
    <w:rsid w:val="0061701C"/>
    <w:rsid w:val="006179E9"/>
    <w:rsid w:val="00620044"/>
    <w:rsid w:val="00620179"/>
    <w:rsid w:val="00620F61"/>
    <w:rsid w:val="00621656"/>
    <w:rsid w:val="00623456"/>
    <w:rsid w:val="00624093"/>
    <w:rsid w:val="006257D8"/>
    <w:rsid w:val="00625BCA"/>
    <w:rsid w:val="0062654A"/>
    <w:rsid w:val="006269EA"/>
    <w:rsid w:val="00626CB4"/>
    <w:rsid w:val="00626F55"/>
    <w:rsid w:val="0063056C"/>
    <w:rsid w:val="00630B4A"/>
    <w:rsid w:val="006312C3"/>
    <w:rsid w:val="00631344"/>
    <w:rsid w:val="00631D5A"/>
    <w:rsid w:val="00631FE8"/>
    <w:rsid w:val="006337DD"/>
    <w:rsid w:val="0063382F"/>
    <w:rsid w:val="006338B4"/>
    <w:rsid w:val="00634017"/>
    <w:rsid w:val="006343AA"/>
    <w:rsid w:val="00634C80"/>
    <w:rsid w:val="0063562D"/>
    <w:rsid w:val="006356AF"/>
    <w:rsid w:val="00635C2B"/>
    <w:rsid w:val="0063630B"/>
    <w:rsid w:val="00637170"/>
    <w:rsid w:val="00637D37"/>
    <w:rsid w:val="0064003F"/>
    <w:rsid w:val="006400ED"/>
    <w:rsid w:val="006404A7"/>
    <w:rsid w:val="0064082E"/>
    <w:rsid w:val="0064152C"/>
    <w:rsid w:val="00641532"/>
    <w:rsid w:val="00642B43"/>
    <w:rsid w:val="00643C82"/>
    <w:rsid w:val="00644401"/>
    <w:rsid w:val="00644C7A"/>
    <w:rsid w:val="00644C9D"/>
    <w:rsid w:val="00644EDE"/>
    <w:rsid w:val="00645105"/>
    <w:rsid w:val="006451E4"/>
    <w:rsid w:val="006451F0"/>
    <w:rsid w:val="00645A5A"/>
    <w:rsid w:val="00645B93"/>
    <w:rsid w:val="00646871"/>
    <w:rsid w:val="00646DA3"/>
    <w:rsid w:val="00652AFC"/>
    <w:rsid w:val="00653287"/>
    <w:rsid w:val="006532F0"/>
    <w:rsid w:val="00653F6E"/>
    <w:rsid w:val="0065484D"/>
    <w:rsid w:val="00655FB6"/>
    <w:rsid w:val="00656658"/>
    <w:rsid w:val="00656BF8"/>
    <w:rsid w:val="006573DF"/>
    <w:rsid w:val="00657E87"/>
    <w:rsid w:val="00660575"/>
    <w:rsid w:val="006606E7"/>
    <w:rsid w:val="006613D6"/>
    <w:rsid w:val="00662212"/>
    <w:rsid w:val="00662635"/>
    <w:rsid w:val="00662694"/>
    <w:rsid w:val="00662A19"/>
    <w:rsid w:val="00663859"/>
    <w:rsid w:val="00663E02"/>
    <w:rsid w:val="0066450D"/>
    <w:rsid w:val="006646F2"/>
    <w:rsid w:val="006652C4"/>
    <w:rsid w:val="006655D8"/>
    <w:rsid w:val="006664F5"/>
    <w:rsid w:val="006670FB"/>
    <w:rsid w:val="006710C9"/>
    <w:rsid w:val="0067118A"/>
    <w:rsid w:val="00671976"/>
    <w:rsid w:val="00671A9F"/>
    <w:rsid w:val="00671CEF"/>
    <w:rsid w:val="00671F0C"/>
    <w:rsid w:val="00672AB0"/>
    <w:rsid w:val="00672B6E"/>
    <w:rsid w:val="00673310"/>
    <w:rsid w:val="00673CD6"/>
    <w:rsid w:val="006750B0"/>
    <w:rsid w:val="00675E37"/>
    <w:rsid w:val="0067630D"/>
    <w:rsid w:val="00676763"/>
    <w:rsid w:val="0067698C"/>
    <w:rsid w:val="00681A9C"/>
    <w:rsid w:val="00681EC9"/>
    <w:rsid w:val="0068221E"/>
    <w:rsid w:val="0068260E"/>
    <w:rsid w:val="00683779"/>
    <w:rsid w:val="00683947"/>
    <w:rsid w:val="00683E98"/>
    <w:rsid w:val="00684158"/>
    <w:rsid w:val="0068574B"/>
    <w:rsid w:val="00687495"/>
    <w:rsid w:val="00687CC4"/>
    <w:rsid w:val="00687F82"/>
    <w:rsid w:val="006902F9"/>
    <w:rsid w:val="00690FC3"/>
    <w:rsid w:val="00690FED"/>
    <w:rsid w:val="00691266"/>
    <w:rsid w:val="00691988"/>
    <w:rsid w:val="00692262"/>
    <w:rsid w:val="006930F9"/>
    <w:rsid w:val="00693C50"/>
    <w:rsid w:val="00693D68"/>
    <w:rsid w:val="00693DE1"/>
    <w:rsid w:val="00693FBD"/>
    <w:rsid w:val="006950BA"/>
    <w:rsid w:val="006954F9"/>
    <w:rsid w:val="00695BEF"/>
    <w:rsid w:val="00696EB8"/>
    <w:rsid w:val="006977F6"/>
    <w:rsid w:val="00697A13"/>
    <w:rsid w:val="00697C74"/>
    <w:rsid w:val="006A0EB3"/>
    <w:rsid w:val="006A109C"/>
    <w:rsid w:val="006A10A9"/>
    <w:rsid w:val="006A12FD"/>
    <w:rsid w:val="006A15D6"/>
    <w:rsid w:val="006A15E1"/>
    <w:rsid w:val="006A1BA5"/>
    <w:rsid w:val="006A281E"/>
    <w:rsid w:val="006A2DAC"/>
    <w:rsid w:val="006A3AB0"/>
    <w:rsid w:val="006A3D7A"/>
    <w:rsid w:val="006A41F7"/>
    <w:rsid w:val="006A4FCA"/>
    <w:rsid w:val="006A68FD"/>
    <w:rsid w:val="006A7FF3"/>
    <w:rsid w:val="006B0C92"/>
    <w:rsid w:val="006B0CCD"/>
    <w:rsid w:val="006B1002"/>
    <w:rsid w:val="006B2637"/>
    <w:rsid w:val="006B44EB"/>
    <w:rsid w:val="006B4B34"/>
    <w:rsid w:val="006B4ED0"/>
    <w:rsid w:val="006B506D"/>
    <w:rsid w:val="006B6C1B"/>
    <w:rsid w:val="006B78D8"/>
    <w:rsid w:val="006B79DE"/>
    <w:rsid w:val="006C0693"/>
    <w:rsid w:val="006C113F"/>
    <w:rsid w:val="006C1A41"/>
    <w:rsid w:val="006C201D"/>
    <w:rsid w:val="006C2600"/>
    <w:rsid w:val="006C27E6"/>
    <w:rsid w:val="006C2A01"/>
    <w:rsid w:val="006C2A0E"/>
    <w:rsid w:val="006C34C1"/>
    <w:rsid w:val="006C3601"/>
    <w:rsid w:val="006C3C9F"/>
    <w:rsid w:val="006C446E"/>
    <w:rsid w:val="006C4F1F"/>
    <w:rsid w:val="006C50CC"/>
    <w:rsid w:val="006C6369"/>
    <w:rsid w:val="006C637E"/>
    <w:rsid w:val="006C7525"/>
    <w:rsid w:val="006C7EA7"/>
    <w:rsid w:val="006D0D80"/>
    <w:rsid w:val="006D102B"/>
    <w:rsid w:val="006D1CB5"/>
    <w:rsid w:val="006D2396"/>
    <w:rsid w:val="006D24BB"/>
    <w:rsid w:val="006D2559"/>
    <w:rsid w:val="006D26CB"/>
    <w:rsid w:val="006D275D"/>
    <w:rsid w:val="006D27E6"/>
    <w:rsid w:val="006D2BB0"/>
    <w:rsid w:val="006D2BDA"/>
    <w:rsid w:val="006D2F32"/>
    <w:rsid w:val="006D34C1"/>
    <w:rsid w:val="006D41F9"/>
    <w:rsid w:val="006D4821"/>
    <w:rsid w:val="006D5215"/>
    <w:rsid w:val="006D566D"/>
    <w:rsid w:val="006D5F4D"/>
    <w:rsid w:val="006D61F6"/>
    <w:rsid w:val="006D78AF"/>
    <w:rsid w:val="006D7F8A"/>
    <w:rsid w:val="006E022D"/>
    <w:rsid w:val="006E0C18"/>
    <w:rsid w:val="006E0C59"/>
    <w:rsid w:val="006E1970"/>
    <w:rsid w:val="006E20A5"/>
    <w:rsid w:val="006E279A"/>
    <w:rsid w:val="006E30C5"/>
    <w:rsid w:val="006E313B"/>
    <w:rsid w:val="006E3720"/>
    <w:rsid w:val="006E3E5E"/>
    <w:rsid w:val="006E4775"/>
    <w:rsid w:val="006E4920"/>
    <w:rsid w:val="006E4DBB"/>
    <w:rsid w:val="006E5039"/>
    <w:rsid w:val="006E53F8"/>
    <w:rsid w:val="006E5469"/>
    <w:rsid w:val="006E582A"/>
    <w:rsid w:val="006E5CD2"/>
    <w:rsid w:val="006E77B8"/>
    <w:rsid w:val="006E7C47"/>
    <w:rsid w:val="006F08B7"/>
    <w:rsid w:val="006F1594"/>
    <w:rsid w:val="006F1979"/>
    <w:rsid w:val="006F1D47"/>
    <w:rsid w:val="006F20A7"/>
    <w:rsid w:val="006F211A"/>
    <w:rsid w:val="006F2516"/>
    <w:rsid w:val="006F26E7"/>
    <w:rsid w:val="006F36B5"/>
    <w:rsid w:val="006F3933"/>
    <w:rsid w:val="006F44F9"/>
    <w:rsid w:val="006F4E51"/>
    <w:rsid w:val="006F4FEB"/>
    <w:rsid w:val="006F51D5"/>
    <w:rsid w:val="006F56DF"/>
    <w:rsid w:val="006F5D28"/>
    <w:rsid w:val="006F5D5F"/>
    <w:rsid w:val="006F62F4"/>
    <w:rsid w:val="006F66A0"/>
    <w:rsid w:val="006F6A6F"/>
    <w:rsid w:val="006F6BF4"/>
    <w:rsid w:val="006F6EE2"/>
    <w:rsid w:val="006F7318"/>
    <w:rsid w:val="006F7D6F"/>
    <w:rsid w:val="0070046A"/>
    <w:rsid w:val="007011A3"/>
    <w:rsid w:val="0070165B"/>
    <w:rsid w:val="00702312"/>
    <w:rsid w:val="00703A95"/>
    <w:rsid w:val="007047B1"/>
    <w:rsid w:val="00704E80"/>
    <w:rsid w:val="0070607A"/>
    <w:rsid w:val="0070709B"/>
    <w:rsid w:val="00707ACC"/>
    <w:rsid w:val="00710016"/>
    <w:rsid w:val="007105BB"/>
    <w:rsid w:val="00710A84"/>
    <w:rsid w:val="00710C31"/>
    <w:rsid w:val="00711334"/>
    <w:rsid w:val="00711A84"/>
    <w:rsid w:val="007122DD"/>
    <w:rsid w:val="007131AB"/>
    <w:rsid w:val="00713671"/>
    <w:rsid w:val="00714A89"/>
    <w:rsid w:val="007155A3"/>
    <w:rsid w:val="007158BD"/>
    <w:rsid w:val="00715C3C"/>
    <w:rsid w:val="00715D75"/>
    <w:rsid w:val="00716471"/>
    <w:rsid w:val="00716A94"/>
    <w:rsid w:val="00720A8A"/>
    <w:rsid w:val="00720BAA"/>
    <w:rsid w:val="00720EBC"/>
    <w:rsid w:val="007211F5"/>
    <w:rsid w:val="007214BF"/>
    <w:rsid w:val="00721870"/>
    <w:rsid w:val="0072281F"/>
    <w:rsid w:val="007256C9"/>
    <w:rsid w:val="007259FC"/>
    <w:rsid w:val="00727ACC"/>
    <w:rsid w:val="00730645"/>
    <w:rsid w:val="00730AE8"/>
    <w:rsid w:val="00730E5F"/>
    <w:rsid w:val="00731782"/>
    <w:rsid w:val="0073223F"/>
    <w:rsid w:val="007325E4"/>
    <w:rsid w:val="00732A80"/>
    <w:rsid w:val="00733287"/>
    <w:rsid w:val="00733953"/>
    <w:rsid w:val="00735492"/>
    <w:rsid w:val="00735558"/>
    <w:rsid w:val="007357DE"/>
    <w:rsid w:val="007361AB"/>
    <w:rsid w:val="00736642"/>
    <w:rsid w:val="00736A3D"/>
    <w:rsid w:val="00737392"/>
    <w:rsid w:val="0073775D"/>
    <w:rsid w:val="00737F64"/>
    <w:rsid w:val="00740247"/>
    <w:rsid w:val="00741493"/>
    <w:rsid w:val="00741639"/>
    <w:rsid w:val="00741D6A"/>
    <w:rsid w:val="00741F63"/>
    <w:rsid w:val="00742B15"/>
    <w:rsid w:val="0074337C"/>
    <w:rsid w:val="0074449E"/>
    <w:rsid w:val="00745E09"/>
    <w:rsid w:val="00750912"/>
    <w:rsid w:val="00751074"/>
    <w:rsid w:val="00751643"/>
    <w:rsid w:val="0075203E"/>
    <w:rsid w:val="00752180"/>
    <w:rsid w:val="007522FD"/>
    <w:rsid w:val="00752754"/>
    <w:rsid w:val="00752BF3"/>
    <w:rsid w:val="00753D5E"/>
    <w:rsid w:val="0075508B"/>
    <w:rsid w:val="0075538A"/>
    <w:rsid w:val="007556C3"/>
    <w:rsid w:val="00755AFC"/>
    <w:rsid w:val="00755CEA"/>
    <w:rsid w:val="00755D3A"/>
    <w:rsid w:val="00755DEF"/>
    <w:rsid w:val="0075638E"/>
    <w:rsid w:val="00756767"/>
    <w:rsid w:val="007574AD"/>
    <w:rsid w:val="00757838"/>
    <w:rsid w:val="00757E60"/>
    <w:rsid w:val="0076034C"/>
    <w:rsid w:val="007607DE"/>
    <w:rsid w:val="007609C6"/>
    <w:rsid w:val="00761B3D"/>
    <w:rsid w:val="007620B1"/>
    <w:rsid w:val="00763242"/>
    <w:rsid w:val="00764739"/>
    <w:rsid w:val="00764CB6"/>
    <w:rsid w:val="00766481"/>
    <w:rsid w:val="0076676A"/>
    <w:rsid w:val="00767CA5"/>
    <w:rsid w:val="007701FB"/>
    <w:rsid w:val="00772FD6"/>
    <w:rsid w:val="00773C24"/>
    <w:rsid w:val="007749AC"/>
    <w:rsid w:val="00776527"/>
    <w:rsid w:val="007766BF"/>
    <w:rsid w:val="00776925"/>
    <w:rsid w:val="00776E52"/>
    <w:rsid w:val="00777A7F"/>
    <w:rsid w:val="00782360"/>
    <w:rsid w:val="00782419"/>
    <w:rsid w:val="00782B94"/>
    <w:rsid w:val="00782C2D"/>
    <w:rsid w:val="00783986"/>
    <w:rsid w:val="00784715"/>
    <w:rsid w:val="00784FF8"/>
    <w:rsid w:val="007862F6"/>
    <w:rsid w:val="0078765D"/>
    <w:rsid w:val="007902DA"/>
    <w:rsid w:val="00790395"/>
    <w:rsid w:val="00790BA8"/>
    <w:rsid w:val="00792E1B"/>
    <w:rsid w:val="007930ED"/>
    <w:rsid w:val="0079384B"/>
    <w:rsid w:val="00793B02"/>
    <w:rsid w:val="00794BA7"/>
    <w:rsid w:val="007974EF"/>
    <w:rsid w:val="00797B10"/>
    <w:rsid w:val="00797EAB"/>
    <w:rsid w:val="00797F5F"/>
    <w:rsid w:val="007A04CE"/>
    <w:rsid w:val="007A14F0"/>
    <w:rsid w:val="007A17A9"/>
    <w:rsid w:val="007A1D16"/>
    <w:rsid w:val="007A22BC"/>
    <w:rsid w:val="007A2597"/>
    <w:rsid w:val="007A2BC5"/>
    <w:rsid w:val="007A319B"/>
    <w:rsid w:val="007A33E4"/>
    <w:rsid w:val="007A3CED"/>
    <w:rsid w:val="007A5223"/>
    <w:rsid w:val="007A5252"/>
    <w:rsid w:val="007A5363"/>
    <w:rsid w:val="007A566D"/>
    <w:rsid w:val="007A5794"/>
    <w:rsid w:val="007A5AF0"/>
    <w:rsid w:val="007A7EE3"/>
    <w:rsid w:val="007B05E9"/>
    <w:rsid w:val="007B06B2"/>
    <w:rsid w:val="007B06EC"/>
    <w:rsid w:val="007B077B"/>
    <w:rsid w:val="007B1270"/>
    <w:rsid w:val="007B1ADF"/>
    <w:rsid w:val="007B1B84"/>
    <w:rsid w:val="007B27B9"/>
    <w:rsid w:val="007B31E6"/>
    <w:rsid w:val="007B39E8"/>
    <w:rsid w:val="007B3FCD"/>
    <w:rsid w:val="007B447A"/>
    <w:rsid w:val="007B5B94"/>
    <w:rsid w:val="007B6154"/>
    <w:rsid w:val="007B6A57"/>
    <w:rsid w:val="007B7271"/>
    <w:rsid w:val="007B78D9"/>
    <w:rsid w:val="007B7C95"/>
    <w:rsid w:val="007B7CBB"/>
    <w:rsid w:val="007C167F"/>
    <w:rsid w:val="007C1C09"/>
    <w:rsid w:val="007C1FCD"/>
    <w:rsid w:val="007C1FFE"/>
    <w:rsid w:val="007C2719"/>
    <w:rsid w:val="007C295A"/>
    <w:rsid w:val="007C2A31"/>
    <w:rsid w:val="007C3F6A"/>
    <w:rsid w:val="007C468A"/>
    <w:rsid w:val="007C4C1A"/>
    <w:rsid w:val="007C626D"/>
    <w:rsid w:val="007C632B"/>
    <w:rsid w:val="007D0303"/>
    <w:rsid w:val="007D0714"/>
    <w:rsid w:val="007D0CCD"/>
    <w:rsid w:val="007D102C"/>
    <w:rsid w:val="007D1FB5"/>
    <w:rsid w:val="007D4055"/>
    <w:rsid w:val="007D5181"/>
    <w:rsid w:val="007D5D87"/>
    <w:rsid w:val="007D66A3"/>
    <w:rsid w:val="007D74AA"/>
    <w:rsid w:val="007D75B1"/>
    <w:rsid w:val="007D7D1D"/>
    <w:rsid w:val="007E14E5"/>
    <w:rsid w:val="007E2CCC"/>
    <w:rsid w:val="007E30D5"/>
    <w:rsid w:val="007E3FA2"/>
    <w:rsid w:val="007E41A1"/>
    <w:rsid w:val="007E4208"/>
    <w:rsid w:val="007E4A12"/>
    <w:rsid w:val="007E5E83"/>
    <w:rsid w:val="007E66BC"/>
    <w:rsid w:val="007E6D13"/>
    <w:rsid w:val="007E77A9"/>
    <w:rsid w:val="007E7BB1"/>
    <w:rsid w:val="007E7E61"/>
    <w:rsid w:val="007F0845"/>
    <w:rsid w:val="007F146E"/>
    <w:rsid w:val="007F1DB7"/>
    <w:rsid w:val="007F21F2"/>
    <w:rsid w:val="007F22C4"/>
    <w:rsid w:val="007F2C20"/>
    <w:rsid w:val="007F2DDA"/>
    <w:rsid w:val="007F35DE"/>
    <w:rsid w:val="007F3DCD"/>
    <w:rsid w:val="007F43BF"/>
    <w:rsid w:val="007F53C9"/>
    <w:rsid w:val="007F54C9"/>
    <w:rsid w:val="007F5A1B"/>
    <w:rsid w:val="007F6055"/>
    <w:rsid w:val="007F7CD2"/>
    <w:rsid w:val="0080002C"/>
    <w:rsid w:val="008006AC"/>
    <w:rsid w:val="008007AC"/>
    <w:rsid w:val="0080103E"/>
    <w:rsid w:val="00801042"/>
    <w:rsid w:val="00801128"/>
    <w:rsid w:val="008019C8"/>
    <w:rsid w:val="00801FD4"/>
    <w:rsid w:val="008024CE"/>
    <w:rsid w:val="0080322C"/>
    <w:rsid w:val="00803276"/>
    <w:rsid w:val="008046CE"/>
    <w:rsid w:val="0080498A"/>
    <w:rsid w:val="00804F81"/>
    <w:rsid w:val="0080500B"/>
    <w:rsid w:val="0080521C"/>
    <w:rsid w:val="00805E10"/>
    <w:rsid w:val="0080613B"/>
    <w:rsid w:val="008079A8"/>
    <w:rsid w:val="00807C33"/>
    <w:rsid w:val="008101D1"/>
    <w:rsid w:val="00811389"/>
    <w:rsid w:val="00811FF4"/>
    <w:rsid w:val="00811FFE"/>
    <w:rsid w:val="0081287F"/>
    <w:rsid w:val="008132DA"/>
    <w:rsid w:val="00813845"/>
    <w:rsid w:val="008144AC"/>
    <w:rsid w:val="008169B7"/>
    <w:rsid w:val="00817A19"/>
    <w:rsid w:val="00820B41"/>
    <w:rsid w:val="00821847"/>
    <w:rsid w:val="00821E1B"/>
    <w:rsid w:val="00821FF6"/>
    <w:rsid w:val="008224C3"/>
    <w:rsid w:val="00822615"/>
    <w:rsid w:val="00822FAF"/>
    <w:rsid w:val="00823117"/>
    <w:rsid w:val="008239D7"/>
    <w:rsid w:val="00824887"/>
    <w:rsid w:val="00825A4F"/>
    <w:rsid w:val="00825F7B"/>
    <w:rsid w:val="00827A65"/>
    <w:rsid w:val="008305D4"/>
    <w:rsid w:val="0083143E"/>
    <w:rsid w:val="0083159F"/>
    <w:rsid w:val="00832251"/>
    <w:rsid w:val="00832C5B"/>
    <w:rsid w:val="00832F47"/>
    <w:rsid w:val="008339E7"/>
    <w:rsid w:val="0083479A"/>
    <w:rsid w:val="00834FAA"/>
    <w:rsid w:val="00835139"/>
    <w:rsid w:val="00836086"/>
    <w:rsid w:val="00837BC5"/>
    <w:rsid w:val="00840136"/>
    <w:rsid w:val="00840C7B"/>
    <w:rsid w:val="00840E30"/>
    <w:rsid w:val="00840F15"/>
    <w:rsid w:val="00841063"/>
    <w:rsid w:val="00842E41"/>
    <w:rsid w:val="00844545"/>
    <w:rsid w:val="00844734"/>
    <w:rsid w:val="00845774"/>
    <w:rsid w:val="008458BA"/>
    <w:rsid w:val="00846030"/>
    <w:rsid w:val="00846103"/>
    <w:rsid w:val="0084616E"/>
    <w:rsid w:val="00847509"/>
    <w:rsid w:val="00847B1D"/>
    <w:rsid w:val="00847E75"/>
    <w:rsid w:val="008507EC"/>
    <w:rsid w:val="0085164D"/>
    <w:rsid w:val="0085169F"/>
    <w:rsid w:val="008527D0"/>
    <w:rsid w:val="008530CD"/>
    <w:rsid w:val="00854C42"/>
    <w:rsid w:val="00856E6C"/>
    <w:rsid w:val="0086188F"/>
    <w:rsid w:val="008623C5"/>
    <w:rsid w:val="00862F08"/>
    <w:rsid w:val="00863620"/>
    <w:rsid w:val="0086369B"/>
    <w:rsid w:val="00863D57"/>
    <w:rsid w:val="00864965"/>
    <w:rsid w:val="00866C5B"/>
    <w:rsid w:val="00867F87"/>
    <w:rsid w:val="00870BD2"/>
    <w:rsid w:val="0087136A"/>
    <w:rsid w:val="008738BE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7BA"/>
    <w:rsid w:val="00877A50"/>
    <w:rsid w:val="00877B42"/>
    <w:rsid w:val="00877BA6"/>
    <w:rsid w:val="008810E4"/>
    <w:rsid w:val="00882081"/>
    <w:rsid w:val="00882361"/>
    <w:rsid w:val="00882CA7"/>
    <w:rsid w:val="008837E8"/>
    <w:rsid w:val="00883EF6"/>
    <w:rsid w:val="0088572B"/>
    <w:rsid w:val="00885F25"/>
    <w:rsid w:val="0088724D"/>
    <w:rsid w:val="0088749F"/>
    <w:rsid w:val="008877F9"/>
    <w:rsid w:val="0088780D"/>
    <w:rsid w:val="00887973"/>
    <w:rsid w:val="00887BDA"/>
    <w:rsid w:val="00887E21"/>
    <w:rsid w:val="008909AD"/>
    <w:rsid w:val="00891172"/>
    <w:rsid w:val="00892300"/>
    <w:rsid w:val="008937CB"/>
    <w:rsid w:val="00893EC7"/>
    <w:rsid w:val="00895421"/>
    <w:rsid w:val="00896452"/>
    <w:rsid w:val="00896654"/>
    <w:rsid w:val="008A07BC"/>
    <w:rsid w:val="008A0A10"/>
    <w:rsid w:val="008A0E03"/>
    <w:rsid w:val="008A1F0F"/>
    <w:rsid w:val="008A23EC"/>
    <w:rsid w:val="008A2CD5"/>
    <w:rsid w:val="008A31DC"/>
    <w:rsid w:val="008A5856"/>
    <w:rsid w:val="008A5FFF"/>
    <w:rsid w:val="008A69D9"/>
    <w:rsid w:val="008A6C6F"/>
    <w:rsid w:val="008A746F"/>
    <w:rsid w:val="008A7D69"/>
    <w:rsid w:val="008B038A"/>
    <w:rsid w:val="008B0BBF"/>
    <w:rsid w:val="008B272B"/>
    <w:rsid w:val="008B2742"/>
    <w:rsid w:val="008B2B07"/>
    <w:rsid w:val="008B4E2F"/>
    <w:rsid w:val="008B5965"/>
    <w:rsid w:val="008B5E16"/>
    <w:rsid w:val="008B7C02"/>
    <w:rsid w:val="008C0003"/>
    <w:rsid w:val="008C082F"/>
    <w:rsid w:val="008C08CC"/>
    <w:rsid w:val="008C0B92"/>
    <w:rsid w:val="008C0E88"/>
    <w:rsid w:val="008C123E"/>
    <w:rsid w:val="008C1A57"/>
    <w:rsid w:val="008C2BD7"/>
    <w:rsid w:val="008C5B23"/>
    <w:rsid w:val="008C608F"/>
    <w:rsid w:val="008C62FD"/>
    <w:rsid w:val="008C642A"/>
    <w:rsid w:val="008C6E0F"/>
    <w:rsid w:val="008C755E"/>
    <w:rsid w:val="008C7DD3"/>
    <w:rsid w:val="008C7ED2"/>
    <w:rsid w:val="008D0BD0"/>
    <w:rsid w:val="008D0CCB"/>
    <w:rsid w:val="008D116E"/>
    <w:rsid w:val="008D2A16"/>
    <w:rsid w:val="008D3CBD"/>
    <w:rsid w:val="008D4A07"/>
    <w:rsid w:val="008D5730"/>
    <w:rsid w:val="008D6563"/>
    <w:rsid w:val="008D68F3"/>
    <w:rsid w:val="008D7406"/>
    <w:rsid w:val="008D7E6E"/>
    <w:rsid w:val="008E180F"/>
    <w:rsid w:val="008E183C"/>
    <w:rsid w:val="008E1D9E"/>
    <w:rsid w:val="008E1E73"/>
    <w:rsid w:val="008E26B3"/>
    <w:rsid w:val="008E2FA1"/>
    <w:rsid w:val="008E31FF"/>
    <w:rsid w:val="008E3D7C"/>
    <w:rsid w:val="008E4065"/>
    <w:rsid w:val="008E41C1"/>
    <w:rsid w:val="008E5C16"/>
    <w:rsid w:val="008E6520"/>
    <w:rsid w:val="008E674E"/>
    <w:rsid w:val="008E78C9"/>
    <w:rsid w:val="008F0178"/>
    <w:rsid w:val="008F0538"/>
    <w:rsid w:val="008F1814"/>
    <w:rsid w:val="008F1F72"/>
    <w:rsid w:val="008F22FF"/>
    <w:rsid w:val="008F371B"/>
    <w:rsid w:val="008F3B54"/>
    <w:rsid w:val="008F450D"/>
    <w:rsid w:val="008F5169"/>
    <w:rsid w:val="008F5329"/>
    <w:rsid w:val="008F7F10"/>
    <w:rsid w:val="009003A8"/>
    <w:rsid w:val="00901510"/>
    <w:rsid w:val="00902EFF"/>
    <w:rsid w:val="009037D1"/>
    <w:rsid w:val="00904F49"/>
    <w:rsid w:val="009059F0"/>
    <w:rsid w:val="009064E1"/>
    <w:rsid w:val="00906960"/>
    <w:rsid w:val="00907169"/>
    <w:rsid w:val="009074F0"/>
    <w:rsid w:val="00910405"/>
    <w:rsid w:val="00911855"/>
    <w:rsid w:val="009125DA"/>
    <w:rsid w:val="00912CAA"/>
    <w:rsid w:val="00914040"/>
    <w:rsid w:val="009140CA"/>
    <w:rsid w:val="009142BB"/>
    <w:rsid w:val="00914A9A"/>
    <w:rsid w:val="009153F3"/>
    <w:rsid w:val="009155F3"/>
    <w:rsid w:val="00915C41"/>
    <w:rsid w:val="0091620A"/>
    <w:rsid w:val="00916458"/>
    <w:rsid w:val="0091647B"/>
    <w:rsid w:val="00916650"/>
    <w:rsid w:val="00916862"/>
    <w:rsid w:val="00916E47"/>
    <w:rsid w:val="00917541"/>
    <w:rsid w:val="00917CB3"/>
    <w:rsid w:val="0092016C"/>
    <w:rsid w:val="00921108"/>
    <w:rsid w:val="0092187B"/>
    <w:rsid w:val="00921F14"/>
    <w:rsid w:val="00922BE8"/>
    <w:rsid w:val="00922C06"/>
    <w:rsid w:val="00923736"/>
    <w:rsid w:val="00924E49"/>
    <w:rsid w:val="009251C3"/>
    <w:rsid w:val="00925CA7"/>
    <w:rsid w:val="009265F6"/>
    <w:rsid w:val="00926913"/>
    <w:rsid w:val="00927D22"/>
    <w:rsid w:val="00927D35"/>
    <w:rsid w:val="009303E8"/>
    <w:rsid w:val="009306E0"/>
    <w:rsid w:val="00930D0F"/>
    <w:rsid w:val="009311FE"/>
    <w:rsid w:val="00932499"/>
    <w:rsid w:val="0093260B"/>
    <w:rsid w:val="00933073"/>
    <w:rsid w:val="009338E5"/>
    <w:rsid w:val="0093390B"/>
    <w:rsid w:val="00933CA7"/>
    <w:rsid w:val="00933D08"/>
    <w:rsid w:val="009349AB"/>
    <w:rsid w:val="00935942"/>
    <w:rsid w:val="00935B0F"/>
    <w:rsid w:val="0094030D"/>
    <w:rsid w:val="00940ECE"/>
    <w:rsid w:val="00941519"/>
    <w:rsid w:val="00941A36"/>
    <w:rsid w:val="00942A69"/>
    <w:rsid w:val="009430C4"/>
    <w:rsid w:val="0094427A"/>
    <w:rsid w:val="0094535A"/>
    <w:rsid w:val="00945A3E"/>
    <w:rsid w:val="00945C5B"/>
    <w:rsid w:val="00946443"/>
    <w:rsid w:val="00946733"/>
    <w:rsid w:val="00946E61"/>
    <w:rsid w:val="00947596"/>
    <w:rsid w:val="00950226"/>
    <w:rsid w:val="00950886"/>
    <w:rsid w:val="00950943"/>
    <w:rsid w:val="00951123"/>
    <w:rsid w:val="0095152E"/>
    <w:rsid w:val="0095235E"/>
    <w:rsid w:val="009528F0"/>
    <w:rsid w:val="00952983"/>
    <w:rsid w:val="00953C6A"/>
    <w:rsid w:val="00954772"/>
    <w:rsid w:val="009558BD"/>
    <w:rsid w:val="00955B8B"/>
    <w:rsid w:val="00955F9C"/>
    <w:rsid w:val="00956737"/>
    <w:rsid w:val="009571CF"/>
    <w:rsid w:val="009602F1"/>
    <w:rsid w:val="00960870"/>
    <w:rsid w:val="00960C15"/>
    <w:rsid w:val="00961E31"/>
    <w:rsid w:val="0096258D"/>
    <w:rsid w:val="00962A7A"/>
    <w:rsid w:val="00963527"/>
    <w:rsid w:val="00963AA4"/>
    <w:rsid w:val="00963F00"/>
    <w:rsid w:val="00965629"/>
    <w:rsid w:val="00965EF1"/>
    <w:rsid w:val="0096694B"/>
    <w:rsid w:val="00966A24"/>
    <w:rsid w:val="00967434"/>
    <w:rsid w:val="009675BB"/>
    <w:rsid w:val="00970275"/>
    <w:rsid w:val="00970C5E"/>
    <w:rsid w:val="00970D0A"/>
    <w:rsid w:val="00970D6B"/>
    <w:rsid w:val="00971068"/>
    <w:rsid w:val="009711D5"/>
    <w:rsid w:val="0097140A"/>
    <w:rsid w:val="0097142A"/>
    <w:rsid w:val="0097151A"/>
    <w:rsid w:val="00971E56"/>
    <w:rsid w:val="0097252D"/>
    <w:rsid w:val="00974328"/>
    <w:rsid w:val="00974923"/>
    <w:rsid w:val="009757A9"/>
    <w:rsid w:val="009761F9"/>
    <w:rsid w:val="0097638C"/>
    <w:rsid w:val="00976B35"/>
    <w:rsid w:val="009778D3"/>
    <w:rsid w:val="00977E3B"/>
    <w:rsid w:val="009802CF"/>
    <w:rsid w:val="009804D9"/>
    <w:rsid w:val="009804EE"/>
    <w:rsid w:val="0098213E"/>
    <w:rsid w:val="00983C65"/>
    <w:rsid w:val="00984079"/>
    <w:rsid w:val="00984A3F"/>
    <w:rsid w:val="00984E99"/>
    <w:rsid w:val="00985002"/>
    <w:rsid w:val="00986188"/>
    <w:rsid w:val="00986843"/>
    <w:rsid w:val="00987E97"/>
    <w:rsid w:val="00990EDA"/>
    <w:rsid w:val="009922C9"/>
    <w:rsid w:val="009932AF"/>
    <w:rsid w:val="009932EC"/>
    <w:rsid w:val="00994A4E"/>
    <w:rsid w:val="00995A29"/>
    <w:rsid w:val="00995C04"/>
    <w:rsid w:val="0099613B"/>
    <w:rsid w:val="00996C62"/>
    <w:rsid w:val="0099779C"/>
    <w:rsid w:val="009A1C6B"/>
    <w:rsid w:val="009A2016"/>
    <w:rsid w:val="009A24F5"/>
    <w:rsid w:val="009A2A29"/>
    <w:rsid w:val="009A3AED"/>
    <w:rsid w:val="009A4061"/>
    <w:rsid w:val="009A4AAA"/>
    <w:rsid w:val="009A5806"/>
    <w:rsid w:val="009A7070"/>
    <w:rsid w:val="009A7503"/>
    <w:rsid w:val="009B0673"/>
    <w:rsid w:val="009B1BEA"/>
    <w:rsid w:val="009B429E"/>
    <w:rsid w:val="009B449B"/>
    <w:rsid w:val="009B4DF9"/>
    <w:rsid w:val="009B5325"/>
    <w:rsid w:val="009B5624"/>
    <w:rsid w:val="009B580A"/>
    <w:rsid w:val="009B6FD3"/>
    <w:rsid w:val="009B76CE"/>
    <w:rsid w:val="009B7811"/>
    <w:rsid w:val="009C084A"/>
    <w:rsid w:val="009C096C"/>
    <w:rsid w:val="009C0A61"/>
    <w:rsid w:val="009C2F27"/>
    <w:rsid w:val="009C3246"/>
    <w:rsid w:val="009C3B7E"/>
    <w:rsid w:val="009C4435"/>
    <w:rsid w:val="009C5416"/>
    <w:rsid w:val="009C5435"/>
    <w:rsid w:val="009C5518"/>
    <w:rsid w:val="009C5D96"/>
    <w:rsid w:val="009C71AF"/>
    <w:rsid w:val="009C761C"/>
    <w:rsid w:val="009C7BCC"/>
    <w:rsid w:val="009D12F1"/>
    <w:rsid w:val="009D1CD2"/>
    <w:rsid w:val="009D2407"/>
    <w:rsid w:val="009D24A7"/>
    <w:rsid w:val="009D2817"/>
    <w:rsid w:val="009D2BBA"/>
    <w:rsid w:val="009D2BE1"/>
    <w:rsid w:val="009D2EFB"/>
    <w:rsid w:val="009D31C9"/>
    <w:rsid w:val="009D3D3E"/>
    <w:rsid w:val="009D4359"/>
    <w:rsid w:val="009D47DA"/>
    <w:rsid w:val="009D493D"/>
    <w:rsid w:val="009D5058"/>
    <w:rsid w:val="009D5333"/>
    <w:rsid w:val="009D549B"/>
    <w:rsid w:val="009D7A68"/>
    <w:rsid w:val="009E07D9"/>
    <w:rsid w:val="009E1A45"/>
    <w:rsid w:val="009E20CC"/>
    <w:rsid w:val="009E20FF"/>
    <w:rsid w:val="009E3B01"/>
    <w:rsid w:val="009E5537"/>
    <w:rsid w:val="009E5D62"/>
    <w:rsid w:val="009E65B8"/>
    <w:rsid w:val="009E670B"/>
    <w:rsid w:val="009E7CBA"/>
    <w:rsid w:val="009E7D09"/>
    <w:rsid w:val="009F0F75"/>
    <w:rsid w:val="009F11E9"/>
    <w:rsid w:val="009F15A0"/>
    <w:rsid w:val="009F192E"/>
    <w:rsid w:val="009F2015"/>
    <w:rsid w:val="009F25B3"/>
    <w:rsid w:val="009F29BB"/>
    <w:rsid w:val="009F374A"/>
    <w:rsid w:val="009F4381"/>
    <w:rsid w:val="009F4623"/>
    <w:rsid w:val="009F4C2C"/>
    <w:rsid w:val="009F5B9D"/>
    <w:rsid w:val="009F5EC5"/>
    <w:rsid w:val="009F6378"/>
    <w:rsid w:val="009F6F61"/>
    <w:rsid w:val="009F73C2"/>
    <w:rsid w:val="009F78A6"/>
    <w:rsid w:val="009F7C85"/>
    <w:rsid w:val="00A00D69"/>
    <w:rsid w:val="00A031E5"/>
    <w:rsid w:val="00A033E7"/>
    <w:rsid w:val="00A04299"/>
    <w:rsid w:val="00A05934"/>
    <w:rsid w:val="00A05C52"/>
    <w:rsid w:val="00A05E18"/>
    <w:rsid w:val="00A06533"/>
    <w:rsid w:val="00A0746B"/>
    <w:rsid w:val="00A07932"/>
    <w:rsid w:val="00A10D66"/>
    <w:rsid w:val="00A114DE"/>
    <w:rsid w:val="00A11505"/>
    <w:rsid w:val="00A1191D"/>
    <w:rsid w:val="00A11E10"/>
    <w:rsid w:val="00A1203B"/>
    <w:rsid w:val="00A12306"/>
    <w:rsid w:val="00A1441D"/>
    <w:rsid w:val="00A14C4E"/>
    <w:rsid w:val="00A1533F"/>
    <w:rsid w:val="00A1562A"/>
    <w:rsid w:val="00A1562B"/>
    <w:rsid w:val="00A1596F"/>
    <w:rsid w:val="00A16023"/>
    <w:rsid w:val="00A16195"/>
    <w:rsid w:val="00A174B3"/>
    <w:rsid w:val="00A17ECA"/>
    <w:rsid w:val="00A20A84"/>
    <w:rsid w:val="00A21A2E"/>
    <w:rsid w:val="00A21FB3"/>
    <w:rsid w:val="00A22DA0"/>
    <w:rsid w:val="00A23653"/>
    <w:rsid w:val="00A23769"/>
    <w:rsid w:val="00A23E43"/>
    <w:rsid w:val="00A23F13"/>
    <w:rsid w:val="00A25902"/>
    <w:rsid w:val="00A259C1"/>
    <w:rsid w:val="00A26B10"/>
    <w:rsid w:val="00A27B3D"/>
    <w:rsid w:val="00A31AD8"/>
    <w:rsid w:val="00A32AE3"/>
    <w:rsid w:val="00A32E10"/>
    <w:rsid w:val="00A32F3F"/>
    <w:rsid w:val="00A335E1"/>
    <w:rsid w:val="00A3368E"/>
    <w:rsid w:val="00A33820"/>
    <w:rsid w:val="00A33BB6"/>
    <w:rsid w:val="00A3413D"/>
    <w:rsid w:val="00A36ADC"/>
    <w:rsid w:val="00A4170C"/>
    <w:rsid w:val="00A4255E"/>
    <w:rsid w:val="00A43EB1"/>
    <w:rsid w:val="00A45746"/>
    <w:rsid w:val="00A459EC"/>
    <w:rsid w:val="00A46DE0"/>
    <w:rsid w:val="00A47E46"/>
    <w:rsid w:val="00A50B33"/>
    <w:rsid w:val="00A5138A"/>
    <w:rsid w:val="00A527DD"/>
    <w:rsid w:val="00A5354B"/>
    <w:rsid w:val="00A53F26"/>
    <w:rsid w:val="00A542FC"/>
    <w:rsid w:val="00A5489A"/>
    <w:rsid w:val="00A549A0"/>
    <w:rsid w:val="00A56914"/>
    <w:rsid w:val="00A56D87"/>
    <w:rsid w:val="00A56E4D"/>
    <w:rsid w:val="00A56EEC"/>
    <w:rsid w:val="00A56EF8"/>
    <w:rsid w:val="00A5724F"/>
    <w:rsid w:val="00A57A3A"/>
    <w:rsid w:val="00A604F5"/>
    <w:rsid w:val="00A605DD"/>
    <w:rsid w:val="00A605EB"/>
    <w:rsid w:val="00A609DA"/>
    <w:rsid w:val="00A611DE"/>
    <w:rsid w:val="00A61690"/>
    <w:rsid w:val="00A62CE1"/>
    <w:rsid w:val="00A62D42"/>
    <w:rsid w:val="00A63804"/>
    <w:rsid w:val="00A650A8"/>
    <w:rsid w:val="00A65AEE"/>
    <w:rsid w:val="00A65F61"/>
    <w:rsid w:val="00A66FB5"/>
    <w:rsid w:val="00A6719C"/>
    <w:rsid w:val="00A671E7"/>
    <w:rsid w:val="00A677D4"/>
    <w:rsid w:val="00A67DC0"/>
    <w:rsid w:val="00A67FDB"/>
    <w:rsid w:val="00A703FC"/>
    <w:rsid w:val="00A70410"/>
    <w:rsid w:val="00A70A04"/>
    <w:rsid w:val="00A72F8C"/>
    <w:rsid w:val="00A7383D"/>
    <w:rsid w:val="00A749B8"/>
    <w:rsid w:val="00A74DC3"/>
    <w:rsid w:val="00A752C4"/>
    <w:rsid w:val="00A75964"/>
    <w:rsid w:val="00A75E40"/>
    <w:rsid w:val="00A76274"/>
    <w:rsid w:val="00A76B96"/>
    <w:rsid w:val="00A77461"/>
    <w:rsid w:val="00A778F2"/>
    <w:rsid w:val="00A77CC5"/>
    <w:rsid w:val="00A808E6"/>
    <w:rsid w:val="00A81347"/>
    <w:rsid w:val="00A81641"/>
    <w:rsid w:val="00A81C4D"/>
    <w:rsid w:val="00A824E3"/>
    <w:rsid w:val="00A82CF5"/>
    <w:rsid w:val="00A8314E"/>
    <w:rsid w:val="00A85057"/>
    <w:rsid w:val="00A857C0"/>
    <w:rsid w:val="00A87389"/>
    <w:rsid w:val="00A87C69"/>
    <w:rsid w:val="00A900ED"/>
    <w:rsid w:val="00A91997"/>
    <w:rsid w:val="00A92FE8"/>
    <w:rsid w:val="00A93911"/>
    <w:rsid w:val="00A9460A"/>
    <w:rsid w:val="00A94A15"/>
    <w:rsid w:val="00A94AC3"/>
    <w:rsid w:val="00A94E20"/>
    <w:rsid w:val="00A95590"/>
    <w:rsid w:val="00A95A16"/>
    <w:rsid w:val="00A973DE"/>
    <w:rsid w:val="00A97D5A"/>
    <w:rsid w:val="00AA024F"/>
    <w:rsid w:val="00AA0D43"/>
    <w:rsid w:val="00AA12C2"/>
    <w:rsid w:val="00AA1CCA"/>
    <w:rsid w:val="00AA28E1"/>
    <w:rsid w:val="00AA294B"/>
    <w:rsid w:val="00AA2DF1"/>
    <w:rsid w:val="00AA421E"/>
    <w:rsid w:val="00AA4791"/>
    <w:rsid w:val="00AA559A"/>
    <w:rsid w:val="00AA5887"/>
    <w:rsid w:val="00AA599C"/>
    <w:rsid w:val="00AA650F"/>
    <w:rsid w:val="00AA6C83"/>
    <w:rsid w:val="00AA77CA"/>
    <w:rsid w:val="00AA7D02"/>
    <w:rsid w:val="00AA7EB1"/>
    <w:rsid w:val="00AB10C4"/>
    <w:rsid w:val="00AB1E85"/>
    <w:rsid w:val="00AB1F4B"/>
    <w:rsid w:val="00AB25BC"/>
    <w:rsid w:val="00AB2AF1"/>
    <w:rsid w:val="00AB33FE"/>
    <w:rsid w:val="00AB5ACD"/>
    <w:rsid w:val="00AB67CD"/>
    <w:rsid w:val="00AB67EE"/>
    <w:rsid w:val="00AB68D7"/>
    <w:rsid w:val="00AB6DA6"/>
    <w:rsid w:val="00AB70B0"/>
    <w:rsid w:val="00AB7188"/>
    <w:rsid w:val="00AB7BFC"/>
    <w:rsid w:val="00AC126E"/>
    <w:rsid w:val="00AC1AEC"/>
    <w:rsid w:val="00AC2691"/>
    <w:rsid w:val="00AC2B58"/>
    <w:rsid w:val="00AC2FB3"/>
    <w:rsid w:val="00AC3332"/>
    <w:rsid w:val="00AC3697"/>
    <w:rsid w:val="00AC392B"/>
    <w:rsid w:val="00AC44C3"/>
    <w:rsid w:val="00AC48C9"/>
    <w:rsid w:val="00AC4DCB"/>
    <w:rsid w:val="00AC4EDB"/>
    <w:rsid w:val="00AC57CA"/>
    <w:rsid w:val="00AC5832"/>
    <w:rsid w:val="00AC62CF"/>
    <w:rsid w:val="00AC7183"/>
    <w:rsid w:val="00AC72F7"/>
    <w:rsid w:val="00AC73FA"/>
    <w:rsid w:val="00AC7546"/>
    <w:rsid w:val="00AC7FEA"/>
    <w:rsid w:val="00AD0520"/>
    <w:rsid w:val="00AD056B"/>
    <w:rsid w:val="00AD0B5C"/>
    <w:rsid w:val="00AD1714"/>
    <w:rsid w:val="00AD1D52"/>
    <w:rsid w:val="00AD233C"/>
    <w:rsid w:val="00AD306C"/>
    <w:rsid w:val="00AD3C0A"/>
    <w:rsid w:val="00AD3CE8"/>
    <w:rsid w:val="00AD3CEB"/>
    <w:rsid w:val="00AD40B9"/>
    <w:rsid w:val="00AD50ED"/>
    <w:rsid w:val="00AD5637"/>
    <w:rsid w:val="00AD5EDA"/>
    <w:rsid w:val="00AD67C2"/>
    <w:rsid w:val="00AD6EAC"/>
    <w:rsid w:val="00AE0623"/>
    <w:rsid w:val="00AE0846"/>
    <w:rsid w:val="00AE1AFF"/>
    <w:rsid w:val="00AE1D54"/>
    <w:rsid w:val="00AE1D7E"/>
    <w:rsid w:val="00AE20C4"/>
    <w:rsid w:val="00AE302E"/>
    <w:rsid w:val="00AE3995"/>
    <w:rsid w:val="00AE3BAB"/>
    <w:rsid w:val="00AE4D94"/>
    <w:rsid w:val="00AE501C"/>
    <w:rsid w:val="00AE5259"/>
    <w:rsid w:val="00AE6BF0"/>
    <w:rsid w:val="00AE7361"/>
    <w:rsid w:val="00AF1B04"/>
    <w:rsid w:val="00AF3EF6"/>
    <w:rsid w:val="00AF4A7E"/>
    <w:rsid w:val="00AF53B7"/>
    <w:rsid w:val="00AF543B"/>
    <w:rsid w:val="00AF5995"/>
    <w:rsid w:val="00AF6897"/>
    <w:rsid w:val="00AF71E4"/>
    <w:rsid w:val="00AF750B"/>
    <w:rsid w:val="00AF775B"/>
    <w:rsid w:val="00AF77F0"/>
    <w:rsid w:val="00AF7C4B"/>
    <w:rsid w:val="00B00BC8"/>
    <w:rsid w:val="00B00C7B"/>
    <w:rsid w:val="00B00DEC"/>
    <w:rsid w:val="00B00E2A"/>
    <w:rsid w:val="00B01322"/>
    <w:rsid w:val="00B01EE5"/>
    <w:rsid w:val="00B021DC"/>
    <w:rsid w:val="00B031D4"/>
    <w:rsid w:val="00B03333"/>
    <w:rsid w:val="00B050E2"/>
    <w:rsid w:val="00B0569B"/>
    <w:rsid w:val="00B056A3"/>
    <w:rsid w:val="00B05D74"/>
    <w:rsid w:val="00B062B3"/>
    <w:rsid w:val="00B06698"/>
    <w:rsid w:val="00B06DA9"/>
    <w:rsid w:val="00B07572"/>
    <w:rsid w:val="00B07DD5"/>
    <w:rsid w:val="00B11B89"/>
    <w:rsid w:val="00B1291C"/>
    <w:rsid w:val="00B133AC"/>
    <w:rsid w:val="00B13FBD"/>
    <w:rsid w:val="00B13FFF"/>
    <w:rsid w:val="00B14361"/>
    <w:rsid w:val="00B14834"/>
    <w:rsid w:val="00B15069"/>
    <w:rsid w:val="00B151B7"/>
    <w:rsid w:val="00B15254"/>
    <w:rsid w:val="00B1690D"/>
    <w:rsid w:val="00B16BD5"/>
    <w:rsid w:val="00B170AD"/>
    <w:rsid w:val="00B178A2"/>
    <w:rsid w:val="00B17E71"/>
    <w:rsid w:val="00B17ED9"/>
    <w:rsid w:val="00B17FDE"/>
    <w:rsid w:val="00B204CF"/>
    <w:rsid w:val="00B2077E"/>
    <w:rsid w:val="00B20CAF"/>
    <w:rsid w:val="00B21429"/>
    <w:rsid w:val="00B214B0"/>
    <w:rsid w:val="00B233C9"/>
    <w:rsid w:val="00B24292"/>
    <w:rsid w:val="00B24A27"/>
    <w:rsid w:val="00B252C6"/>
    <w:rsid w:val="00B260DE"/>
    <w:rsid w:val="00B27E1F"/>
    <w:rsid w:val="00B30BF1"/>
    <w:rsid w:val="00B32114"/>
    <w:rsid w:val="00B325AF"/>
    <w:rsid w:val="00B32C6A"/>
    <w:rsid w:val="00B32DDB"/>
    <w:rsid w:val="00B33248"/>
    <w:rsid w:val="00B3335A"/>
    <w:rsid w:val="00B33686"/>
    <w:rsid w:val="00B33A89"/>
    <w:rsid w:val="00B33C05"/>
    <w:rsid w:val="00B33C76"/>
    <w:rsid w:val="00B34DA5"/>
    <w:rsid w:val="00B350AB"/>
    <w:rsid w:val="00B35719"/>
    <w:rsid w:val="00B360DE"/>
    <w:rsid w:val="00B4079B"/>
    <w:rsid w:val="00B42399"/>
    <w:rsid w:val="00B42A43"/>
    <w:rsid w:val="00B42FC5"/>
    <w:rsid w:val="00B44616"/>
    <w:rsid w:val="00B447BF"/>
    <w:rsid w:val="00B45180"/>
    <w:rsid w:val="00B45197"/>
    <w:rsid w:val="00B45542"/>
    <w:rsid w:val="00B456FE"/>
    <w:rsid w:val="00B45F1C"/>
    <w:rsid w:val="00B46311"/>
    <w:rsid w:val="00B47706"/>
    <w:rsid w:val="00B51672"/>
    <w:rsid w:val="00B522F9"/>
    <w:rsid w:val="00B52739"/>
    <w:rsid w:val="00B52E8D"/>
    <w:rsid w:val="00B52EF0"/>
    <w:rsid w:val="00B53020"/>
    <w:rsid w:val="00B54E81"/>
    <w:rsid w:val="00B55302"/>
    <w:rsid w:val="00B5555B"/>
    <w:rsid w:val="00B56F03"/>
    <w:rsid w:val="00B57516"/>
    <w:rsid w:val="00B57987"/>
    <w:rsid w:val="00B6083A"/>
    <w:rsid w:val="00B61F38"/>
    <w:rsid w:val="00B63B72"/>
    <w:rsid w:val="00B64CB3"/>
    <w:rsid w:val="00B6551F"/>
    <w:rsid w:val="00B658C4"/>
    <w:rsid w:val="00B6608F"/>
    <w:rsid w:val="00B66298"/>
    <w:rsid w:val="00B664E4"/>
    <w:rsid w:val="00B66952"/>
    <w:rsid w:val="00B6781F"/>
    <w:rsid w:val="00B678F3"/>
    <w:rsid w:val="00B67A0C"/>
    <w:rsid w:val="00B67CC5"/>
    <w:rsid w:val="00B718E1"/>
    <w:rsid w:val="00B72231"/>
    <w:rsid w:val="00B73E45"/>
    <w:rsid w:val="00B73E8F"/>
    <w:rsid w:val="00B74895"/>
    <w:rsid w:val="00B765A7"/>
    <w:rsid w:val="00B76D1E"/>
    <w:rsid w:val="00B772C5"/>
    <w:rsid w:val="00B813FE"/>
    <w:rsid w:val="00B821E5"/>
    <w:rsid w:val="00B822E5"/>
    <w:rsid w:val="00B82A76"/>
    <w:rsid w:val="00B849FD"/>
    <w:rsid w:val="00B8559A"/>
    <w:rsid w:val="00B858DD"/>
    <w:rsid w:val="00B86C5E"/>
    <w:rsid w:val="00B86FC5"/>
    <w:rsid w:val="00B87969"/>
    <w:rsid w:val="00B91197"/>
    <w:rsid w:val="00B912EA"/>
    <w:rsid w:val="00B92C17"/>
    <w:rsid w:val="00B93D28"/>
    <w:rsid w:val="00B949F1"/>
    <w:rsid w:val="00B955FF"/>
    <w:rsid w:val="00B95940"/>
    <w:rsid w:val="00B967BC"/>
    <w:rsid w:val="00B96C64"/>
    <w:rsid w:val="00B9771C"/>
    <w:rsid w:val="00B97970"/>
    <w:rsid w:val="00B97D6A"/>
    <w:rsid w:val="00BA0022"/>
    <w:rsid w:val="00BA0F35"/>
    <w:rsid w:val="00BA2839"/>
    <w:rsid w:val="00BA2D52"/>
    <w:rsid w:val="00BA4E76"/>
    <w:rsid w:val="00BA51F2"/>
    <w:rsid w:val="00BA5E51"/>
    <w:rsid w:val="00BA7CB9"/>
    <w:rsid w:val="00BA7D31"/>
    <w:rsid w:val="00BB106E"/>
    <w:rsid w:val="00BB1863"/>
    <w:rsid w:val="00BB26C2"/>
    <w:rsid w:val="00BB2C27"/>
    <w:rsid w:val="00BB5FE5"/>
    <w:rsid w:val="00BB6326"/>
    <w:rsid w:val="00BB6799"/>
    <w:rsid w:val="00BB6921"/>
    <w:rsid w:val="00BB6CFA"/>
    <w:rsid w:val="00BB7453"/>
    <w:rsid w:val="00BB764B"/>
    <w:rsid w:val="00BB76FE"/>
    <w:rsid w:val="00BB7952"/>
    <w:rsid w:val="00BC0AD9"/>
    <w:rsid w:val="00BC0EDC"/>
    <w:rsid w:val="00BC1309"/>
    <w:rsid w:val="00BC1FBF"/>
    <w:rsid w:val="00BC209F"/>
    <w:rsid w:val="00BC3805"/>
    <w:rsid w:val="00BC39D0"/>
    <w:rsid w:val="00BC3E99"/>
    <w:rsid w:val="00BC46B1"/>
    <w:rsid w:val="00BC5110"/>
    <w:rsid w:val="00BC57A9"/>
    <w:rsid w:val="00BC5A30"/>
    <w:rsid w:val="00BC6AC1"/>
    <w:rsid w:val="00BC6B89"/>
    <w:rsid w:val="00BC6BDD"/>
    <w:rsid w:val="00BC6DAF"/>
    <w:rsid w:val="00BC7372"/>
    <w:rsid w:val="00BC79BD"/>
    <w:rsid w:val="00BC7B9A"/>
    <w:rsid w:val="00BD0D66"/>
    <w:rsid w:val="00BD0E3B"/>
    <w:rsid w:val="00BD12B6"/>
    <w:rsid w:val="00BD1D6D"/>
    <w:rsid w:val="00BD2295"/>
    <w:rsid w:val="00BD2A2E"/>
    <w:rsid w:val="00BD2B28"/>
    <w:rsid w:val="00BD35AB"/>
    <w:rsid w:val="00BD363F"/>
    <w:rsid w:val="00BD366B"/>
    <w:rsid w:val="00BD3835"/>
    <w:rsid w:val="00BD3A99"/>
    <w:rsid w:val="00BD469D"/>
    <w:rsid w:val="00BD57E8"/>
    <w:rsid w:val="00BD60A1"/>
    <w:rsid w:val="00BD6537"/>
    <w:rsid w:val="00BD6601"/>
    <w:rsid w:val="00BD6CC1"/>
    <w:rsid w:val="00BD6D50"/>
    <w:rsid w:val="00BD79FF"/>
    <w:rsid w:val="00BE0470"/>
    <w:rsid w:val="00BE0EF9"/>
    <w:rsid w:val="00BE1794"/>
    <w:rsid w:val="00BE1BBB"/>
    <w:rsid w:val="00BE2C72"/>
    <w:rsid w:val="00BE33B7"/>
    <w:rsid w:val="00BE3ADF"/>
    <w:rsid w:val="00BE41CD"/>
    <w:rsid w:val="00BE4B95"/>
    <w:rsid w:val="00BE4FA5"/>
    <w:rsid w:val="00BE53CE"/>
    <w:rsid w:val="00BE607F"/>
    <w:rsid w:val="00BE6172"/>
    <w:rsid w:val="00BE627E"/>
    <w:rsid w:val="00BE63D0"/>
    <w:rsid w:val="00BE6F43"/>
    <w:rsid w:val="00BE748A"/>
    <w:rsid w:val="00BE76F6"/>
    <w:rsid w:val="00BE779A"/>
    <w:rsid w:val="00BF0713"/>
    <w:rsid w:val="00BF09A3"/>
    <w:rsid w:val="00BF1348"/>
    <w:rsid w:val="00BF1401"/>
    <w:rsid w:val="00BF1812"/>
    <w:rsid w:val="00BF1815"/>
    <w:rsid w:val="00BF1D46"/>
    <w:rsid w:val="00BF1FFC"/>
    <w:rsid w:val="00BF2837"/>
    <w:rsid w:val="00BF2A80"/>
    <w:rsid w:val="00BF3008"/>
    <w:rsid w:val="00BF3D17"/>
    <w:rsid w:val="00BF3EDA"/>
    <w:rsid w:val="00BF57A5"/>
    <w:rsid w:val="00BF5E16"/>
    <w:rsid w:val="00BF6243"/>
    <w:rsid w:val="00BF6BE5"/>
    <w:rsid w:val="00BF6FC7"/>
    <w:rsid w:val="00BF752C"/>
    <w:rsid w:val="00C018F4"/>
    <w:rsid w:val="00C01BB8"/>
    <w:rsid w:val="00C03F42"/>
    <w:rsid w:val="00C04FD8"/>
    <w:rsid w:val="00C05523"/>
    <w:rsid w:val="00C0554F"/>
    <w:rsid w:val="00C058F6"/>
    <w:rsid w:val="00C05A64"/>
    <w:rsid w:val="00C06CC8"/>
    <w:rsid w:val="00C07D04"/>
    <w:rsid w:val="00C1031A"/>
    <w:rsid w:val="00C1059A"/>
    <w:rsid w:val="00C10FB2"/>
    <w:rsid w:val="00C10FC4"/>
    <w:rsid w:val="00C11467"/>
    <w:rsid w:val="00C1208D"/>
    <w:rsid w:val="00C131F6"/>
    <w:rsid w:val="00C13EF3"/>
    <w:rsid w:val="00C13FFB"/>
    <w:rsid w:val="00C140D5"/>
    <w:rsid w:val="00C14494"/>
    <w:rsid w:val="00C14ECE"/>
    <w:rsid w:val="00C16D82"/>
    <w:rsid w:val="00C1712A"/>
    <w:rsid w:val="00C1712C"/>
    <w:rsid w:val="00C17654"/>
    <w:rsid w:val="00C17B8A"/>
    <w:rsid w:val="00C21D10"/>
    <w:rsid w:val="00C21D1B"/>
    <w:rsid w:val="00C21DE9"/>
    <w:rsid w:val="00C21F94"/>
    <w:rsid w:val="00C23D40"/>
    <w:rsid w:val="00C24DA9"/>
    <w:rsid w:val="00C26A32"/>
    <w:rsid w:val="00C27DAA"/>
    <w:rsid w:val="00C31655"/>
    <w:rsid w:val="00C32F2D"/>
    <w:rsid w:val="00C334C7"/>
    <w:rsid w:val="00C33933"/>
    <w:rsid w:val="00C33AD8"/>
    <w:rsid w:val="00C34457"/>
    <w:rsid w:val="00C349BC"/>
    <w:rsid w:val="00C351C0"/>
    <w:rsid w:val="00C3533B"/>
    <w:rsid w:val="00C3589C"/>
    <w:rsid w:val="00C35B98"/>
    <w:rsid w:val="00C36807"/>
    <w:rsid w:val="00C370B8"/>
    <w:rsid w:val="00C377C4"/>
    <w:rsid w:val="00C37EA8"/>
    <w:rsid w:val="00C40E92"/>
    <w:rsid w:val="00C41A67"/>
    <w:rsid w:val="00C42179"/>
    <w:rsid w:val="00C4352B"/>
    <w:rsid w:val="00C43588"/>
    <w:rsid w:val="00C43B05"/>
    <w:rsid w:val="00C43BDF"/>
    <w:rsid w:val="00C45298"/>
    <w:rsid w:val="00C45446"/>
    <w:rsid w:val="00C45CAF"/>
    <w:rsid w:val="00C46015"/>
    <w:rsid w:val="00C46027"/>
    <w:rsid w:val="00C470F8"/>
    <w:rsid w:val="00C50046"/>
    <w:rsid w:val="00C50385"/>
    <w:rsid w:val="00C5090D"/>
    <w:rsid w:val="00C50A5E"/>
    <w:rsid w:val="00C50FDC"/>
    <w:rsid w:val="00C512E7"/>
    <w:rsid w:val="00C52041"/>
    <w:rsid w:val="00C5219C"/>
    <w:rsid w:val="00C52271"/>
    <w:rsid w:val="00C52CFF"/>
    <w:rsid w:val="00C53308"/>
    <w:rsid w:val="00C53A98"/>
    <w:rsid w:val="00C53CF4"/>
    <w:rsid w:val="00C542DA"/>
    <w:rsid w:val="00C54302"/>
    <w:rsid w:val="00C55C3C"/>
    <w:rsid w:val="00C56FAC"/>
    <w:rsid w:val="00C57270"/>
    <w:rsid w:val="00C60D30"/>
    <w:rsid w:val="00C634DF"/>
    <w:rsid w:val="00C63BD4"/>
    <w:rsid w:val="00C63F30"/>
    <w:rsid w:val="00C63FC3"/>
    <w:rsid w:val="00C64C19"/>
    <w:rsid w:val="00C66382"/>
    <w:rsid w:val="00C6646D"/>
    <w:rsid w:val="00C67AC4"/>
    <w:rsid w:val="00C67F19"/>
    <w:rsid w:val="00C67F66"/>
    <w:rsid w:val="00C70166"/>
    <w:rsid w:val="00C708C3"/>
    <w:rsid w:val="00C70F35"/>
    <w:rsid w:val="00C719D9"/>
    <w:rsid w:val="00C723FE"/>
    <w:rsid w:val="00C735EE"/>
    <w:rsid w:val="00C73C88"/>
    <w:rsid w:val="00C73F4C"/>
    <w:rsid w:val="00C74158"/>
    <w:rsid w:val="00C742FF"/>
    <w:rsid w:val="00C74512"/>
    <w:rsid w:val="00C746C2"/>
    <w:rsid w:val="00C74DB8"/>
    <w:rsid w:val="00C75024"/>
    <w:rsid w:val="00C7594F"/>
    <w:rsid w:val="00C7658A"/>
    <w:rsid w:val="00C771A3"/>
    <w:rsid w:val="00C774BB"/>
    <w:rsid w:val="00C77967"/>
    <w:rsid w:val="00C80ED6"/>
    <w:rsid w:val="00C81902"/>
    <w:rsid w:val="00C820B0"/>
    <w:rsid w:val="00C821FC"/>
    <w:rsid w:val="00C82CE9"/>
    <w:rsid w:val="00C83155"/>
    <w:rsid w:val="00C83C33"/>
    <w:rsid w:val="00C83F52"/>
    <w:rsid w:val="00C857FB"/>
    <w:rsid w:val="00C866FE"/>
    <w:rsid w:val="00C86903"/>
    <w:rsid w:val="00C86C49"/>
    <w:rsid w:val="00C87251"/>
    <w:rsid w:val="00C9027C"/>
    <w:rsid w:val="00C903FE"/>
    <w:rsid w:val="00C90CF4"/>
    <w:rsid w:val="00C92FA6"/>
    <w:rsid w:val="00C93389"/>
    <w:rsid w:val="00C93A0D"/>
    <w:rsid w:val="00C94E77"/>
    <w:rsid w:val="00C9506B"/>
    <w:rsid w:val="00C958DA"/>
    <w:rsid w:val="00C95DA3"/>
    <w:rsid w:val="00C95E3D"/>
    <w:rsid w:val="00C96482"/>
    <w:rsid w:val="00C97150"/>
    <w:rsid w:val="00CA0C7F"/>
    <w:rsid w:val="00CA0F40"/>
    <w:rsid w:val="00CA117A"/>
    <w:rsid w:val="00CA27C1"/>
    <w:rsid w:val="00CA27F3"/>
    <w:rsid w:val="00CA35BA"/>
    <w:rsid w:val="00CA3C8F"/>
    <w:rsid w:val="00CA441C"/>
    <w:rsid w:val="00CA4D03"/>
    <w:rsid w:val="00CA4D94"/>
    <w:rsid w:val="00CA59EE"/>
    <w:rsid w:val="00CA612E"/>
    <w:rsid w:val="00CA7561"/>
    <w:rsid w:val="00CA760D"/>
    <w:rsid w:val="00CA7A3A"/>
    <w:rsid w:val="00CB00A8"/>
    <w:rsid w:val="00CB0BB6"/>
    <w:rsid w:val="00CB119D"/>
    <w:rsid w:val="00CB1250"/>
    <w:rsid w:val="00CB13C9"/>
    <w:rsid w:val="00CB17B1"/>
    <w:rsid w:val="00CB23A0"/>
    <w:rsid w:val="00CB27E8"/>
    <w:rsid w:val="00CB32EC"/>
    <w:rsid w:val="00CB36E1"/>
    <w:rsid w:val="00CB3964"/>
    <w:rsid w:val="00CB3DC4"/>
    <w:rsid w:val="00CB3EB5"/>
    <w:rsid w:val="00CB3F4C"/>
    <w:rsid w:val="00CB41CA"/>
    <w:rsid w:val="00CB558B"/>
    <w:rsid w:val="00CB600C"/>
    <w:rsid w:val="00CB62F8"/>
    <w:rsid w:val="00CB654D"/>
    <w:rsid w:val="00CB6F91"/>
    <w:rsid w:val="00CB72EF"/>
    <w:rsid w:val="00CB7567"/>
    <w:rsid w:val="00CB769D"/>
    <w:rsid w:val="00CB79B5"/>
    <w:rsid w:val="00CB7FC6"/>
    <w:rsid w:val="00CC0CE0"/>
    <w:rsid w:val="00CC0FC5"/>
    <w:rsid w:val="00CC113E"/>
    <w:rsid w:val="00CC1887"/>
    <w:rsid w:val="00CC3493"/>
    <w:rsid w:val="00CC39AF"/>
    <w:rsid w:val="00CC40D1"/>
    <w:rsid w:val="00CC53D5"/>
    <w:rsid w:val="00CC6896"/>
    <w:rsid w:val="00CC7383"/>
    <w:rsid w:val="00CC7BE3"/>
    <w:rsid w:val="00CD1EA4"/>
    <w:rsid w:val="00CD2C95"/>
    <w:rsid w:val="00CD3B46"/>
    <w:rsid w:val="00CD43CB"/>
    <w:rsid w:val="00CD5F03"/>
    <w:rsid w:val="00CD5FCE"/>
    <w:rsid w:val="00CD6A92"/>
    <w:rsid w:val="00CE00F3"/>
    <w:rsid w:val="00CE08D6"/>
    <w:rsid w:val="00CE0AD5"/>
    <w:rsid w:val="00CE14CF"/>
    <w:rsid w:val="00CE24B5"/>
    <w:rsid w:val="00CE2731"/>
    <w:rsid w:val="00CE2846"/>
    <w:rsid w:val="00CE3BA6"/>
    <w:rsid w:val="00CE415F"/>
    <w:rsid w:val="00CE4504"/>
    <w:rsid w:val="00CE53F6"/>
    <w:rsid w:val="00CE56E4"/>
    <w:rsid w:val="00CE598F"/>
    <w:rsid w:val="00CE77BF"/>
    <w:rsid w:val="00CE7EF8"/>
    <w:rsid w:val="00CF0027"/>
    <w:rsid w:val="00CF0137"/>
    <w:rsid w:val="00CF0555"/>
    <w:rsid w:val="00CF224A"/>
    <w:rsid w:val="00CF2DA7"/>
    <w:rsid w:val="00CF390A"/>
    <w:rsid w:val="00CF462A"/>
    <w:rsid w:val="00CF47FD"/>
    <w:rsid w:val="00CF51EC"/>
    <w:rsid w:val="00CF5D65"/>
    <w:rsid w:val="00CF63CB"/>
    <w:rsid w:val="00CF72A1"/>
    <w:rsid w:val="00D00F19"/>
    <w:rsid w:val="00D010FF"/>
    <w:rsid w:val="00D02C4B"/>
    <w:rsid w:val="00D02E65"/>
    <w:rsid w:val="00D03555"/>
    <w:rsid w:val="00D0392F"/>
    <w:rsid w:val="00D040DD"/>
    <w:rsid w:val="00D04381"/>
    <w:rsid w:val="00D045D0"/>
    <w:rsid w:val="00D04839"/>
    <w:rsid w:val="00D05CBC"/>
    <w:rsid w:val="00D05F2C"/>
    <w:rsid w:val="00D06ABA"/>
    <w:rsid w:val="00D10FA7"/>
    <w:rsid w:val="00D11246"/>
    <w:rsid w:val="00D1146A"/>
    <w:rsid w:val="00D13C77"/>
    <w:rsid w:val="00D146E8"/>
    <w:rsid w:val="00D17E91"/>
    <w:rsid w:val="00D20B8E"/>
    <w:rsid w:val="00D20C71"/>
    <w:rsid w:val="00D21613"/>
    <w:rsid w:val="00D21CFE"/>
    <w:rsid w:val="00D22E4C"/>
    <w:rsid w:val="00D234F5"/>
    <w:rsid w:val="00D24532"/>
    <w:rsid w:val="00D24AE3"/>
    <w:rsid w:val="00D25814"/>
    <w:rsid w:val="00D267E2"/>
    <w:rsid w:val="00D269E0"/>
    <w:rsid w:val="00D26F9E"/>
    <w:rsid w:val="00D27CCE"/>
    <w:rsid w:val="00D27D15"/>
    <w:rsid w:val="00D30698"/>
    <w:rsid w:val="00D316BB"/>
    <w:rsid w:val="00D31B66"/>
    <w:rsid w:val="00D31E66"/>
    <w:rsid w:val="00D32157"/>
    <w:rsid w:val="00D32602"/>
    <w:rsid w:val="00D3282C"/>
    <w:rsid w:val="00D32A5F"/>
    <w:rsid w:val="00D33388"/>
    <w:rsid w:val="00D338DA"/>
    <w:rsid w:val="00D34E21"/>
    <w:rsid w:val="00D355F0"/>
    <w:rsid w:val="00D358C6"/>
    <w:rsid w:val="00D3643E"/>
    <w:rsid w:val="00D36755"/>
    <w:rsid w:val="00D36AF6"/>
    <w:rsid w:val="00D36B56"/>
    <w:rsid w:val="00D40F24"/>
    <w:rsid w:val="00D41754"/>
    <w:rsid w:val="00D418D5"/>
    <w:rsid w:val="00D41AEF"/>
    <w:rsid w:val="00D41AF1"/>
    <w:rsid w:val="00D424DE"/>
    <w:rsid w:val="00D42693"/>
    <w:rsid w:val="00D43CF4"/>
    <w:rsid w:val="00D45574"/>
    <w:rsid w:val="00D45F16"/>
    <w:rsid w:val="00D46EE4"/>
    <w:rsid w:val="00D4780B"/>
    <w:rsid w:val="00D47DCB"/>
    <w:rsid w:val="00D50475"/>
    <w:rsid w:val="00D507BE"/>
    <w:rsid w:val="00D50B72"/>
    <w:rsid w:val="00D51E6B"/>
    <w:rsid w:val="00D51EA7"/>
    <w:rsid w:val="00D52355"/>
    <w:rsid w:val="00D54C44"/>
    <w:rsid w:val="00D56A23"/>
    <w:rsid w:val="00D56DE9"/>
    <w:rsid w:val="00D57021"/>
    <w:rsid w:val="00D57EE6"/>
    <w:rsid w:val="00D6000F"/>
    <w:rsid w:val="00D60E57"/>
    <w:rsid w:val="00D613CB"/>
    <w:rsid w:val="00D62A99"/>
    <w:rsid w:val="00D644E2"/>
    <w:rsid w:val="00D654DC"/>
    <w:rsid w:val="00D65603"/>
    <w:rsid w:val="00D66CCF"/>
    <w:rsid w:val="00D67011"/>
    <w:rsid w:val="00D672A9"/>
    <w:rsid w:val="00D672B5"/>
    <w:rsid w:val="00D6788F"/>
    <w:rsid w:val="00D67910"/>
    <w:rsid w:val="00D67F43"/>
    <w:rsid w:val="00D7025D"/>
    <w:rsid w:val="00D7030C"/>
    <w:rsid w:val="00D70357"/>
    <w:rsid w:val="00D71318"/>
    <w:rsid w:val="00D7198E"/>
    <w:rsid w:val="00D71C8B"/>
    <w:rsid w:val="00D722FD"/>
    <w:rsid w:val="00D72638"/>
    <w:rsid w:val="00D72C5F"/>
    <w:rsid w:val="00D72C81"/>
    <w:rsid w:val="00D72D65"/>
    <w:rsid w:val="00D72E21"/>
    <w:rsid w:val="00D73131"/>
    <w:rsid w:val="00D7320C"/>
    <w:rsid w:val="00D73A93"/>
    <w:rsid w:val="00D740F1"/>
    <w:rsid w:val="00D7448A"/>
    <w:rsid w:val="00D74C64"/>
    <w:rsid w:val="00D74F7F"/>
    <w:rsid w:val="00D75128"/>
    <w:rsid w:val="00D76098"/>
    <w:rsid w:val="00D76E1F"/>
    <w:rsid w:val="00D76E2C"/>
    <w:rsid w:val="00D8110A"/>
    <w:rsid w:val="00D81FA6"/>
    <w:rsid w:val="00D8256A"/>
    <w:rsid w:val="00D83753"/>
    <w:rsid w:val="00D83F55"/>
    <w:rsid w:val="00D85D62"/>
    <w:rsid w:val="00D85F9E"/>
    <w:rsid w:val="00D86D4C"/>
    <w:rsid w:val="00D87A8C"/>
    <w:rsid w:val="00D87C69"/>
    <w:rsid w:val="00D90BEC"/>
    <w:rsid w:val="00D91C28"/>
    <w:rsid w:val="00D91C65"/>
    <w:rsid w:val="00D91D14"/>
    <w:rsid w:val="00D92675"/>
    <w:rsid w:val="00D9313A"/>
    <w:rsid w:val="00D9320F"/>
    <w:rsid w:val="00D9321F"/>
    <w:rsid w:val="00D94983"/>
    <w:rsid w:val="00D94B8F"/>
    <w:rsid w:val="00D956B6"/>
    <w:rsid w:val="00D9588A"/>
    <w:rsid w:val="00D95A80"/>
    <w:rsid w:val="00D95E42"/>
    <w:rsid w:val="00D96588"/>
    <w:rsid w:val="00D9797A"/>
    <w:rsid w:val="00DA0014"/>
    <w:rsid w:val="00DA043A"/>
    <w:rsid w:val="00DA343E"/>
    <w:rsid w:val="00DA3C1D"/>
    <w:rsid w:val="00DA440D"/>
    <w:rsid w:val="00DA4844"/>
    <w:rsid w:val="00DA5013"/>
    <w:rsid w:val="00DA6EF6"/>
    <w:rsid w:val="00DA7501"/>
    <w:rsid w:val="00DA7822"/>
    <w:rsid w:val="00DB08A1"/>
    <w:rsid w:val="00DB121B"/>
    <w:rsid w:val="00DB192A"/>
    <w:rsid w:val="00DB217C"/>
    <w:rsid w:val="00DB33F3"/>
    <w:rsid w:val="00DB3811"/>
    <w:rsid w:val="00DB3CE2"/>
    <w:rsid w:val="00DB4A23"/>
    <w:rsid w:val="00DB5F1F"/>
    <w:rsid w:val="00DB63C1"/>
    <w:rsid w:val="00DB6452"/>
    <w:rsid w:val="00DB6782"/>
    <w:rsid w:val="00DC02CB"/>
    <w:rsid w:val="00DC1338"/>
    <w:rsid w:val="00DC1FE0"/>
    <w:rsid w:val="00DC27A2"/>
    <w:rsid w:val="00DC2914"/>
    <w:rsid w:val="00DC3A8A"/>
    <w:rsid w:val="00DC3CFF"/>
    <w:rsid w:val="00DC4158"/>
    <w:rsid w:val="00DC5B3B"/>
    <w:rsid w:val="00DC67CB"/>
    <w:rsid w:val="00DC698A"/>
    <w:rsid w:val="00DC6DF6"/>
    <w:rsid w:val="00DC784D"/>
    <w:rsid w:val="00DD0290"/>
    <w:rsid w:val="00DD1820"/>
    <w:rsid w:val="00DD1ADC"/>
    <w:rsid w:val="00DD319B"/>
    <w:rsid w:val="00DD43FE"/>
    <w:rsid w:val="00DD49EA"/>
    <w:rsid w:val="00DD56C3"/>
    <w:rsid w:val="00DE01C1"/>
    <w:rsid w:val="00DE0583"/>
    <w:rsid w:val="00DE0CF4"/>
    <w:rsid w:val="00DE1008"/>
    <w:rsid w:val="00DE25A4"/>
    <w:rsid w:val="00DE25AE"/>
    <w:rsid w:val="00DE38CF"/>
    <w:rsid w:val="00DE3AD5"/>
    <w:rsid w:val="00DE3B56"/>
    <w:rsid w:val="00DE3FC2"/>
    <w:rsid w:val="00DE5E80"/>
    <w:rsid w:val="00DE5EC9"/>
    <w:rsid w:val="00DE6696"/>
    <w:rsid w:val="00DE7E9F"/>
    <w:rsid w:val="00DF0548"/>
    <w:rsid w:val="00DF10E8"/>
    <w:rsid w:val="00DF11D8"/>
    <w:rsid w:val="00DF1398"/>
    <w:rsid w:val="00DF20A3"/>
    <w:rsid w:val="00DF213B"/>
    <w:rsid w:val="00DF25B2"/>
    <w:rsid w:val="00DF29A0"/>
    <w:rsid w:val="00DF2CD8"/>
    <w:rsid w:val="00DF2F8C"/>
    <w:rsid w:val="00DF33F0"/>
    <w:rsid w:val="00DF372F"/>
    <w:rsid w:val="00DF38DC"/>
    <w:rsid w:val="00DF3F1A"/>
    <w:rsid w:val="00DF482B"/>
    <w:rsid w:val="00DF4CB8"/>
    <w:rsid w:val="00DF53E1"/>
    <w:rsid w:val="00DF5CF2"/>
    <w:rsid w:val="00DF6334"/>
    <w:rsid w:val="00DF683A"/>
    <w:rsid w:val="00DF6D95"/>
    <w:rsid w:val="00DF7B1F"/>
    <w:rsid w:val="00E006FC"/>
    <w:rsid w:val="00E01C0E"/>
    <w:rsid w:val="00E02E42"/>
    <w:rsid w:val="00E03826"/>
    <w:rsid w:val="00E0386D"/>
    <w:rsid w:val="00E03E4C"/>
    <w:rsid w:val="00E04694"/>
    <w:rsid w:val="00E04E69"/>
    <w:rsid w:val="00E058AC"/>
    <w:rsid w:val="00E05B49"/>
    <w:rsid w:val="00E05C11"/>
    <w:rsid w:val="00E05CD9"/>
    <w:rsid w:val="00E06BAF"/>
    <w:rsid w:val="00E076DE"/>
    <w:rsid w:val="00E077D6"/>
    <w:rsid w:val="00E07C43"/>
    <w:rsid w:val="00E07E5C"/>
    <w:rsid w:val="00E07EEF"/>
    <w:rsid w:val="00E106F6"/>
    <w:rsid w:val="00E1187E"/>
    <w:rsid w:val="00E11919"/>
    <w:rsid w:val="00E11A6B"/>
    <w:rsid w:val="00E126EA"/>
    <w:rsid w:val="00E12D30"/>
    <w:rsid w:val="00E12E8B"/>
    <w:rsid w:val="00E1419F"/>
    <w:rsid w:val="00E14242"/>
    <w:rsid w:val="00E1486C"/>
    <w:rsid w:val="00E15779"/>
    <w:rsid w:val="00E158E3"/>
    <w:rsid w:val="00E161F0"/>
    <w:rsid w:val="00E170DD"/>
    <w:rsid w:val="00E17535"/>
    <w:rsid w:val="00E17624"/>
    <w:rsid w:val="00E17709"/>
    <w:rsid w:val="00E177BB"/>
    <w:rsid w:val="00E2006C"/>
    <w:rsid w:val="00E203F4"/>
    <w:rsid w:val="00E20999"/>
    <w:rsid w:val="00E21405"/>
    <w:rsid w:val="00E22100"/>
    <w:rsid w:val="00E22211"/>
    <w:rsid w:val="00E23138"/>
    <w:rsid w:val="00E235DA"/>
    <w:rsid w:val="00E24232"/>
    <w:rsid w:val="00E257CE"/>
    <w:rsid w:val="00E25DE3"/>
    <w:rsid w:val="00E2686C"/>
    <w:rsid w:val="00E26BD6"/>
    <w:rsid w:val="00E27604"/>
    <w:rsid w:val="00E27CCB"/>
    <w:rsid w:val="00E27E45"/>
    <w:rsid w:val="00E300E9"/>
    <w:rsid w:val="00E30576"/>
    <w:rsid w:val="00E30C67"/>
    <w:rsid w:val="00E30F7E"/>
    <w:rsid w:val="00E31D5E"/>
    <w:rsid w:val="00E3226E"/>
    <w:rsid w:val="00E32358"/>
    <w:rsid w:val="00E33EAE"/>
    <w:rsid w:val="00E340F9"/>
    <w:rsid w:val="00E356DC"/>
    <w:rsid w:val="00E357C8"/>
    <w:rsid w:val="00E36668"/>
    <w:rsid w:val="00E37E22"/>
    <w:rsid w:val="00E41018"/>
    <w:rsid w:val="00E417F5"/>
    <w:rsid w:val="00E41ADA"/>
    <w:rsid w:val="00E4343A"/>
    <w:rsid w:val="00E4463C"/>
    <w:rsid w:val="00E44790"/>
    <w:rsid w:val="00E448D6"/>
    <w:rsid w:val="00E448FE"/>
    <w:rsid w:val="00E452C6"/>
    <w:rsid w:val="00E4734A"/>
    <w:rsid w:val="00E4796A"/>
    <w:rsid w:val="00E47F4A"/>
    <w:rsid w:val="00E5027D"/>
    <w:rsid w:val="00E504C3"/>
    <w:rsid w:val="00E50680"/>
    <w:rsid w:val="00E50CCB"/>
    <w:rsid w:val="00E51F58"/>
    <w:rsid w:val="00E527E6"/>
    <w:rsid w:val="00E53275"/>
    <w:rsid w:val="00E5387D"/>
    <w:rsid w:val="00E549E3"/>
    <w:rsid w:val="00E55662"/>
    <w:rsid w:val="00E55854"/>
    <w:rsid w:val="00E568B5"/>
    <w:rsid w:val="00E56A9D"/>
    <w:rsid w:val="00E57599"/>
    <w:rsid w:val="00E5766A"/>
    <w:rsid w:val="00E57EE1"/>
    <w:rsid w:val="00E60142"/>
    <w:rsid w:val="00E605BF"/>
    <w:rsid w:val="00E6084F"/>
    <w:rsid w:val="00E608AE"/>
    <w:rsid w:val="00E6176C"/>
    <w:rsid w:val="00E61EDF"/>
    <w:rsid w:val="00E62AD2"/>
    <w:rsid w:val="00E6375D"/>
    <w:rsid w:val="00E6382B"/>
    <w:rsid w:val="00E645F1"/>
    <w:rsid w:val="00E67DC3"/>
    <w:rsid w:val="00E7033C"/>
    <w:rsid w:val="00E70E16"/>
    <w:rsid w:val="00E70ED1"/>
    <w:rsid w:val="00E71A58"/>
    <w:rsid w:val="00E72A15"/>
    <w:rsid w:val="00E7339F"/>
    <w:rsid w:val="00E7371B"/>
    <w:rsid w:val="00E73C68"/>
    <w:rsid w:val="00E743CE"/>
    <w:rsid w:val="00E74F8C"/>
    <w:rsid w:val="00E7515E"/>
    <w:rsid w:val="00E76203"/>
    <w:rsid w:val="00E77335"/>
    <w:rsid w:val="00E774CD"/>
    <w:rsid w:val="00E8090A"/>
    <w:rsid w:val="00E81C3B"/>
    <w:rsid w:val="00E81E1F"/>
    <w:rsid w:val="00E82D69"/>
    <w:rsid w:val="00E83246"/>
    <w:rsid w:val="00E836BF"/>
    <w:rsid w:val="00E83E99"/>
    <w:rsid w:val="00E84101"/>
    <w:rsid w:val="00E84970"/>
    <w:rsid w:val="00E85053"/>
    <w:rsid w:val="00E860DB"/>
    <w:rsid w:val="00E86361"/>
    <w:rsid w:val="00E86604"/>
    <w:rsid w:val="00E868DA"/>
    <w:rsid w:val="00E86C04"/>
    <w:rsid w:val="00E878A4"/>
    <w:rsid w:val="00E90788"/>
    <w:rsid w:val="00E90A26"/>
    <w:rsid w:val="00E90EB8"/>
    <w:rsid w:val="00E90FC9"/>
    <w:rsid w:val="00E91769"/>
    <w:rsid w:val="00E91A44"/>
    <w:rsid w:val="00E9378E"/>
    <w:rsid w:val="00E93909"/>
    <w:rsid w:val="00E942A8"/>
    <w:rsid w:val="00E9466F"/>
    <w:rsid w:val="00E956A6"/>
    <w:rsid w:val="00E95EF9"/>
    <w:rsid w:val="00E96046"/>
    <w:rsid w:val="00E96515"/>
    <w:rsid w:val="00E96735"/>
    <w:rsid w:val="00E97C25"/>
    <w:rsid w:val="00E97DEF"/>
    <w:rsid w:val="00EA00A2"/>
    <w:rsid w:val="00EA0C68"/>
    <w:rsid w:val="00EA3028"/>
    <w:rsid w:val="00EA3065"/>
    <w:rsid w:val="00EA357B"/>
    <w:rsid w:val="00EA3AE2"/>
    <w:rsid w:val="00EA59D1"/>
    <w:rsid w:val="00EA5C9B"/>
    <w:rsid w:val="00EA682A"/>
    <w:rsid w:val="00EA6B7C"/>
    <w:rsid w:val="00EA781F"/>
    <w:rsid w:val="00EB0339"/>
    <w:rsid w:val="00EB041A"/>
    <w:rsid w:val="00EB0F76"/>
    <w:rsid w:val="00EB1980"/>
    <w:rsid w:val="00EB1CF6"/>
    <w:rsid w:val="00EB3283"/>
    <w:rsid w:val="00EB4236"/>
    <w:rsid w:val="00EB563D"/>
    <w:rsid w:val="00EB5A3F"/>
    <w:rsid w:val="00EB61E0"/>
    <w:rsid w:val="00EB74A4"/>
    <w:rsid w:val="00EB7F5D"/>
    <w:rsid w:val="00EC0259"/>
    <w:rsid w:val="00EC0DCE"/>
    <w:rsid w:val="00EC3108"/>
    <w:rsid w:val="00EC3A88"/>
    <w:rsid w:val="00EC4790"/>
    <w:rsid w:val="00EC51F6"/>
    <w:rsid w:val="00EC5D6C"/>
    <w:rsid w:val="00ED0410"/>
    <w:rsid w:val="00ED0646"/>
    <w:rsid w:val="00ED0D88"/>
    <w:rsid w:val="00ED171B"/>
    <w:rsid w:val="00ED1A01"/>
    <w:rsid w:val="00ED2197"/>
    <w:rsid w:val="00ED3DF9"/>
    <w:rsid w:val="00ED47AF"/>
    <w:rsid w:val="00ED47CE"/>
    <w:rsid w:val="00ED48F5"/>
    <w:rsid w:val="00ED5C49"/>
    <w:rsid w:val="00ED66D8"/>
    <w:rsid w:val="00ED7B6C"/>
    <w:rsid w:val="00ED7D19"/>
    <w:rsid w:val="00EE01F9"/>
    <w:rsid w:val="00EE0758"/>
    <w:rsid w:val="00EE14BA"/>
    <w:rsid w:val="00EE15DA"/>
    <w:rsid w:val="00EE18C8"/>
    <w:rsid w:val="00EE19D4"/>
    <w:rsid w:val="00EE31AF"/>
    <w:rsid w:val="00EE3B2D"/>
    <w:rsid w:val="00EE3E78"/>
    <w:rsid w:val="00EE46B8"/>
    <w:rsid w:val="00EE4BE6"/>
    <w:rsid w:val="00EE52FC"/>
    <w:rsid w:val="00EE59C6"/>
    <w:rsid w:val="00EE5A03"/>
    <w:rsid w:val="00EE70BE"/>
    <w:rsid w:val="00EF00AA"/>
    <w:rsid w:val="00EF0F1E"/>
    <w:rsid w:val="00EF19A3"/>
    <w:rsid w:val="00EF1F5A"/>
    <w:rsid w:val="00EF242C"/>
    <w:rsid w:val="00EF2B34"/>
    <w:rsid w:val="00EF3A62"/>
    <w:rsid w:val="00EF472B"/>
    <w:rsid w:val="00EF58F3"/>
    <w:rsid w:val="00EF66EC"/>
    <w:rsid w:val="00EF67EC"/>
    <w:rsid w:val="00EF7C40"/>
    <w:rsid w:val="00F01025"/>
    <w:rsid w:val="00F01F49"/>
    <w:rsid w:val="00F0200A"/>
    <w:rsid w:val="00F02B3F"/>
    <w:rsid w:val="00F04227"/>
    <w:rsid w:val="00F0434B"/>
    <w:rsid w:val="00F04811"/>
    <w:rsid w:val="00F0488C"/>
    <w:rsid w:val="00F04FA9"/>
    <w:rsid w:val="00F056D2"/>
    <w:rsid w:val="00F06F4A"/>
    <w:rsid w:val="00F10454"/>
    <w:rsid w:val="00F10BC7"/>
    <w:rsid w:val="00F111AC"/>
    <w:rsid w:val="00F11CF4"/>
    <w:rsid w:val="00F11F1D"/>
    <w:rsid w:val="00F1224F"/>
    <w:rsid w:val="00F12B9A"/>
    <w:rsid w:val="00F13E2C"/>
    <w:rsid w:val="00F1491D"/>
    <w:rsid w:val="00F14C04"/>
    <w:rsid w:val="00F15118"/>
    <w:rsid w:val="00F15524"/>
    <w:rsid w:val="00F15BEF"/>
    <w:rsid w:val="00F16E5D"/>
    <w:rsid w:val="00F17053"/>
    <w:rsid w:val="00F20947"/>
    <w:rsid w:val="00F21717"/>
    <w:rsid w:val="00F22085"/>
    <w:rsid w:val="00F2270F"/>
    <w:rsid w:val="00F2286E"/>
    <w:rsid w:val="00F22E88"/>
    <w:rsid w:val="00F22E95"/>
    <w:rsid w:val="00F23A13"/>
    <w:rsid w:val="00F23B29"/>
    <w:rsid w:val="00F2475D"/>
    <w:rsid w:val="00F24FAA"/>
    <w:rsid w:val="00F2570D"/>
    <w:rsid w:val="00F25F70"/>
    <w:rsid w:val="00F26446"/>
    <w:rsid w:val="00F26A1E"/>
    <w:rsid w:val="00F279B9"/>
    <w:rsid w:val="00F30D8A"/>
    <w:rsid w:val="00F30DDC"/>
    <w:rsid w:val="00F31444"/>
    <w:rsid w:val="00F326AB"/>
    <w:rsid w:val="00F3364D"/>
    <w:rsid w:val="00F34BCA"/>
    <w:rsid w:val="00F35998"/>
    <w:rsid w:val="00F35B76"/>
    <w:rsid w:val="00F36022"/>
    <w:rsid w:val="00F3614B"/>
    <w:rsid w:val="00F36C53"/>
    <w:rsid w:val="00F37371"/>
    <w:rsid w:val="00F40065"/>
    <w:rsid w:val="00F408FA"/>
    <w:rsid w:val="00F40DE5"/>
    <w:rsid w:val="00F4122C"/>
    <w:rsid w:val="00F413C7"/>
    <w:rsid w:val="00F4171E"/>
    <w:rsid w:val="00F421F8"/>
    <w:rsid w:val="00F42349"/>
    <w:rsid w:val="00F4270C"/>
    <w:rsid w:val="00F428B6"/>
    <w:rsid w:val="00F42971"/>
    <w:rsid w:val="00F43141"/>
    <w:rsid w:val="00F436E5"/>
    <w:rsid w:val="00F437B7"/>
    <w:rsid w:val="00F43EEB"/>
    <w:rsid w:val="00F451B7"/>
    <w:rsid w:val="00F4592E"/>
    <w:rsid w:val="00F463E6"/>
    <w:rsid w:val="00F46606"/>
    <w:rsid w:val="00F46AE0"/>
    <w:rsid w:val="00F4728B"/>
    <w:rsid w:val="00F478FF"/>
    <w:rsid w:val="00F502E5"/>
    <w:rsid w:val="00F50352"/>
    <w:rsid w:val="00F504EA"/>
    <w:rsid w:val="00F50F6D"/>
    <w:rsid w:val="00F52FA3"/>
    <w:rsid w:val="00F531AC"/>
    <w:rsid w:val="00F532C7"/>
    <w:rsid w:val="00F536F9"/>
    <w:rsid w:val="00F53BD4"/>
    <w:rsid w:val="00F540E4"/>
    <w:rsid w:val="00F553C2"/>
    <w:rsid w:val="00F55CC4"/>
    <w:rsid w:val="00F5744D"/>
    <w:rsid w:val="00F578EF"/>
    <w:rsid w:val="00F602B9"/>
    <w:rsid w:val="00F6053C"/>
    <w:rsid w:val="00F60D2B"/>
    <w:rsid w:val="00F61A55"/>
    <w:rsid w:val="00F624DF"/>
    <w:rsid w:val="00F629CC"/>
    <w:rsid w:val="00F62B28"/>
    <w:rsid w:val="00F63783"/>
    <w:rsid w:val="00F638C8"/>
    <w:rsid w:val="00F63DDE"/>
    <w:rsid w:val="00F63FB7"/>
    <w:rsid w:val="00F647F4"/>
    <w:rsid w:val="00F64CCD"/>
    <w:rsid w:val="00F65CF4"/>
    <w:rsid w:val="00F6693A"/>
    <w:rsid w:val="00F70DEF"/>
    <w:rsid w:val="00F70F6E"/>
    <w:rsid w:val="00F71114"/>
    <w:rsid w:val="00F728A1"/>
    <w:rsid w:val="00F72D92"/>
    <w:rsid w:val="00F72EE1"/>
    <w:rsid w:val="00F73825"/>
    <w:rsid w:val="00F73A0C"/>
    <w:rsid w:val="00F772E1"/>
    <w:rsid w:val="00F77436"/>
    <w:rsid w:val="00F77B28"/>
    <w:rsid w:val="00F801C6"/>
    <w:rsid w:val="00F80F7B"/>
    <w:rsid w:val="00F81435"/>
    <w:rsid w:val="00F81CB0"/>
    <w:rsid w:val="00F825BE"/>
    <w:rsid w:val="00F831FB"/>
    <w:rsid w:val="00F83C23"/>
    <w:rsid w:val="00F84AD0"/>
    <w:rsid w:val="00F850DF"/>
    <w:rsid w:val="00F86068"/>
    <w:rsid w:val="00F8791C"/>
    <w:rsid w:val="00F90AD7"/>
    <w:rsid w:val="00F917D2"/>
    <w:rsid w:val="00F91B9A"/>
    <w:rsid w:val="00F922A4"/>
    <w:rsid w:val="00F92525"/>
    <w:rsid w:val="00F92858"/>
    <w:rsid w:val="00F94952"/>
    <w:rsid w:val="00F95342"/>
    <w:rsid w:val="00F96331"/>
    <w:rsid w:val="00F96B12"/>
    <w:rsid w:val="00F96C06"/>
    <w:rsid w:val="00F974DF"/>
    <w:rsid w:val="00FA3F57"/>
    <w:rsid w:val="00FA409B"/>
    <w:rsid w:val="00FA4137"/>
    <w:rsid w:val="00FA457D"/>
    <w:rsid w:val="00FA4C51"/>
    <w:rsid w:val="00FA4D1E"/>
    <w:rsid w:val="00FA5FDF"/>
    <w:rsid w:val="00FA6380"/>
    <w:rsid w:val="00FB0324"/>
    <w:rsid w:val="00FB1007"/>
    <w:rsid w:val="00FB1379"/>
    <w:rsid w:val="00FB259D"/>
    <w:rsid w:val="00FB2B28"/>
    <w:rsid w:val="00FB3236"/>
    <w:rsid w:val="00FB3A68"/>
    <w:rsid w:val="00FB45E6"/>
    <w:rsid w:val="00FB57C8"/>
    <w:rsid w:val="00FB5C16"/>
    <w:rsid w:val="00FB7E0A"/>
    <w:rsid w:val="00FC005F"/>
    <w:rsid w:val="00FC075C"/>
    <w:rsid w:val="00FC0E5F"/>
    <w:rsid w:val="00FC15DA"/>
    <w:rsid w:val="00FC2DA5"/>
    <w:rsid w:val="00FC3396"/>
    <w:rsid w:val="00FC3657"/>
    <w:rsid w:val="00FC3922"/>
    <w:rsid w:val="00FC3EA3"/>
    <w:rsid w:val="00FC47B4"/>
    <w:rsid w:val="00FC56DE"/>
    <w:rsid w:val="00FC58DB"/>
    <w:rsid w:val="00FD0F83"/>
    <w:rsid w:val="00FD141D"/>
    <w:rsid w:val="00FD27A6"/>
    <w:rsid w:val="00FD2941"/>
    <w:rsid w:val="00FD2946"/>
    <w:rsid w:val="00FD3421"/>
    <w:rsid w:val="00FD364E"/>
    <w:rsid w:val="00FD3859"/>
    <w:rsid w:val="00FD3A0E"/>
    <w:rsid w:val="00FD457F"/>
    <w:rsid w:val="00FD4884"/>
    <w:rsid w:val="00FD4C55"/>
    <w:rsid w:val="00FD72B0"/>
    <w:rsid w:val="00FD73C6"/>
    <w:rsid w:val="00FD759F"/>
    <w:rsid w:val="00FE026D"/>
    <w:rsid w:val="00FE14FD"/>
    <w:rsid w:val="00FE2310"/>
    <w:rsid w:val="00FE2398"/>
    <w:rsid w:val="00FE2612"/>
    <w:rsid w:val="00FE2B14"/>
    <w:rsid w:val="00FE2F78"/>
    <w:rsid w:val="00FE47AD"/>
    <w:rsid w:val="00FE6728"/>
    <w:rsid w:val="00FE7501"/>
    <w:rsid w:val="00FE7C6F"/>
    <w:rsid w:val="00FF074A"/>
    <w:rsid w:val="00FF0A31"/>
    <w:rsid w:val="00FF2B86"/>
    <w:rsid w:val="00FF3BF1"/>
    <w:rsid w:val="00FF4878"/>
    <w:rsid w:val="00FF5580"/>
    <w:rsid w:val="00FF565B"/>
    <w:rsid w:val="00FF73A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character" w:customStyle="1" w:styleId="st">
    <w:name w:val="st"/>
    <w:basedOn w:val="Standardnpsmoodstavce"/>
    <w:rsid w:val="00BC1FBF"/>
  </w:style>
  <w:style w:type="table" w:styleId="Stednmka3zvraznn5">
    <w:name w:val="Medium Grid 3 Accent 5"/>
    <w:basedOn w:val="Normlntabulka"/>
    <w:uiPriority w:val="60"/>
    <w:rsid w:val="00FD3A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F6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F66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cd.org/sti/rd-tax-stats.htm" TargetMode="External"/><Relationship Id="rId2" Type="http://schemas.openxmlformats.org/officeDocument/2006/relationships/hyperlink" Target="https://www.czso.cz/csu/czso/klasifikace_uzemnich_statistickych_jednotek_-cz_nuts-_2011" TargetMode="External"/><Relationship Id="rId1" Type="http://schemas.openxmlformats.org/officeDocument/2006/relationships/hyperlink" Target="https://www.czso.cz/csu/czso/prima-verejna-podpora-vyzkumu-a-vyvoje-v-ceske-republice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1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2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1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2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2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2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fina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5_21100317\WEB\01_TEXTY\NVPVV_2015_grafy_2017-03-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G.A1!$A$76</c:f>
              <c:strCache>
                <c:ptCount val="1"/>
                <c:pt idx="0">
                  <c:v>přímá veřejná podpora</c:v>
                </c:pt>
              </c:strCache>
            </c:strRef>
          </c:tx>
          <c:invertIfNegative val="0"/>
          <c:cat>
            <c:numRef>
              <c:f>G.A1!$B$75:$J$75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G.A1!$B$76:$J$76</c:f>
              <c:numCache>
                <c:formatCode>#,##0</c:formatCode>
                <c:ptCount val="9"/>
                <c:pt idx="0">
                  <c:v>3258.0265599999998</c:v>
                </c:pt>
                <c:pt idx="1">
                  <c:v>3273.5169100000048</c:v>
                </c:pt>
                <c:pt idx="2">
                  <c:v>3633.3768299999961</c:v>
                </c:pt>
                <c:pt idx="3">
                  <c:v>3576.1982300000004</c:v>
                </c:pt>
                <c:pt idx="4">
                  <c:v>4191.3936800000001</c:v>
                </c:pt>
                <c:pt idx="5">
                  <c:v>4234.7315199999994</c:v>
                </c:pt>
                <c:pt idx="6">
                  <c:v>3728.2014900000004</c:v>
                </c:pt>
                <c:pt idx="7">
                  <c:v>3778.0919500000027</c:v>
                </c:pt>
                <c:pt idx="8">
                  <c:v>3155.5031100000056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45-446C-B356-572BE927029B}"/>
            </c:ext>
          </c:extLst>
        </c:ser>
        <c:ser>
          <c:idx val="1"/>
          <c:order val="1"/>
          <c:tx>
            <c:strRef>
              <c:f>G.A1!$A$77</c:f>
              <c:strCache>
                <c:ptCount val="1"/>
                <c:pt idx="0">
                  <c:v>nepřímá veřejná podpora</c:v>
                </c:pt>
              </c:strCache>
            </c:strRef>
          </c:tx>
          <c:invertIfNegative val="0"/>
          <c:cat>
            <c:numRef>
              <c:f>G.A1!$B$75:$J$75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G.A1!$B$77:$J$77</c:f>
              <c:numCache>
                <c:formatCode>#,##0</c:formatCode>
                <c:ptCount val="9"/>
                <c:pt idx="0">
                  <c:v>1204.1870239200005</c:v>
                </c:pt>
                <c:pt idx="1">
                  <c:v>1019.9925670199996</c:v>
                </c:pt>
                <c:pt idx="2">
                  <c:v>1049.218106400001</c:v>
                </c:pt>
                <c:pt idx="3">
                  <c:v>1316.85559461</c:v>
                </c:pt>
                <c:pt idx="4">
                  <c:v>1836.4267862199999</c:v>
                </c:pt>
                <c:pt idx="5">
                  <c:v>1982.6727428099996</c:v>
                </c:pt>
                <c:pt idx="6">
                  <c:v>2297.0599027799999</c:v>
                </c:pt>
                <c:pt idx="7">
                  <c:v>2263.3171474700039</c:v>
                </c:pt>
                <c:pt idx="8">
                  <c:v>2524.5865907399998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45-446C-B356-572BE927029B}"/>
            </c:ext>
          </c:extLst>
        </c:ser>
        <c:ser>
          <c:idx val="2"/>
          <c:order val="2"/>
          <c:tx>
            <c:strRef>
              <c:f>G.A1!$A$78</c:f>
              <c:strCache>
                <c:ptCount val="1"/>
                <c:pt idx="0">
                  <c:v>zahraniční veřejná podpora</c:v>
                </c:pt>
              </c:strCache>
            </c:strRef>
          </c:tx>
          <c:invertIfNegative val="0"/>
          <c:cat>
            <c:numRef>
              <c:f>G.A1!$B$75:$J$75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G.A1!$B$78:$J$78</c:f>
              <c:numCache>
                <c:formatCode>#,##0</c:formatCode>
                <c:ptCount val="9"/>
                <c:pt idx="0">
                  <c:v>130.90999999999997</c:v>
                </c:pt>
                <c:pt idx="1">
                  <c:v>153.73399999999998</c:v>
                </c:pt>
                <c:pt idx="2">
                  <c:v>351.84425999999996</c:v>
                </c:pt>
                <c:pt idx="3">
                  <c:v>684.20566000000008</c:v>
                </c:pt>
                <c:pt idx="4">
                  <c:v>1213.2280000000001</c:v>
                </c:pt>
                <c:pt idx="5">
                  <c:v>1730.1383799999999</c:v>
                </c:pt>
                <c:pt idx="6">
                  <c:v>1520.1612899999998</c:v>
                </c:pt>
                <c:pt idx="7">
                  <c:v>1583.3281899999999</c:v>
                </c:pt>
                <c:pt idx="8">
                  <c:v>1531.6932899999997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45-446C-B356-572BE9270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77504"/>
        <c:axId val="135479296"/>
      </c:barChart>
      <c:catAx>
        <c:axId val="13547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479296"/>
        <c:crosses val="autoZero"/>
        <c:auto val="1"/>
        <c:lblAlgn val="ctr"/>
        <c:lblOffset val="100"/>
        <c:noMultiLvlLbl val="0"/>
      </c:catAx>
      <c:valAx>
        <c:axId val="1354792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numFmt formatCode="#,##0" sourceLinked="1"/>
        <c:majorTickMark val="out"/>
        <c:minorTickMark val="none"/>
        <c:tickLblPos val="nextTo"/>
        <c:crossAx val="13547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00"/>
            </a:pPr>
            <a:r>
              <a:rPr lang="cs-CZ" sz="900"/>
              <a:t>b)</a:t>
            </a:r>
            <a:r>
              <a:rPr lang="cs-CZ" sz="900" baseline="0"/>
              <a:t> výše podpory v mil. Kč</a:t>
            </a:r>
            <a:endParaRPr lang="cs-CZ" sz="900"/>
          </a:p>
        </c:rich>
      </c:tx>
      <c:layout>
        <c:manualLayout>
          <c:xMode val="edge"/>
          <c:yMode val="edge"/>
          <c:x val="8.4800854700854744E-2"/>
          <c:y val="4.341880341880342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5302811710829981"/>
          <c:y val="6.770555555555556E-2"/>
          <c:w val="0.72618600548567569"/>
          <c:h val="0.7953260683760675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GRAF7!$H$41</c:f>
              <c:strCache>
                <c:ptCount val="1"/>
                <c:pt idx="0">
                  <c:v>Mikro podniky 
(0-9 zam.)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GRAF7!$I$40:$N$40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GRAF7!$I$41:$N$41</c:f>
              <c:numCache>
                <c:formatCode>0</c:formatCode>
                <c:ptCount val="6"/>
                <c:pt idx="0">
                  <c:v>16.976895959999993</c:v>
                </c:pt>
                <c:pt idx="1">
                  <c:v>22.096541529999989</c:v>
                </c:pt>
                <c:pt idx="2">
                  <c:v>24.25698212999999</c:v>
                </c:pt>
                <c:pt idx="3">
                  <c:v>35.101366079999998</c:v>
                </c:pt>
                <c:pt idx="4">
                  <c:v>27.617370579999974</c:v>
                </c:pt>
                <c:pt idx="5">
                  <c:v>32.344830119999976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89-4E35-A1F1-F18627A78FB2}"/>
            </c:ext>
          </c:extLst>
        </c:ser>
        <c:ser>
          <c:idx val="0"/>
          <c:order val="1"/>
          <c:tx>
            <c:strRef>
              <c:f>GRAF7!$H$42</c:f>
              <c:strCache>
                <c:ptCount val="1"/>
                <c:pt idx="0">
                  <c:v>Malé podniky 
(10-49 zam.)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GRAF7!$I$40:$N$40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GRAF7!$I$42:$N$42</c:f>
              <c:numCache>
                <c:formatCode>0</c:formatCode>
                <c:ptCount val="6"/>
                <c:pt idx="0">
                  <c:v>96.294381649999963</c:v>
                </c:pt>
                <c:pt idx="1">
                  <c:v>112.95917411000005</c:v>
                </c:pt>
                <c:pt idx="2">
                  <c:v>127.8042189600001</c:v>
                </c:pt>
                <c:pt idx="3">
                  <c:v>166.19342332000011</c:v>
                </c:pt>
                <c:pt idx="4">
                  <c:v>167.22421303000013</c:v>
                </c:pt>
                <c:pt idx="5">
                  <c:v>181.46369557999992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89-4E35-A1F1-F18627A78FB2}"/>
            </c:ext>
          </c:extLst>
        </c:ser>
        <c:ser>
          <c:idx val="1"/>
          <c:order val="2"/>
          <c:tx>
            <c:strRef>
              <c:f>GRAF7!$H$43</c:f>
              <c:strCache>
                <c:ptCount val="1"/>
                <c:pt idx="0">
                  <c:v>Střední podniky 
(50-249 zam.)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GRAF7!$I$40:$N$40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GRAF7!$I$43:$N$43</c:f>
              <c:numCache>
                <c:formatCode>0</c:formatCode>
                <c:ptCount val="6"/>
                <c:pt idx="0">
                  <c:v>268.42367837999967</c:v>
                </c:pt>
                <c:pt idx="1">
                  <c:v>355.58996223000031</c:v>
                </c:pt>
                <c:pt idx="2">
                  <c:v>387.3117133799995</c:v>
                </c:pt>
                <c:pt idx="3">
                  <c:v>496.44890353999966</c:v>
                </c:pt>
                <c:pt idx="4">
                  <c:v>549.01662894999947</c:v>
                </c:pt>
                <c:pt idx="5">
                  <c:v>566.64802835999933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89-4E35-A1F1-F18627A78FB2}"/>
            </c:ext>
          </c:extLst>
        </c:ser>
        <c:ser>
          <c:idx val="3"/>
          <c:order val="3"/>
          <c:tx>
            <c:strRef>
              <c:f>GRAF7!$H$44</c:f>
              <c:strCache>
                <c:ptCount val="1"/>
                <c:pt idx="0">
                  <c:v>Velké podniky 
(250+ zam.)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GRAF7!$I$40:$N$40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GRAF7!$I$44:$N$44</c:f>
              <c:numCache>
                <c:formatCode>0</c:formatCode>
                <c:ptCount val="6"/>
                <c:pt idx="0">
                  <c:v>935.16063861999987</c:v>
                </c:pt>
                <c:pt idx="1">
                  <c:v>1345.7811083499994</c:v>
                </c:pt>
                <c:pt idx="2">
                  <c:v>1443.2998283399988</c:v>
                </c:pt>
                <c:pt idx="3">
                  <c:v>1599.3162098399978</c:v>
                </c:pt>
                <c:pt idx="4">
                  <c:v>1519.4589349100004</c:v>
                </c:pt>
                <c:pt idx="5">
                  <c:v>1744.1300366800008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89-4E35-A1F1-F18627A78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37199616"/>
        <c:axId val="137201152"/>
      </c:barChart>
      <c:catAx>
        <c:axId val="13719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201152"/>
        <c:crosses val="autoZero"/>
        <c:auto val="1"/>
        <c:lblAlgn val="ctr"/>
        <c:lblOffset val="100"/>
        <c:noMultiLvlLbl val="0"/>
      </c:catAx>
      <c:valAx>
        <c:axId val="137201152"/>
        <c:scaling>
          <c:orientation val="minMax"/>
          <c:max val="1800"/>
          <c:min val="0"/>
        </c:scaling>
        <c:delete val="0"/>
        <c:axPos val="l"/>
        <c:numFmt formatCode="0" sourceLinked="1"/>
        <c:majorTickMark val="none"/>
        <c:minorTickMark val="none"/>
        <c:tickLblPos val="none"/>
        <c:spPr>
          <a:ln>
            <a:noFill/>
          </a:ln>
        </c:spPr>
        <c:crossAx val="137199616"/>
        <c:crosses val="autoZero"/>
        <c:crossBetween val="between"/>
        <c:majorUnit val="100"/>
        <c:minorUnit val="10"/>
      </c:valAx>
    </c:plotArea>
    <c:legend>
      <c:legendPos val="l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00"/>
            </a:pPr>
            <a:r>
              <a:rPr lang="en-US" sz="900"/>
              <a:t>a) počet podniků</a:t>
            </a:r>
          </a:p>
        </c:rich>
      </c:tx>
      <c:layout>
        <c:manualLayout>
          <c:xMode val="edge"/>
          <c:yMode val="edge"/>
          <c:x val="7.4202287581699403E-2"/>
          <c:y val="5.820388888888888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3170588235294098E-2"/>
          <c:y val="0.34600888888888903"/>
          <c:w val="0.85107042483660134"/>
          <c:h val="0.454211111111110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GRAF8!$A$64</c:f>
              <c:strCache>
                <c:ptCount val="1"/>
                <c:pt idx="0">
                  <c:v>Zpracovatelský průmysl (sekce C)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GRAF8!$B$63:$C$63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GRAF8!$B$64:$C$64</c:f>
              <c:numCache>
                <c:formatCode>General</c:formatCode>
                <c:ptCount val="2"/>
                <c:pt idx="0">
                  <c:v>412</c:v>
                </c:pt>
                <c:pt idx="1">
                  <c:v>785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21-49B0-BE8E-173AFA124C2D}"/>
            </c:ext>
          </c:extLst>
        </c:ser>
        <c:ser>
          <c:idx val="3"/>
          <c:order val="1"/>
          <c:tx>
            <c:strRef>
              <c:f>GRAF8!$A$65</c:f>
              <c:strCache>
                <c:ptCount val="1"/>
                <c:pt idx="0">
                  <c:v>Informační a komunikační činnosti (sekce J)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GRAF8!$B$63:$C$63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GRAF8!$B$65:$C$65</c:f>
              <c:numCache>
                <c:formatCode>General</c:formatCode>
                <c:ptCount val="2"/>
                <c:pt idx="0">
                  <c:v>106</c:v>
                </c:pt>
                <c:pt idx="1">
                  <c:v>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21-49B0-BE8E-173AFA124C2D}"/>
            </c:ext>
          </c:extLst>
        </c:ser>
        <c:ser>
          <c:idx val="4"/>
          <c:order val="2"/>
          <c:tx>
            <c:strRef>
              <c:f>GRAF8!$A$66</c:f>
              <c:strCache>
                <c:ptCount val="1"/>
                <c:pt idx="0">
                  <c:v>Profesní, vědecké a technické činnosti (sekce M)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GRAF8!$B$63:$C$63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GRAF8!$B$66:$C$66</c:f>
              <c:numCache>
                <c:formatCode>General</c:formatCode>
                <c:ptCount val="2"/>
                <c:pt idx="0">
                  <c:v>106</c:v>
                </c:pt>
                <c:pt idx="1">
                  <c:v>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21-49B0-BE8E-173AFA124C2D}"/>
            </c:ext>
          </c:extLst>
        </c:ser>
        <c:ser>
          <c:idx val="2"/>
          <c:order val="3"/>
          <c:tx>
            <c:strRef>
              <c:f>GRAF8!$A$67</c:f>
              <c:strCache>
                <c:ptCount val="1"/>
                <c:pt idx="0">
                  <c:v>Ostatní činnosti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GRAF8!$B$63:$C$63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GRAF8!$B$67:$C$67</c:f>
              <c:numCache>
                <c:formatCode>General</c:formatCode>
                <c:ptCount val="2"/>
                <c:pt idx="0">
                  <c:v>92</c:v>
                </c:pt>
                <c:pt idx="1">
                  <c:v>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21-49B0-BE8E-173AFA124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138378240"/>
        <c:axId val="140116736"/>
      </c:barChart>
      <c:catAx>
        <c:axId val="138378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0116736"/>
        <c:crosses val="autoZero"/>
        <c:auto val="1"/>
        <c:lblAlgn val="ctr"/>
        <c:lblOffset val="100"/>
        <c:noMultiLvlLbl val="0"/>
      </c:catAx>
      <c:valAx>
        <c:axId val="140116736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138378240"/>
        <c:crosses val="autoZero"/>
        <c:crossBetween val="between"/>
        <c:majorUnit val="0.1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0.23413856209150327"/>
          <c:y val="0"/>
          <c:w val="0.58360196078431359"/>
          <c:h val="0.3192438888888888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900"/>
              <a:t>b) výše podpory v mil. Kč</a:t>
            </a:r>
          </a:p>
        </c:rich>
      </c:tx>
      <c:layout>
        <c:manualLayout>
          <c:xMode val="edge"/>
          <c:yMode val="edge"/>
          <c:x val="6.937238562091512E-2"/>
          <c:y val="9.756092564577147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095424836601515E-2"/>
          <c:y val="0.28505305163405587"/>
          <c:w val="0.86352140522875864"/>
          <c:h val="0.5712440580018912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GRAF8!$F$64</c:f>
              <c:strCache>
                <c:ptCount val="1"/>
                <c:pt idx="0">
                  <c:v>Zpracovatelský průmysl (sekce C)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GRAF8!$G$63:$H$63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GRAF8!$G$64:$H$64</c:f>
              <c:numCache>
                <c:formatCode>0</c:formatCode>
                <c:ptCount val="2"/>
                <c:pt idx="0">
                  <c:v>1012.8922769599999</c:v>
                </c:pt>
                <c:pt idx="1">
                  <c:v>1726.3068316999995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25-4095-9563-09DBEBEDDC3B}"/>
            </c:ext>
          </c:extLst>
        </c:ser>
        <c:ser>
          <c:idx val="3"/>
          <c:order val="1"/>
          <c:tx>
            <c:strRef>
              <c:f>GRAF8!$F$65</c:f>
              <c:strCache>
                <c:ptCount val="1"/>
                <c:pt idx="0">
                  <c:v>Informační a komunikační činnosti (sekce J)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1503267973856247E-3"/>
                  <c:y val="-6.94444444444445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GRAF8!$G$63:$H$63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GRAF8!$G$65:$H$65</c:f>
              <c:numCache>
                <c:formatCode>0</c:formatCode>
                <c:ptCount val="2"/>
                <c:pt idx="0">
                  <c:v>111.19465000000002</c:v>
                </c:pt>
                <c:pt idx="1">
                  <c:v>395.63916010999975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25-4095-9563-09DBEBEDDC3B}"/>
            </c:ext>
          </c:extLst>
        </c:ser>
        <c:ser>
          <c:idx val="4"/>
          <c:order val="2"/>
          <c:tx>
            <c:strRef>
              <c:f>GRAF8!$F$66</c:f>
              <c:strCache>
                <c:ptCount val="1"/>
                <c:pt idx="0">
                  <c:v>Profesní, vědecké a technické činnosti (sekce M)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GRAF8!$G$63:$H$63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GRAF8!$G$66:$H$66</c:f>
              <c:numCache>
                <c:formatCode>0</c:formatCode>
                <c:ptCount val="2"/>
                <c:pt idx="0">
                  <c:v>66.397725089999994</c:v>
                </c:pt>
                <c:pt idx="1">
                  <c:v>237.17664412999986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25-4095-9563-09DBEBEDDC3B}"/>
            </c:ext>
          </c:extLst>
        </c:ser>
        <c:ser>
          <c:idx val="2"/>
          <c:order val="3"/>
          <c:tx>
            <c:strRef>
              <c:f>GRAF8!$F$67</c:f>
              <c:strCache>
                <c:ptCount val="1"/>
                <c:pt idx="0">
                  <c:v>Ostatní činnosti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2254901960784323E-3"/>
                  <c:y val="-8.0843973490927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GRAF8!$G$63:$H$63</c:f>
              <c:strCache>
                <c:ptCount val="2"/>
                <c:pt idx="0">
                  <c:v>2010</c:v>
                </c:pt>
                <c:pt idx="1">
                  <c:v>2015</c:v>
                </c:pt>
              </c:strCache>
            </c:strRef>
          </c:cat>
          <c:val>
            <c:numRef>
              <c:f>GRAF8!$G$67:$H$67</c:f>
              <c:numCache>
                <c:formatCode>0</c:formatCode>
                <c:ptCount val="2"/>
                <c:pt idx="0">
                  <c:v>126.37094256000034</c:v>
                </c:pt>
                <c:pt idx="1">
                  <c:v>165.46395480000098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25-4095-9563-09DBEBEDD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140151040"/>
        <c:axId val="140177408"/>
      </c:barChart>
      <c:catAx>
        <c:axId val="140151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0177408"/>
        <c:crosses val="autoZero"/>
        <c:auto val="1"/>
        <c:lblAlgn val="ctr"/>
        <c:lblOffset val="100"/>
        <c:noMultiLvlLbl val="0"/>
      </c:catAx>
      <c:valAx>
        <c:axId val="140177408"/>
        <c:scaling>
          <c:orientation val="minMax"/>
          <c:max val="2600"/>
          <c:min val="0"/>
        </c:scaling>
        <c:delete val="1"/>
        <c:axPos val="b"/>
        <c:numFmt formatCode="0" sourceLinked="1"/>
        <c:majorTickMark val="out"/>
        <c:minorTickMark val="none"/>
        <c:tickLblPos val="none"/>
        <c:crossAx val="140151040"/>
        <c:crosses val="autoZero"/>
        <c:crossBetween val="between"/>
        <c:majorUnit val="50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a) počet podniků</a:t>
            </a:r>
          </a:p>
        </c:rich>
      </c:tx>
      <c:layout>
        <c:manualLayout>
          <c:xMode val="edge"/>
          <c:yMode val="edge"/>
          <c:x val="3.3907843137254902E-2"/>
          <c:y val="1.763888888888889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47833022875816983"/>
          <c:y val="0.11444513888888889"/>
          <c:w val="0.37056209150326858"/>
          <c:h val="0.77565208333333391"/>
        </c:manualLayout>
      </c:layout>
      <c:barChart>
        <c:barDir val="bar"/>
        <c:grouping val="clustered"/>
        <c:varyColors val="0"/>
        <c:ser>
          <c:idx val="0"/>
          <c:order val="1"/>
          <c:tx>
            <c:strRef>
              <c:f>GRAF9a!$C$23</c:f>
              <c:strCache>
                <c:ptCount val="1"/>
                <c:pt idx="0">
                  <c:v>podniky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GRAF9a!$B$24:$B$38</c:f>
              <c:strCache>
                <c:ptCount val="15"/>
                <c:pt idx="0">
                  <c:v>Dřevozpracující a papírenský průmysl (16-17, 31)</c:v>
                </c:pt>
                <c:pt idx="1">
                  <c:v>Farmaceutický průmysl (21)</c:v>
                </c:pt>
                <c:pt idx="2">
                  <c:v>Metalurgický průmysl (24)</c:v>
                </c:pt>
                <c:pt idx="3">
                  <c:v>Textilní, oděvní a obuvnický průmysl (13-15)</c:v>
                </c:pt>
                <c:pt idx="4">
                  <c:v>Výroba ostatních doprav. prostředků a zařízení (30)</c:v>
                </c:pt>
                <c:pt idx="5">
                  <c:v>Průmysl skla, keramiky, porcelánu a stav. hmot (23)</c:v>
                </c:pt>
                <c:pt idx="6">
                  <c:v>Potravinářský a nápojový průmysl (10-12)</c:v>
                </c:pt>
                <c:pt idx="7">
                  <c:v>Petrochemický a chemický průmysl (19-20)</c:v>
                </c:pt>
                <c:pt idx="8">
                  <c:v>Automobilový průmysl (29)</c:v>
                </c:pt>
                <c:pt idx="9">
                  <c:v>Gumárenský a plastový průmysl (22)</c:v>
                </c:pt>
                <c:pt idx="10">
                  <c:v>Ostatní zpracovatelský průmysl (18, 32, 332)</c:v>
                </c:pt>
                <c:pt idx="11">
                  <c:v>Elektronický průmysl (26)</c:v>
                </c:pt>
                <c:pt idx="12">
                  <c:v>Elektrotechnický průmysl (27)</c:v>
                </c:pt>
                <c:pt idx="13">
                  <c:v>Výroba kovových konstrukcí a výrobků (25)</c:v>
                </c:pt>
                <c:pt idx="14">
                  <c:v>Strojírenský průmysl (28, 331)</c:v>
                </c:pt>
              </c:strCache>
            </c:strRef>
          </c:cat>
          <c:val>
            <c:numRef>
              <c:f>GRAF9a!$C$24:$C$38</c:f>
              <c:numCache>
                <c:formatCode>#,##0</c:formatCode>
                <c:ptCount val="15"/>
                <c:pt idx="0">
                  <c:v>14</c:v>
                </c:pt>
                <c:pt idx="1">
                  <c:v>16</c:v>
                </c:pt>
                <c:pt idx="2">
                  <c:v>16</c:v>
                </c:pt>
                <c:pt idx="3">
                  <c:v>19</c:v>
                </c:pt>
                <c:pt idx="4">
                  <c:v>22</c:v>
                </c:pt>
                <c:pt idx="5">
                  <c:v>27</c:v>
                </c:pt>
                <c:pt idx="6">
                  <c:v>29</c:v>
                </c:pt>
                <c:pt idx="7">
                  <c:v>41</c:v>
                </c:pt>
                <c:pt idx="8">
                  <c:v>46</c:v>
                </c:pt>
                <c:pt idx="9">
                  <c:v>48</c:v>
                </c:pt>
                <c:pt idx="10">
                  <c:v>60</c:v>
                </c:pt>
                <c:pt idx="11">
                  <c:v>67</c:v>
                </c:pt>
                <c:pt idx="12">
                  <c:v>74</c:v>
                </c:pt>
                <c:pt idx="13">
                  <c:v>123</c:v>
                </c:pt>
                <c:pt idx="14">
                  <c:v>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32-449E-8A30-FAC92EC76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41"/>
        <c:axId val="140222464"/>
        <c:axId val="140200192"/>
      </c:barChart>
      <c:barChart>
        <c:barDir val="bar"/>
        <c:grouping val="clustered"/>
        <c:varyColors val="0"/>
        <c:ser>
          <c:idx val="1"/>
          <c:order val="0"/>
          <c:tx>
            <c:strRef>
              <c:f>GRAF9a!$D$23</c:f>
              <c:strCache>
                <c:ptCount val="1"/>
                <c:pt idx="0">
                  <c:v>MSP (malé a střední podniky)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GRAF9a!$B$24:$B$38</c:f>
              <c:strCache>
                <c:ptCount val="15"/>
                <c:pt idx="0">
                  <c:v>Dřevozpracující a papírenský průmysl (16-17, 31)</c:v>
                </c:pt>
                <c:pt idx="1">
                  <c:v>Farmaceutický průmysl (21)</c:v>
                </c:pt>
                <c:pt idx="2">
                  <c:v>Metalurgický průmysl (24)</c:v>
                </c:pt>
                <c:pt idx="3">
                  <c:v>Textilní, oděvní a obuvnický průmysl (13-15)</c:v>
                </c:pt>
                <c:pt idx="4">
                  <c:v>Výroba ostatních doprav. prostředků a zařízení (30)</c:v>
                </c:pt>
                <c:pt idx="5">
                  <c:v>Průmysl skla, keramiky, porcelánu a stav. hmot (23)</c:v>
                </c:pt>
                <c:pt idx="6">
                  <c:v>Potravinářský a nápojový průmysl (10-12)</c:v>
                </c:pt>
                <c:pt idx="7">
                  <c:v>Petrochemický a chemický průmysl (19-20)</c:v>
                </c:pt>
                <c:pt idx="8">
                  <c:v>Automobilový průmysl (29)</c:v>
                </c:pt>
                <c:pt idx="9">
                  <c:v>Gumárenský a plastový průmysl (22)</c:v>
                </c:pt>
                <c:pt idx="10">
                  <c:v>Ostatní zpracovatelský průmysl (18, 32, 332)</c:v>
                </c:pt>
                <c:pt idx="11">
                  <c:v>Elektronický průmysl (26)</c:v>
                </c:pt>
                <c:pt idx="12">
                  <c:v>Elektrotechnický průmysl (27)</c:v>
                </c:pt>
                <c:pt idx="13">
                  <c:v>Výroba kovových konstrukcí a výrobků (25)</c:v>
                </c:pt>
                <c:pt idx="14">
                  <c:v>Strojírenský průmysl (28, 331)</c:v>
                </c:pt>
              </c:strCache>
            </c:strRef>
          </c:cat>
          <c:val>
            <c:numRef>
              <c:f>GRAF9a!$D$24:$D$38</c:f>
              <c:numCache>
                <c:formatCode>General</c:formatCode>
                <c:ptCount val="15"/>
                <c:pt idx="0">
                  <c:v>12</c:v>
                </c:pt>
                <c:pt idx="1">
                  <c:v>10</c:v>
                </c:pt>
                <c:pt idx="2">
                  <c:v>4</c:v>
                </c:pt>
                <c:pt idx="3">
                  <c:v>13</c:v>
                </c:pt>
                <c:pt idx="4">
                  <c:v>6</c:v>
                </c:pt>
                <c:pt idx="5">
                  <c:v>16</c:v>
                </c:pt>
                <c:pt idx="6">
                  <c:v>19</c:v>
                </c:pt>
                <c:pt idx="7">
                  <c:v>27</c:v>
                </c:pt>
                <c:pt idx="8">
                  <c:v>9</c:v>
                </c:pt>
                <c:pt idx="9">
                  <c:v>26</c:v>
                </c:pt>
                <c:pt idx="10">
                  <c:v>49</c:v>
                </c:pt>
                <c:pt idx="11">
                  <c:v>60</c:v>
                </c:pt>
                <c:pt idx="12">
                  <c:v>46</c:v>
                </c:pt>
                <c:pt idx="13">
                  <c:v>93</c:v>
                </c:pt>
                <c:pt idx="14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32-449E-8A30-FAC92EC76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0225536"/>
        <c:axId val="140224000"/>
      </c:barChart>
      <c:valAx>
        <c:axId val="140200192"/>
        <c:scaling>
          <c:orientation val="minMax"/>
          <c:max val="20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140222464"/>
        <c:crosses val="autoZero"/>
        <c:crossBetween val="between"/>
        <c:majorUnit val="20"/>
      </c:valAx>
      <c:catAx>
        <c:axId val="140222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0200192"/>
        <c:crosses val="autoZero"/>
        <c:auto val="1"/>
        <c:lblAlgn val="ctr"/>
        <c:lblOffset val="100"/>
        <c:noMultiLvlLbl val="0"/>
      </c:catAx>
      <c:valAx>
        <c:axId val="140224000"/>
        <c:scaling>
          <c:orientation val="minMax"/>
          <c:max val="160"/>
          <c:min val="0"/>
        </c:scaling>
        <c:delete val="1"/>
        <c:axPos val="t"/>
        <c:numFmt formatCode="General" sourceLinked="1"/>
        <c:majorTickMark val="out"/>
        <c:minorTickMark val="none"/>
        <c:tickLblPos val="none"/>
        <c:crossAx val="140225536"/>
        <c:crosses val="max"/>
        <c:crossBetween val="between"/>
        <c:majorUnit val="20"/>
      </c:valAx>
      <c:catAx>
        <c:axId val="140225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0224000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592205882353068"/>
          <c:y val="0.30104218281126088"/>
          <c:w val="0.12162696078431397"/>
          <c:h val="0.4477595440756821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b) výše podpory v mil. Kč</a:t>
            </a:r>
          </a:p>
        </c:rich>
      </c:tx>
      <c:layout>
        <c:manualLayout>
          <c:xMode val="edge"/>
          <c:yMode val="edge"/>
          <c:x val="3.5983006535947715E-2"/>
          <c:y val="8.819444444444444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47833022875816983"/>
          <c:y val="0.12767430555555556"/>
          <c:w val="0.36848692810457573"/>
          <c:h val="0.76242291666666662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GRAF9b!$C$22</c:f>
              <c:strCache>
                <c:ptCount val="1"/>
                <c:pt idx="0">
                  <c:v>podniky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GRAF9b!$B$23:$B$37</c:f>
              <c:strCache>
                <c:ptCount val="15"/>
                <c:pt idx="0">
                  <c:v>Textilní, oděvní a obuvnický průmysl (13-15)</c:v>
                </c:pt>
                <c:pt idx="1">
                  <c:v>Dřevozpracující a papírenský průmysl (16-17, 31)</c:v>
                </c:pt>
                <c:pt idx="2">
                  <c:v>Potravinářský a nápojový průmysl (10-12)</c:v>
                </c:pt>
                <c:pt idx="3">
                  <c:v>Metalurgický průmysl (24)</c:v>
                </c:pt>
                <c:pt idx="4">
                  <c:v>Průmysl skla, keramiky, porcelánu a stav. hmot (23)</c:v>
                </c:pt>
                <c:pt idx="5">
                  <c:v>Gumárenský a plastový průmysl (22)</c:v>
                </c:pt>
                <c:pt idx="6">
                  <c:v>Farmaceutický průmysl (21)</c:v>
                </c:pt>
                <c:pt idx="7">
                  <c:v>Petrochemický a chemický průmysl (19-20)</c:v>
                </c:pt>
                <c:pt idx="8">
                  <c:v>Ostatní zpracovatelský průmysl (18, 32, 332)</c:v>
                </c:pt>
                <c:pt idx="9">
                  <c:v>Elektronický průmysl (26)</c:v>
                </c:pt>
                <c:pt idx="10">
                  <c:v>Výroba kovových konstrukcí a výrobků (25)</c:v>
                </c:pt>
                <c:pt idx="11">
                  <c:v>Výroba ostatních doprav. prostředků a zařízení (30)</c:v>
                </c:pt>
                <c:pt idx="12">
                  <c:v>Elektrotechnický průmysl (27)</c:v>
                </c:pt>
                <c:pt idx="13">
                  <c:v>Strojírenský průmysl (28, 331)</c:v>
                </c:pt>
                <c:pt idx="14">
                  <c:v>Automobilový průmysl (29)</c:v>
                </c:pt>
              </c:strCache>
            </c:strRef>
          </c:cat>
          <c:val>
            <c:numRef>
              <c:f>GRAF9b!$C$23:$C$37</c:f>
              <c:numCache>
                <c:formatCode>#,##0</c:formatCode>
                <c:ptCount val="15"/>
                <c:pt idx="0">
                  <c:v>12.931503169999999</c:v>
                </c:pt>
                <c:pt idx="1">
                  <c:v>12.977134329999998</c:v>
                </c:pt>
                <c:pt idx="2">
                  <c:v>19.46773022</c:v>
                </c:pt>
                <c:pt idx="3">
                  <c:v>21.958770440000002</c:v>
                </c:pt>
                <c:pt idx="4">
                  <c:v>35.884459629999995</c:v>
                </c:pt>
                <c:pt idx="5">
                  <c:v>54.302875899999989</c:v>
                </c:pt>
                <c:pt idx="6">
                  <c:v>61.476784940000002</c:v>
                </c:pt>
                <c:pt idx="7">
                  <c:v>85.825988319999993</c:v>
                </c:pt>
                <c:pt idx="8">
                  <c:v>89.622604610000025</c:v>
                </c:pt>
                <c:pt idx="9">
                  <c:v>93.889306739999967</c:v>
                </c:pt>
                <c:pt idx="10">
                  <c:v>109.71986372999994</c:v>
                </c:pt>
                <c:pt idx="11">
                  <c:v>136.53855828999997</c:v>
                </c:pt>
                <c:pt idx="12">
                  <c:v>188.46397464</c:v>
                </c:pt>
                <c:pt idx="13">
                  <c:v>274.30266845</c:v>
                </c:pt>
                <c:pt idx="14">
                  <c:v>528.94460829000002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7-43E1-888E-4116781DE6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40275072"/>
        <c:axId val="140273536"/>
      </c:barChart>
      <c:barChart>
        <c:barDir val="bar"/>
        <c:grouping val="clustered"/>
        <c:varyColors val="0"/>
        <c:ser>
          <c:idx val="0"/>
          <c:order val="1"/>
          <c:tx>
            <c:strRef>
              <c:f>GRAF9b!$D$22</c:f>
              <c:strCache>
                <c:ptCount val="1"/>
                <c:pt idx="0">
                  <c:v>zahraniční podniky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GRAF9b!$B$23:$B$37</c:f>
              <c:strCache>
                <c:ptCount val="15"/>
                <c:pt idx="0">
                  <c:v>Textilní, oděvní a obuvnický průmysl (13-15)</c:v>
                </c:pt>
                <c:pt idx="1">
                  <c:v>Dřevozpracující a papírenský průmysl (16-17, 31)</c:v>
                </c:pt>
                <c:pt idx="2">
                  <c:v>Potravinářský a nápojový průmysl (10-12)</c:v>
                </c:pt>
                <c:pt idx="3">
                  <c:v>Metalurgický průmysl (24)</c:v>
                </c:pt>
                <c:pt idx="4">
                  <c:v>Průmysl skla, keramiky, porcelánu a stav. hmot (23)</c:v>
                </c:pt>
                <c:pt idx="5">
                  <c:v>Gumárenský a plastový průmysl (22)</c:v>
                </c:pt>
                <c:pt idx="6">
                  <c:v>Farmaceutický průmysl (21)</c:v>
                </c:pt>
                <c:pt idx="7">
                  <c:v>Petrochemický a chemický průmysl (19-20)</c:v>
                </c:pt>
                <c:pt idx="8">
                  <c:v>Ostatní zpracovatelský průmysl (18, 32, 332)</c:v>
                </c:pt>
                <c:pt idx="9">
                  <c:v>Elektronický průmysl (26)</c:v>
                </c:pt>
                <c:pt idx="10">
                  <c:v>Výroba kovových konstrukcí a výrobků (25)</c:v>
                </c:pt>
                <c:pt idx="11">
                  <c:v>Výroba ostatních doprav. prostředků a zařízení (30)</c:v>
                </c:pt>
                <c:pt idx="12">
                  <c:v>Elektrotechnický průmysl (27)</c:v>
                </c:pt>
                <c:pt idx="13">
                  <c:v>Strojírenský průmysl (28, 331)</c:v>
                </c:pt>
                <c:pt idx="14">
                  <c:v>Automobilový průmysl (29)</c:v>
                </c:pt>
              </c:strCache>
            </c:strRef>
          </c:cat>
          <c:val>
            <c:numRef>
              <c:f>GRAF9b!$D$23:$D$37</c:f>
              <c:numCache>
                <c:formatCode>#,##0</c:formatCode>
                <c:ptCount val="15"/>
                <c:pt idx="0">
                  <c:v>2.7383848799999999</c:v>
                </c:pt>
                <c:pt idx="1">
                  <c:v>7.43984691</c:v>
                </c:pt>
                <c:pt idx="2">
                  <c:v>10.57186353</c:v>
                </c:pt>
                <c:pt idx="3">
                  <c:v>4.8915070600000004</c:v>
                </c:pt>
                <c:pt idx="4">
                  <c:v>10.147405239999999</c:v>
                </c:pt>
                <c:pt idx="5">
                  <c:v>31.144785369999997</c:v>
                </c:pt>
                <c:pt idx="6">
                  <c:v>46.364864950000005</c:v>
                </c:pt>
                <c:pt idx="7">
                  <c:v>59.30051563</c:v>
                </c:pt>
                <c:pt idx="8">
                  <c:v>28.642321589999995</c:v>
                </c:pt>
                <c:pt idx="9">
                  <c:v>47.552545260000002</c:v>
                </c:pt>
                <c:pt idx="10">
                  <c:v>27.744645689999995</c:v>
                </c:pt>
                <c:pt idx="11">
                  <c:v>2.6026422299999998</c:v>
                </c:pt>
                <c:pt idx="12">
                  <c:v>139.98897596</c:v>
                </c:pt>
                <c:pt idx="13">
                  <c:v>116.14399039999998</c:v>
                </c:pt>
                <c:pt idx="14">
                  <c:v>499.24853112000005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F7-43E1-888E-4116781DE6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278400"/>
        <c:axId val="140276864"/>
      </c:barChart>
      <c:valAx>
        <c:axId val="140273536"/>
        <c:scaling>
          <c:orientation val="minMax"/>
          <c:max val="60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140275072"/>
        <c:crosses val="autoZero"/>
        <c:crossBetween val="between"/>
        <c:majorUnit val="100"/>
      </c:valAx>
      <c:catAx>
        <c:axId val="140275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0273536"/>
        <c:crosses val="autoZero"/>
        <c:auto val="1"/>
        <c:lblAlgn val="ctr"/>
        <c:lblOffset val="100"/>
        <c:noMultiLvlLbl val="0"/>
      </c:catAx>
      <c:valAx>
        <c:axId val="140276864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one"/>
        <c:crossAx val="140278400"/>
        <c:crosses val="max"/>
        <c:crossBetween val="between"/>
      </c:valAx>
      <c:catAx>
        <c:axId val="1402784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0276864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177173202614477"/>
          <c:y val="0.30934955560461513"/>
          <c:w val="0.12577728758169951"/>
          <c:h val="0.3771468753321728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a) počet podniků</a:t>
            </a:r>
          </a:p>
        </c:rich>
      </c:tx>
      <c:layout>
        <c:manualLayout>
          <c:xMode val="edge"/>
          <c:yMode val="edge"/>
          <c:x val="4.843398692810464E-2"/>
          <c:y val="2.758620689655174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0649918300653641"/>
          <c:y val="0.13640727667662242"/>
          <c:w val="0.49270777894530937"/>
          <c:h val="0.78127613358674997"/>
        </c:manualLayout>
      </c:layout>
      <c:barChart>
        <c:barDir val="bar"/>
        <c:grouping val="clustered"/>
        <c:varyColors val="0"/>
        <c:ser>
          <c:idx val="0"/>
          <c:order val="1"/>
          <c:tx>
            <c:strRef>
              <c:f>GRAF10a!$B$1</c:f>
              <c:strCache>
                <c:ptCount val="1"/>
                <c:pt idx="0">
                  <c:v>kraje -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GRAF10a!$A$2:$A$15</c:f>
              <c:strCache>
                <c:ptCount val="14"/>
                <c:pt idx="0">
                  <c:v>Karlovarský</c:v>
                </c:pt>
                <c:pt idx="1">
                  <c:v>Ústecký</c:v>
                </c:pt>
                <c:pt idx="2">
                  <c:v>Liberecký</c:v>
                </c:pt>
                <c:pt idx="3">
                  <c:v>Vysočina</c:v>
                </c:pt>
                <c:pt idx="4">
                  <c:v>Jihočeský</c:v>
                </c:pt>
                <c:pt idx="5">
                  <c:v>Plzeňský</c:v>
                </c:pt>
                <c:pt idx="6">
                  <c:v>Olomoucký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Středočeský</c:v>
                </c:pt>
                <c:pt idx="10">
                  <c:v>Moravskoslezský</c:v>
                </c:pt>
                <c:pt idx="11">
                  <c:v>Zlínský</c:v>
                </c:pt>
                <c:pt idx="12">
                  <c:v>Jihomoravský</c:v>
                </c:pt>
                <c:pt idx="13">
                  <c:v>Praha</c:v>
                </c:pt>
              </c:strCache>
            </c:strRef>
          </c:cat>
          <c:val>
            <c:numRef>
              <c:f>GRAF10a!$B$2:$B$15</c:f>
              <c:numCache>
                <c:formatCode>General</c:formatCode>
                <c:ptCount val="14"/>
                <c:pt idx="0">
                  <c:v>14</c:v>
                </c:pt>
                <c:pt idx="1">
                  <c:v>37</c:v>
                </c:pt>
                <c:pt idx="2">
                  <c:v>43</c:v>
                </c:pt>
                <c:pt idx="3">
                  <c:v>49</c:v>
                </c:pt>
                <c:pt idx="4">
                  <c:v>51</c:v>
                </c:pt>
                <c:pt idx="5">
                  <c:v>51</c:v>
                </c:pt>
                <c:pt idx="6">
                  <c:v>56</c:v>
                </c:pt>
                <c:pt idx="7">
                  <c:v>62</c:v>
                </c:pt>
                <c:pt idx="8">
                  <c:v>74</c:v>
                </c:pt>
                <c:pt idx="9">
                  <c:v>113</c:v>
                </c:pt>
                <c:pt idx="10">
                  <c:v>114</c:v>
                </c:pt>
                <c:pt idx="11">
                  <c:v>122</c:v>
                </c:pt>
                <c:pt idx="12">
                  <c:v>187</c:v>
                </c:pt>
                <c:pt idx="13">
                  <c:v>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F3-427F-964D-A532E1DC8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30"/>
        <c:axId val="140479488"/>
        <c:axId val="140477952"/>
      </c:barChart>
      <c:barChart>
        <c:barDir val="bar"/>
        <c:grouping val="clustered"/>
        <c:varyColors val="0"/>
        <c:ser>
          <c:idx val="1"/>
          <c:order val="0"/>
          <c:tx>
            <c:strRef>
              <c:f>GRAF10a!$C$1</c:f>
              <c:strCache>
                <c:ptCount val="1"/>
                <c:pt idx="0">
                  <c:v>zpracovatelský průmysl - NACE C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GRAF10a!$A$2:$A$15</c:f>
              <c:strCache>
                <c:ptCount val="14"/>
                <c:pt idx="0">
                  <c:v>Karlovarský</c:v>
                </c:pt>
                <c:pt idx="1">
                  <c:v>Ústecký</c:v>
                </c:pt>
                <c:pt idx="2">
                  <c:v>Liberecký</c:v>
                </c:pt>
                <c:pt idx="3">
                  <c:v>Vysočina</c:v>
                </c:pt>
                <c:pt idx="4">
                  <c:v>Jihočeský</c:v>
                </c:pt>
                <c:pt idx="5">
                  <c:v>Plzeňský</c:v>
                </c:pt>
                <c:pt idx="6">
                  <c:v>Olomoucký</c:v>
                </c:pt>
                <c:pt idx="7">
                  <c:v>Královéhradecký</c:v>
                </c:pt>
                <c:pt idx="8">
                  <c:v>Pardubický</c:v>
                </c:pt>
                <c:pt idx="9">
                  <c:v>Středočeský</c:v>
                </c:pt>
                <c:pt idx="10">
                  <c:v>Moravskoslezský</c:v>
                </c:pt>
                <c:pt idx="11">
                  <c:v>Zlínský</c:v>
                </c:pt>
                <c:pt idx="12">
                  <c:v>Jihomoravský</c:v>
                </c:pt>
                <c:pt idx="13">
                  <c:v>Praha</c:v>
                </c:pt>
              </c:strCache>
            </c:strRef>
          </c:cat>
          <c:val>
            <c:numRef>
              <c:f>GRAF10a!$C$2:$C$15</c:f>
              <c:numCache>
                <c:formatCode>General</c:formatCode>
                <c:ptCount val="14"/>
                <c:pt idx="0">
                  <c:v>11</c:v>
                </c:pt>
                <c:pt idx="1">
                  <c:v>28</c:v>
                </c:pt>
                <c:pt idx="2">
                  <c:v>33</c:v>
                </c:pt>
                <c:pt idx="3">
                  <c:v>39</c:v>
                </c:pt>
                <c:pt idx="4">
                  <c:v>37</c:v>
                </c:pt>
                <c:pt idx="5">
                  <c:v>30</c:v>
                </c:pt>
                <c:pt idx="6">
                  <c:v>42</c:v>
                </c:pt>
                <c:pt idx="7">
                  <c:v>44</c:v>
                </c:pt>
                <c:pt idx="8">
                  <c:v>58</c:v>
                </c:pt>
                <c:pt idx="9">
                  <c:v>79</c:v>
                </c:pt>
                <c:pt idx="10">
                  <c:v>75</c:v>
                </c:pt>
                <c:pt idx="11">
                  <c:v>89</c:v>
                </c:pt>
                <c:pt idx="12">
                  <c:v>115</c:v>
                </c:pt>
                <c:pt idx="13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F3-427F-964D-A532E1DC8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0495104"/>
        <c:axId val="140493568"/>
      </c:barChart>
      <c:valAx>
        <c:axId val="140477952"/>
        <c:scaling>
          <c:orientation val="minMax"/>
          <c:max val="35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40479488"/>
        <c:crosses val="autoZero"/>
        <c:crossBetween val="between"/>
        <c:majorUnit val="50"/>
      </c:valAx>
      <c:catAx>
        <c:axId val="140479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0477952"/>
        <c:crosses val="autoZero"/>
        <c:auto val="1"/>
        <c:lblAlgn val="ctr"/>
        <c:lblOffset val="100"/>
        <c:noMultiLvlLbl val="0"/>
      </c:catAx>
      <c:valAx>
        <c:axId val="140493568"/>
        <c:scaling>
          <c:orientation val="minMax"/>
          <c:max val="350"/>
          <c:min val="0"/>
        </c:scaling>
        <c:delete val="1"/>
        <c:axPos val="t"/>
        <c:numFmt formatCode="General" sourceLinked="1"/>
        <c:majorTickMark val="out"/>
        <c:minorTickMark val="none"/>
        <c:tickLblPos val="none"/>
        <c:crossAx val="140495104"/>
        <c:crosses val="max"/>
        <c:crossBetween val="between"/>
      </c:valAx>
      <c:catAx>
        <c:axId val="140495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0493568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7262320261438211"/>
          <c:y val="0.42666883880894257"/>
          <c:w val="0.2149258169934643"/>
          <c:h val="0.224823241922345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900"/>
              <a:t>b) výše podpory v mil. Kč</a:t>
            </a:r>
          </a:p>
        </c:rich>
      </c:tx>
      <c:layout>
        <c:manualLayout>
          <c:xMode val="edge"/>
          <c:yMode val="edge"/>
          <c:x val="4.4283660130719001E-2"/>
          <c:y val="1.327306456248530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027816973415133"/>
          <c:y val="0.10793196248007741"/>
          <c:w val="0.49270777894530937"/>
          <c:h val="0.8107689493899092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GRAF10b!$B$2</c:f>
              <c:strCache>
                <c:ptCount val="1"/>
                <c:pt idx="0">
                  <c:v>kraje -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GRAF10b!$A$3:$A$16</c:f>
              <c:strCache>
                <c:ptCount val="14"/>
                <c:pt idx="0">
                  <c:v>Karlovarský</c:v>
                </c:pt>
                <c:pt idx="1">
                  <c:v>Ústecký</c:v>
                </c:pt>
                <c:pt idx="2">
                  <c:v>Jihočeský</c:v>
                </c:pt>
                <c:pt idx="3">
                  <c:v>Olomoucký</c:v>
                </c:pt>
                <c:pt idx="4">
                  <c:v>Královéhradecký</c:v>
                </c:pt>
                <c:pt idx="5">
                  <c:v>Kraj Vysočina</c:v>
                </c:pt>
                <c:pt idx="6">
                  <c:v>Pardubický</c:v>
                </c:pt>
                <c:pt idx="7">
                  <c:v>Zlínský</c:v>
                </c:pt>
                <c:pt idx="8">
                  <c:v>Moravskoslezský</c:v>
                </c:pt>
                <c:pt idx="9">
                  <c:v>Liberecký</c:v>
                </c:pt>
                <c:pt idx="10">
                  <c:v>Plzeňský</c:v>
                </c:pt>
                <c:pt idx="11">
                  <c:v>Jihomoravský</c:v>
                </c:pt>
                <c:pt idx="12">
                  <c:v>Středočeský</c:v>
                </c:pt>
                <c:pt idx="13">
                  <c:v>Praha</c:v>
                </c:pt>
              </c:strCache>
            </c:strRef>
          </c:cat>
          <c:val>
            <c:numRef>
              <c:f>GRAF10b!$B$3:$B$16</c:f>
              <c:numCache>
                <c:formatCode>#,##0</c:formatCode>
                <c:ptCount val="14"/>
                <c:pt idx="0">
                  <c:v>13.744555729999998</c:v>
                </c:pt>
                <c:pt idx="1">
                  <c:v>25.819644540000009</c:v>
                </c:pt>
                <c:pt idx="2">
                  <c:v>33.093781810000003</c:v>
                </c:pt>
                <c:pt idx="3">
                  <c:v>44.501580359999998</c:v>
                </c:pt>
                <c:pt idx="4">
                  <c:v>51.429715660000028</c:v>
                </c:pt>
                <c:pt idx="5">
                  <c:v>85.635381269999925</c:v>
                </c:pt>
                <c:pt idx="6">
                  <c:v>95.854292250000029</c:v>
                </c:pt>
                <c:pt idx="7">
                  <c:v>130.21044736000007</c:v>
                </c:pt>
                <c:pt idx="8">
                  <c:v>134.74321370999979</c:v>
                </c:pt>
                <c:pt idx="9">
                  <c:v>141.25089307000002</c:v>
                </c:pt>
                <c:pt idx="10">
                  <c:v>182.33911278999997</c:v>
                </c:pt>
                <c:pt idx="11">
                  <c:v>209.40562966999997</c:v>
                </c:pt>
                <c:pt idx="12">
                  <c:v>526.81762326999967</c:v>
                </c:pt>
                <c:pt idx="13">
                  <c:v>849.74071925000055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1C-4AD4-A7FB-740B2E9BE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40528256"/>
        <c:axId val="140526720"/>
      </c:barChart>
      <c:barChart>
        <c:barDir val="bar"/>
        <c:grouping val="clustered"/>
        <c:varyColors val="0"/>
        <c:ser>
          <c:idx val="0"/>
          <c:order val="1"/>
          <c:tx>
            <c:strRef>
              <c:f>GRAF10b!$C$2</c:f>
              <c:strCache>
                <c:ptCount val="1"/>
                <c:pt idx="0">
                  <c:v>zahraniční podniky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GRAF10b!$A$3:$A$16</c:f>
              <c:strCache>
                <c:ptCount val="14"/>
                <c:pt idx="0">
                  <c:v>Karlovarský</c:v>
                </c:pt>
                <c:pt idx="1">
                  <c:v>Ústecký</c:v>
                </c:pt>
                <c:pt idx="2">
                  <c:v>Jihočeský</c:v>
                </c:pt>
                <c:pt idx="3">
                  <c:v>Olomoucký</c:v>
                </c:pt>
                <c:pt idx="4">
                  <c:v>Královéhradecký</c:v>
                </c:pt>
                <c:pt idx="5">
                  <c:v>Kraj Vysočina</c:v>
                </c:pt>
                <c:pt idx="6">
                  <c:v>Pardubický</c:v>
                </c:pt>
                <c:pt idx="7">
                  <c:v>Zlínský</c:v>
                </c:pt>
                <c:pt idx="8">
                  <c:v>Moravskoslezský</c:v>
                </c:pt>
                <c:pt idx="9">
                  <c:v>Liberecký</c:v>
                </c:pt>
                <c:pt idx="10">
                  <c:v>Plzeňský</c:v>
                </c:pt>
                <c:pt idx="11">
                  <c:v>Jihomoravský</c:v>
                </c:pt>
                <c:pt idx="12">
                  <c:v>Středočeský</c:v>
                </c:pt>
                <c:pt idx="13">
                  <c:v>Praha</c:v>
                </c:pt>
              </c:strCache>
            </c:strRef>
          </c:cat>
          <c:val>
            <c:numRef>
              <c:f>GRAF10b!$C$3:$C$16</c:f>
              <c:numCache>
                <c:formatCode>#,##0</c:formatCode>
                <c:ptCount val="14"/>
                <c:pt idx="0">
                  <c:v>11.879066570000012</c:v>
                </c:pt>
                <c:pt idx="1">
                  <c:v>8.2336154199999996</c:v>
                </c:pt>
                <c:pt idx="2">
                  <c:v>17.931516569999989</c:v>
                </c:pt>
                <c:pt idx="3">
                  <c:v>16.571446600000002</c:v>
                </c:pt>
                <c:pt idx="4">
                  <c:v>24.602900120000019</c:v>
                </c:pt>
                <c:pt idx="5">
                  <c:v>50.617645779999975</c:v>
                </c:pt>
                <c:pt idx="6">
                  <c:v>45.89058885</c:v>
                </c:pt>
                <c:pt idx="7">
                  <c:v>39.015154610000003</c:v>
                </c:pt>
                <c:pt idx="8">
                  <c:v>51.448733900000036</c:v>
                </c:pt>
                <c:pt idx="9">
                  <c:v>113.50247758999994</c:v>
                </c:pt>
                <c:pt idx="10">
                  <c:v>67.776431399999908</c:v>
                </c:pt>
                <c:pt idx="11">
                  <c:v>86.529908869999986</c:v>
                </c:pt>
                <c:pt idx="12">
                  <c:v>450.84144053000023</c:v>
                </c:pt>
                <c:pt idx="13">
                  <c:v>490.9904797999996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1C-4AD4-A7FB-740B2E9BE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140576640"/>
        <c:axId val="140575104"/>
      </c:barChart>
      <c:valAx>
        <c:axId val="140526720"/>
        <c:scaling>
          <c:orientation val="minMax"/>
          <c:max val="90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140528256"/>
        <c:crosses val="autoZero"/>
        <c:crossBetween val="between"/>
        <c:majorUnit val="100"/>
      </c:valAx>
      <c:catAx>
        <c:axId val="140528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0526720"/>
        <c:crosses val="autoZero"/>
        <c:auto val="1"/>
        <c:lblAlgn val="ctr"/>
        <c:lblOffset val="100"/>
        <c:noMultiLvlLbl val="0"/>
      </c:catAx>
      <c:valAx>
        <c:axId val="140575104"/>
        <c:scaling>
          <c:orientation val="minMax"/>
          <c:max val="800"/>
        </c:scaling>
        <c:delete val="1"/>
        <c:axPos val="t"/>
        <c:numFmt formatCode="#,##0" sourceLinked="1"/>
        <c:majorTickMark val="out"/>
        <c:minorTickMark val="none"/>
        <c:tickLblPos val="none"/>
        <c:crossAx val="140576640"/>
        <c:crosses val="max"/>
        <c:crossBetween val="between"/>
      </c:valAx>
      <c:catAx>
        <c:axId val="140576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0575104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6397409679618467"/>
          <c:y val="0.43826614114114132"/>
          <c:w val="0.20785212418300653"/>
          <c:h val="0.25349479166666711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G.D1!$B$26</c:f>
              <c:strCache>
                <c:ptCount val="1"/>
                <c:pt idx="0">
                  <c:v>Nepřímá veřejná podpora VaV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chemeClr val="accent5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66C-4B08-986C-A72AB5F91D7B}"/>
              </c:ext>
            </c:extLst>
          </c:dPt>
          <c:dLbls>
            <c:dLbl>
              <c:idx val="0"/>
              <c:layout>
                <c:manualLayout>
                  <c:x val="0"/>
                  <c:y val="1.2403709051939441E-2"/>
                </c:manualLayout>
              </c:layout>
              <c:spPr/>
              <c:txPr>
                <a:bodyPr rot="-5400000" vert="horz"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6C-4B08-986C-A72AB5F91D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G.D1!$A$27:$A$56</c:f>
              <c:strCache>
                <c:ptCount val="30"/>
                <c:pt idx="0">
                  <c:v>Irsko</c:v>
                </c:pt>
                <c:pt idx="1">
                  <c:v>Francie (2013)</c:v>
                </c:pt>
                <c:pt idx="2">
                  <c:v>Belgie (2012)</c:v>
                </c:pt>
                <c:pt idx="3">
                  <c:v>Maďarsko</c:v>
                </c:pt>
                <c:pt idx="4">
                  <c:v>Nizozemsko</c:v>
                </c:pt>
                <c:pt idx="5">
                  <c:v>Rakousko</c:v>
                </c:pt>
                <c:pt idx="6">
                  <c:v>Spojené království</c:v>
                </c:pt>
                <c:pt idx="7">
                  <c:v>Slovinsko</c:v>
                </c:pt>
                <c:pt idx="8">
                  <c:v>Portugalsko</c:v>
                </c:pt>
                <c:pt idx="9">
                  <c:v>Dánsko</c:v>
                </c:pt>
                <c:pt idx="10">
                  <c:v>Česká republika</c:v>
                </c:pt>
                <c:pt idx="11">
                  <c:v>Řecko</c:v>
                </c:pt>
                <c:pt idx="12">
                  <c:v>Španělsko</c:v>
                </c:pt>
                <c:pt idx="13">
                  <c:v>Finsko</c:v>
                </c:pt>
                <c:pt idx="14">
                  <c:v>Rumunsko</c:v>
                </c:pt>
                <c:pt idx="15">
                  <c:v>Litva</c:v>
                </c:pt>
                <c:pt idx="17">
                  <c:v>Jižní Korea</c:v>
                </c:pt>
                <c:pt idx="18">
                  <c:v>Austrálie (2013)</c:v>
                </c:pt>
                <c:pt idx="19">
                  <c:v>Kanada</c:v>
                </c:pt>
                <c:pt idx="20">
                  <c:v>Japonsko</c:v>
                </c:pt>
                <c:pt idx="21">
                  <c:v>USA (2013)</c:v>
                </c:pt>
                <c:pt idx="22">
                  <c:v>Norsko</c:v>
                </c:pt>
                <c:pt idx="23">
                  <c:v>Island</c:v>
                </c:pt>
                <c:pt idx="24">
                  <c:v>Čína (2013)</c:v>
                </c:pt>
                <c:pt idx="25">
                  <c:v>Turecko</c:v>
                </c:pt>
                <c:pt idx="26">
                  <c:v>Brazílie (2013)</c:v>
                </c:pt>
                <c:pt idx="27">
                  <c:v>Jihoafrická republika (2012)</c:v>
                </c:pt>
                <c:pt idx="28">
                  <c:v>Ruská federace (2011)</c:v>
                </c:pt>
                <c:pt idx="29">
                  <c:v>Chile</c:v>
                </c:pt>
              </c:strCache>
            </c:strRef>
          </c:cat>
          <c:val>
            <c:numRef>
              <c:f>G.D1!$B$27:$B$56</c:f>
              <c:numCache>
                <c:formatCode>0.00%</c:formatCode>
                <c:ptCount val="30"/>
                <c:pt idx="0">
                  <c:v>2.8999999999999998E-3</c:v>
                </c:pt>
                <c:pt idx="1">
                  <c:v>2.7000000000000019E-3</c:v>
                </c:pt>
                <c:pt idx="2">
                  <c:v>2.0000000000000018E-3</c:v>
                </c:pt>
                <c:pt idx="3">
                  <c:v>1.5000000000000009E-3</c:v>
                </c:pt>
                <c:pt idx="4">
                  <c:v>1.5000000000000009E-3</c:v>
                </c:pt>
                <c:pt idx="5">
                  <c:v>1.2999999999999991E-3</c:v>
                </c:pt>
                <c:pt idx="6">
                  <c:v>1.2999999999999991E-3</c:v>
                </c:pt>
                <c:pt idx="7">
                  <c:v>1.0000000000000009E-3</c:v>
                </c:pt>
                <c:pt idx="8">
                  <c:v>1.0000000000000009E-3</c:v>
                </c:pt>
                <c:pt idx="9">
                  <c:v>6.0000000000000049E-4</c:v>
                </c:pt>
                <c:pt idx="10">
                  <c:v>5.0000000000000034E-4</c:v>
                </c:pt>
                <c:pt idx="11">
                  <c:v>5.0000000000000034E-4</c:v>
                </c:pt>
                <c:pt idx="12">
                  <c:v>3.0000000000000024E-4</c:v>
                </c:pt>
                <c:pt idx="13">
                  <c:v>1.0000000000000009E-4</c:v>
                </c:pt>
                <c:pt idx="14">
                  <c:v>1.0000000000000009E-4</c:v>
                </c:pt>
                <c:pt idx="15">
                  <c:v>1.0000000000000009E-4</c:v>
                </c:pt>
                <c:pt idx="17">
                  <c:v>1.9000000000000017E-3</c:v>
                </c:pt>
                <c:pt idx="18">
                  <c:v>1.7000000000000014E-3</c:v>
                </c:pt>
                <c:pt idx="19">
                  <c:v>1.5000000000000009E-3</c:v>
                </c:pt>
                <c:pt idx="20">
                  <c:v>1.4000000000000011E-3</c:v>
                </c:pt>
                <c:pt idx="21">
                  <c:v>7.0000000000000064E-4</c:v>
                </c:pt>
                <c:pt idx="22">
                  <c:v>7.0000000000000064E-4</c:v>
                </c:pt>
                <c:pt idx="23">
                  <c:v>6.0000000000000049E-4</c:v>
                </c:pt>
                <c:pt idx="24">
                  <c:v>6.0000000000000049E-4</c:v>
                </c:pt>
                <c:pt idx="25">
                  <c:v>4.0000000000000034E-4</c:v>
                </c:pt>
                <c:pt idx="26">
                  <c:v>3.0000000000000024E-4</c:v>
                </c:pt>
                <c:pt idx="27">
                  <c:v>3.0000000000000024E-4</c:v>
                </c:pt>
                <c:pt idx="28">
                  <c:v>2.0000000000000017E-4</c:v>
                </c:pt>
                <c:pt idx="29">
                  <c:v>1.0000000000000009E-4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66C-4B08-986C-A72AB5F91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40645120"/>
        <c:axId val="140646656"/>
      </c:barChart>
      <c:catAx>
        <c:axId val="14064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40646656"/>
        <c:crosses val="autoZero"/>
        <c:auto val="1"/>
        <c:lblAlgn val="ctr"/>
        <c:lblOffset val="100"/>
        <c:noMultiLvlLbl val="0"/>
      </c:catAx>
      <c:valAx>
        <c:axId val="140646656"/>
        <c:scaling>
          <c:orientation val="minMax"/>
          <c:max val="4.0000000000000044E-3"/>
          <c:min val="0"/>
        </c:scaling>
        <c:delete val="1"/>
        <c:axPos val="l"/>
        <c:numFmt formatCode="0.0%" sourceLinked="0"/>
        <c:majorTickMark val="out"/>
        <c:minorTickMark val="none"/>
        <c:tickLblPos val="none"/>
        <c:crossAx val="140645120"/>
        <c:crosses val="autoZero"/>
        <c:crossBetween val="between"/>
        <c:majorUnit val="1.0000000000000024E-3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G.D2!$Q$35</c:f>
              <c:strCache>
                <c:ptCount val="1"/>
                <c:pt idx="0">
                  <c:v>Volume of R&amp;D tax incentives, million current USD PPPs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6E-4A8A-A596-894DF9A6F099}"/>
              </c:ext>
            </c:extLst>
          </c:dPt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6E-4A8A-A596-894DF9A6F099}"/>
                </c:ext>
              </c:extLst>
            </c:dLbl>
            <c:dLbl>
              <c:idx val="16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6E-4A8A-A596-894DF9A6F099}"/>
                </c:ext>
              </c:extLst>
            </c:dLbl>
            <c:dLbl>
              <c:idx val="1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6E-4A8A-A596-894DF9A6F099}"/>
                </c:ext>
              </c:extLst>
            </c:dLbl>
            <c:dLbl>
              <c:idx val="1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6E-4A8A-A596-894DF9A6F099}"/>
                </c:ext>
              </c:extLst>
            </c:dLbl>
            <c:dLbl>
              <c:idx val="2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6E-4A8A-A596-894DF9A6F0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G.D2!$P$36:$P$67</c:f>
              <c:strCache>
                <c:ptCount val="32"/>
                <c:pt idx="0">
                  <c:v>Francie (2013)</c:v>
                </c:pt>
                <c:pt idx="1">
                  <c:v>Spojené království</c:v>
                </c:pt>
                <c:pt idx="2">
                  <c:v>Nizozemsko</c:v>
                </c:pt>
                <c:pt idx="3">
                  <c:v>Belgie (2012)</c:v>
                </c:pt>
                <c:pt idx="4">
                  <c:v>Irsko</c:v>
                </c:pt>
                <c:pt idx="5">
                  <c:v>Rakousko</c:v>
                </c:pt>
                <c:pt idx="6">
                  <c:v>Španělsko</c:v>
                </c:pt>
                <c:pt idx="7">
                  <c:v>Maďarsko</c:v>
                </c:pt>
                <c:pt idx="8">
                  <c:v>Portugalsko</c:v>
                </c:pt>
                <c:pt idx="9">
                  <c:v>ČR</c:v>
                </c:pt>
                <c:pt idx="10">
                  <c:v>Dánsko</c:v>
                </c:pt>
                <c:pt idx="11">
                  <c:v>Řecko</c:v>
                </c:pt>
                <c:pt idx="12">
                  <c:v>Slovinsko</c:v>
                </c:pt>
                <c:pt idx="13">
                  <c:v>Rumunsko</c:v>
                </c:pt>
                <c:pt idx="14">
                  <c:v>Finsko</c:v>
                </c:pt>
                <c:pt idx="15">
                  <c:v>Litva</c:v>
                </c:pt>
                <c:pt idx="16">
                  <c:v>Itálie (2013)</c:v>
                </c:pt>
                <c:pt idx="17">
                  <c:v>Lotyšsko</c:v>
                </c:pt>
                <c:pt idx="19">
                  <c:v>USA (2013)</c:v>
                </c:pt>
                <c:pt idx="20">
                  <c:v>Čína (2013)</c:v>
                </c:pt>
                <c:pt idx="21">
                  <c:v>Japonsko</c:v>
                </c:pt>
                <c:pt idx="22">
                  <c:v>Jižní Korea</c:v>
                </c:pt>
                <c:pt idx="23">
                  <c:v>Kanada</c:v>
                </c:pt>
                <c:pt idx="24">
                  <c:v>Austrálie (2013)</c:v>
                </c:pt>
                <c:pt idx="25">
                  <c:v>Brazílie (2013)</c:v>
                </c:pt>
                <c:pt idx="26">
                  <c:v>Rusko (2011)</c:v>
                </c:pt>
                <c:pt idx="27">
                  <c:v>Turecko</c:v>
                </c:pt>
                <c:pt idx="28">
                  <c:v>JAR (2012)</c:v>
                </c:pt>
                <c:pt idx="29">
                  <c:v>Norsko</c:v>
                </c:pt>
                <c:pt idx="30">
                  <c:v>Chile</c:v>
                </c:pt>
                <c:pt idx="31">
                  <c:v>Island</c:v>
                </c:pt>
              </c:strCache>
            </c:strRef>
          </c:cat>
          <c:val>
            <c:numRef>
              <c:f>G.D2!$Q$36:$Q$67</c:f>
              <c:numCache>
                <c:formatCode>#,##0</c:formatCode>
                <c:ptCount val="32"/>
                <c:pt idx="0">
                  <c:v>7142.5</c:v>
                </c:pt>
                <c:pt idx="1">
                  <c:v>3539.2</c:v>
                </c:pt>
                <c:pt idx="2">
                  <c:v>1271.5</c:v>
                </c:pt>
                <c:pt idx="3">
                  <c:v>942.1</c:v>
                </c:pt>
                <c:pt idx="4">
                  <c:v>678.3</c:v>
                </c:pt>
                <c:pt idx="5">
                  <c:v>552.5</c:v>
                </c:pt>
                <c:pt idx="6">
                  <c:v>488.6</c:v>
                </c:pt>
                <c:pt idx="7">
                  <c:v>384.1</c:v>
                </c:pt>
                <c:pt idx="8">
                  <c:v>291.89999999999975</c:v>
                </c:pt>
                <c:pt idx="9">
                  <c:v>179.5</c:v>
                </c:pt>
                <c:pt idx="10">
                  <c:v>167.4</c:v>
                </c:pt>
                <c:pt idx="11">
                  <c:v>145.9</c:v>
                </c:pt>
                <c:pt idx="12">
                  <c:v>66.7</c:v>
                </c:pt>
                <c:pt idx="13">
                  <c:v>23.6</c:v>
                </c:pt>
                <c:pt idx="14">
                  <c:v>17.7</c:v>
                </c:pt>
                <c:pt idx="15">
                  <c:v>11.5</c:v>
                </c:pt>
                <c:pt idx="16">
                  <c:v>8.1</c:v>
                </c:pt>
                <c:pt idx="17">
                  <c:v>1.8</c:v>
                </c:pt>
                <c:pt idx="19">
                  <c:v>11294.4</c:v>
                </c:pt>
                <c:pt idx="20">
                  <c:v>9411.9</c:v>
                </c:pt>
                <c:pt idx="21">
                  <c:v>6586.3</c:v>
                </c:pt>
                <c:pt idx="22">
                  <c:v>3200.5</c:v>
                </c:pt>
                <c:pt idx="23">
                  <c:v>2434.6</c:v>
                </c:pt>
                <c:pt idx="24">
                  <c:v>1837.1</c:v>
                </c:pt>
                <c:pt idx="25">
                  <c:v>999.2</c:v>
                </c:pt>
                <c:pt idx="26">
                  <c:v>634.20000000000005</c:v>
                </c:pt>
                <c:pt idx="27">
                  <c:v>550.79999999999995</c:v>
                </c:pt>
                <c:pt idx="28">
                  <c:v>228.7</c:v>
                </c:pt>
                <c:pt idx="29">
                  <c:v>227</c:v>
                </c:pt>
                <c:pt idx="30">
                  <c:v>28.1</c:v>
                </c:pt>
                <c:pt idx="31">
                  <c:v>8.7000000000000011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C6E-4A8A-A596-894DF9A6F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40670464"/>
        <c:axId val="140672000"/>
      </c:barChart>
      <c:catAx>
        <c:axId val="14067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40672000"/>
        <c:crosses val="autoZero"/>
        <c:auto val="1"/>
        <c:lblAlgn val="ctr"/>
        <c:lblOffset val="100"/>
        <c:noMultiLvlLbl val="0"/>
      </c:catAx>
      <c:valAx>
        <c:axId val="140672000"/>
        <c:scaling>
          <c:orientation val="minMax"/>
          <c:max val="12000"/>
          <c:min val="0"/>
        </c:scaling>
        <c:delete val="1"/>
        <c:axPos val="l"/>
        <c:numFmt formatCode="#,##0" sourceLinked="1"/>
        <c:majorTickMark val="out"/>
        <c:minorTickMark val="none"/>
        <c:tickLblPos val="none"/>
        <c:crossAx val="140670464"/>
        <c:crosses val="autoZero"/>
        <c:crossBetween val="between"/>
        <c:majorUnit val="1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gtard_2.2!$N$84</c:f>
              <c:strCache>
                <c:ptCount val="1"/>
                <c:pt idx="0">
                  <c:v>celková veřejná podpora</c:v>
                </c:pt>
              </c:strCache>
            </c:strRef>
          </c:tx>
          <c:spPr>
            <a:ln w="31750"/>
          </c:spPr>
          <c:cat>
            <c:numRef>
              <c:f>gtard_2.2!$O$83:$W$83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gtard_2.2!$O$84:$W$84</c:f>
              <c:numCache>
                <c:formatCode>0.00%</c:formatCode>
                <c:ptCount val="9"/>
                <c:pt idx="0">
                  <c:v>1.1986796829182187E-3</c:v>
                </c:pt>
                <c:pt idx="1">
                  <c:v>1.1075617087593457E-3</c:v>
                </c:pt>
                <c:pt idx="2">
                  <c:v>1.2836974186775699E-3</c:v>
                </c:pt>
                <c:pt idx="3">
                  <c:v>1.410660547582475E-3</c:v>
                </c:pt>
                <c:pt idx="4">
                  <c:v>1.7951136016490839E-3</c:v>
                </c:pt>
                <c:pt idx="5">
                  <c:v>1.9575652484117895E-3</c:v>
                </c:pt>
                <c:pt idx="6">
                  <c:v>1.8411876551391278E-3</c:v>
                </c:pt>
                <c:pt idx="7">
                  <c:v>1.7675267120088635E-3</c:v>
                </c:pt>
                <c:pt idx="8">
                  <c:v>1.5834012294650601E-3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EC6-4161-924A-7DE3550A24D9}"/>
            </c:ext>
          </c:extLst>
        </c:ser>
        <c:ser>
          <c:idx val="1"/>
          <c:order val="1"/>
          <c:tx>
            <c:strRef>
              <c:f>gtard_2.2!$N$85</c:f>
              <c:strCache>
                <c:ptCount val="1"/>
                <c:pt idx="0">
                  <c:v>přímá veřejná podpora</c:v>
                </c:pt>
              </c:strCache>
            </c:strRef>
          </c:tx>
          <c:spPr>
            <a:ln w="25400">
              <a:solidFill>
                <a:schemeClr val="accent5">
                  <a:lumMod val="75000"/>
                </a:schemeClr>
              </a:solidFill>
            </a:ln>
          </c:spPr>
          <c:marker>
            <c:symbol val="square"/>
            <c:size val="4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accent5">
                    <a:lumMod val="75000"/>
                  </a:schemeClr>
                </a:solidFill>
              </a:ln>
            </c:spPr>
          </c:marker>
          <c:cat>
            <c:numRef>
              <c:f>gtard_2.2!$O$83:$W$83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gtard_2.2!$O$85:$W$85</c:f>
              <c:numCache>
                <c:formatCode>0.00%</c:formatCode>
                <c:ptCount val="9"/>
                <c:pt idx="0">
                  <c:v>8.5025586020634166E-4</c:v>
                </c:pt>
                <c:pt idx="1">
                  <c:v>8.1525151506246514E-4</c:v>
                </c:pt>
                <c:pt idx="2">
                  <c:v>9.2645005248829268E-4</c:v>
                </c:pt>
                <c:pt idx="3">
                  <c:v>9.045305794568117E-4</c:v>
                </c:pt>
                <c:pt idx="4">
                  <c:v>1.0390798846236326E-3</c:v>
                </c:pt>
                <c:pt idx="5">
                  <c:v>1.0430599283925369E-3</c:v>
                </c:pt>
                <c:pt idx="6">
                  <c:v>9.0973280727200338E-4</c:v>
                </c:pt>
                <c:pt idx="7">
                  <c:v>8.7581751216853695E-4</c:v>
                </c:pt>
                <c:pt idx="8">
                  <c:v>6.9281445522837901E-4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EC6-4161-924A-7DE3550A24D9}"/>
            </c:ext>
          </c:extLst>
        </c:ser>
        <c:ser>
          <c:idx val="2"/>
          <c:order val="2"/>
          <c:tx>
            <c:strRef>
              <c:f>gtard_2.2!$N$86</c:f>
              <c:strCache>
                <c:ptCount val="1"/>
                <c:pt idx="0">
                  <c:v>nepřímá veřejná podpora</c:v>
                </c:pt>
              </c:strCache>
            </c:strRef>
          </c:tx>
          <c:spPr>
            <a:ln w="25400"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triangle"/>
            <c:size val="4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>
                    <a:lumMod val="60000"/>
                    <a:lumOff val="40000"/>
                  </a:schemeClr>
                </a:solidFill>
              </a:ln>
            </c:spPr>
          </c:marker>
          <c:cat>
            <c:numRef>
              <c:f>gtard_2.2!$O$83:$W$83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gtard_2.2!$O$86:$W$86</c:f>
              <c:numCache>
                <c:formatCode>0.00%</c:formatCode>
                <c:ptCount val="9"/>
                <c:pt idx="0">
                  <c:v>3.1425989169112665E-4</c:v>
                </c:pt>
                <c:pt idx="1">
                  <c:v>2.5402358028922068E-4</c:v>
                </c:pt>
                <c:pt idx="2">
                  <c:v>2.6753299072090686E-4</c:v>
                </c:pt>
                <c:pt idx="3">
                  <c:v>3.3307330227427806E-4</c:v>
                </c:pt>
                <c:pt idx="4">
                  <c:v>4.5526483046689814E-4</c:v>
                </c:pt>
                <c:pt idx="5">
                  <c:v>4.8835362510566761E-4</c:v>
                </c:pt>
                <c:pt idx="6">
                  <c:v>5.605144355617977E-4</c:v>
                </c:pt>
                <c:pt idx="7">
                  <c:v>5.2467034142606578E-4</c:v>
                </c:pt>
                <c:pt idx="8">
                  <c:v>5.5429198532477506E-4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EC6-4161-924A-7DE3550A24D9}"/>
            </c:ext>
          </c:extLst>
        </c:ser>
        <c:ser>
          <c:idx val="3"/>
          <c:order val="3"/>
          <c:tx>
            <c:strRef>
              <c:f>gtard_2.2!$N$87</c:f>
              <c:strCache>
                <c:ptCount val="1"/>
                <c:pt idx="0">
                  <c:v>zahraniční veřejná podpora</c:v>
                </c:pt>
              </c:strCache>
            </c:strRef>
          </c:tx>
          <c:spPr>
            <a:ln w="25400">
              <a:solidFill>
                <a:schemeClr val="accent5">
                  <a:lumMod val="40000"/>
                  <a:lumOff val="60000"/>
                </a:schemeClr>
              </a:solidFill>
            </a:ln>
          </c:spPr>
          <c:marker>
            <c:symbol val="circle"/>
            <c:size val="4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5">
                    <a:lumMod val="40000"/>
                    <a:lumOff val="60000"/>
                  </a:schemeClr>
                </a:solidFill>
              </a:ln>
            </c:spPr>
          </c:marker>
          <c:cat>
            <c:numRef>
              <c:f>gtard_2.2!$O$83:$W$83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gtard_2.2!$O$87:$W$87</c:f>
              <c:numCache>
                <c:formatCode>0.00%</c:formatCode>
                <c:ptCount val="9"/>
                <c:pt idx="0">
                  <c:v>3.4163931020750218E-5</c:v>
                </c:pt>
                <c:pt idx="1">
                  <c:v>3.8286613407661564E-5</c:v>
                </c:pt>
                <c:pt idx="2">
                  <c:v>8.9714375468372446E-5</c:v>
                </c:pt>
                <c:pt idx="3">
                  <c:v>1.7305666585138655E-4</c:v>
                </c:pt>
                <c:pt idx="4">
                  <c:v>3.0076888655855436E-4</c:v>
                </c:pt>
                <c:pt idx="5">
                  <c:v>4.2615169491358403E-4</c:v>
                </c:pt>
                <c:pt idx="6">
                  <c:v>3.7094041230532594E-4</c:v>
                </c:pt>
                <c:pt idx="7">
                  <c:v>3.6703885841426218E-4</c:v>
                </c:pt>
                <c:pt idx="8">
                  <c:v>3.3629478891190602E-4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EC6-4161-924A-7DE3550A2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498752"/>
        <c:axId val="135509120"/>
      </c:lineChart>
      <c:catAx>
        <c:axId val="13549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509120"/>
        <c:crosses val="autoZero"/>
        <c:auto val="1"/>
        <c:lblAlgn val="ctr"/>
        <c:lblOffset val="100"/>
        <c:noMultiLvlLbl val="0"/>
      </c:catAx>
      <c:valAx>
        <c:axId val="135509120"/>
        <c:scaling>
          <c:orientation val="minMax"/>
          <c:max val="2.0000000000000022E-3"/>
          <c:min val="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numFmt formatCode="0.00%" sourceLinked="1"/>
        <c:majorTickMark val="out"/>
        <c:minorTickMark val="none"/>
        <c:tickLblPos val="nextTo"/>
        <c:crossAx val="135498752"/>
        <c:crosses val="autoZero"/>
        <c:crossBetween val="between"/>
        <c:majorUnit val="2.5000000000000028E-4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gtard_2.3!$A$15</c:f>
              <c:strCache>
                <c:ptCount val="1"/>
                <c:pt idx="0">
                  <c:v>výše nepřímé podpory VaV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numRef>
              <c:f>gtard_2.3!$B$13:$J$13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gtard_2.3!$B$15:$J$15</c:f>
              <c:numCache>
                <c:formatCode>#,##0</c:formatCode>
                <c:ptCount val="9"/>
                <c:pt idx="0">
                  <c:v>1204.1870239200002</c:v>
                </c:pt>
                <c:pt idx="1">
                  <c:v>1019.9925670199996</c:v>
                </c:pt>
                <c:pt idx="2">
                  <c:v>1049.2181064000001</c:v>
                </c:pt>
                <c:pt idx="3">
                  <c:v>1316.85559461</c:v>
                </c:pt>
                <c:pt idx="4">
                  <c:v>1836.4267862200011</c:v>
                </c:pt>
                <c:pt idx="5">
                  <c:v>1982.6727428099987</c:v>
                </c:pt>
                <c:pt idx="6">
                  <c:v>2297.0599027800017</c:v>
                </c:pt>
                <c:pt idx="7">
                  <c:v>2263.317147470003</c:v>
                </c:pt>
                <c:pt idx="8">
                  <c:v>2524.5865907399989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20-40BB-A8A8-79CEF639E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23712"/>
        <c:axId val="135525504"/>
      </c:barChart>
      <c:lineChart>
        <c:grouping val="standard"/>
        <c:varyColors val="0"/>
        <c:ser>
          <c:idx val="1"/>
          <c:order val="1"/>
          <c:tx>
            <c:strRef>
              <c:f>gtard_2.3!$A$16</c:f>
              <c:strCache>
                <c:ptCount val="1"/>
                <c:pt idx="0">
                  <c:v>počet podniků</c:v>
                </c:pt>
              </c:strCache>
            </c:strRef>
          </c:tx>
          <c:cat>
            <c:numRef>
              <c:f>gtard_2.3!$B$13:$J$13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gtard_2.3!$B$16:$J$16</c:f>
              <c:numCache>
                <c:formatCode>#,##0</c:formatCode>
                <c:ptCount val="9"/>
                <c:pt idx="0">
                  <c:v>570</c:v>
                </c:pt>
                <c:pt idx="1">
                  <c:v>596</c:v>
                </c:pt>
                <c:pt idx="2">
                  <c:v>632</c:v>
                </c:pt>
                <c:pt idx="3">
                  <c:v>716</c:v>
                </c:pt>
                <c:pt idx="4">
                  <c:v>859</c:v>
                </c:pt>
                <c:pt idx="5">
                  <c:v>1021</c:v>
                </c:pt>
                <c:pt idx="6">
                  <c:v>1120</c:v>
                </c:pt>
                <c:pt idx="7">
                  <c:v>1264</c:v>
                </c:pt>
                <c:pt idx="8">
                  <c:v>1306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820-40BB-A8A8-79CEF639E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533312"/>
        <c:axId val="135527424"/>
      </c:lineChart>
      <c:catAx>
        <c:axId val="13552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525504"/>
        <c:crosses val="autoZero"/>
        <c:auto val="1"/>
        <c:lblAlgn val="ctr"/>
        <c:lblOffset val="100"/>
        <c:noMultiLvlLbl val="0"/>
      </c:catAx>
      <c:valAx>
        <c:axId val="13552550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/>
                </a:pPr>
                <a:r>
                  <a:rPr lang="en-US" sz="800" b="0"/>
                  <a:t>mil. Kč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135523712"/>
        <c:crosses val="autoZero"/>
        <c:crossBetween val="between"/>
      </c:valAx>
      <c:valAx>
        <c:axId val="135527424"/>
        <c:scaling>
          <c:orientation val="minMax"/>
          <c:max val="1500"/>
        </c:scaling>
        <c:delete val="0"/>
        <c:axPos val="r"/>
        <c:numFmt formatCode="#,##0" sourceLinked="1"/>
        <c:majorTickMark val="out"/>
        <c:minorTickMark val="none"/>
        <c:tickLblPos val="nextTo"/>
        <c:crossAx val="135533312"/>
        <c:crosses val="max"/>
        <c:crossBetween val="between"/>
        <c:majorUnit val="250"/>
      </c:valAx>
      <c:catAx>
        <c:axId val="135533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527424"/>
        <c:crosses val="autoZero"/>
        <c:auto val="1"/>
        <c:lblAlgn val="ctr"/>
        <c:lblOffset val="100"/>
        <c:noMultiLvlLbl val="0"/>
      </c:cat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gtard_2.3!$A$38</c:f>
              <c:strCache>
                <c:ptCount val="1"/>
                <c:pt idx="0">
                  <c:v>výše odečtených výdajů na VaV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numRef>
              <c:f>gtard_2.3!$B$37:$J$37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gtard_2.3!$B$38:$J$38</c:f>
              <c:numCache>
                <c:formatCode>#,##0</c:formatCode>
                <c:ptCount val="9"/>
                <c:pt idx="0">
                  <c:v>5017.4459329999991</c:v>
                </c:pt>
                <c:pt idx="1">
                  <c:v>4857.1074620000009</c:v>
                </c:pt>
                <c:pt idx="2">
                  <c:v>5246.0905320000002</c:v>
                </c:pt>
                <c:pt idx="3">
                  <c:v>6930.8189189999994</c:v>
                </c:pt>
                <c:pt idx="4">
                  <c:v>9665.4041380000035</c:v>
                </c:pt>
                <c:pt idx="5">
                  <c:v>10435.119698999999</c:v>
                </c:pt>
                <c:pt idx="6">
                  <c:v>12089.788961999999</c:v>
                </c:pt>
                <c:pt idx="7">
                  <c:v>11912.195513000001</c:v>
                </c:pt>
                <c:pt idx="8">
                  <c:v>13287.297845999998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B1-4F57-982D-7CF21002C1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43808"/>
        <c:axId val="135549696"/>
      </c:barChart>
      <c:lineChart>
        <c:grouping val="standard"/>
        <c:varyColors val="0"/>
        <c:ser>
          <c:idx val="1"/>
          <c:order val="1"/>
          <c:tx>
            <c:strRef>
              <c:f>gtard_2.3!$A$39</c:f>
              <c:strCache>
                <c:ptCount val="1"/>
                <c:pt idx="0">
                  <c:v>výše odečtených výdajů na VaV na jeden podnik</c:v>
                </c:pt>
              </c:strCache>
            </c:strRef>
          </c:tx>
          <c:cat>
            <c:numRef>
              <c:f>gtard_2.3!$B$37:$J$37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gtard_2.3!$B$39:$J$39</c:f>
              <c:numCache>
                <c:formatCode>#,##0.0</c:formatCode>
                <c:ptCount val="9"/>
                <c:pt idx="0">
                  <c:v>8.8025367245614117</c:v>
                </c:pt>
                <c:pt idx="1">
                  <c:v>8.1495091644295279</c:v>
                </c:pt>
                <c:pt idx="2">
                  <c:v>8.3007761582278548</c:v>
                </c:pt>
                <c:pt idx="3">
                  <c:v>9.6799146913407803</c:v>
                </c:pt>
                <c:pt idx="4">
                  <c:v>11.251925655413269</c:v>
                </c:pt>
                <c:pt idx="5">
                  <c:v>10.220489421155728</c:v>
                </c:pt>
                <c:pt idx="6">
                  <c:v>10.794454430357142</c:v>
                </c:pt>
                <c:pt idx="7">
                  <c:v>9.4242053109177188</c:v>
                </c:pt>
                <c:pt idx="8">
                  <c:v>10.17404122970904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EB1-4F57-982D-7CF21002C1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553792"/>
        <c:axId val="135551616"/>
      </c:lineChart>
      <c:catAx>
        <c:axId val="13554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549696"/>
        <c:crosses val="autoZero"/>
        <c:auto val="1"/>
        <c:lblAlgn val="ctr"/>
        <c:lblOffset val="100"/>
        <c:noMultiLvlLbl val="0"/>
      </c:catAx>
      <c:valAx>
        <c:axId val="1355496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/>
                </a:pPr>
                <a:r>
                  <a:rPr lang="en-US" sz="800" b="0"/>
                  <a:t>mil. Kč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135543808"/>
        <c:crosses val="autoZero"/>
        <c:crossBetween val="between"/>
      </c:valAx>
      <c:valAx>
        <c:axId val="13555161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 b="0"/>
                </a:pPr>
                <a:r>
                  <a:rPr lang="en-US" sz="800" b="0"/>
                  <a:t>mil. Kč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35553792"/>
        <c:crosses val="max"/>
        <c:crossBetween val="between"/>
      </c:valAx>
      <c:catAx>
        <c:axId val="135553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551616"/>
        <c:crosses val="autoZero"/>
        <c:auto val="1"/>
        <c:lblAlgn val="ctr"/>
        <c:lblOffset val="100"/>
        <c:noMultiLvlLbl val="0"/>
      </c:cat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00"/>
            </a:pPr>
            <a:r>
              <a:rPr lang="en-US" sz="900"/>
              <a:t>a</a:t>
            </a:r>
            <a:r>
              <a:rPr lang="cs-CZ" sz="900"/>
              <a:t>)</a:t>
            </a:r>
            <a:r>
              <a:rPr lang="cs-CZ" sz="900" baseline="0"/>
              <a:t> Počet</a:t>
            </a:r>
            <a:endParaRPr lang="cs-CZ" sz="900"/>
          </a:p>
        </c:rich>
      </c:tx>
      <c:layout>
        <c:manualLayout>
          <c:xMode val="edge"/>
          <c:yMode val="edge"/>
          <c:x val="8.4800854700854744E-2"/>
          <c:y val="4.341880341880342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2.2387064071370658E-2"/>
          <c:y val="8.5344444444444528E-2"/>
          <c:w val="0.69594829683698356"/>
          <c:h val="0.7953260683760675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G.A2!$L$3</c:f>
              <c:strCache>
                <c:ptCount val="1"/>
                <c:pt idx="0">
                  <c:v>&gt; 0,1 mil. Kč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G.A2!$P$2:$U$2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G.A2!$P$3:$U$3</c:f>
              <c:numCache>
                <c:formatCode>General</c:formatCode>
                <c:ptCount val="6"/>
                <c:pt idx="0">
                  <c:v>173</c:v>
                </c:pt>
                <c:pt idx="1">
                  <c:v>162</c:v>
                </c:pt>
                <c:pt idx="2">
                  <c:v>198</c:v>
                </c:pt>
                <c:pt idx="3">
                  <c:v>207</c:v>
                </c:pt>
                <c:pt idx="4">
                  <c:v>206</c:v>
                </c:pt>
                <c:pt idx="5">
                  <c:v>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78-4513-AAA7-93D8FAF08363}"/>
            </c:ext>
          </c:extLst>
        </c:ser>
        <c:ser>
          <c:idx val="0"/>
          <c:order val="1"/>
          <c:tx>
            <c:strRef>
              <c:f>G.A2!$L$4</c:f>
              <c:strCache>
                <c:ptCount val="1"/>
                <c:pt idx="0">
                  <c:v>0,1-0,99 mil.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G.A2!$P$2:$U$2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G.A2!$P$4:$U$4</c:f>
              <c:numCache>
                <c:formatCode>General</c:formatCode>
                <c:ptCount val="6"/>
                <c:pt idx="0">
                  <c:v>369</c:v>
                </c:pt>
                <c:pt idx="1">
                  <c:v>468</c:v>
                </c:pt>
                <c:pt idx="2">
                  <c:v>536</c:v>
                </c:pt>
                <c:pt idx="3">
                  <c:v>577</c:v>
                </c:pt>
                <c:pt idx="4">
                  <c:v>678</c:v>
                </c:pt>
                <c:pt idx="5">
                  <c:v>694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78-4513-AAA7-93D8FAF08363}"/>
            </c:ext>
          </c:extLst>
        </c:ser>
        <c:ser>
          <c:idx val="1"/>
          <c:order val="2"/>
          <c:tx>
            <c:strRef>
              <c:f>G.A2!$L$5</c:f>
              <c:strCache>
                <c:ptCount val="1"/>
                <c:pt idx="0">
                  <c:v>1-9,99 mil. Kč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G.A2!$P$2:$U$2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G.A2!$P$5:$U$5</c:f>
              <c:numCache>
                <c:formatCode>General</c:formatCode>
                <c:ptCount val="6"/>
                <c:pt idx="0">
                  <c:v>157</c:v>
                </c:pt>
                <c:pt idx="1">
                  <c:v>210</c:v>
                </c:pt>
                <c:pt idx="2">
                  <c:v>264</c:v>
                </c:pt>
                <c:pt idx="3">
                  <c:v>304</c:v>
                </c:pt>
                <c:pt idx="4">
                  <c:v>340</c:v>
                </c:pt>
                <c:pt idx="5">
                  <c:v>350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78-4513-AAA7-93D8FAF08363}"/>
            </c:ext>
          </c:extLst>
        </c:ser>
        <c:ser>
          <c:idx val="3"/>
          <c:order val="3"/>
          <c:tx>
            <c:strRef>
              <c:f>G.A2!$L$6</c:f>
              <c:strCache>
                <c:ptCount val="1"/>
                <c:pt idx="0">
                  <c:v>10 mil. Kč a více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G.A2!$P$2:$U$2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G.A2!$P$6:$U$6</c:f>
              <c:numCache>
                <c:formatCode>General</c:formatCode>
                <c:ptCount val="6"/>
                <c:pt idx="0">
                  <c:v>17</c:v>
                </c:pt>
                <c:pt idx="1">
                  <c:v>19</c:v>
                </c:pt>
                <c:pt idx="2">
                  <c:v>23</c:v>
                </c:pt>
                <c:pt idx="3">
                  <c:v>32</c:v>
                </c:pt>
                <c:pt idx="4">
                  <c:v>40</c:v>
                </c:pt>
                <c:pt idx="5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78-4513-AAA7-93D8FAF08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5567232"/>
        <c:axId val="135568768"/>
      </c:barChart>
      <c:catAx>
        <c:axId val="13556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568768"/>
        <c:crosses val="autoZero"/>
        <c:auto val="1"/>
        <c:lblAlgn val="ctr"/>
        <c:lblOffset val="100"/>
        <c:noMultiLvlLbl val="0"/>
      </c:catAx>
      <c:valAx>
        <c:axId val="135568768"/>
        <c:scaling>
          <c:orientation val="minMax"/>
          <c:max val="7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135567232"/>
        <c:crosses val="autoZero"/>
        <c:crossBetween val="between"/>
        <c:majorUnit val="100"/>
        <c:minorUnit val="10"/>
      </c:valAx>
    </c:plotArea>
    <c:legend>
      <c:legendPos val="r"/>
      <c:layout>
        <c:manualLayout>
          <c:xMode val="edge"/>
          <c:yMode val="edge"/>
          <c:x val="0.72963547008547236"/>
          <c:y val="0.24477824074074103"/>
          <c:w val="0.22561047008547036"/>
          <c:h val="0.4630069444444450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cs-CZ" sz="900"/>
              <a:t>b) Struktura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5.5436507936508103E-2"/>
          <c:y val="0.14498378921411936"/>
          <c:w val="0.88912698412698299"/>
          <c:h val="0.7412039362527980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G.A2!$M$22</c:f>
              <c:strCache>
                <c:ptCount val="1"/>
                <c:pt idx="0">
                  <c:v>10 mil. Kč a více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G.A2!$N$22:$O$22</c:f>
              <c:numCache>
                <c:formatCode>0%</c:formatCode>
                <c:ptCount val="2"/>
                <c:pt idx="0">
                  <c:v>2.3743016759776553E-2</c:v>
                </c:pt>
                <c:pt idx="1">
                  <c:v>2.9862174578866793E-2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8A-44F3-9DDD-4E40524961C6}"/>
            </c:ext>
          </c:extLst>
        </c:ser>
        <c:ser>
          <c:idx val="1"/>
          <c:order val="1"/>
          <c:tx>
            <c:strRef>
              <c:f>G.A2!$M$21</c:f>
              <c:strCache>
                <c:ptCount val="1"/>
                <c:pt idx="0">
                  <c:v>1-9,99 mil. Kč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G.A2!$N$21:$O$21</c:f>
              <c:numCache>
                <c:formatCode>0%</c:formatCode>
                <c:ptCount val="2"/>
                <c:pt idx="0">
                  <c:v>0.21927374301675978</c:v>
                </c:pt>
                <c:pt idx="1">
                  <c:v>0.26799387442572725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8A-44F3-9DDD-4E40524961C6}"/>
            </c:ext>
          </c:extLst>
        </c:ser>
        <c:ser>
          <c:idx val="2"/>
          <c:order val="2"/>
          <c:tx>
            <c:strRef>
              <c:f>G.A2!$M$20</c:f>
              <c:strCache>
                <c:ptCount val="1"/>
                <c:pt idx="0">
                  <c:v>0,1-0,99 mil.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G.A2!$N$20:$O$20</c:f>
              <c:numCache>
                <c:formatCode>0%</c:formatCode>
                <c:ptCount val="2"/>
                <c:pt idx="0">
                  <c:v>0.51536312849161936</c:v>
                </c:pt>
                <c:pt idx="1">
                  <c:v>0.53139356814701333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8A-44F3-9DDD-4E40524961C6}"/>
            </c:ext>
          </c:extLst>
        </c:ser>
        <c:ser>
          <c:idx val="3"/>
          <c:order val="3"/>
          <c:tx>
            <c:strRef>
              <c:f>G.A2!$M$19</c:f>
              <c:strCache>
                <c:ptCount val="1"/>
                <c:pt idx="0">
                  <c:v>&gt; 0,1 mil. Kč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98A-44F3-9DDD-4E40524961C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98A-44F3-9DDD-4E40524961C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G.A2!$N$19:$O$19</c:f>
              <c:numCache>
                <c:formatCode>0%</c:formatCode>
                <c:ptCount val="2"/>
                <c:pt idx="0">
                  <c:v>0.24162011173184358</c:v>
                </c:pt>
                <c:pt idx="1">
                  <c:v>0.17075038284839225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98A-44F3-9DDD-4E4052496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35641344"/>
        <c:axId val="135651328"/>
      </c:barChart>
      <c:catAx>
        <c:axId val="13564134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135651328"/>
        <c:crosses val="autoZero"/>
        <c:auto val="1"/>
        <c:lblAlgn val="ctr"/>
        <c:lblOffset val="100"/>
        <c:noMultiLvlLbl val="0"/>
      </c:catAx>
      <c:valAx>
        <c:axId val="135651328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one"/>
        <c:crossAx val="135641344"/>
        <c:crosses val="autoZero"/>
        <c:crossBetween val="between"/>
        <c:majorUnit val="0.25"/>
        <c:minorUnit val="5.0000000000000024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cs-CZ" sz="900"/>
              <a:t>a)</a:t>
            </a:r>
            <a:r>
              <a:rPr lang="cs-CZ" sz="900" baseline="0"/>
              <a:t> počet podniků</a:t>
            </a:r>
            <a:endParaRPr lang="en-US" sz="900"/>
          </a:p>
        </c:rich>
      </c:tx>
      <c:layout>
        <c:manualLayout>
          <c:xMode val="edge"/>
          <c:yMode val="edge"/>
          <c:x val="8.5727313309100245E-2"/>
          <c:y val="3.68615060558188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6396321033226668E-2"/>
          <c:y val="0.15919858358937386"/>
          <c:w val="0.74106194444444462"/>
          <c:h val="0.6819863749258831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GRAF6!$L$94</c:f>
              <c:strCache>
                <c:ptCount val="1"/>
                <c:pt idx="0">
                  <c:v>domácí podniky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GRAF6!$M$91:$R$91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GRAF6!$M$94:$R$94</c:f>
              <c:numCache>
                <c:formatCode>0</c:formatCode>
                <c:ptCount val="6"/>
                <c:pt idx="0">
                  <c:v>512</c:v>
                </c:pt>
                <c:pt idx="1">
                  <c:v>606</c:v>
                </c:pt>
                <c:pt idx="2">
                  <c:v>716</c:v>
                </c:pt>
                <c:pt idx="3">
                  <c:v>796</c:v>
                </c:pt>
                <c:pt idx="4">
                  <c:v>900</c:v>
                </c:pt>
                <c:pt idx="5">
                  <c:v>938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8E-46D1-998F-0B046407081B}"/>
            </c:ext>
          </c:extLst>
        </c:ser>
        <c:ser>
          <c:idx val="3"/>
          <c:order val="1"/>
          <c:tx>
            <c:strRef>
              <c:f>GRAF6!$L$95</c:f>
              <c:strCache>
                <c:ptCount val="1"/>
                <c:pt idx="0">
                  <c:v>zahraniční podniky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GRAF6!$M$91:$R$91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GRAF6!$M$95:$R$95</c:f>
              <c:numCache>
                <c:formatCode>0</c:formatCode>
                <c:ptCount val="6"/>
                <c:pt idx="0">
                  <c:v>204</c:v>
                </c:pt>
                <c:pt idx="1">
                  <c:v>253</c:v>
                </c:pt>
                <c:pt idx="2">
                  <c:v>305</c:v>
                </c:pt>
                <c:pt idx="3">
                  <c:v>324</c:v>
                </c:pt>
                <c:pt idx="4">
                  <c:v>364</c:v>
                </c:pt>
                <c:pt idx="5">
                  <c:v>368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8E-46D1-998F-0B04640708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100"/>
        <c:axId val="135931776"/>
        <c:axId val="135933312"/>
      </c:barChart>
      <c:catAx>
        <c:axId val="135931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933312"/>
        <c:crosses val="autoZero"/>
        <c:auto val="1"/>
        <c:lblAlgn val="ctr"/>
        <c:lblOffset val="100"/>
        <c:noMultiLvlLbl val="0"/>
      </c:catAx>
      <c:valAx>
        <c:axId val="135933312"/>
        <c:scaling>
          <c:orientation val="minMax"/>
          <c:max val="1400"/>
          <c:min val="0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#,##0" sourceLinked="0"/>
        <c:majorTickMark val="none"/>
        <c:minorTickMark val="none"/>
        <c:tickLblPos val="none"/>
        <c:spPr>
          <a:ln>
            <a:noFill/>
          </a:ln>
        </c:spPr>
        <c:crossAx val="135931776"/>
        <c:crosses val="autoZero"/>
        <c:crossBetween val="between"/>
        <c:majorUnit val="200"/>
      </c:valAx>
    </c:plotArea>
    <c:legend>
      <c:legendPos val="r"/>
      <c:layout>
        <c:manualLayout>
          <c:xMode val="edge"/>
          <c:yMode val="edge"/>
          <c:x val="0.78274259259259304"/>
          <c:y val="0.2322171296296297"/>
          <c:w val="0.21725740740740765"/>
          <c:h val="0.5750166666666665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b) výše podpory v mil. Kč</a:t>
            </a:r>
          </a:p>
        </c:rich>
      </c:tx>
      <c:layout>
        <c:manualLayout>
          <c:xMode val="edge"/>
          <c:yMode val="edge"/>
          <c:x val="8.5727313309100245E-2"/>
          <c:y val="3.68615060558188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259803921568626E-2"/>
          <c:y val="0.15919858358937386"/>
          <c:w val="0.91398987935150133"/>
          <c:h val="0.6819863749258831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GRAF6!$L$92</c:f>
              <c:strCache>
                <c:ptCount val="1"/>
                <c:pt idx="0">
                  <c:v>soukr. domácí podniky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GRAF6!$M$91:$R$91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GRAF6!$M$92:$R$92</c:f>
              <c:numCache>
                <c:formatCode>0</c:formatCode>
                <c:ptCount val="6"/>
                <c:pt idx="0">
                  <c:v>426.93300712999968</c:v>
                </c:pt>
                <c:pt idx="1">
                  <c:v>536.0678874599995</c:v>
                </c:pt>
                <c:pt idx="2">
                  <c:v>656.08342331000051</c:v>
                </c:pt>
                <c:pt idx="3">
                  <c:v>789.42753724999966</c:v>
                </c:pt>
                <c:pt idx="4">
                  <c:v>878.32713808999927</c:v>
                </c:pt>
                <c:pt idx="5">
                  <c:v>1048.7551841300001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79-4644-A7B9-6F5F7B62D0D8}"/>
            </c:ext>
          </c:extLst>
        </c:ser>
        <c:ser>
          <c:idx val="0"/>
          <c:order val="1"/>
          <c:tx>
            <c:strRef>
              <c:f>GRAF6!$L$93</c:f>
              <c:strCache>
                <c:ptCount val="1"/>
                <c:pt idx="0">
                  <c:v>soukr. zahraniční podniky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0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GRAF6!$M$91:$R$91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GRAF6!$M$93:$R$93</c:f>
              <c:numCache>
                <c:formatCode>0</c:formatCode>
                <c:ptCount val="6"/>
                <c:pt idx="0">
                  <c:v>889.92258747999961</c:v>
                </c:pt>
                <c:pt idx="1">
                  <c:v>1300.3588987600001</c:v>
                </c:pt>
                <c:pt idx="2">
                  <c:v>1326.5893194999996</c:v>
                </c:pt>
                <c:pt idx="3">
                  <c:v>1507.6323655299998</c:v>
                </c:pt>
                <c:pt idx="4">
                  <c:v>1384.9900093799999</c:v>
                </c:pt>
                <c:pt idx="5">
                  <c:v>1475.8314066099992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79-4644-A7B9-6F5F7B62D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100"/>
        <c:axId val="135985024"/>
        <c:axId val="135986560"/>
      </c:barChart>
      <c:catAx>
        <c:axId val="13598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986560"/>
        <c:crosses val="autoZero"/>
        <c:auto val="1"/>
        <c:lblAlgn val="ctr"/>
        <c:lblOffset val="100"/>
        <c:noMultiLvlLbl val="0"/>
      </c:catAx>
      <c:valAx>
        <c:axId val="135986560"/>
        <c:scaling>
          <c:orientation val="minMax"/>
          <c:max val="2600"/>
          <c:min val="0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#,##0" sourceLinked="0"/>
        <c:majorTickMark val="none"/>
        <c:minorTickMark val="none"/>
        <c:tickLblPos val="none"/>
        <c:spPr>
          <a:ln>
            <a:noFill/>
          </a:ln>
        </c:spPr>
        <c:crossAx val="135985024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cs-CZ" sz="900"/>
              <a:t>a) Složení</a:t>
            </a:r>
            <a:r>
              <a:rPr lang="cs-CZ" sz="900" baseline="0"/>
              <a:t> podniků (počet)</a:t>
            </a:r>
            <a:endParaRPr lang="cs-CZ" sz="9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5.5436507936508103E-2"/>
          <c:y val="0.19202083333333334"/>
          <c:w val="0.88912698412698299"/>
          <c:h val="0.69416712962962956"/>
        </c:manualLayout>
      </c:layout>
      <c:barChart>
        <c:barDir val="col"/>
        <c:grouping val="percentStacked"/>
        <c:varyColors val="0"/>
        <c:ser>
          <c:idx val="3"/>
          <c:order val="0"/>
          <c:tx>
            <c:strRef>
              <c:f>GRAF7!$M$21</c:f>
              <c:strCache>
                <c:ptCount val="1"/>
                <c:pt idx="0">
                  <c:v>Mikro podniky 
(0-9 zam.)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GRAF7!$N$20:$O$20</c:f>
              <c:numCache>
                <c:formatCode>General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GRAF7!$N$21:$O$21</c:f>
              <c:numCache>
                <c:formatCode>0%</c:formatCode>
                <c:ptCount val="2"/>
                <c:pt idx="0">
                  <c:v>0.18435754189944148</c:v>
                </c:pt>
                <c:pt idx="1">
                  <c:v>0.13629402756508421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AE-4153-901B-E875B335384D}"/>
            </c:ext>
          </c:extLst>
        </c:ser>
        <c:ser>
          <c:idx val="2"/>
          <c:order val="1"/>
          <c:tx>
            <c:strRef>
              <c:f>GRAF7!$M$22</c:f>
              <c:strCache>
                <c:ptCount val="1"/>
                <c:pt idx="0">
                  <c:v>Malé podniky 
(10-49 zam.)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GRAF7!$N$20:$O$20</c:f>
              <c:numCache>
                <c:formatCode>General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GRAF7!$N$22:$O$22</c:f>
              <c:numCache>
                <c:formatCode>0%</c:formatCode>
                <c:ptCount val="2"/>
                <c:pt idx="0">
                  <c:v>0.272346368715084</c:v>
                </c:pt>
                <c:pt idx="1">
                  <c:v>0.26263399693721284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AE-4153-901B-E875B335384D}"/>
            </c:ext>
          </c:extLst>
        </c:ser>
        <c:ser>
          <c:idx val="1"/>
          <c:order val="2"/>
          <c:tx>
            <c:strRef>
              <c:f>GRAF7!$M$23</c:f>
              <c:strCache>
                <c:ptCount val="1"/>
                <c:pt idx="0">
                  <c:v>Střední podniky 
(50-249 zam.)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GRAF7!$N$20:$O$20</c:f>
              <c:numCache>
                <c:formatCode>General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GRAF7!$N$23:$O$23</c:f>
              <c:numCache>
                <c:formatCode>0%</c:formatCode>
                <c:ptCount val="2"/>
                <c:pt idx="0">
                  <c:v>0.33379888268156432</c:v>
                </c:pt>
                <c:pt idx="1">
                  <c:v>0.36064318529862188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AE-4153-901B-E875B335384D}"/>
            </c:ext>
          </c:extLst>
        </c:ser>
        <c:ser>
          <c:idx val="0"/>
          <c:order val="3"/>
          <c:tx>
            <c:strRef>
              <c:f>GRAF7!$M$24</c:f>
              <c:strCache>
                <c:ptCount val="1"/>
                <c:pt idx="0">
                  <c:v>Velké podniky 
(250+ zam.)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GRAF7!$N$20:$O$20</c:f>
              <c:numCache>
                <c:formatCode>General</c:formatCode>
                <c:ptCount val="2"/>
                <c:pt idx="0">
                  <c:v>2010</c:v>
                </c:pt>
                <c:pt idx="1">
                  <c:v>2015</c:v>
                </c:pt>
              </c:numCache>
            </c:numRef>
          </c:cat>
          <c:val>
            <c:numRef>
              <c:f>GRAF7!$N$24:$O$24</c:f>
              <c:numCache>
                <c:formatCode>0%</c:formatCode>
                <c:ptCount val="2"/>
                <c:pt idx="0">
                  <c:v>0.20949720670391078</c:v>
                </c:pt>
                <c:pt idx="1">
                  <c:v>0.24042879019908131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AE-4153-901B-E875B33538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36102656"/>
        <c:axId val="136104192"/>
      </c:barChart>
      <c:catAx>
        <c:axId val="13610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104192"/>
        <c:crosses val="autoZero"/>
        <c:auto val="1"/>
        <c:lblAlgn val="ctr"/>
        <c:lblOffset val="100"/>
        <c:noMultiLvlLbl val="0"/>
      </c:catAx>
      <c:valAx>
        <c:axId val="136104192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one"/>
        <c:crossAx val="136102656"/>
        <c:crosses val="autoZero"/>
        <c:crossBetween val="between"/>
        <c:majorUnit val="0.25"/>
        <c:minorUnit val="5.0000000000000024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9529-B865-4B50-AE97-4D681187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57</TotalTime>
  <Pages>11</Pages>
  <Words>3221</Words>
  <Characters>19008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36</cp:revision>
  <cp:lastPrinted>2017-04-06T09:44:00Z</cp:lastPrinted>
  <dcterms:created xsi:type="dcterms:W3CDTF">2017-04-03T11:17:00Z</dcterms:created>
  <dcterms:modified xsi:type="dcterms:W3CDTF">2017-04-06T09:50:00Z</dcterms:modified>
</cp:coreProperties>
</file>