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</w:t>
      </w:r>
      <w:r w:rsidR="00A62BAE">
        <w:rPr>
          <w:szCs w:val="22"/>
        </w:rPr>
        <w:t>y</w:t>
      </w:r>
      <w:r>
        <w:rPr>
          <w:szCs w:val="22"/>
        </w:rPr>
        <w:t xml:space="preserve"> vývozních a dovozních cen za Českou republiku </w:t>
      </w:r>
      <w:r w:rsidR="00A62BAE">
        <w:rPr>
          <w:szCs w:val="22"/>
        </w:rPr>
        <w:t xml:space="preserve">jsou </w:t>
      </w:r>
      <w:r>
        <w:rPr>
          <w:szCs w:val="22"/>
        </w:rPr>
        <w:t>počítán</w:t>
      </w:r>
      <w:r w:rsidR="00A62BAE">
        <w:rPr>
          <w:szCs w:val="22"/>
        </w:rPr>
        <w:t>y</w:t>
      </w:r>
      <w:r>
        <w:rPr>
          <w:szCs w:val="22"/>
        </w:rPr>
        <w:t xml:space="preserve"> od roku 1993. Do konce roku 1997 byly ceny zjišťovány prostřednictvím čtvrtletního</w:t>
      </w:r>
      <w:r w:rsidR="003A7639">
        <w:rPr>
          <w:szCs w:val="22"/>
        </w:rPr>
        <w:t xml:space="preserve"> </w:t>
      </w:r>
      <w:r w:rsidR="003A7639" w:rsidRPr="00D67F34">
        <w:rPr>
          <w:szCs w:val="22"/>
        </w:rPr>
        <w:t>státního</w:t>
      </w:r>
      <w:r w:rsidR="003A7639">
        <w:rPr>
          <w:szCs w:val="22"/>
        </w:rPr>
        <w:t xml:space="preserve"> statistického výkazu </w:t>
      </w:r>
      <w:r w:rsidR="00F83D97">
        <w:rPr>
          <w:szCs w:val="22"/>
        </w:rPr>
        <w:t>Ceny ZO 1-04, od </w:t>
      </w:r>
      <w:r>
        <w:rPr>
          <w:szCs w:val="22"/>
        </w:rPr>
        <w:t xml:space="preserve">roku 1998 bylo zavedeno šetření s měsíční periodicitou, </w:t>
      </w:r>
      <w:r w:rsidRPr="00D67F34">
        <w:rPr>
          <w:szCs w:val="22"/>
        </w:rPr>
        <w:t>státním</w:t>
      </w:r>
      <w:r>
        <w:rPr>
          <w:szCs w:val="22"/>
        </w:rPr>
        <w:t xml:space="preserve">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  <w:r w:rsidR="00F37D52">
        <w:rPr>
          <w:szCs w:val="22"/>
        </w:rPr>
        <w:t xml:space="preserve">Od roku 2019 jsou údaje měsíčně pořizovány prostřednictvím </w:t>
      </w:r>
      <w:r w:rsidR="00F37D52" w:rsidRPr="00D67F34">
        <w:rPr>
          <w:szCs w:val="22"/>
        </w:rPr>
        <w:t>státních</w:t>
      </w:r>
      <w:r w:rsidR="00F37D52">
        <w:rPr>
          <w:szCs w:val="22"/>
        </w:rPr>
        <w:t xml:space="preserve"> statistických výkazů Ceny ZOD 1-12 pro dovoz a Ceny ZOV 1-12 pro vývoz.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</w:t>
      </w:r>
      <w:r w:rsidR="00A62BAE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j</w:t>
      </w:r>
      <w:r w:rsidR="00A62BAE">
        <w:rPr>
          <w:rFonts w:cs="Arial"/>
          <w:szCs w:val="22"/>
        </w:rPr>
        <w:t>sou</w:t>
      </w:r>
      <w:r>
        <w:rPr>
          <w:rFonts w:cs="Arial"/>
          <w:szCs w:val="22"/>
        </w:rPr>
        <w:t xml:space="preserve"> konstruován</w:t>
      </w:r>
      <w:r w:rsidR="00A62BAE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podle Harmonizovaného systému</w:t>
      </w:r>
      <w:r w:rsidR="00A62BAE">
        <w:rPr>
          <w:rFonts w:cs="Arial"/>
          <w:szCs w:val="22"/>
        </w:rPr>
        <w:t xml:space="preserve"> </w:t>
      </w:r>
      <w:r w:rsidR="00A62BAE" w:rsidRPr="003A3042">
        <w:rPr>
          <w:rFonts w:cs="Arial"/>
          <w:szCs w:val="22"/>
        </w:rPr>
        <w:t>(HS)</w:t>
      </w:r>
      <w:r w:rsidRPr="004507FD">
        <w:rPr>
          <w:rFonts w:cs="Arial"/>
          <w:i/>
          <w:szCs w:val="22"/>
        </w:rPr>
        <w:t xml:space="preserve">, </w:t>
      </w:r>
      <w:r w:rsidRPr="00725D20">
        <w:rPr>
          <w:rFonts w:cs="Arial"/>
          <w:szCs w:val="22"/>
        </w:rPr>
        <w:t>dále j</w:t>
      </w:r>
      <w:r w:rsidR="00A62BAE" w:rsidRPr="00725D20">
        <w:rPr>
          <w:rFonts w:cs="Arial"/>
          <w:szCs w:val="22"/>
        </w:rPr>
        <w:t>sou</w:t>
      </w:r>
      <w:r w:rsidRPr="00725D20">
        <w:rPr>
          <w:rFonts w:cs="Arial"/>
          <w:szCs w:val="22"/>
        </w:rPr>
        <w:t xml:space="preserve"> přepočten</w:t>
      </w:r>
      <w:r w:rsidR="00A62BAE" w:rsidRPr="00725D20">
        <w:rPr>
          <w:rFonts w:cs="Arial"/>
          <w:szCs w:val="22"/>
        </w:rPr>
        <w:t>y</w:t>
      </w:r>
      <w:r>
        <w:rPr>
          <w:rFonts w:cs="Arial"/>
          <w:szCs w:val="22"/>
        </w:rPr>
        <w:t xml:space="preserve"> v členění podle </w:t>
      </w:r>
      <w:r w:rsidRPr="00D67F34">
        <w:rPr>
          <w:rFonts w:cs="Arial"/>
          <w:szCs w:val="22"/>
        </w:rPr>
        <w:t>hlavních skupin</w:t>
      </w:r>
      <w:r>
        <w:rPr>
          <w:rFonts w:cs="Arial"/>
          <w:szCs w:val="22"/>
        </w:rPr>
        <w:t xml:space="preserve"> klasifikace </w:t>
      </w:r>
      <w:r w:rsidR="00A62BAE" w:rsidRPr="000F547D">
        <w:rPr>
          <w:rStyle w:val="Zvraznn"/>
          <w:rFonts w:cs="Arial"/>
        </w:rPr>
        <w:t>Standard International Trade Classification</w:t>
      </w:r>
      <w:r>
        <w:rPr>
          <w:rFonts w:cs="Arial"/>
          <w:szCs w:val="22"/>
        </w:rPr>
        <w:t xml:space="preserve"> </w:t>
      </w:r>
      <w:r w:rsidRPr="000F547D">
        <w:rPr>
          <w:rFonts w:cs="Arial"/>
          <w:szCs w:val="22"/>
        </w:rPr>
        <w:t>(</w:t>
      </w:r>
      <w:r w:rsidR="00986F38" w:rsidRPr="000F547D">
        <w:rPr>
          <w:rStyle w:val="Zvraznn"/>
          <w:rFonts w:cs="Arial"/>
          <w:i w:val="0"/>
        </w:rPr>
        <w:t>SITC</w:t>
      </w:r>
      <w:r w:rsidRPr="000F547D">
        <w:rPr>
          <w:rStyle w:val="Zvraznn"/>
          <w:rFonts w:cs="Arial"/>
          <w:i w:val="0"/>
        </w:rPr>
        <w:t>)</w:t>
      </w:r>
      <w:r>
        <w:rPr>
          <w:rStyle w:val="Zvraznn"/>
          <w:rFonts w:cs="Arial"/>
        </w:rPr>
        <w:t xml:space="preserve"> </w:t>
      </w:r>
      <w:r w:rsidRPr="000F547D">
        <w:rPr>
          <w:rFonts w:cs="Arial"/>
          <w:i/>
          <w:szCs w:val="22"/>
        </w:rPr>
        <w:t>Rev.4</w:t>
      </w:r>
      <w:r>
        <w:rPr>
          <w:rFonts w:cs="Arial"/>
          <w:szCs w:val="22"/>
        </w:rPr>
        <w:t xml:space="preserve"> a </w:t>
      </w:r>
      <w:r w:rsidR="00ED7D52">
        <w:rPr>
          <w:rFonts w:cs="Arial"/>
          <w:szCs w:val="22"/>
        </w:rPr>
        <w:t xml:space="preserve">v členění </w:t>
      </w:r>
      <w:r w:rsidR="000F547D">
        <w:rPr>
          <w:rFonts w:cs="Arial"/>
          <w:szCs w:val="22"/>
        </w:rPr>
        <w:t>K</w:t>
      </w:r>
      <w:r>
        <w:rPr>
          <w:rFonts w:cs="Arial"/>
          <w:szCs w:val="22"/>
        </w:rPr>
        <w:t>lasifikace produkce</w:t>
      </w:r>
      <w:r w:rsidR="005634F2">
        <w:rPr>
          <w:rFonts w:cs="Arial"/>
          <w:szCs w:val="22"/>
        </w:rPr>
        <w:t xml:space="preserve"> v národní verzi</w:t>
      </w:r>
      <w:r>
        <w:rPr>
          <w:rFonts w:cs="Arial"/>
          <w:szCs w:val="22"/>
        </w:rPr>
        <w:t xml:space="preserve"> </w:t>
      </w:r>
      <w:r w:rsidR="00EC36C7" w:rsidRPr="000F547D">
        <w:rPr>
          <w:rFonts w:cs="Arial"/>
          <w:szCs w:val="22"/>
        </w:rPr>
        <w:t>(CZ-CPA)</w:t>
      </w:r>
      <w:r w:rsidR="00B5156C">
        <w:rPr>
          <w:rFonts w:cs="Arial"/>
          <w:i/>
          <w:szCs w:val="22"/>
        </w:rPr>
        <w:t>.</w:t>
      </w:r>
      <w:r w:rsidR="00EC36C7">
        <w:rPr>
          <w:rFonts w:cs="Arial"/>
          <w:i/>
          <w:szCs w:val="22"/>
        </w:rPr>
        <w:t xml:space="preserve"> </w:t>
      </w:r>
      <w:r w:rsidR="00E4308E">
        <w:rPr>
          <w:rFonts w:cs="Arial"/>
          <w:szCs w:val="22"/>
        </w:rPr>
        <w:t xml:space="preserve">Klasifikace </w:t>
      </w:r>
      <w:r>
        <w:rPr>
          <w:rFonts w:cs="Arial"/>
          <w:szCs w:val="22"/>
        </w:rPr>
        <w:t xml:space="preserve">CZ-CPA nahradila v roce 2009 </w:t>
      </w:r>
      <w:r w:rsidR="00986F38">
        <w:rPr>
          <w:rFonts w:cs="Arial"/>
          <w:szCs w:val="22"/>
        </w:rPr>
        <w:t xml:space="preserve">Standardní </w:t>
      </w:r>
      <w:r>
        <w:rPr>
          <w:rFonts w:cs="Arial"/>
          <w:szCs w:val="22"/>
        </w:rPr>
        <w:t xml:space="preserve">klasifikaci produkce </w:t>
      </w:r>
      <w:r w:rsidR="0002308C" w:rsidRPr="004507FD">
        <w:rPr>
          <w:rFonts w:cs="Arial"/>
          <w:szCs w:val="22"/>
        </w:rPr>
        <w:t>(</w:t>
      </w:r>
      <w:r w:rsidRPr="004507FD">
        <w:rPr>
          <w:rFonts w:cs="Arial"/>
          <w:szCs w:val="22"/>
        </w:rPr>
        <w:t>SKP</w:t>
      </w:r>
      <w:r w:rsidR="0002308C" w:rsidRPr="004507FD">
        <w:rPr>
          <w:rFonts w:cs="Arial"/>
          <w:szCs w:val="22"/>
        </w:rPr>
        <w:t>)</w:t>
      </w:r>
      <w:r>
        <w:rPr>
          <w:rFonts w:cs="Arial"/>
          <w:szCs w:val="22"/>
        </w:rPr>
        <w:t>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4507FD">
      <w:pPr>
        <w:spacing w:line="276" w:lineRule="auto"/>
        <w:jc w:val="both"/>
        <w:rPr>
          <w:szCs w:val="22"/>
        </w:rPr>
      </w:pPr>
      <w:r>
        <w:rPr>
          <w:szCs w:val="22"/>
        </w:rPr>
        <w:t>Indexy jsou vypočítávány podle modifikovaného Laspeyresova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616325873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>zahraničního obchodu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Cenovým základem pro výpočet indexů jsou od roku 2018 průměrné ceny jednotli</w:t>
      </w:r>
      <w:r w:rsidR="00A262C1">
        <w:rPr>
          <w:szCs w:val="22"/>
        </w:rPr>
        <w:t>vých reprezentantů v roce 2015.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>Stálé váhy index</w:t>
      </w:r>
      <w:r w:rsidR="00FE0D87">
        <w:rPr>
          <w:rFonts w:cs="Arial"/>
        </w:rPr>
        <w:t>ů</w:t>
      </w:r>
      <w:r>
        <w:rPr>
          <w:rFonts w:cs="Arial"/>
        </w:rPr>
        <w:t xml:space="preserve"> odpovídají struktuře zahraničního obchodu v národním pojetí v roce 2015 zjištěné </w:t>
      </w:r>
      <w:r w:rsidR="00771D61">
        <w:rPr>
          <w:rFonts w:cs="Arial"/>
          <w:szCs w:val="22"/>
        </w:rPr>
        <w:t>za </w:t>
      </w:r>
      <w:r>
        <w:rPr>
          <w:rFonts w:cs="Arial"/>
          <w:szCs w:val="22"/>
        </w:rPr>
        <w:t>čtyřmístné</w:t>
      </w:r>
      <w:r w:rsidR="00D068B4">
        <w:rPr>
          <w:rFonts w:cs="Arial"/>
          <w:szCs w:val="22"/>
        </w:rPr>
        <w:t xml:space="preserve"> </w:t>
      </w:r>
      <w:r w:rsidRPr="00D67F34">
        <w:rPr>
          <w:rFonts w:cs="Arial"/>
          <w:szCs w:val="22"/>
        </w:rPr>
        <w:t>skupiny</w:t>
      </w:r>
      <w:r w:rsidR="009C799C">
        <w:rPr>
          <w:rFonts w:cs="Arial"/>
          <w:szCs w:val="22"/>
        </w:rPr>
        <w:t xml:space="preserve"> </w:t>
      </w:r>
      <w:r w:rsidR="002546D7">
        <w:rPr>
          <w:rFonts w:cs="Arial"/>
          <w:szCs w:val="22"/>
        </w:rPr>
        <w:t>Harmonizovaného systému</w:t>
      </w:r>
      <w:r>
        <w:rPr>
          <w:rFonts w:cs="Arial"/>
          <w:szCs w:val="22"/>
        </w:rPr>
        <w:t>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</w:t>
      </w:r>
      <w:r w:rsidRPr="00D67F34">
        <w:rPr>
          <w:szCs w:val="22"/>
        </w:rPr>
        <w:t>skupiny</w:t>
      </w:r>
      <w:r>
        <w:rPr>
          <w:szCs w:val="22"/>
        </w:rPr>
        <w:t xml:space="preserve"> </w:t>
      </w:r>
      <w:r w:rsidR="003155D9">
        <w:rPr>
          <w:szCs w:val="22"/>
        </w:rPr>
        <w:t>H</w:t>
      </w:r>
      <w:r>
        <w:rPr>
          <w:szCs w:val="22"/>
        </w:rPr>
        <w:t>armonizovaného systému a v rámci těchto skupin pokud možno i všechny nejvýznamnější čtyřmístné skupiny</w:t>
      </w:r>
      <w:r w:rsidR="00E35E54">
        <w:rPr>
          <w:szCs w:val="22"/>
        </w:rPr>
        <w:t xml:space="preserve"> </w:t>
      </w:r>
      <w:r w:rsidR="00BC53BB">
        <w:rPr>
          <w:szCs w:val="22"/>
        </w:rPr>
        <w:t>Harmonizovaného systému</w:t>
      </w:r>
      <w:r>
        <w:rPr>
          <w:szCs w:val="22"/>
        </w:rPr>
        <w:t>. V těchto skupinách jsou vybrány výrobky s opakovaným vývozem</w:t>
      </w:r>
      <w:r w:rsidR="00F83D97">
        <w:rPr>
          <w:szCs w:val="22"/>
        </w:rPr>
        <w:t xml:space="preserve"> či </w:t>
      </w:r>
      <w:r>
        <w:rPr>
          <w:szCs w:val="22"/>
        </w:rPr>
        <w:t xml:space="preserve">dovozem, na kterých je možno sledovat cenový vývoj. Publikovány jsou však jen </w:t>
      </w:r>
      <w:r w:rsidR="00250C70">
        <w:rPr>
          <w:szCs w:val="22"/>
        </w:rPr>
        <w:t xml:space="preserve">údaje za </w:t>
      </w:r>
      <w:r>
        <w:rPr>
          <w:szCs w:val="22"/>
        </w:rPr>
        <w:t xml:space="preserve">některé vybrané </w:t>
      </w:r>
      <w:r w:rsidRPr="00D67F34">
        <w:rPr>
          <w:szCs w:val="22"/>
        </w:rPr>
        <w:t>kapitoly</w:t>
      </w:r>
      <w:r>
        <w:rPr>
          <w:szCs w:val="22"/>
        </w:rPr>
        <w:t xml:space="preserve"> </w:t>
      </w:r>
      <w:r w:rsidR="00BC53BB">
        <w:rPr>
          <w:szCs w:val="22"/>
        </w:rPr>
        <w:t>Harmonizovaného systému</w:t>
      </w:r>
      <w:r w:rsidR="00503902">
        <w:rPr>
          <w:szCs w:val="22"/>
        </w:rPr>
        <w:t>.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</w:t>
      </w:r>
      <w:r w:rsidR="009C799C" w:rsidRPr="009C799C">
        <w:t xml:space="preserve"> </w:t>
      </w:r>
      <w:r w:rsidR="009C799C">
        <w:t>–</w:t>
      </w:r>
      <w:r>
        <w:t xml:space="preserve"> jednak výrobní podniky, ale i podniky zabývající se pouze zahraničně obchodní činností, a to cca 610 ekonomických subjektů pro vývoz a cca 630 pro dovoz. Ve váhovém schématu je nyní zařazeno cca </w:t>
      </w:r>
      <w:r w:rsidR="00250C70">
        <w:t xml:space="preserve">2490 </w:t>
      </w:r>
      <w:r>
        <w:t xml:space="preserve">vyvážených a </w:t>
      </w:r>
      <w:r w:rsidR="00250C70">
        <w:t xml:space="preserve">cca 2860 </w:t>
      </w:r>
      <w:r>
        <w:t>dovážených výrobků, surovin</w:t>
      </w:r>
      <w:r w:rsidR="00F83D97">
        <w:t xml:space="preserve"> a </w:t>
      </w:r>
      <w:r>
        <w:t>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Vykazující jednotky uvádějí průměrné ceny jako vážený aritmetický průměr (váženo množstvím výrobků ve fyzických jednotkách) z cen docilovaných při významnějších obchodních transakcích</w:t>
      </w:r>
      <w:r w:rsidR="00F83D97">
        <w:rPr>
          <w:szCs w:val="22"/>
        </w:rPr>
        <w:t xml:space="preserve"> </w:t>
      </w:r>
      <w:r>
        <w:rPr>
          <w:szCs w:val="22"/>
        </w:rPr>
        <w:lastRenderedPageBreak/>
        <w:t>buď</w:t>
      </w:r>
      <w:r w:rsidR="00F83D97">
        <w:rPr>
          <w:szCs w:val="22"/>
        </w:rPr>
        <w:t> </w:t>
      </w:r>
      <w:r>
        <w:rPr>
          <w:szCs w:val="22"/>
        </w:rPr>
        <w:t>v různých zemích, nebo na stabilním zahraničním trhu, pokud je zahrnut do charakteristiky cenového 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 xml:space="preserve">dovozních obchodů přepočtené na </w:t>
      </w:r>
      <w:r w:rsidR="00116C1B">
        <w:rPr>
          <w:szCs w:val="22"/>
        </w:rPr>
        <w:t>CZK</w:t>
      </w:r>
      <w:r>
        <w:rPr>
          <w:szCs w:val="22"/>
        </w:rPr>
        <w:t xml:space="preserve"> příslušným průměrným měsíčním měnovým kurzem ČNB. Tento přepočet provádí buď přímo zpravodajská jednotka, nebo pokud ekonomický subjekt vykazuje ceny v zahraniční měně, přepočet na </w:t>
      </w:r>
      <w:r w:rsidR="00116C1B">
        <w:rPr>
          <w:szCs w:val="22"/>
        </w:rPr>
        <w:t>CZK</w:t>
      </w:r>
      <w:r>
        <w:rPr>
          <w:szCs w:val="22"/>
        </w:rPr>
        <w:t xml:space="preserve"> provádí ČSÚ. Do cenových indexů se tudíž promítá</w:t>
      </w:r>
      <w:r w:rsidR="00F83D97">
        <w:rPr>
          <w:szCs w:val="22"/>
        </w:rPr>
        <w:t xml:space="preserve"> kromě </w:t>
      </w:r>
      <w:r>
        <w:rPr>
          <w:szCs w:val="22"/>
        </w:rPr>
        <w:t>cenového vývoje i vliv změn kurzů zahraničních měn. Uváděné ceny neobsahují clo, daň z přidané hodnoty, ani spotřební daň.</w:t>
      </w:r>
    </w:p>
    <w:p w:rsidR="00177C66" w:rsidRPr="0029080E" w:rsidRDefault="0096220A" w:rsidP="00177C66">
      <w:pPr>
        <w:spacing w:after="240" w:line="240" w:lineRule="auto"/>
        <w:jc w:val="both"/>
        <w:rPr>
          <w:szCs w:val="22"/>
        </w:rPr>
      </w:pPr>
      <w:r>
        <w:rPr>
          <w:szCs w:val="22"/>
        </w:rPr>
        <w:t>S</w:t>
      </w:r>
      <w:r w:rsidRPr="0029080E">
        <w:rPr>
          <w:szCs w:val="22"/>
        </w:rPr>
        <w:t>měnné relace</w:t>
      </w:r>
      <w:r w:rsidRPr="00177C66">
        <w:rPr>
          <w:szCs w:val="22"/>
        </w:rPr>
        <w:t xml:space="preserve"> </w:t>
      </w:r>
      <w:r w:rsidR="00E11C2D">
        <w:rPr>
          <w:szCs w:val="22"/>
        </w:rPr>
        <w:t>jsou vyjádřeny jako podíl</w:t>
      </w:r>
      <w:r w:rsidR="00177C66" w:rsidRPr="0029080E">
        <w:rPr>
          <w:szCs w:val="22"/>
        </w:rPr>
        <w:t xml:space="preserve"> indexů cen vývozu a </w:t>
      </w:r>
      <w:r w:rsidR="00F7151E">
        <w:rPr>
          <w:szCs w:val="22"/>
        </w:rPr>
        <w:t xml:space="preserve">indexů cen </w:t>
      </w:r>
      <w:r w:rsidR="00177C66" w:rsidRPr="0029080E">
        <w:rPr>
          <w:szCs w:val="22"/>
        </w:rPr>
        <w:t>dovozu</w:t>
      </w:r>
      <w:r w:rsidR="001060AC">
        <w:rPr>
          <w:szCs w:val="22"/>
        </w:rPr>
        <w:t>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</w:t>
      </w:r>
      <w:r w:rsidR="00C70687">
        <w:t>základu průměr roku 2015 = 100.</w:t>
      </w:r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FE7FE6" w:rsidRPr="00FE7FE6" w:rsidRDefault="00FE7FE6" w:rsidP="00FE7FE6">
      <w:pPr>
        <w:pStyle w:val="Zhlav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eastAsia="Times New Roman" w:hAnsi="Arial"/>
          <w:sz w:val="20"/>
          <w:szCs w:val="24"/>
          <w:lang w:eastAsia="cs-CZ"/>
        </w:rPr>
      </w:pPr>
      <w:r>
        <w:rPr>
          <w:rFonts w:ascii="Arial" w:eastAsia="Times New Roman" w:hAnsi="Arial"/>
          <w:sz w:val="20"/>
          <w:szCs w:val="24"/>
          <w:lang w:eastAsia="cs-CZ"/>
        </w:rPr>
        <w:t>V klasifikaci SITC byla b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ěhem revize z původního váhového obsazení </w:t>
      </w:r>
      <w:r>
        <w:rPr>
          <w:rFonts w:ascii="Arial" w:eastAsia="Times New Roman" w:hAnsi="Arial"/>
          <w:sz w:val="20"/>
          <w:szCs w:val="24"/>
          <w:lang w:eastAsia="cs-CZ"/>
        </w:rPr>
        <w:t>sekcí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0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až 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8 vyloučena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F83D97">
        <w:rPr>
          <w:rFonts w:ascii="Arial" w:eastAsia="Times New Roman" w:hAnsi="Arial"/>
          <w:sz w:val="20"/>
          <w:szCs w:val="24"/>
          <w:lang w:eastAsia="cs-CZ"/>
        </w:rPr>
        <w:t>4 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– Živočišné a rostlinné oleje. Tato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je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statisticky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ne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významná,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proto již není v šetření zahrnuta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. </w:t>
      </w:r>
      <w:r w:rsidR="003A3042">
        <w:rPr>
          <w:rFonts w:ascii="Arial" w:eastAsia="Times New Roman" w:hAnsi="Arial"/>
          <w:sz w:val="20"/>
          <w:szCs w:val="24"/>
          <w:lang w:eastAsia="cs-CZ"/>
        </w:rPr>
        <w:t>Podle této klasifikace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jsou n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>a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 xml:space="preserve">íc </w:t>
      </w:r>
      <w:r>
        <w:rPr>
          <w:rFonts w:ascii="Arial" w:eastAsia="Times New Roman" w:hAnsi="Arial"/>
          <w:sz w:val="20"/>
          <w:szCs w:val="24"/>
          <w:lang w:eastAsia="cs-CZ"/>
        </w:rPr>
        <w:t>publikovány statisticky významnější oddíly</w:t>
      </w:r>
      <w:r w:rsidR="00AE44F8">
        <w:rPr>
          <w:rFonts w:ascii="Arial" w:eastAsia="Times New Roman" w:hAnsi="Arial"/>
          <w:sz w:val="20"/>
          <w:szCs w:val="24"/>
          <w:lang w:eastAsia="cs-CZ"/>
        </w:rPr>
        <w:t xml:space="preserve"> sekce 7 – Stroje</w:t>
      </w:r>
      <w:r w:rsidR="00F83D97">
        <w:rPr>
          <w:rFonts w:ascii="Arial" w:eastAsia="Times New Roman" w:hAnsi="Arial"/>
          <w:sz w:val="20"/>
          <w:szCs w:val="24"/>
          <w:lang w:eastAsia="cs-CZ"/>
        </w:rPr>
        <w:t xml:space="preserve"> a </w:t>
      </w:r>
      <w:r w:rsidR="00AE44F8">
        <w:rPr>
          <w:rFonts w:ascii="Arial" w:eastAsia="Times New Roman" w:hAnsi="Arial"/>
          <w:sz w:val="20"/>
          <w:szCs w:val="24"/>
          <w:lang w:eastAsia="cs-CZ"/>
        </w:rPr>
        <w:t>dopravní prostředky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. U vývozu se jedná o oddíly </w:t>
      </w:r>
      <w:r w:rsidR="003803BC">
        <w:rPr>
          <w:rFonts w:ascii="Arial" w:eastAsia="Times New Roman" w:hAnsi="Arial"/>
          <w:sz w:val="20"/>
          <w:szCs w:val="24"/>
          <w:lang w:eastAsia="cs-CZ"/>
        </w:rPr>
        <w:t>74, 77</w:t>
      </w:r>
      <w:r>
        <w:rPr>
          <w:rFonts w:ascii="Arial" w:eastAsia="Times New Roman" w:hAnsi="Arial"/>
          <w:sz w:val="20"/>
          <w:szCs w:val="24"/>
          <w:lang w:eastAsia="cs-CZ"/>
        </w:rPr>
        <w:t>, 78 a u dovozu jde o oddíly 74, 75, 77 a 78.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</w:t>
      </w:r>
      <w:r w:rsidRPr="00D67F34">
        <w:rPr>
          <w:rFonts w:cs="Arial"/>
          <w:szCs w:val="20"/>
        </w:rPr>
        <w:t>na váhovém schématu na struktuře zahraničního</w:t>
      </w:r>
      <w:r w:rsidRPr="002C3966">
        <w:rPr>
          <w:rFonts w:cs="Arial"/>
          <w:szCs w:val="20"/>
        </w:rPr>
        <w:t xml:space="preserve">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>ny na časovou řadu se základem průměr roku</w:t>
      </w:r>
      <w:r w:rsidR="00F83D97">
        <w:rPr>
          <w:rFonts w:cs="Arial"/>
          <w:szCs w:val="20"/>
        </w:rPr>
        <w:t xml:space="preserve"> 2005 </w:t>
      </w:r>
      <w:r>
        <w:rPr>
          <w:rFonts w:cs="Arial"/>
          <w:szCs w:val="20"/>
        </w:rPr>
        <w:t>=</w:t>
      </w:r>
      <w:r w:rsidR="00F83D97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911FF9" w:rsidRPr="00A51F91" w:rsidRDefault="0031626E" w:rsidP="00A51F91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1" w:history="1">
        <w:hyperlink r:id="rId12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  <w:bookmarkStart w:id="0" w:name="_GoBack"/>
      <w:bookmarkEnd w:id="0"/>
    </w:p>
    <w:sectPr w:rsidR="00911FF9" w:rsidRPr="00A51F91" w:rsidSect="00FE6745">
      <w:footerReference w:type="even" r:id="rId13"/>
      <w:footerReference w:type="default" r:id="rId14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B7" w:rsidRDefault="005270B7" w:rsidP="00E71A58">
      <w:r>
        <w:separator/>
      </w:r>
    </w:p>
  </w:endnote>
  <w:endnote w:type="continuationSeparator" w:id="0">
    <w:p w:rsidR="005270B7" w:rsidRDefault="005270B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Pr="00F435D3" w:rsidRDefault="00A75E40" w:rsidP="00A51F91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BD077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10038715</wp:posOffset>
          </wp:positionV>
          <wp:extent cx="498475" cy="2609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B7" w:rsidRDefault="005270B7" w:rsidP="00E71A58">
      <w:r>
        <w:separator/>
      </w:r>
    </w:p>
  </w:footnote>
  <w:footnote w:type="continuationSeparator" w:id="0">
    <w:p w:rsidR="005270B7" w:rsidRDefault="005270B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4E05"/>
    <w:rsid w:val="00005A35"/>
    <w:rsid w:val="0000767A"/>
    <w:rsid w:val="00010702"/>
    <w:rsid w:val="00013E1A"/>
    <w:rsid w:val="0002308C"/>
    <w:rsid w:val="0002643D"/>
    <w:rsid w:val="0004694F"/>
    <w:rsid w:val="0005250D"/>
    <w:rsid w:val="00055AA1"/>
    <w:rsid w:val="00062EC5"/>
    <w:rsid w:val="000649C3"/>
    <w:rsid w:val="00073570"/>
    <w:rsid w:val="00075728"/>
    <w:rsid w:val="00081F96"/>
    <w:rsid w:val="00087634"/>
    <w:rsid w:val="000A1183"/>
    <w:rsid w:val="000B3B6E"/>
    <w:rsid w:val="000C3408"/>
    <w:rsid w:val="000F1899"/>
    <w:rsid w:val="000F51EA"/>
    <w:rsid w:val="000F547D"/>
    <w:rsid w:val="001039FD"/>
    <w:rsid w:val="001060AC"/>
    <w:rsid w:val="001166DA"/>
    <w:rsid w:val="00116C1B"/>
    <w:rsid w:val="001405FA"/>
    <w:rsid w:val="001425C3"/>
    <w:rsid w:val="00142C03"/>
    <w:rsid w:val="0014795A"/>
    <w:rsid w:val="00163793"/>
    <w:rsid w:val="00165865"/>
    <w:rsid w:val="001714F2"/>
    <w:rsid w:val="00172A57"/>
    <w:rsid w:val="00177C66"/>
    <w:rsid w:val="00185010"/>
    <w:rsid w:val="001851AD"/>
    <w:rsid w:val="001945BC"/>
    <w:rsid w:val="001A552F"/>
    <w:rsid w:val="001B038F"/>
    <w:rsid w:val="001B3110"/>
    <w:rsid w:val="001C565F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50C70"/>
    <w:rsid w:val="002546D7"/>
    <w:rsid w:val="00263815"/>
    <w:rsid w:val="00274B97"/>
    <w:rsid w:val="002765B6"/>
    <w:rsid w:val="002A0374"/>
    <w:rsid w:val="002A230C"/>
    <w:rsid w:val="002C164A"/>
    <w:rsid w:val="002C3688"/>
    <w:rsid w:val="002C43BD"/>
    <w:rsid w:val="002D2B85"/>
    <w:rsid w:val="002D3333"/>
    <w:rsid w:val="002D5457"/>
    <w:rsid w:val="002E02A1"/>
    <w:rsid w:val="002E4141"/>
    <w:rsid w:val="002E4E4C"/>
    <w:rsid w:val="002F4400"/>
    <w:rsid w:val="00304771"/>
    <w:rsid w:val="00306C5B"/>
    <w:rsid w:val="003155D9"/>
    <w:rsid w:val="0031626E"/>
    <w:rsid w:val="003209D6"/>
    <w:rsid w:val="003330AF"/>
    <w:rsid w:val="003332FF"/>
    <w:rsid w:val="003657F3"/>
    <w:rsid w:val="003803BC"/>
    <w:rsid w:val="003833DE"/>
    <w:rsid w:val="00385D98"/>
    <w:rsid w:val="00390BDF"/>
    <w:rsid w:val="00392636"/>
    <w:rsid w:val="00392780"/>
    <w:rsid w:val="00392E9C"/>
    <w:rsid w:val="003A2B4D"/>
    <w:rsid w:val="003A3042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174DD"/>
    <w:rsid w:val="00426A54"/>
    <w:rsid w:val="0043345C"/>
    <w:rsid w:val="004441A0"/>
    <w:rsid w:val="0044563C"/>
    <w:rsid w:val="004507FD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3896"/>
    <w:rsid w:val="004F7001"/>
    <w:rsid w:val="0050026C"/>
    <w:rsid w:val="00503902"/>
    <w:rsid w:val="005108C0"/>
    <w:rsid w:val="00511873"/>
    <w:rsid w:val="00513B7E"/>
    <w:rsid w:val="00525137"/>
    <w:rsid w:val="005251DD"/>
    <w:rsid w:val="0052659A"/>
    <w:rsid w:val="005270B7"/>
    <w:rsid w:val="0052722D"/>
    <w:rsid w:val="00546E30"/>
    <w:rsid w:val="00561DD9"/>
    <w:rsid w:val="0056317D"/>
    <w:rsid w:val="005634F2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105"/>
    <w:rsid w:val="005E334A"/>
    <w:rsid w:val="005F5796"/>
    <w:rsid w:val="00604307"/>
    <w:rsid w:val="0060487F"/>
    <w:rsid w:val="006049BB"/>
    <w:rsid w:val="006057F6"/>
    <w:rsid w:val="00606847"/>
    <w:rsid w:val="00624093"/>
    <w:rsid w:val="006404A7"/>
    <w:rsid w:val="006451E4"/>
    <w:rsid w:val="006510B9"/>
    <w:rsid w:val="0065786B"/>
    <w:rsid w:val="00657E87"/>
    <w:rsid w:val="0066140E"/>
    <w:rsid w:val="00661F1B"/>
    <w:rsid w:val="00661FF2"/>
    <w:rsid w:val="006678C0"/>
    <w:rsid w:val="006710C9"/>
    <w:rsid w:val="00671DD0"/>
    <w:rsid w:val="00675E37"/>
    <w:rsid w:val="0068039D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25D20"/>
    <w:rsid w:val="00730AE8"/>
    <w:rsid w:val="00741493"/>
    <w:rsid w:val="00750ED1"/>
    <w:rsid w:val="00752180"/>
    <w:rsid w:val="00755D3A"/>
    <w:rsid w:val="007607B5"/>
    <w:rsid w:val="007609C6"/>
    <w:rsid w:val="00761DA2"/>
    <w:rsid w:val="00771D61"/>
    <w:rsid w:val="00776527"/>
    <w:rsid w:val="00781593"/>
    <w:rsid w:val="0078292A"/>
    <w:rsid w:val="007A47B1"/>
    <w:rsid w:val="007B3F82"/>
    <w:rsid w:val="007C1190"/>
    <w:rsid w:val="007C6EFC"/>
    <w:rsid w:val="007D6647"/>
    <w:rsid w:val="007D6AC3"/>
    <w:rsid w:val="007E7E61"/>
    <w:rsid w:val="007F0845"/>
    <w:rsid w:val="007F094D"/>
    <w:rsid w:val="00821FF6"/>
    <w:rsid w:val="00825BA1"/>
    <w:rsid w:val="0083143E"/>
    <w:rsid w:val="00834FAA"/>
    <w:rsid w:val="00836086"/>
    <w:rsid w:val="008409F4"/>
    <w:rsid w:val="0084256F"/>
    <w:rsid w:val="00853454"/>
    <w:rsid w:val="008549D7"/>
    <w:rsid w:val="008634FB"/>
    <w:rsid w:val="00864238"/>
    <w:rsid w:val="00866E7B"/>
    <w:rsid w:val="00867A23"/>
    <w:rsid w:val="008740DF"/>
    <w:rsid w:val="00876086"/>
    <w:rsid w:val="0088140B"/>
    <w:rsid w:val="00883081"/>
    <w:rsid w:val="008837D4"/>
    <w:rsid w:val="00886A62"/>
    <w:rsid w:val="008919FF"/>
    <w:rsid w:val="0089301A"/>
    <w:rsid w:val="00894211"/>
    <w:rsid w:val="00895635"/>
    <w:rsid w:val="00896D5C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6220A"/>
    <w:rsid w:val="00974923"/>
    <w:rsid w:val="0098153A"/>
    <w:rsid w:val="00983714"/>
    <w:rsid w:val="00986F38"/>
    <w:rsid w:val="00990B81"/>
    <w:rsid w:val="009A27C6"/>
    <w:rsid w:val="009A2DCF"/>
    <w:rsid w:val="009A3BBD"/>
    <w:rsid w:val="009B4EC4"/>
    <w:rsid w:val="009B6FD3"/>
    <w:rsid w:val="009C4155"/>
    <w:rsid w:val="009C799C"/>
    <w:rsid w:val="009E3AF1"/>
    <w:rsid w:val="00A00F38"/>
    <w:rsid w:val="00A04058"/>
    <w:rsid w:val="00A10D66"/>
    <w:rsid w:val="00A176A2"/>
    <w:rsid w:val="00A23E43"/>
    <w:rsid w:val="00A262C1"/>
    <w:rsid w:val="00A44569"/>
    <w:rsid w:val="00A46DE0"/>
    <w:rsid w:val="00A51F91"/>
    <w:rsid w:val="00A547E8"/>
    <w:rsid w:val="00A62BAE"/>
    <w:rsid w:val="00A62CE1"/>
    <w:rsid w:val="00A67D29"/>
    <w:rsid w:val="00A72FBA"/>
    <w:rsid w:val="00A74CF2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AE44F8"/>
    <w:rsid w:val="00AE69B7"/>
    <w:rsid w:val="00B05BB3"/>
    <w:rsid w:val="00B160F1"/>
    <w:rsid w:val="00B17E71"/>
    <w:rsid w:val="00B17FDE"/>
    <w:rsid w:val="00B22311"/>
    <w:rsid w:val="00B312E2"/>
    <w:rsid w:val="00B32DDB"/>
    <w:rsid w:val="00B5156C"/>
    <w:rsid w:val="00B63A11"/>
    <w:rsid w:val="00B6608F"/>
    <w:rsid w:val="00B6630D"/>
    <w:rsid w:val="00B670BC"/>
    <w:rsid w:val="00B76487"/>
    <w:rsid w:val="00B76D1E"/>
    <w:rsid w:val="00B77636"/>
    <w:rsid w:val="00B95940"/>
    <w:rsid w:val="00BA5EFB"/>
    <w:rsid w:val="00BB74AA"/>
    <w:rsid w:val="00BC1FBE"/>
    <w:rsid w:val="00BC53BB"/>
    <w:rsid w:val="00BC6A1B"/>
    <w:rsid w:val="00BD0772"/>
    <w:rsid w:val="00BD366B"/>
    <w:rsid w:val="00BD6D50"/>
    <w:rsid w:val="00BE2D3E"/>
    <w:rsid w:val="00BE717C"/>
    <w:rsid w:val="00BF1578"/>
    <w:rsid w:val="00C01C59"/>
    <w:rsid w:val="00C0652A"/>
    <w:rsid w:val="00C10B48"/>
    <w:rsid w:val="00C21F94"/>
    <w:rsid w:val="00C2236B"/>
    <w:rsid w:val="00C24E44"/>
    <w:rsid w:val="00C26890"/>
    <w:rsid w:val="00C27913"/>
    <w:rsid w:val="00C34F3B"/>
    <w:rsid w:val="00C36A6F"/>
    <w:rsid w:val="00C406E0"/>
    <w:rsid w:val="00C54E7E"/>
    <w:rsid w:val="00C559B6"/>
    <w:rsid w:val="00C70687"/>
    <w:rsid w:val="00C70F30"/>
    <w:rsid w:val="00C738B9"/>
    <w:rsid w:val="00C77C83"/>
    <w:rsid w:val="00C82E89"/>
    <w:rsid w:val="00C90938"/>
    <w:rsid w:val="00C90CF4"/>
    <w:rsid w:val="00C93389"/>
    <w:rsid w:val="00C9342C"/>
    <w:rsid w:val="00C94454"/>
    <w:rsid w:val="00CB5596"/>
    <w:rsid w:val="00CC535E"/>
    <w:rsid w:val="00CF03AF"/>
    <w:rsid w:val="00CF283B"/>
    <w:rsid w:val="00CF51EC"/>
    <w:rsid w:val="00CF5ECD"/>
    <w:rsid w:val="00D040DD"/>
    <w:rsid w:val="00D068B4"/>
    <w:rsid w:val="00D33643"/>
    <w:rsid w:val="00D42F97"/>
    <w:rsid w:val="00D4484B"/>
    <w:rsid w:val="00D6376B"/>
    <w:rsid w:val="00D67F34"/>
    <w:rsid w:val="00D7325B"/>
    <w:rsid w:val="00D9071D"/>
    <w:rsid w:val="00DA5A0C"/>
    <w:rsid w:val="00DA5E02"/>
    <w:rsid w:val="00DB202D"/>
    <w:rsid w:val="00DB2C2F"/>
    <w:rsid w:val="00DB71F1"/>
    <w:rsid w:val="00DC3001"/>
    <w:rsid w:val="00DC4DFC"/>
    <w:rsid w:val="00DC5B3B"/>
    <w:rsid w:val="00DC7BB3"/>
    <w:rsid w:val="00DF2602"/>
    <w:rsid w:val="00E01C0E"/>
    <w:rsid w:val="00E04694"/>
    <w:rsid w:val="00E11C2D"/>
    <w:rsid w:val="00E136D7"/>
    <w:rsid w:val="00E179FA"/>
    <w:rsid w:val="00E263F8"/>
    <w:rsid w:val="00E35E54"/>
    <w:rsid w:val="00E4308E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36C7"/>
    <w:rsid w:val="00EC7441"/>
    <w:rsid w:val="00ED2FDE"/>
    <w:rsid w:val="00ED7D52"/>
    <w:rsid w:val="00EE1D6B"/>
    <w:rsid w:val="00EE3E78"/>
    <w:rsid w:val="00EF1F5A"/>
    <w:rsid w:val="00EF5E71"/>
    <w:rsid w:val="00EF7EFB"/>
    <w:rsid w:val="00F04811"/>
    <w:rsid w:val="00F0488C"/>
    <w:rsid w:val="00F07651"/>
    <w:rsid w:val="00F15BEF"/>
    <w:rsid w:val="00F24FAA"/>
    <w:rsid w:val="00F305CA"/>
    <w:rsid w:val="00F3364D"/>
    <w:rsid w:val="00F37D52"/>
    <w:rsid w:val="00F37DB6"/>
    <w:rsid w:val="00F435D3"/>
    <w:rsid w:val="00F47010"/>
    <w:rsid w:val="00F50328"/>
    <w:rsid w:val="00F63DDE"/>
    <w:rsid w:val="00F63FB7"/>
    <w:rsid w:val="00F7151E"/>
    <w:rsid w:val="00F73A0C"/>
    <w:rsid w:val="00F80FCE"/>
    <w:rsid w:val="00F83D97"/>
    <w:rsid w:val="00F9741B"/>
    <w:rsid w:val="00F97BE6"/>
    <w:rsid w:val="00FB38EC"/>
    <w:rsid w:val="00FB605C"/>
    <w:rsid w:val="00FC0E5F"/>
    <w:rsid w:val="00FC56DE"/>
    <w:rsid w:val="00FD26C0"/>
    <w:rsid w:val="00FE0D87"/>
    <w:rsid w:val="00FE2F78"/>
    <w:rsid w:val="00FE67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67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8C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8C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8C0"/>
    <w:rPr>
      <w:rFonts w:ascii="Arial" w:eastAsia="Times New Roman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67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8C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8C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8C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zso.cz/csu/czso/izc_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8351-05B0-40D2-A182-20C4E551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860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3</cp:revision>
  <cp:lastPrinted>2018-06-19T12:45:00Z</cp:lastPrinted>
  <dcterms:created xsi:type="dcterms:W3CDTF">2019-03-20T11:02:00Z</dcterms:created>
  <dcterms:modified xsi:type="dcterms:W3CDTF">2019-04-09T12:38:00Z</dcterms:modified>
</cp:coreProperties>
</file>