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AE" w:rsidRDefault="004E2DAE">
      <w:pPr>
        <w:pStyle w:val="Nzev"/>
        <w:spacing w:after="360"/>
        <w:ind w:firstLine="567"/>
        <w:jc w:val="left"/>
        <w:rPr>
          <w:b/>
          <w:bCs/>
          <w:sz w:val="32"/>
        </w:rPr>
      </w:pPr>
      <w:r>
        <w:rPr>
          <w:b/>
          <w:bCs/>
          <w:sz w:val="32"/>
        </w:rPr>
        <w:t>Úvod</w:t>
      </w:r>
    </w:p>
    <w:p w:rsidR="004E2DAE" w:rsidRDefault="004E2DAE">
      <w:pPr>
        <w:pStyle w:val="Zkladntextodsazen2"/>
      </w:pPr>
      <w:r>
        <w:t xml:space="preserve">Publikace obsahuje výsledky zpracování ročních statistických výkazů </w:t>
      </w:r>
      <w:proofErr w:type="spellStart"/>
      <w:r>
        <w:t>Pen</w:t>
      </w:r>
      <w:proofErr w:type="spellEnd"/>
      <w:r>
        <w:t> 5a</w:t>
      </w:r>
      <w:r>
        <w:noBreakHyphen/>
        <w:t xml:space="preserve">01, </w:t>
      </w:r>
      <w:proofErr w:type="spellStart"/>
      <w:r>
        <w:t>Pen</w:t>
      </w:r>
      <w:proofErr w:type="spellEnd"/>
      <w:r>
        <w:t xml:space="preserve"> 5b-</w:t>
      </w:r>
      <w:smartTag w:uri="urn:schemas-microsoft-com:office:smarttags" w:element="metricconverter">
        <w:smartTagPr>
          <w:attr w:name="ProductID" w:val="01 a"/>
        </w:smartTagPr>
        <w:r>
          <w:t>01 a</w:t>
        </w:r>
      </w:smartTag>
      <w:r>
        <w:t xml:space="preserve"> P5-01. Předkládaná statistická publika</w:t>
      </w:r>
      <w:r w:rsidR="00E52B6E">
        <w:t>ce obsahuje výsledky za rok</w:t>
      </w:r>
      <w:r w:rsidR="009E24CC">
        <w:t xml:space="preserve">y </w:t>
      </w:r>
      <w:r w:rsidR="00CA7A1D">
        <w:t>2011</w:t>
      </w:r>
      <w:r w:rsidR="009E24CC">
        <w:t xml:space="preserve"> až </w:t>
      </w:r>
      <w:r w:rsidR="00CA7A1D">
        <w:t>2013</w:t>
      </w:r>
      <w:r>
        <w:t>. Jde o údaje o z</w:t>
      </w:r>
      <w:r>
        <w:t>a</w:t>
      </w:r>
      <w:r>
        <w:t>městnancích, mzdách, dlouhodobém hmotném a nehmotném majetku, vybrané druhy nákladů a v</w:t>
      </w:r>
      <w:r>
        <w:t>ý</w:t>
      </w:r>
      <w:r>
        <w:t xml:space="preserve">nosů, vybrané položky aktiv a pasiv a některé doplňkové ukazatele. Kromě souhrnných údajů za banky a nebankovní peněžní instituce v ČR jsou dále uváděny ukazatele za investiční společnosti (včetně jejich podílových fondů), investiční fondy a finanční leasingové společnosti. </w:t>
      </w:r>
    </w:p>
    <w:p w:rsidR="004E2DAE" w:rsidRDefault="004E2DAE">
      <w:pPr>
        <w:spacing w:after="6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Výkaznickou povinnost k výkazu </w:t>
      </w:r>
      <w:proofErr w:type="spellStart"/>
      <w:r>
        <w:rPr>
          <w:rFonts w:ascii="Arial" w:hAnsi="Arial" w:cs="Arial"/>
          <w:sz w:val="20"/>
        </w:rPr>
        <w:t>Pen</w:t>
      </w:r>
      <w:proofErr w:type="spellEnd"/>
      <w:r>
        <w:rPr>
          <w:rFonts w:ascii="Arial" w:hAnsi="Arial" w:cs="Arial"/>
          <w:sz w:val="20"/>
        </w:rPr>
        <w:t xml:space="preserve"> 5a-01 mají ekonomické subjekty, kterým bylo v souladu s platným zákonem o bankách uděleno povolení ČNB působit jako banka. Patří sem ČNB, komerční a hypotekární banky a spořitelny, a to bez ohledu na počet zaměstnanců. Tyto subjekty mají převažující činnost peněžní zprostředkování (</w:t>
      </w:r>
      <w:r w:rsidR="00445101">
        <w:rPr>
          <w:rFonts w:ascii="Arial" w:hAnsi="Arial" w:cs="Arial"/>
          <w:sz w:val="20"/>
        </w:rPr>
        <w:t>CZ-NACE 64.1</w:t>
      </w:r>
      <w:r>
        <w:rPr>
          <w:rFonts w:ascii="Arial" w:hAnsi="Arial" w:cs="Arial"/>
          <w:sz w:val="20"/>
        </w:rPr>
        <w:t>) a vedou účetnictví podle účtové osnovy pro banky a jiné finanční instituce (vyhláška 501/2002 Sb. ze dne 6. listopadu 2002 ve znění pozdějších předpisů). Veškeré údaje v tabulkách jsou uváděny včetně údajů za Českou národní banku.</w:t>
      </w:r>
    </w:p>
    <w:p w:rsidR="004E2DAE" w:rsidRDefault="004E2DAE">
      <w:pPr>
        <w:spacing w:after="60"/>
        <w:ind w:firstLine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Výkaznickou povinnost k výkazu </w:t>
      </w:r>
      <w:proofErr w:type="spellStart"/>
      <w:r>
        <w:rPr>
          <w:rFonts w:ascii="Arial" w:hAnsi="Arial"/>
          <w:sz w:val="20"/>
        </w:rPr>
        <w:t>Pen</w:t>
      </w:r>
      <w:proofErr w:type="spellEnd"/>
      <w:r>
        <w:rPr>
          <w:rFonts w:ascii="Arial" w:hAnsi="Arial"/>
          <w:sz w:val="20"/>
        </w:rPr>
        <w:t xml:space="preserve"> 5b-01 mají podnikatelské subjekty, zapsané do obchodn</w:t>
      </w:r>
      <w:r>
        <w:rPr>
          <w:rFonts w:ascii="Arial" w:hAnsi="Arial"/>
          <w:sz w:val="20"/>
        </w:rPr>
        <w:t>í</w:t>
      </w:r>
      <w:r>
        <w:rPr>
          <w:rFonts w:ascii="Arial" w:hAnsi="Arial"/>
          <w:sz w:val="20"/>
        </w:rPr>
        <w:t>ho rejstříku s převažující činností ostatní finanční zprostředkování nebo pomocné činnosti související s finančním zprostředkováním (</w:t>
      </w:r>
      <w:r w:rsidR="00C168C9">
        <w:rPr>
          <w:rFonts w:ascii="Arial" w:hAnsi="Arial"/>
          <w:sz w:val="20"/>
        </w:rPr>
        <w:t>CZ-NACE</w:t>
      </w:r>
      <w:r>
        <w:rPr>
          <w:rFonts w:ascii="Arial" w:hAnsi="Arial"/>
          <w:sz w:val="20"/>
        </w:rPr>
        <w:t xml:space="preserve"> </w:t>
      </w:r>
      <w:r w:rsidR="00E52B6E">
        <w:rPr>
          <w:rFonts w:ascii="Arial" w:hAnsi="Arial"/>
          <w:sz w:val="20"/>
        </w:rPr>
        <w:t>64</w:t>
      </w:r>
      <w:r w:rsidR="00445101">
        <w:rPr>
          <w:rFonts w:ascii="Arial" w:hAnsi="Arial"/>
          <w:sz w:val="20"/>
        </w:rPr>
        <w:t xml:space="preserve">.2, 64.3, </w:t>
      </w:r>
      <w:smartTag w:uri="urn:schemas-microsoft-com:office:smarttags" w:element="metricconverter">
        <w:smartTagPr>
          <w:attr w:name="ProductID" w:val="64.9 a"/>
        </w:smartTagPr>
        <w:r w:rsidR="00445101">
          <w:rPr>
            <w:rFonts w:ascii="Arial" w:hAnsi="Arial"/>
            <w:sz w:val="20"/>
          </w:rPr>
          <w:t>64.9</w:t>
        </w:r>
        <w:r>
          <w:rPr>
            <w:rFonts w:ascii="Arial" w:hAnsi="Arial"/>
            <w:sz w:val="20"/>
          </w:rPr>
          <w:t xml:space="preserve"> a</w:t>
        </w:r>
      </w:smartTag>
      <w:r w:rsidR="00C168C9">
        <w:rPr>
          <w:rFonts w:ascii="Arial" w:hAnsi="Arial"/>
          <w:sz w:val="20"/>
        </w:rPr>
        <w:t xml:space="preserve"> 66</w:t>
      </w:r>
      <w:r>
        <w:rPr>
          <w:rFonts w:ascii="Arial" w:hAnsi="Arial"/>
          <w:sz w:val="20"/>
        </w:rPr>
        <w:t xml:space="preserve"> klasifikace ekonomických činností), a to bez ohledu na velikost organizace danou počtem zaměstnanců. Investiční společnosti mohou pře</w:t>
      </w:r>
      <w:r>
        <w:rPr>
          <w:rFonts w:ascii="Arial" w:hAnsi="Arial"/>
          <w:sz w:val="20"/>
        </w:rPr>
        <w:t>d</w:t>
      </w:r>
      <w:r>
        <w:rPr>
          <w:rFonts w:ascii="Arial" w:hAnsi="Arial"/>
          <w:sz w:val="20"/>
        </w:rPr>
        <w:t>kládat souhrnný výkaz, tj. údaje za vlastní hospodaření sloučené s údaji za hospodaření svých podíl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>vých fondů. Tyto subjekty vedou účetnictví podle účtové osnovy pro banky a jiné finanční instituce (</w:t>
      </w:r>
      <w:r>
        <w:rPr>
          <w:rFonts w:ascii="Arial" w:hAnsi="Arial" w:cs="Arial"/>
          <w:sz w:val="20"/>
        </w:rPr>
        <w:t>vyhláška 501/2002 Sb. ze dne 6. listopadu 2002 ve znění pozdějších předpisů</w:t>
      </w:r>
      <w:r>
        <w:rPr>
          <w:rFonts w:ascii="Arial" w:hAnsi="Arial"/>
          <w:sz w:val="20"/>
        </w:rPr>
        <w:t xml:space="preserve">). </w:t>
      </w:r>
    </w:p>
    <w:p w:rsidR="004E2DAE" w:rsidRDefault="004E2DAE">
      <w:pPr>
        <w:pStyle w:val="Zkladntextodsazen"/>
        <w:spacing w:after="60"/>
        <w:ind w:firstLine="567"/>
        <w:rPr>
          <w:sz w:val="20"/>
        </w:rPr>
      </w:pPr>
      <w:r>
        <w:rPr>
          <w:sz w:val="20"/>
        </w:rPr>
        <w:t>Výkaznickou povinnost k výkazu P 5-01 v rámci peněžnictví a pojišťovnictví mají podnikatelské subjekty, zapsané do obchodního rejstříku s převažující činností ostatní finanční zprostředkování nebo pomocné činnosti související s finančním</w:t>
      </w:r>
      <w:r w:rsidR="00C168C9">
        <w:rPr>
          <w:sz w:val="20"/>
        </w:rPr>
        <w:t xml:space="preserve"> zprostředkováním (</w:t>
      </w:r>
      <w:r w:rsidR="002A37DA">
        <w:rPr>
          <w:sz w:val="20"/>
        </w:rPr>
        <w:t xml:space="preserve">CZ-NACE </w:t>
      </w:r>
      <w:r w:rsidR="001E5F58">
        <w:rPr>
          <w:sz w:val="20"/>
        </w:rPr>
        <w:t xml:space="preserve">64.2, 64.3, </w:t>
      </w:r>
      <w:smartTag w:uri="urn:schemas-microsoft-com:office:smarttags" w:element="metricconverter">
        <w:smartTagPr>
          <w:attr w:name="ProductID" w:val="64.9 a"/>
        </w:smartTagPr>
        <w:r w:rsidR="001E5F58">
          <w:rPr>
            <w:sz w:val="20"/>
          </w:rPr>
          <w:t>64.9 a</w:t>
        </w:r>
      </w:smartTag>
      <w:r w:rsidR="001E5F58">
        <w:rPr>
          <w:sz w:val="20"/>
        </w:rPr>
        <w:t xml:space="preserve"> 66 </w:t>
      </w:r>
      <w:r>
        <w:rPr>
          <w:sz w:val="20"/>
        </w:rPr>
        <w:t>klasifik</w:t>
      </w:r>
      <w:r>
        <w:rPr>
          <w:sz w:val="20"/>
        </w:rPr>
        <w:t>a</w:t>
      </w:r>
      <w:r>
        <w:rPr>
          <w:sz w:val="20"/>
        </w:rPr>
        <w:t>ce ekonomických činností) účtující podle účtové osnovy a postupů účtování pro podnikatele (</w:t>
      </w:r>
      <w:r>
        <w:rPr>
          <w:rFonts w:cs="Arial"/>
          <w:sz w:val="20"/>
        </w:rPr>
        <w:t>vyhláška 500/2002 Sb. ze dne 6. listopadu 2002 ve znění pozdějších předpisů</w:t>
      </w:r>
      <w:r>
        <w:rPr>
          <w:sz w:val="20"/>
        </w:rPr>
        <w:t xml:space="preserve"> - tedy neúčtující podle účtové osnovy pro banky a jiné finanční instituce), a to bez ohledu na velikost organizace danou </w:t>
      </w:r>
      <w:proofErr w:type="gramStart"/>
      <w:r>
        <w:rPr>
          <w:sz w:val="20"/>
        </w:rPr>
        <w:t>počtem</w:t>
      </w:r>
      <w:r w:rsidR="00AF74A6">
        <w:rPr>
          <w:sz w:val="20"/>
        </w:rPr>
        <w:t xml:space="preserve"> </w:t>
      </w:r>
      <w:r>
        <w:rPr>
          <w:sz w:val="20"/>
        </w:rPr>
        <w:t xml:space="preserve"> zaměstnanců</w:t>
      </w:r>
      <w:proofErr w:type="gramEnd"/>
      <w:r>
        <w:rPr>
          <w:sz w:val="20"/>
        </w:rPr>
        <w:t>.</w:t>
      </w:r>
    </w:p>
    <w:p w:rsidR="004E2DAE" w:rsidRDefault="004E2DAE">
      <w:pPr>
        <w:pStyle w:val="Nadpis1"/>
        <w:spacing w:before="480" w:after="320"/>
        <w:ind w:firstLine="0"/>
        <w:jc w:val="left"/>
      </w:pPr>
      <w:r>
        <w:t>Poznámky k tabulkám</w:t>
      </w:r>
    </w:p>
    <w:p w:rsidR="004E2DAE" w:rsidRDefault="004E2DAE">
      <w:pPr>
        <w:pStyle w:val="Zkladntext2"/>
        <w:ind w:firstLine="567"/>
        <w:rPr>
          <w:b/>
          <w:bCs/>
          <w:i/>
          <w:iCs/>
        </w:rPr>
      </w:pPr>
      <w:r>
        <w:t>Ukazatelé bankovních peněžních institucí jsou zařazeny v tabulkách 1 až 9, ukazatelé neba</w:t>
      </w:r>
      <w:r>
        <w:t>n</w:t>
      </w:r>
      <w:r>
        <w:t xml:space="preserve">kovních peněžních </w:t>
      </w:r>
      <w:proofErr w:type="gramStart"/>
      <w:r>
        <w:t>ins</w:t>
      </w:r>
      <w:r w:rsidR="00256ECF">
        <w:t>titucí  účtující</w:t>
      </w:r>
      <w:proofErr w:type="gramEnd"/>
      <w:r w:rsidR="00256ECF">
        <w:t xml:space="preserve"> jako banky jsou v tabulkách 10 až 18</w:t>
      </w:r>
      <w:r>
        <w:t>, ukazatelé investičních sp</w:t>
      </w:r>
      <w:r>
        <w:t>o</w:t>
      </w:r>
      <w:bookmarkStart w:id="0" w:name="_GoBack"/>
      <w:bookmarkEnd w:id="0"/>
      <w:r>
        <w:t>lečností a investičních fondů jsou v ta</w:t>
      </w:r>
      <w:r w:rsidR="00256ECF">
        <w:t xml:space="preserve">bulkách 19 až 27, </w:t>
      </w:r>
      <w:r>
        <w:t>ukazatelé</w:t>
      </w:r>
      <w:r w:rsidR="00256ECF">
        <w:t xml:space="preserve"> </w:t>
      </w:r>
      <w:r w:rsidR="00256ECF">
        <w:rPr>
          <w:bCs/>
        </w:rPr>
        <w:t>n</w:t>
      </w:r>
      <w:r w:rsidR="00256ECF" w:rsidRPr="00256ECF">
        <w:rPr>
          <w:bCs/>
        </w:rPr>
        <w:t>ebankovní</w:t>
      </w:r>
      <w:r w:rsidR="00256ECF">
        <w:rPr>
          <w:bCs/>
        </w:rPr>
        <w:t>ch</w:t>
      </w:r>
      <w:r w:rsidR="00256ECF" w:rsidRPr="00256ECF">
        <w:rPr>
          <w:bCs/>
        </w:rPr>
        <w:t xml:space="preserve"> peněžní</w:t>
      </w:r>
      <w:r w:rsidR="00256ECF">
        <w:rPr>
          <w:bCs/>
        </w:rPr>
        <w:t>ch institucí</w:t>
      </w:r>
      <w:r w:rsidR="00256ECF" w:rsidRPr="00256ECF">
        <w:rPr>
          <w:bCs/>
        </w:rPr>
        <w:t xml:space="preserve"> účtující jako podnikatelé</w:t>
      </w:r>
      <w:r w:rsidR="00256ECF">
        <w:t xml:space="preserve"> jsou v tabulkách  28 až </w:t>
      </w:r>
      <w:smartTag w:uri="urn:schemas-microsoft-com:office:smarttags" w:element="metricconverter">
        <w:smartTagPr>
          <w:attr w:name="ProductID" w:val="36 a"/>
        </w:smartTagPr>
        <w:r w:rsidR="00256ECF">
          <w:t>36 a</w:t>
        </w:r>
      </w:smartTag>
      <w:r w:rsidR="00256ECF">
        <w:t xml:space="preserve"> ukazatelé finančních </w:t>
      </w:r>
      <w:r>
        <w:t xml:space="preserve"> leasingových společnos</w:t>
      </w:r>
      <w:r w:rsidR="00256ECF">
        <w:t>tí jsou v tabulkách 37</w:t>
      </w:r>
      <w:r>
        <w:t xml:space="preserve"> až</w:t>
      </w:r>
      <w:r w:rsidR="00256ECF">
        <w:t xml:space="preserve"> 45</w:t>
      </w:r>
      <w:r>
        <w:t>.</w:t>
      </w:r>
    </w:p>
    <w:p w:rsidR="004E2DAE" w:rsidRDefault="00D748E3" w:rsidP="00D07BD5">
      <w:pPr>
        <w:pStyle w:val="Zkladntextodsazen"/>
        <w:tabs>
          <w:tab w:val="left" w:pos="720"/>
        </w:tabs>
        <w:ind w:firstLine="0"/>
        <w:rPr>
          <w:rFonts w:cs="Arial"/>
          <w:sz w:val="20"/>
          <w:szCs w:val="20"/>
        </w:rPr>
      </w:pPr>
      <w:r>
        <w:rPr>
          <w:rFonts w:cs="Arial"/>
          <w:i/>
          <w:iCs/>
          <w:sz w:val="20"/>
          <w:szCs w:val="20"/>
          <w:lang w:val="en-GB"/>
        </w:rPr>
        <w:t xml:space="preserve">“–“ </w:t>
      </w:r>
      <w:r w:rsidR="00D07BD5">
        <w:rPr>
          <w:rFonts w:cs="Arial"/>
          <w:sz w:val="20"/>
          <w:szCs w:val="20"/>
        </w:rPr>
        <w:t xml:space="preserve">       </w:t>
      </w:r>
      <w:r w:rsidR="00F3041D">
        <w:rPr>
          <w:rFonts w:cs="Arial"/>
          <w:i/>
          <w:iCs/>
          <w:sz w:val="20"/>
          <w:szCs w:val="20"/>
          <w:lang w:val="en-GB"/>
        </w:rPr>
        <w:t xml:space="preserve">– </w:t>
      </w:r>
      <w:r w:rsidR="00F3041D">
        <w:rPr>
          <w:rFonts w:cs="Arial"/>
          <w:sz w:val="20"/>
          <w:szCs w:val="20"/>
        </w:rPr>
        <w:t>pokud nebyl zjištěn žádný úd</w:t>
      </w:r>
    </w:p>
    <w:p w:rsidR="00995A9A" w:rsidRDefault="00D748E3" w:rsidP="00F3041D">
      <w:pPr>
        <w:pStyle w:val="Zkladntextodsazen"/>
        <w:ind w:left="900" w:hanging="900"/>
        <w:rPr>
          <w:rFonts w:cs="Arial"/>
          <w:sz w:val="20"/>
          <w:szCs w:val="20"/>
        </w:rPr>
      </w:pPr>
      <w:r>
        <w:rPr>
          <w:rFonts w:cs="Arial"/>
          <w:i/>
          <w:iCs/>
          <w:sz w:val="20"/>
          <w:szCs w:val="20"/>
          <w:lang w:val="en-GB"/>
        </w:rPr>
        <w:t>“</w:t>
      </w:r>
      <w:smartTag w:uri="urn:schemas-microsoft-com:office:smarttags" w:element="metricconverter">
        <w:smartTagPr>
          <w:attr w:name="ProductID" w:val="0”"/>
        </w:smartTagPr>
        <w:r>
          <w:rPr>
            <w:rFonts w:cs="Arial"/>
            <w:i/>
            <w:iCs/>
            <w:sz w:val="20"/>
            <w:szCs w:val="20"/>
            <w:lang w:val="en-GB"/>
          </w:rPr>
          <w:t>0”</w:t>
        </w:r>
      </w:smartTag>
      <w:r w:rsidR="00F3041D">
        <w:rPr>
          <w:rFonts w:cs="Arial"/>
          <w:i/>
          <w:iCs/>
          <w:sz w:val="20"/>
          <w:szCs w:val="20"/>
          <w:lang w:val="en-GB"/>
        </w:rPr>
        <w:t xml:space="preserve">     </w:t>
      </w:r>
      <w:r w:rsidR="0059105E">
        <w:rPr>
          <w:rFonts w:cs="Arial"/>
          <w:i/>
          <w:iCs/>
          <w:sz w:val="20"/>
          <w:szCs w:val="20"/>
          <w:lang w:val="en-GB"/>
        </w:rPr>
        <w:t xml:space="preserve">  </w:t>
      </w:r>
      <w:r w:rsidR="00F3041D">
        <w:rPr>
          <w:rFonts w:cs="Arial"/>
          <w:i/>
          <w:iCs/>
          <w:sz w:val="20"/>
          <w:szCs w:val="20"/>
          <w:lang w:val="en-GB"/>
        </w:rPr>
        <w:t xml:space="preserve"> </w:t>
      </w:r>
      <w:r w:rsidR="00D07BD5">
        <w:rPr>
          <w:rFonts w:cs="Arial"/>
          <w:i/>
          <w:iCs/>
          <w:sz w:val="20"/>
          <w:szCs w:val="20"/>
          <w:lang w:val="en-GB"/>
        </w:rPr>
        <w:t>–</w:t>
      </w:r>
      <w:r w:rsidR="00F3041D">
        <w:rPr>
          <w:rFonts w:cs="Arial"/>
          <w:i/>
          <w:iCs/>
          <w:sz w:val="20"/>
          <w:szCs w:val="20"/>
          <w:lang w:val="en-GB"/>
        </w:rPr>
        <w:t xml:space="preserve"> </w:t>
      </w:r>
      <w:r w:rsidR="004E2DAE">
        <w:rPr>
          <w:rFonts w:cs="Arial"/>
          <w:sz w:val="20"/>
          <w:szCs w:val="20"/>
        </w:rPr>
        <w:t>pokud byla hodnota zjištěna, ale nedosahuje ani takové velikosti, aby mohla být vy</w:t>
      </w:r>
      <w:r w:rsidR="00104E43">
        <w:rPr>
          <w:rFonts w:cs="Arial"/>
          <w:sz w:val="20"/>
          <w:szCs w:val="20"/>
        </w:rPr>
        <w:t>kázána</w:t>
      </w:r>
    </w:p>
    <w:p w:rsidR="004E2DAE" w:rsidRDefault="00995A9A" w:rsidP="00995A9A">
      <w:pPr>
        <w:pStyle w:val="Zkladntextodsazen"/>
        <w:ind w:left="900" w:hanging="360"/>
        <w:rPr>
          <w:rFonts w:cs="Arial"/>
          <w:sz w:val="20"/>
          <w:szCs w:val="20"/>
        </w:rPr>
      </w:pPr>
      <w:r>
        <w:rPr>
          <w:rFonts w:cs="Arial"/>
          <w:i/>
          <w:iCs/>
          <w:sz w:val="20"/>
          <w:szCs w:val="20"/>
          <w:lang w:val="en-GB"/>
        </w:rPr>
        <w:t xml:space="preserve">  </w:t>
      </w:r>
      <w:r w:rsidR="004E2DAE">
        <w:rPr>
          <w:rFonts w:cs="Arial"/>
          <w:sz w:val="20"/>
          <w:szCs w:val="20"/>
        </w:rPr>
        <w:t xml:space="preserve"> </w:t>
      </w:r>
      <w:r w:rsidR="0059105E">
        <w:rPr>
          <w:rFonts w:cs="Arial"/>
          <w:sz w:val="20"/>
          <w:szCs w:val="20"/>
        </w:rPr>
        <w:t xml:space="preserve"> </w:t>
      </w:r>
      <w:r w:rsidR="00F3041D">
        <w:rPr>
          <w:rFonts w:cs="Arial"/>
          <w:sz w:val="20"/>
          <w:szCs w:val="20"/>
        </w:rPr>
        <w:t xml:space="preserve"> </w:t>
      </w:r>
      <w:r w:rsidR="004E2DAE">
        <w:rPr>
          <w:rFonts w:cs="Arial"/>
          <w:sz w:val="20"/>
          <w:szCs w:val="20"/>
        </w:rPr>
        <w:t>podle pravidel o zaokrouhlování jako nenulové číslo</w:t>
      </w:r>
    </w:p>
    <w:p w:rsidR="00D748E3" w:rsidRDefault="00D748E3" w:rsidP="00D748E3">
      <w:pPr>
        <w:pStyle w:val="Zkladntextodsazen"/>
        <w:ind w:left="540" w:hanging="540"/>
        <w:rPr>
          <w:rFonts w:cs="Arial"/>
          <w:sz w:val="20"/>
          <w:szCs w:val="20"/>
        </w:rPr>
      </w:pPr>
      <w:r>
        <w:rPr>
          <w:rFonts w:cs="Arial"/>
          <w:i/>
          <w:iCs/>
          <w:sz w:val="20"/>
          <w:szCs w:val="20"/>
          <w:lang w:val="en-GB"/>
        </w:rPr>
        <w:t>“.”</w:t>
      </w:r>
      <w:r>
        <w:rPr>
          <w:rFonts w:cs="Arial"/>
          <w:i/>
          <w:iCs/>
          <w:sz w:val="20"/>
          <w:szCs w:val="20"/>
          <w:lang w:val="en-GB"/>
        </w:rPr>
        <w:tab/>
      </w:r>
      <w:r w:rsidR="00D07BD5">
        <w:rPr>
          <w:rFonts w:cs="Arial"/>
          <w:i/>
          <w:iCs/>
          <w:sz w:val="20"/>
          <w:szCs w:val="20"/>
          <w:lang w:val="en-GB"/>
        </w:rPr>
        <w:tab/>
        <w:t>–</w:t>
      </w:r>
      <w:r>
        <w:rPr>
          <w:rFonts w:cs="Arial"/>
          <w:i/>
          <w:iCs/>
          <w:sz w:val="20"/>
          <w:szCs w:val="20"/>
          <w:lang w:val="en-GB"/>
        </w:rPr>
        <w:t xml:space="preserve"> </w:t>
      </w:r>
      <w:proofErr w:type="gramStart"/>
      <w:r w:rsidR="004E2DAE">
        <w:rPr>
          <w:rFonts w:cs="Arial"/>
          <w:sz w:val="20"/>
          <w:szCs w:val="20"/>
        </w:rPr>
        <w:t>jestliže</w:t>
      </w:r>
      <w:proofErr w:type="gramEnd"/>
      <w:r w:rsidR="004E2DAE">
        <w:rPr>
          <w:rFonts w:cs="Arial"/>
          <w:sz w:val="20"/>
          <w:szCs w:val="20"/>
        </w:rPr>
        <w:t xml:space="preserve"> příslušný údaj není k dispozici resp. se v příslušné kategorii nebo subkategorii</w:t>
      </w:r>
    </w:p>
    <w:p w:rsidR="004E2DAE" w:rsidRDefault="00F3041D" w:rsidP="00F3041D">
      <w:pPr>
        <w:pStyle w:val="Zkladntextodsazen"/>
        <w:ind w:left="900" w:hanging="19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  <w:proofErr w:type="gramStart"/>
      <w:r w:rsidR="004E2DAE">
        <w:rPr>
          <w:rFonts w:cs="Arial"/>
          <w:sz w:val="20"/>
          <w:szCs w:val="20"/>
        </w:rPr>
        <w:t>vyskytuje nižší</w:t>
      </w:r>
      <w:proofErr w:type="gramEnd"/>
      <w:r w:rsidR="004E2DAE">
        <w:rPr>
          <w:rFonts w:cs="Arial"/>
          <w:sz w:val="20"/>
          <w:szCs w:val="20"/>
        </w:rPr>
        <w:t xml:space="preserve"> počet jednotek, než odpovídá podmínkám pro poskytování statistických in</w:t>
      </w:r>
      <w:r>
        <w:rPr>
          <w:rFonts w:cs="Arial"/>
          <w:sz w:val="20"/>
          <w:szCs w:val="20"/>
        </w:rPr>
        <w:t xml:space="preserve">  </w:t>
      </w:r>
      <w:r w:rsidR="004E2DAE">
        <w:rPr>
          <w:rFonts w:cs="Arial"/>
          <w:sz w:val="20"/>
          <w:szCs w:val="20"/>
        </w:rPr>
        <w:t>formací</w:t>
      </w:r>
    </w:p>
    <w:p w:rsidR="004E2DAE" w:rsidRDefault="00D748E3" w:rsidP="00D748E3">
      <w:pPr>
        <w:tabs>
          <w:tab w:val="left" w:pos="0"/>
          <w:tab w:val="left" w:pos="142"/>
          <w:tab w:val="left" w:pos="709"/>
          <w:tab w:val="left" w:pos="1418"/>
          <w:tab w:val="left" w:pos="21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60"/>
        <w:jc w:val="both"/>
        <w:rPr>
          <w:rFonts w:ascii="Arial" w:hAnsi="Arial" w:cs="Arial"/>
          <w:sz w:val="20"/>
        </w:rPr>
      </w:pPr>
      <w:r>
        <w:rPr>
          <w:rFonts w:cs="Arial"/>
          <w:i/>
          <w:iCs/>
          <w:sz w:val="20"/>
          <w:szCs w:val="20"/>
          <w:lang w:val="en-GB"/>
        </w:rPr>
        <w:t>“</w:t>
      </w:r>
      <w:proofErr w:type="gramStart"/>
      <w:r>
        <w:rPr>
          <w:rFonts w:cs="Arial"/>
          <w:i/>
          <w:iCs/>
          <w:sz w:val="20"/>
          <w:szCs w:val="20"/>
          <w:lang w:val="en-GB"/>
        </w:rPr>
        <w:t>x</w:t>
      </w:r>
      <w:proofErr w:type="gramEnd"/>
      <w:r>
        <w:rPr>
          <w:rFonts w:cs="Arial"/>
          <w:i/>
          <w:iCs/>
          <w:sz w:val="20"/>
          <w:szCs w:val="20"/>
          <w:lang w:val="en-GB"/>
        </w:rPr>
        <w:t xml:space="preserve">”   </w:t>
      </w:r>
      <w:r>
        <w:rPr>
          <w:rFonts w:cs="Arial"/>
          <w:i/>
          <w:iCs/>
          <w:sz w:val="20"/>
          <w:szCs w:val="20"/>
          <w:lang w:val="en-GB"/>
        </w:rPr>
        <w:tab/>
      </w:r>
      <w:r w:rsidR="009633F1">
        <w:rPr>
          <w:rFonts w:cs="Arial"/>
          <w:i/>
          <w:iCs/>
          <w:sz w:val="20"/>
          <w:szCs w:val="20"/>
          <w:lang w:val="en-GB"/>
        </w:rPr>
        <w:t xml:space="preserve"> </w:t>
      </w:r>
      <w:r w:rsidR="00F3041D">
        <w:rPr>
          <w:rFonts w:cs="Arial"/>
          <w:i/>
          <w:iCs/>
          <w:sz w:val="20"/>
          <w:szCs w:val="20"/>
          <w:lang w:val="en-GB"/>
        </w:rPr>
        <w:t>–</w:t>
      </w:r>
      <w:r w:rsidR="00622F73">
        <w:rPr>
          <w:rFonts w:cs="Arial"/>
          <w:i/>
          <w:iCs/>
          <w:sz w:val="20"/>
          <w:szCs w:val="20"/>
          <w:lang w:val="en-GB"/>
        </w:rPr>
        <w:t xml:space="preserve"> </w:t>
      </w:r>
      <w:r w:rsidR="004E2DAE">
        <w:rPr>
          <w:rFonts w:ascii="Arial" w:hAnsi="Arial" w:cs="Arial"/>
          <w:sz w:val="20"/>
        </w:rPr>
        <w:t xml:space="preserve">údaj se nemůže vyskytnout z logických důvodů </w:t>
      </w:r>
    </w:p>
    <w:p w:rsidR="004E2DAE" w:rsidRPr="008D52B6" w:rsidRDefault="00D748E3" w:rsidP="008D52B6">
      <w:pPr>
        <w:tabs>
          <w:tab w:val="left" w:pos="0"/>
          <w:tab w:val="left" w:pos="142"/>
          <w:tab w:val="left" w:pos="900"/>
          <w:tab w:val="left" w:pos="1418"/>
          <w:tab w:val="left" w:pos="21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60"/>
        <w:ind w:left="900" w:hanging="19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E2DAE">
        <w:rPr>
          <w:rFonts w:ascii="Arial" w:hAnsi="Arial" w:cs="Arial"/>
          <w:sz w:val="20"/>
        </w:rPr>
        <w:t xml:space="preserve">Pojem </w:t>
      </w:r>
      <w:r w:rsidR="004E2DAE">
        <w:rPr>
          <w:rFonts w:ascii="Arial" w:hAnsi="Arial" w:cs="Arial"/>
          <w:b/>
          <w:bCs/>
          <w:sz w:val="20"/>
        </w:rPr>
        <w:t>fyzické osoby</w:t>
      </w:r>
      <w:r w:rsidR="004E2DAE">
        <w:rPr>
          <w:rFonts w:ascii="Arial" w:hAnsi="Arial" w:cs="Arial"/>
          <w:sz w:val="20"/>
        </w:rPr>
        <w:t xml:space="preserve"> zahrnuje jednotlivce (občany) a osoby samostatně výdělečně </w:t>
      </w:r>
      <w:proofErr w:type="gramStart"/>
      <w:r w:rsidR="004E2DAE">
        <w:rPr>
          <w:rFonts w:ascii="Arial" w:hAnsi="Arial" w:cs="Arial"/>
          <w:sz w:val="20"/>
        </w:rPr>
        <w:t xml:space="preserve">činné </w:t>
      </w:r>
      <w:r>
        <w:rPr>
          <w:rFonts w:ascii="Arial" w:hAnsi="Arial" w:cs="Arial"/>
          <w:sz w:val="20"/>
        </w:rPr>
        <w:t xml:space="preserve">  </w:t>
      </w:r>
      <w:r w:rsidR="009633F1">
        <w:rPr>
          <w:rFonts w:ascii="Arial" w:hAnsi="Arial" w:cs="Arial"/>
          <w:sz w:val="20"/>
        </w:rPr>
        <w:t xml:space="preserve">   </w:t>
      </w:r>
      <w:r w:rsidR="004E2DAE">
        <w:rPr>
          <w:rFonts w:ascii="Arial" w:hAnsi="Arial" w:cs="Arial"/>
          <w:sz w:val="20"/>
        </w:rPr>
        <w:t>(podnikatelé</w:t>
      </w:r>
      <w:proofErr w:type="gramEnd"/>
      <w:r w:rsidR="004E2DAE">
        <w:rPr>
          <w:rFonts w:ascii="Arial" w:hAnsi="Arial" w:cs="Arial"/>
          <w:sz w:val="20"/>
        </w:rPr>
        <w:t>, živnostníci, svobodná povolání), nezapsané v obchodním rejstříku.</w:t>
      </w:r>
    </w:p>
    <w:p w:rsidR="004E2DAE" w:rsidRDefault="004E2DAE">
      <w:pPr>
        <w:rPr>
          <w:lang w:val="en-GB"/>
        </w:rPr>
      </w:pPr>
    </w:p>
    <w:sectPr w:rsidR="004E2DAE" w:rsidSect="004209E8">
      <w:headerReference w:type="default" r:id="rId7"/>
      <w:pgSz w:w="11906" w:h="16838"/>
      <w:pgMar w:top="1418" w:right="1418" w:bottom="1259" w:left="1418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460" w:rsidRDefault="002B5460">
      <w:r>
        <w:separator/>
      </w:r>
    </w:p>
  </w:endnote>
  <w:endnote w:type="continuationSeparator" w:id="0">
    <w:p w:rsidR="002B5460" w:rsidRDefault="002B5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460" w:rsidRDefault="002B5460">
      <w:r>
        <w:separator/>
      </w:r>
    </w:p>
  </w:footnote>
  <w:footnote w:type="continuationSeparator" w:id="0">
    <w:p w:rsidR="002B5460" w:rsidRDefault="002B5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8AF" w:rsidRDefault="00F028AF">
    <w:pPr>
      <w:pStyle w:val="Zhlav"/>
      <w:rPr>
        <w:rFonts w:ascii="Arial" w:hAnsi="Arial" w:cs="Arial"/>
        <w:b/>
        <w:bCs/>
        <w:sz w:val="20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C1376"/>
    <w:multiLevelType w:val="hybridMultilevel"/>
    <w:tmpl w:val="7E2013C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EE14D11"/>
    <w:multiLevelType w:val="hybridMultilevel"/>
    <w:tmpl w:val="8D58E3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onsecutiveHyphenLimit w:val="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BFB"/>
    <w:rsid w:val="0003000D"/>
    <w:rsid w:val="0005687E"/>
    <w:rsid w:val="00072B57"/>
    <w:rsid w:val="000C450C"/>
    <w:rsid w:val="00104E43"/>
    <w:rsid w:val="0014646B"/>
    <w:rsid w:val="00192320"/>
    <w:rsid w:val="001E5F58"/>
    <w:rsid w:val="00256ECF"/>
    <w:rsid w:val="002869D6"/>
    <w:rsid w:val="002A37DA"/>
    <w:rsid w:val="002A71D6"/>
    <w:rsid w:val="002B5460"/>
    <w:rsid w:val="003B7D10"/>
    <w:rsid w:val="004209E8"/>
    <w:rsid w:val="00445101"/>
    <w:rsid w:val="00466EB3"/>
    <w:rsid w:val="00496324"/>
    <w:rsid w:val="004C081E"/>
    <w:rsid w:val="004D66DC"/>
    <w:rsid w:val="004E1567"/>
    <w:rsid w:val="004E2DAE"/>
    <w:rsid w:val="00501B17"/>
    <w:rsid w:val="005574D3"/>
    <w:rsid w:val="0059105E"/>
    <w:rsid w:val="00622F73"/>
    <w:rsid w:val="006A2A7F"/>
    <w:rsid w:val="006B320E"/>
    <w:rsid w:val="006D4434"/>
    <w:rsid w:val="0075099F"/>
    <w:rsid w:val="0078728E"/>
    <w:rsid w:val="00794601"/>
    <w:rsid w:val="007D024B"/>
    <w:rsid w:val="00833F0D"/>
    <w:rsid w:val="008A017A"/>
    <w:rsid w:val="008D52B6"/>
    <w:rsid w:val="0090597D"/>
    <w:rsid w:val="009633F1"/>
    <w:rsid w:val="00995A9A"/>
    <w:rsid w:val="009E24CC"/>
    <w:rsid w:val="00AF74A6"/>
    <w:rsid w:val="00B8362E"/>
    <w:rsid w:val="00B92B39"/>
    <w:rsid w:val="00C168C9"/>
    <w:rsid w:val="00C82BFB"/>
    <w:rsid w:val="00C90B51"/>
    <w:rsid w:val="00C932F4"/>
    <w:rsid w:val="00CA7A1D"/>
    <w:rsid w:val="00D07BD5"/>
    <w:rsid w:val="00D46716"/>
    <w:rsid w:val="00D7025B"/>
    <w:rsid w:val="00D748E3"/>
    <w:rsid w:val="00DF072E"/>
    <w:rsid w:val="00DF675B"/>
    <w:rsid w:val="00E46AF0"/>
    <w:rsid w:val="00E52B6E"/>
    <w:rsid w:val="00F028AF"/>
    <w:rsid w:val="00F3041D"/>
    <w:rsid w:val="00FF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09E8"/>
    <w:rPr>
      <w:sz w:val="24"/>
      <w:szCs w:val="24"/>
    </w:rPr>
  </w:style>
  <w:style w:type="paragraph" w:styleId="Nadpis1">
    <w:name w:val="heading 1"/>
    <w:basedOn w:val="Normln"/>
    <w:next w:val="Normln"/>
    <w:qFormat/>
    <w:rsid w:val="004209E8"/>
    <w:pPr>
      <w:keepNext/>
      <w:spacing w:before="60" w:after="60"/>
      <w:ind w:firstLine="567"/>
      <w:jc w:val="both"/>
      <w:outlineLvl w:val="0"/>
    </w:pPr>
    <w:rPr>
      <w:rFonts w:ascii="Arial" w:hAnsi="Arial"/>
      <w:b/>
      <w:bCs/>
      <w:i/>
      <w:iCs/>
      <w:sz w:val="28"/>
    </w:rPr>
  </w:style>
  <w:style w:type="paragraph" w:styleId="Nadpis2">
    <w:name w:val="heading 2"/>
    <w:basedOn w:val="Normln"/>
    <w:next w:val="Normln"/>
    <w:qFormat/>
    <w:rsid w:val="004209E8"/>
    <w:pPr>
      <w:keepNext/>
      <w:spacing w:after="360"/>
      <w:ind w:firstLine="567"/>
      <w:jc w:val="both"/>
      <w:outlineLvl w:val="1"/>
    </w:pPr>
    <w:rPr>
      <w:rFonts w:ascii="Arial" w:hAnsi="Arial"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209E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jc w:val="both"/>
    </w:pPr>
    <w:rPr>
      <w:rFonts w:ascii="Arial" w:hAnsi="Arial"/>
    </w:rPr>
  </w:style>
  <w:style w:type="paragraph" w:styleId="Nzev">
    <w:name w:val="Title"/>
    <w:basedOn w:val="Normln"/>
    <w:qFormat/>
    <w:rsid w:val="004209E8"/>
    <w:pPr>
      <w:jc w:val="center"/>
    </w:pPr>
    <w:rPr>
      <w:rFonts w:ascii="Arial" w:hAnsi="Arial"/>
      <w:sz w:val="28"/>
    </w:rPr>
  </w:style>
  <w:style w:type="paragraph" w:styleId="Zkladntextodsazen">
    <w:name w:val="Body Text Indent"/>
    <w:basedOn w:val="Normln"/>
    <w:rsid w:val="004209E8"/>
    <w:pPr>
      <w:ind w:firstLine="709"/>
      <w:jc w:val="both"/>
    </w:pPr>
    <w:rPr>
      <w:rFonts w:ascii="Arial" w:hAnsi="Arial"/>
    </w:rPr>
  </w:style>
  <w:style w:type="paragraph" w:styleId="Zhlav">
    <w:name w:val="header"/>
    <w:basedOn w:val="Normln"/>
    <w:rsid w:val="004209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E8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4209E8"/>
    <w:pPr>
      <w:spacing w:after="60"/>
      <w:ind w:firstLine="567"/>
      <w:jc w:val="both"/>
    </w:pPr>
    <w:rPr>
      <w:rFonts w:ascii="Arial" w:hAnsi="Arial"/>
      <w:sz w:val="20"/>
    </w:rPr>
  </w:style>
  <w:style w:type="paragraph" w:styleId="Zkladntext2">
    <w:name w:val="Body Text 2"/>
    <w:basedOn w:val="Normln"/>
    <w:rsid w:val="004209E8"/>
    <w:pPr>
      <w:widowControl w:val="0"/>
      <w:tabs>
        <w:tab w:val="left" w:pos="0"/>
        <w:tab w:val="left" w:pos="142"/>
        <w:tab w:val="left" w:pos="709"/>
        <w:tab w:val="left" w:pos="1418"/>
        <w:tab w:val="left" w:pos="212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autoSpaceDE w:val="0"/>
      <w:autoSpaceDN w:val="0"/>
      <w:adjustRightInd w:val="0"/>
      <w:spacing w:after="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rsid w:val="004209E8"/>
    <w:pPr>
      <w:spacing w:after="60"/>
      <w:ind w:firstLine="567"/>
      <w:jc w:val="both"/>
    </w:pPr>
    <w:rPr>
      <w:rFonts w:ascii="Arial" w:hAnsi="Arial" w:cs="Arial"/>
      <w:i/>
      <w:iCs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60" w:after="60"/>
      <w:ind w:firstLine="567"/>
      <w:jc w:val="both"/>
      <w:outlineLvl w:val="0"/>
    </w:pPr>
    <w:rPr>
      <w:rFonts w:ascii="Arial" w:hAnsi="Arial"/>
      <w:b/>
      <w:bCs/>
      <w:i/>
      <w:iC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ind w:firstLine="567"/>
      <w:jc w:val="both"/>
      <w:outlineLvl w:val="1"/>
    </w:pPr>
    <w:rPr>
      <w:rFonts w:ascii="Arial" w:hAnsi="Arial" w:cs="Arial"/>
      <w:i/>
      <w:i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jc w:val="both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sz w:val="28"/>
    </w:rPr>
  </w:style>
  <w:style w:type="paragraph" w:styleId="Zkladntextodsazen">
    <w:name w:val="Body Text Indent"/>
    <w:basedOn w:val="Normln"/>
    <w:pPr>
      <w:ind w:firstLine="709"/>
      <w:jc w:val="both"/>
    </w:pPr>
    <w:rPr>
      <w:rFonts w:ascii="Arial" w:hAnsi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spacing w:after="60"/>
      <w:ind w:firstLine="567"/>
      <w:jc w:val="both"/>
    </w:pPr>
    <w:rPr>
      <w:rFonts w:ascii="Arial" w:hAnsi="Arial"/>
      <w:sz w:val="20"/>
    </w:rPr>
  </w:style>
  <w:style w:type="paragraph" w:styleId="Zkladntext2">
    <w:name w:val="Body Text 2"/>
    <w:basedOn w:val="Normln"/>
    <w:pPr>
      <w:widowControl w:val="0"/>
      <w:tabs>
        <w:tab w:val="left" w:pos="0"/>
        <w:tab w:val="left" w:pos="142"/>
        <w:tab w:val="left" w:pos="709"/>
        <w:tab w:val="left" w:pos="1418"/>
        <w:tab w:val="left" w:pos="212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autoSpaceDE w:val="0"/>
      <w:autoSpaceDN w:val="0"/>
      <w:adjustRightInd w:val="0"/>
      <w:spacing w:after="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pPr>
      <w:spacing w:after="60"/>
      <w:ind w:firstLine="567"/>
      <w:jc w:val="both"/>
    </w:pPr>
    <w:rPr>
      <w:rFonts w:ascii="Arial" w:hAnsi="Arial" w:cs="Arial"/>
      <w:i/>
      <w:iCs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bruzek</dc:creator>
  <cp:lastModifiedBy>Operator</cp:lastModifiedBy>
  <cp:revision>3</cp:revision>
  <cp:lastPrinted>2012-04-12T10:58:00Z</cp:lastPrinted>
  <dcterms:created xsi:type="dcterms:W3CDTF">2016-05-26T09:03:00Z</dcterms:created>
  <dcterms:modified xsi:type="dcterms:W3CDTF">2016-05-26T09:03:00Z</dcterms:modified>
</cp:coreProperties>
</file>