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A0" w:rsidRDefault="00441FA0">
      <w:pPr>
        <w:pStyle w:val="Nadpis5"/>
      </w:pPr>
      <w:bookmarkStart w:id="0" w:name="_GoBack"/>
      <w:bookmarkEnd w:id="0"/>
      <w:r>
        <w:t>KOMENTÁŘ</w:t>
      </w:r>
    </w:p>
    <w:p w:rsidR="00441FA0" w:rsidRDefault="00441FA0">
      <w:pPr>
        <w:pStyle w:val="Nadpis5"/>
        <w:jc w:val="left"/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K 15. červenci 20</w:t>
      </w:r>
      <w:r w:rsidR="00BA34E6">
        <w:rPr>
          <w:rFonts w:ascii="Arial" w:hAnsi="Arial"/>
          <w:sz w:val="20"/>
        </w:rPr>
        <w:t>2</w:t>
      </w:r>
      <w:r w:rsidR="002B397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zpracoval Český statistický úřad odhady hektarových výnosů a sklizní hrachu setého, máku, vybraných druhů ovoce a zeleniny a zpřesnil odhady produkce základních druhů obilovin (pšenice, žita, ječmene, ovsa a tritikale), řepky, brambor raných, jahod, třešní a višní. </w:t>
      </w:r>
    </w:p>
    <w:p w:rsidR="00441FA0" w:rsidRDefault="00441FA0">
      <w:pPr>
        <w:pStyle w:val="Zkladntext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Podle těchto zpřesněných odhadů se očekává sklizeň základních obilovin (tj. vč. triticale, ale bez kukuřice na zrno a ostatních obilovin) ve výši 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</w:t>
      </w:r>
      <w:r w:rsidR="002B3976">
        <w:rPr>
          <w:rFonts w:ascii="Arial" w:hAnsi="Arial"/>
          <w:sz w:val="20"/>
        </w:rPr>
        <w:t>995</w:t>
      </w:r>
      <w:r w:rsidR="00BA34E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tis. tun při průměrném výnosu </w:t>
      </w:r>
      <w:r w:rsidR="00D77AEA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BA34E6">
        <w:rPr>
          <w:rFonts w:ascii="Arial" w:hAnsi="Arial"/>
          <w:sz w:val="20"/>
        </w:rPr>
        <w:t>6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t/ha. Proti odhadu z předcházejícího měsíce to znamená </w:t>
      </w:r>
      <w:r w:rsidR="00BA34E6">
        <w:rPr>
          <w:rFonts w:ascii="Arial" w:hAnsi="Arial"/>
          <w:sz w:val="20"/>
        </w:rPr>
        <w:t>zvýšení</w:t>
      </w:r>
      <w:r>
        <w:rPr>
          <w:rFonts w:ascii="Arial" w:hAnsi="Arial"/>
          <w:sz w:val="20"/>
        </w:rPr>
        <w:t xml:space="preserve"> očekávané produkce základních obilovin o </w:t>
      </w:r>
      <w:r w:rsidR="00BA34E6">
        <w:rPr>
          <w:rFonts w:ascii="Arial" w:hAnsi="Arial"/>
          <w:sz w:val="20"/>
        </w:rPr>
        <w:t>2</w:t>
      </w:r>
      <w:r w:rsidR="002B3976">
        <w:rPr>
          <w:rFonts w:ascii="Arial" w:hAnsi="Arial"/>
          <w:sz w:val="20"/>
        </w:rPr>
        <w:t>27</w:t>
      </w:r>
      <w:r>
        <w:rPr>
          <w:rFonts w:ascii="Arial" w:hAnsi="Arial"/>
          <w:sz w:val="20"/>
        </w:rPr>
        <w:t> tis. tun, tj. o </w:t>
      </w:r>
      <w:r w:rsidR="00BA34E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 %. Při porovnání s loňskou skutečností je to </w:t>
      </w:r>
      <w:r w:rsidR="002B3976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o</w:t>
      </w:r>
      <w:r w:rsidR="00A56231">
        <w:rPr>
          <w:rFonts w:ascii="Arial" w:hAnsi="Arial"/>
          <w:sz w:val="20"/>
        </w:rPr>
        <w:t xml:space="preserve"> </w:t>
      </w:r>
      <w:r w:rsidR="002B3976">
        <w:rPr>
          <w:rFonts w:ascii="Arial" w:hAnsi="Arial"/>
          <w:sz w:val="20"/>
        </w:rPr>
        <w:t>293</w:t>
      </w:r>
      <w:r>
        <w:rPr>
          <w:rFonts w:ascii="Arial" w:hAnsi="Arial"/>
          <w:sz w:val="20"/>
        </w:rPr>
        <w:t> tis. tun, tj. o </w:t>
      </w:r>
      <w:r w:rsidR="002B397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 %. </w:t>
      </w: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 pšenice celkem se počítá s produkcí </w:t>
      </w:r>
      <w:r w:rsidR="00A71D1F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 </w:t>
      </w:r>
      <w:r w:rsidR="002B3976">
        <w:rPr>
          <w:rFonts w:ascii="Arial" w:hAnsi="Arial"/>
          <w:sz w:val="20"/>
        </w:rPr>
        <w:t>696</w:t>
      </w:r>
      <w:r>
        <w:rPr>
          <w:rFonts w:ascii="Arial" w:hAnsi="Arial"/>
          <w:sz w:val="20"/>
        </w:rPr>
        <w:t> tis. tun, tj. ve srovnání s loňskou sklizní množství o </w:t>
      </w:r>
      <w:r w:rsidR="002B397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 % </w:t>
      </w:r>
      <w:r w:rsidR="00BA34E6">
        <w:rPr>
          <w:rFonts w:ascii="Arial" w:hAnsi="Arial"/>
          <w:sz w:val="20"/>
        </w:rPr>
        <w:t>nižší</w:t>
      </w:r>
      <w:r>
        <w:rPr>
          <w:rFonts w:ascii="Arial" w:hAnsi="Arial"/>
          <w:sz w:val="20"/>
        </w:rPr>
        <w:t xml:space="preserve"> (z toho sklizeň pšenice ozimé činí 4 </w:t>
      </w:r>
      <w:r w:rsidR="002B3976">
        <w:rPr>
          <w:rFonts w:ascii="Arial" w:hAnsi="Arial"/>
          <w:sz w:val="20"/>
        </w:rPr>
        <w:t>322</w:t>
      </w:r>
      <w:r>
        <w:rPr>
          <w:rFonts w:ascii="Arial" w:hAnsi="Arial"/>
          <w:sz w:val="20"/>
        </w:rPr>
        <w:t xml:space="preserve"> tis. tun). U ječmene celkem se předpokládá sklizeň </w:t>
      </w:r>
      <w:r w:rsidR="002B3976">
        <w:rPr>
          <w:rFonts w:ascii="Arial" w:hAnsi="Arial"/>
          <w:sz w:val="20"/>
        </w:rPr>
        <w:t>nižší</w:t>
      </w:r>
      <w:r w:rsidR="00E03A2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2B397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%, a to 1 </w:t>
      </w:r>
      <w:r w:rsidR="00BA34E6">
        <w:rPr>
          <w:rFonts w:ascii="Arial" w:hAnsi="Arial"/>
          <w:sz w:val="20"/>
        </w:rPr>
        <w:t>7</w:t>
      </w:r>
      <w:r w:rsidR="002B3976">
        <w:rPr>
          <w:rFonts w:ascii="Arial" w:hAnsi="Arial"/>
          <w:sz w:val="20"/>
        </w:rPr>
        <w:t>50</w:t>
      </w:r>
      <w:r>
        <w:rPr>
          <w:rFonts w:ascii="Arial" w:hAnsi="Arial"/>
          <w:sz w:val="20"/>
        </w:rPr>
        <w:t> tis. tun (z toho sklizeň ječmene jarního činí 1 </w:t>
      </w:r>
      <w:r w:rsidR="00BA34E6">
        <w:rPr>
          <w:rFonts w:ascii="Arial" w:hAnsi="Arial"/>
          <w:sz w:val="20"/>
        </w:rPr>
        <w:t>1</w:t>
      </w:r>
      <w:r w:rsidR="002B3976">
        <w:rPr>
          <w:rFonts w:ascii="Arial" w:hAnsi="Arial"/>
          <w:sz w:val="20"/>
        </w:rPr>
        <w:t>17</w:t>
      </w:r>
      <w:r>
        <w:rPr>
          <w:rFonts w:ascii="Arial" w:hAnsi="Arial"/>
          <w:sz w:val="20"/>
        </w:rPr>
        <w:t> tis. tun, tj. o </w:t>
      </w:r>
      <w:r w:rsidR="002B3976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% </w:t>
      </w:r>
      <w:r w:rsidR="002B3976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než v roce 20</w:t>
      </w:r>
      <w:r w:rsidR="002B3976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). Hektarový výnos pšenice ozimé je odhadován na 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0</w:t>
      </w:r>
      <w:r w:rsidR="00BA34E6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 tun (loňská skutečnost 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 tun), žita </w:t>
      </w:r>
      <w:r w:rsidR="00E03A2C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BA34E6">
        <w:rPr>
          <w:rFonts w:ascii="Arial" w:hAnsi="Arial"/>
          <w:sz w:val="20"/>
        </w:rPr>
        <w:t>3</w:t>
      </w:r>
      <w:r w:rsidR="002B397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 tun (</w:t>
      </w:r>
      <w:r w:rsidR="00BA34E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48</w:t>
      </w:r>
      <w:r>
        <w:rPr>
          <w:rFonts w:ascii="Arial" w:hAnsi="Arial"/>
          <w:sz w:val="20"/>
        </w:rPr>
        <w:t xml:space="preserve"> tun) a ječmene jarního </w:t>
      </w:r>
      <w:r w:rsidR="00E03A2C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18</w:t>
      </w:r>
      <w:r>
        <w:rPr>
          <w:rFonts w:ascii="Arial" w:hAnsi="Arial"/>
          <w:sz w:val="20"/>
        </w:rPr>
        <w:t> tun (</w:t>
      </w:r>
      <w:r w:rsidR="00BA34E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15</w:t>
      </w:r>
      <w:r>
        <w:rPr>
          <w:rFonts w:ascii="Arial" w:hAnsi="Arial"/>
          <w:sz w:val="20"/>
        </w:rPr>
        <w:t xml:space="preserve"> tun). </w:t>
      </w:r>
    </w:p>
    <w:p w:rsidR="00441FA0" w:rsidRDefault="00441FA0">
      <w:pPr>
        <w:pStyle w:val="Zkladntext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Sklizeň raných brambor (sklizeň do 30. 6.) dosáhne </w:t>
      </w:r>
      <w:r w:rsidR="002B3976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 tis. tun při očekávaném průměrném výnosu </w:t>
      </w:r>
      <w:r w:rsidR="00553538">
        <w:rPr>
          <w:rFonts w:ascii="Arial" w:hAnsi="Arial"/>
          <w:sz w:val="20"/>
        </w:rPr>
        <w:t>2</w:t>
      </w:r>
      <w:r w:rsidR="00BA34E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00</w:t>
      </w:r>
      <w:r>
        <w:rPr>
          <w:rFonts w:ascii="Arial" w:hAnsi="Arial"/>
          <w:sz w:val="20"/>
        </w:rPr>
        <w:t> t/ha. Produkce řepky při předpokládaném hektarovém výnosu 3,</w:t>
      </w:r>
      <w:r w:rsidR="00553538">
        <w:rPr>
          <w:rFonts w:ascii="Arial" w:hAnsi="Arial"/>
          <w:sz w:val="20"/>
        </w:rPr>
        <w:t>1</w:t>
      </w:r>
      <w:r w:rsidR="002B397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 tun (vloni </w:t>
      </w:r>
      <w:r w:rsidR="00E03A2C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38</w:t>
      </w:r>
      <w:r>
        <w:rPr>
          <w:rFonts w:ascii="Arial" w:hAnsi="Arial"/>
          <w:sz w:val="20"/>
        </w:rPr>
        <w:t> tun) se očekává ve výši 1 </w:t>
      </w:r>
      <w:r w:rsidR="002B3976">
        <w:rPr>
          <w:rFonts w:ascii="Arial" w:hAnsi="Arial"/>
          <w:sz w:val="20"/>
        </w:rPr>
        <w:t>079</w:t>
      </w:r>
      <w:r>
        <w:rPr>
          <w:rFonts w:ascii="Arial" w:hAnsi="Arial"/>
          <w:sz w:val="20"/>
        </w:rPr>
        <w:t> tis. tun, tj. o</w:t>
      </w:r>
      <w:r w:rsidR="00F12514">
        <w:rPr>
          <w:rFonts w:ascii="Arial" w:hAnsi="Arial"/>
          <w:sz w:val="20"/>
        </w:rPr>
        <w:t> </w:t>
      </w:r>
      <w:r w:rsidR="002B3976">
        <w:rPr>
          <w:rFonts w:ascii="Arial" w:hAnsi="Arial"/>
          <w:sz w:val="20"/>
        </w:rPr>
        <w:t>166</w:t>
      </w:r>
      <w:r>
        <w:rPr>
          <w:rFonts w:ascii="Arial" w:hAnsi="Arial"/>
          <w:sz w:val="20"/>
        </w:rPr>
        <w:t> tis. tun (o </w:t>
      </w:r>
      <w:r w:rsidR="00A71D1F">
        <w:rPr>
          <w:rFonts w:ascii="Arial" w:hAnsi="Arial"/>
          <w:sz w:val="20"/>
        </w:rPr>
        <w:t>1</w:t>
      </w:r>
      <w:r w:rsidR="002B397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%) </w:t>
      </w:r>
      <w:r w:rsidR="00E03A2C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než v loňském roce. Produkce máku </w:t>
      </w:r>
      <w:r w:rsidR="002B3976">
        <w:rPr>
          <w:rFonts w:ascii="Arial" w:hAnsi="Arial"/>
          <w:sz w:val="20"/>
        </w:rPr>
        <w:t>31</w:t>
      </w:r>
      <w:r>
        <w:rPr>
          <w:rFonts w:ascii="Arial" w:hAnsi="Arial"/>
          <w:sz w:val="20"/>
        </w:rPr>
        <w:t> tis. tun se proti minulému roku (</w:t>
      </w:r>
      <w:r w:rsidR="00BA34E6">
        <w:rPr>
          <w:rFonts w:ascii="Arial" w:hAnsi="Arial"/>
          <w:sz w:val="20"/>
        </w:rPr>
        <w:t>2</w:t>
      </w:r>
      <w:r w:rsidR="002B3976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 tis. tun)</w:t>
      </w:r>
      <w:r w:rsidR="0013600D">
        <w:rPr>
          <w:rFonts w:ascii="Arial" w:hAnsi="Arial"/>
          <w:sz w:val="20"/>
        </w:rPr>
        <w:t xml:space="preserve"> </w:t>
      </w:r>
      <w:r w:rsidR="00E03A2C">
        <w:rPr>
          <w:rFonts w:ascii="Arial" w:hAnsi="Arial"/>
          <w:sz w:val="20"/>
        </w:rPr>
        <w:t>zvýšila</w:t>
      </w:r>
      <w:r>
        <w:rPr>
          <w:rFonts w:ascii="Arial" w:hAnsi="Arial"/>
          <w:sz w:val="20"/>
        </w:rPr>
        <w:t>, hektarový výnos 0,</w:t>
      </w:r>
      <w:r w:rsidR="00E03A2C">
        <w:rPr>
          <w:rFonts w:ascii="Arial" w:hAnsi="Arial"/>
          <w:sz w:val="20"/>
        </w:rPr>
        <w:t>7</w:t>
      </w:r>
      <w:r w:rsidR="002B397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t </w:t>
      </w:r>
      <w:r w:rsidR="002B3976">
        <w:rPr>
          <w:rFonts w:ascii="Arial" w:hAnsi="Arial"/>
          <w:sz w:val="20"/>
        </w:rPr>
        <w:t>je stejný jako v loňském roce.</w:t>
      </w:r>
      <w:r>
        <w:rPr>
          <w:rFonts w:ascii="Arial" w:hAnsi="Arial"/>
          <w:sz w:val="20"/>
        </w:rPr>
        <w:t xml:space="preserve"> </w:t>
      </w: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sectPr w:rsidR="00441FA0">
      <w:footerReference w:type="default" r:id="rId6"/>
      <w:endnotePr>
        <w:numFmt w:val="decimal"/>
      </w:endnotePr>
      <w:pgSz w:w="11905" w:h="16837"/>
      <w:pgMar w:top="1134" w:right="1134" w:bottom="1134" w:left="1134" w:header="1134" w:footer="851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F8" w:rsidRDefault="00653FF8">
      <w:r>
        <w:separator/>
      </w:r>
    </w:p>
  </w:endnote>
  <w:endnote w:type="continuationSeparator" w:id="0">
    <w:p w:rsidR="00653FF8" w:rsidRDefault="0065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A0" w:rsidRDefault="00441FA0">
    <w:pPr>
      <w:spacing w:line="240" w:lineRule="exact"/>
    </w:pPr>
  </w:p>
  <w:p w:rsidR="00441FA0" w:rsidRDefault="00441FA0">
    <w:pPr>
      <w:framePr w:wrap="auto" w:vAnchor="text" w:hAnchor="margin" w:xAlign="outside" w:y="1"/>
      <w:jc w:val="center"/>
    </w:pPr>
  </w:p>
  <w:p w:rsidR="00441FA0" w:rsidRDefault="00441FA0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F8" w:rsidRDefault="00653FF8">
      <w:r>
        <w:separator/>
      </w:r>
    </w:p>
  </w:footnote>
  <w:footnote w:type="continuationSeparator" w:id="0">
    <w:p w:rsidR="00653FF8" w:rsidRDefault="0065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A"/>
    <w:rsid w:val="00041FA8"/>
    <w:rsid w:val="000973EE"/>
    <w:rsid w:val="000E43AC"/>
    <w:rsid w:val="0013600D"/>
    <w:rsid w:val="00196FF6"/>
    <w:rsid w:val="001C5765"/>
    <w:rsid w:val="002165C3"/>
    <w:rsid w:val="002440DC"/>
    <w:rsid w:val="002B3976"/>
    <w:rsid w:val="00441FA0"/>
    <w:rsid w:val="00553538"/>
    <w:rsid w:val="0062430B"/>
    <w:rsid w:val="00643D31"/>
    <w:rsid w:val="00653FF8"/>
    <w:rsid w:val="006E3244"/>
    <w:rsid w:val="00962280"/>
    <w:rsid w:val="00976F2C"/>
    <w:rsid w:val="00A56231"/>
    <w:rsid w:val="00A71D1F"/>
    <w:rsid w:val="00AC3633"/>
    <w:rsid w:val="00BA34E6"/>
    <w:rsid w:val="00D153BF"/>
    <w:rsid w:val="00D525B7"/>
    <w:rsid w:val="00D77AEA"/>
    <w:rsid w:val="00D8096B"/>
    <w:rsid w:val="00D80A06"/>
    <w:rsid w:val="00DA106E"/>
    <w:rsid w:val="00E03A2C"/>
    <w:rsid w:val="00E23DEE"/>
    <w:rsid w:val="00F12514"/>
    <w:rsid w:val="00F51E2B"/>
    <w:rsid w:val="00FB17D9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9EFB-AFF9-49A9-A03D-17A35DC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i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widowControl w:val="0"/>
      <w:ind w:right="-152"/>
      <w:jc w:val="center"/>
      <w:outlineLvl w:val="0"/>
    </w:pPr>
    <w:rPr>
      <w:rFonts w:ascii="Times New Roman CE oby_ejné" w:hAnsi="Times New Roman CE oby_ejné"/>
      <w:i w:val="0"/>
      <w:sz w:val="4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right="-152"/>
      <w:jc w:val="center"/>
      <w:outlineLvl w:val="1"/>
    </w:pPr>
    <w:rPr>
      <w:rFonts w:ascii="Arial" w:hAnsi="Arial"/>
      <w:b/>
      <w:i w:val="0"/>
      <w:sz w:val="28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4"/>
    </w:pPr>
    <w:rPr>
      <w:rFonts w:ascii="Arial" w:hAnsi="Arial"/>
      <w:b/>
      <w:i w:val="0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character" w:customStyle="1" w:styleId="a">
    <w:name w:val="•"/>
    <w:rPr>
      <w:rFonts w:ascii="Arial" w:hAnsi="Arial"/>
      <w:sz w:val="24"/>
    </w:rPr>
  </w:style>
  <w:style w:type="paragraph" w:customStyle="1" w:styleId="BlockText">
    <w:name w:val="Block Text"/>
    <w:basedOn w:val="Normln"/>
    <w:pPr>
      <w:tabs>
        <w:tab w:val="left" w:pos="-1440"/>
      </w:tabs>
      <w:ind w:left="5760" w:right="-152" w:hanging="5760"/>
    </w:pPr>
    <w:rPr>
      <w:rFonts w:ascii="Arial" w:hAnsi="Arial"/>
      <w:lang w:val="cs-CZ"/>
    </w:rPr>
  </w:style>
  <w:style w:type="paragraph" w:styleId="Nzev">
    <w:name w:val="Title"/>
    <w:basedOn w:val="Normln"/>
    <w:qFormat/>
    <w:pPr>
      <w:keepLines/>
      <w:spacing w:line="271" w:lineRule="auto"/>
      <w:jc w:val="center"/>
    </w:pPr>
    <w:rPr>
      <w:b/>
      <w:i w:val="0"/>
      <w:lang w:val="cs-CZ"/>
    </w:rPr>
  </w:style>
  <w:style w:type="paragraph" w:styleId="Zkladntext">
    <w:name w:val="Body Text"/>
    <w:basedOn w:val="Normln"/>
    <w:semiHidden/>
    <w:pPr>
      <w:spacing w:line="238" w:lineRule="auto"/>
      <w:jc w:val="both"/>
    </w:pPr>
    <w:rPr>
      <w:i w:val="0"/>
      <w:lang w:val="cs-CZ"/>
    </w:rPr>
  </w:style>
  <w:style w:type="paragraph" w:customStyle="1" w:styleId="BodyText2">
    <w:name w:val="Body Text 2"/>
    <w:basedOn w:val="Normln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rFonts w:ascii="Arial" w:hAnsi="Arial"/>
      <w:i w:val="0"/>
      <w:lang w:val="cs-CZ"/>
    </w:rPr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</w:pPr>
    <w:rPr>
      <w:rFonts w:ascii="Roman 10cpi" w:hAnsi="Roman 10cpi"/>
      <w:i w:val="0"/>
      <w:sz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</w:pPr>
    <w:rPr>
      <w:rFonts w:ascii="Roman 10cpi" w:hAnsi="Roman 10cpi"/>
      <w:i w:val="0"/>
      <w:sz w:val="20"/>
    </w:rPr>
  </w:style>
  <w:style w:type="paragraph" w:customStyle="1" w:styleId="BlockText0">
    <w:name w:val="Block Text"/>
    <w:basedOn w:val="Normln"/>
    <w:pPr>
      <w:widowControl w:val="0"/>
      <w:spacing w:line="264" w:lineRule="auto"/>
      <w:ind w:left="-142" w:right="-285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BodyText20">
    <w:name w:val="Body Text 2"/>
    <w:basedOn w:val="Normln"/>
    <w:pPr>
      <w:widowControl w:val="0"/>
      <w:spacing w:line="264" w:lineRule="auto"/>
      <w:ind w:right="-142" w:firstLine="436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BodyTextIndent2">
    <w:name w:val="Body Text Indent 2"/>
    <w:basedOn w:val="Normln"/>
    <w:pPr>
      <w:widowControl w:val="0"/>
      <w:spacing w:line="264" w:lineRule="auto"/>
      <w:ind w:firstLine="436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BodyTextIndent3">
    <w:name w:val="Body Text Indent 3"/>
    <w:basedOn w:val="Normln"/>
    <w:pPr>
      <w:widowControl w:val="0"/>
      <w:spacing w:line="264" w:lineRule="auto"/>
      <w:ind w:right="-142" w:firstLine="568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BodyText21">
    <w:name w:val="Body Text 2"/>
    <w:basedOn w:val="Normln"/>
    <w:pPr>
      <w:spacing w:line="264" w:lineRule="auto"/>
      <w:ind w:right="-285"/>
      <w:jc w:val="both"/>
    </w:pPr>
    <w:rPr>
      <w:rFonts w:ascii="Arial" w:hAnsi="Arial"/>
      <w:i w:val="0"/>
      <w:sz w:val="22"/>
      <w:lang w:val="cs-CZ"/>
    </w:rPr>
  </w:style>
  <w:style w:type="paragraph" w:customStyle="1" w:styleId="BodyText22">
    <w:name w:val="Body Text 2"/>
    <w:basedOn w:val="Normln"/>
    <w:pPr>
      <w:ind w:firstLine="709"/>
      <w:jc w:val="both"/>
    </w:pPr>
    <w:rPr>
      <w:rFonts w:ascii="Arial" w:hAnsi="Arial"/>
      <w:i w:val="0"/>
      <w:lang w:val="cs-CZ"/>
    </w:rPr>
  </w:style>
  <w:style w:type="paragraph" w:customStyle="1" w:styleId="BodyText23">
    <w:name w:val="Body Text 2"/>
    <w:basedOn w:val="Normln"/>
    <w:pPr>
      <w:tabs>
        <w:tab w:val="left" w:pos="7371"/>
      </w:tabs>
      <w:spacing w:line="264" w:lineRule="auto"/>
      <w:ind w:firstLine="567"/>
      <w:jc w:val="both"/>
    </w:pPr>
    <w:rPr>
      <w:rFonts w:ascii="Arial" w:hAnsi="Arial"/>
      <w:i w:val="0"/>
      <w:lang w:val="cs-CZ"/>
    </w:rPr>
  </w:style>
  <w:style w:type="paragraph" w:customStyle="1" w:styleId="BodyTextIndent20">
    <w:name w:val="Body Text Indent 2"/>
    <w:basedOn w:val="Normln"/>
    <w:pPr>
      <w:spacing w:line="264" w:lineRule="auto"/>
      <w:ind w:firstLine="436"/>
      <w:jc w:val="both"/>
    </w:pPr>
    <w:rPr>
      <w:rFonts w:ascii="Arial" w:hAnsi="Arial"/>
      <w:i w:val="0"/>
      <w:lang w:val="cs-CZ"/>
    </w:rPr>
  </w:style>
  <w:style w:type="paragraph" w:customStyle="1" w:styleId="BodyTextIndent30">
    <w:name w:val="Body Text Indent 3"/>
    <w:basedOn w:val="Normln"/>
    <w:pPr>
      <w:spacing w:line="264" w:lineRule="auto"/>
      <w:ind w:firstLine="568"/>
      <w:jc w:val="both"/>
    </w:pPr>
    <w:rPr>
      <w:rFonts w:ascii="Arial" w:hAnsi="Arial"/>
      <w:i w:val="0"/>
      <w:lang w:val="cs-CZ"/>
    </w:rPr>
  </w:style>
  <w:style w:type="paragraph" w:customStyle="1" w:styleId="BodyText24">
    <w:name w:val="Body Text 2"/>
    <w:basedOn w:val="Normln"/>
    <w:pPr>
      <w:tabs>
        <w:tab w:val="left" w:pos="284"/>
        <w:tab w:val="right" w:leader="dot" w:pos="8505"/>
      </w:tabs>
      <w:ind w:left="426"/>
      <w:jc w:val="both"/>
    </w:pPr>
    <w:rPr>
      <w:rFonts w:ascii="Arial" w:hAnsi="Arial"/>
      <w:i w:val="0"/>
      <w:lang w:val="cs-CZ"/>
    </w:rPr>
  </w:style>
  <w:style w:type="paragraph" w:customStyle="1" w:styleId="BodyText25">
    <w:name w:val="Body Text 2"/>
    <w:basedOn w:val="Normln"/>
    <w:pPr>
      <w:ind w:firstLine="708"/>
    </w:pPr>
    <w:rPr>
      <w:rFonts w:ascii="Arial" w:hAnsi="Arial"/>
      <w:i w:val="0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Zajímají Vás nejnovější údaje o inflaci, HDP, obyvatelstvu, průměrných mzdách a mnohé další</vt:lpstr>
      </vt:variant>
      <vt:variant>
        <vt:i4>0</vt:i4>
      </vt:variant>
    </vt:vector>
  </HeadingPairs>
  <TitlesOfParts>
    <vt:vector size="1" baseType="lpstr">
      <vt:lpstr>Zajímají Vás nejnovější údaje o inflaci, HDP, obyvatelstvu, průměrných mzdách a mnohé další</vt:lpstr>
    </vt:vector>
  </TitlesOfParts>
  <Company>CSU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Zajímají Vás nejnovější údaje o inflaci, HDP, obyvatelstvu, průměrných mzdách a mnohé další</dc:title>
  <dc:subject/>
  <dc:creator>ČSÚ</dc:creator>
  <cp:keywords/>
  <dc:description/>
  <cp:lastModifiedBy>horakova7906</cp:lastModifiedBy>
  <cp:revision>2</cp:revision>
  <cp:lastPrinted>2017-08-08T08:38:00Z</cp:lastPrinted>
  <dcterms:created xsi:type="dcterms:W3CDTF">2021-08-04T12:20:00Z</dcterms:created>
  <dcterms:modified xsi:type="dcterms:W3CDTF">2021-08-04T12:20:00Z</dcterms:modified>
</cp:coreProperties>
</file>