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bookmarkStart w:id="0" w:name="_GoBack"/>
      <w:bookmarkEnd w:id="0"/>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pPr>
        <w:pStyle w:val="Zkladntext"/>
        <w:spacing w:after="60"/>
        <w:ind w:firstLine="567"/>
        <w:rPr>
          <w:i/>
          <w:iCs/>
          <w:sz w:val="20"/>
        </w:rPr>
      </w:pPr>
      <w:r>
        <w:rPr>
          <w:i/>
          <w:iCs/>
          <w:sz w:val="20"/>
        </w:rPr>
        <w:t xml:space="preserve">The </w:t>
      </w:r>
      <w:r w:rsidR="00D509E8">
        <w:rPr>
          <w:i/>
          <w:iCs/>
          <w:sz w:val="20"/>
        </w:rPr>
        <w:t>document</w:t>
      </w:r>
      <w:r>
        <w:rPr>
          <w:i/>
          <w:iCs/>
          <w:sz w:val="20"/>
        </w:rPr>
        <w:t xml:space="preserve"> contains selected fundamental indicators on financial interm</w:t>
      </w:r>
      <w:r>
        <w:rPr>
          <w:i/>
          <w:iCs/>
          <w:sz w:val="20"/>
        </w:rPr>
        <w:t>e</w:t>
      </w:r>
      <w:r>
        <w:rPr>
          <w:i/>
          <w:iCs/>
          <w:sz w:val="20"/>
        </w:rPr>
        <w:t>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proofErr w:type="spellStart"/>
      <w:r>
        <w:rPr>
          <w:rFonts w:ascii="Arial" w:hAnsi="Arial" w:cs="Arial"/>
          <w:b/>
          <w:bCs/>
          <w:i/>
          <w:iCs/>
          <w:sz w:val="20"/>
          <w:szCs w:val="20"/>
          <w:lang w:val="en-GB"/>
        </w:rPr>
        <w:t>Pen</w:t>
      </w:r>
      <w:r w:rsidR="004564CC">
        <w:rPr>
          <w:rFonts w:ascii="Arial" w:hAnsi="Arial" w:cs="Arial"/>
          <w:b/>
          <w:bCs/>
          <w:i/>
          <w:iCs/>
          <w:sz w:val="20"/>
          <w:szCs w:val="20"/>
          <w:lang w:val="en-GB"/>
        </w:rPr>
        <w:t>Poj</w:t>
      </w:r>
      <w:proofErr w:type="spellEnd"/>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and mostly include investment comp</w:t>
      </w:r>
      <w:r w:rsidRPr="00121442">
        <w:rPr>
          <w:rFonts w:ascii="Arial" w:hAnsi="Arial" w:cs="Arial"/>
          <w:i/>
          <w:iCs/>
          <w:sz w:val="20"/>
          <w:szCs w:val="20"/>
          <w:lang w:val="en-GB"/>
        </w:rPr>
        <w:t>a</w:t>
      </w:r>
      <w:r w:rsidRPr="00121442">
        <w:rPr>
          <w:rFonts w:ascii="Arial" w:hAnsi="Arial" w:cs="Arial"/>
          <w:i/>
          <w:iCs/>
          <w:sz w:val="20"/>
          <w:szCs w:val="20"/>
          <w:lang w:val="en-GB"/>
        </w:rPr>
        <w:t xml:space="preserve">nies and funds managed </w:t>
      </w:r>
      <w:r w:rsidR="007B4CDB">
        <w:rPr>
          <w:rFonts w:ascii="Arial" w:hAnsi="Arial" w:cs="Arial"/>
          <w:i/>
          <w:iCs/>
          <w:sz w:val="20"/>
          <w:szCs w:val="20"/>
          <w:lang w:val="en-GB"/>
        </w:rPr>
        <w:t xml:space="preserve">by the investment companies </w:t>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insurance (CZ-NACE 65.11 and 65.12) and reinsurance companies (CZ-NACE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If a business fails to submit the filled-in questionnaire for any reason, then the data for such a business are calculated by means of mathematical statistical methods, in which data they provided before or administr</w:t>
      </w:r>
      <w:r>
        <w:rPr>
          <w:rFonts w:ascii="Arial" w:hAnsi="Arial" w:cs="Arial"/>
          <w:i/>
          <w:iCs/>
          <w:lang w:val="en-GB"/>
        </w:rPr>
        <w:t>a</w:t>
      </w:r>
      <w:r>
        <w:rPr>
          <w:rFonts w:ascii="Arial" w:hAnsi="Arial" w:cs="Arial"/>
          <w:i/>
          <w:iCs/>
          <w:lang w:val="en-GB"/>
        </w:rPr>
        <w:t>tive data (e.g., on the number of employees) are used. Using expert guesses is permitted, where a business cannot provide a value of an indicator accurately according to the methodological notes attached to the questionnaire.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w:t>
      </w:r>
      <w:r w:rsidR="00CD68E5">
        <w:rPr>
          <w:rFonts w:ascii="Arial" w:hAnsi="Arial" w:cs="Arial"/>
          <w:i/>
          <w:iCs/>
          <w:sz w:val="20"/>
          <w:lang w:val="en-GB"/>
        </w:rPr>
        <w:t>m</w:t>
      </w:r>
      <w:r w:rsidR="00CD68E5">
        <w:rPr>
          <w:rFonts w:ascii="Arial" w:hAnsi="Arial" w:cs="Arial"/>
          <w:i/>
          <w:iCs/>
          <w:sz w:val="20"/>
          <w:lang w:val="en-GB"/>
        </w:rPr>
        <w:t>panies/</w:t>
      </w:r>
      <w:r w:rsidR="00D62CCC">
        <w:rPr>
          <w:rFonts w:ascii="Arial" w:hAnsi="Arial" w:cs="Arial"/>
          <w:i/>
          <w:iCs/>
          <w:sz w:val="20"/>
          <w:lang w:val="en-GB"/>
        </w:rPr>
        <w:t>funds in tables 17 to 20</w:t>
      </w:r>
      <w:r>
        <w:rPr>
          <w:rFonts w:ascii="Arial" w:hAnsi="Arial" w:cs="Arial"/>
          <w:i/>
          <w:iCs/>
          <w:sz w:val="20"/>
          <w:lang w:val="en-GB"/>
        </w:rPr>
        <w:t>.</w:t>
      </w:r>
    </w:p>
    <w:p w:rsidR="00171E30" w:rsidRDefault="00171E30">
      <w:pPr>
        <w:pStyle w:val="Zkladntextodsazen"/>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w:t>
      </w:r>
      <w:proofErr w:type="gramStart"/>
      <w:r>
        <w:rPr>
          <w:rFonts w:ascii="Arial" w:hAnsi="Arial" w:cs="Arial"/>
          <w:i/>
          <w:iCs/>
          <w:sz w:val="20"/>
          <w:szCs w:val="20"/>
          <w:lang w:val="en-GB"/>
        </w:rPr>
        <w:t>confidential</w:t>
      </w:r>
      <w:proofErr w:type="gramEnd"/>
      <w:r>
        <w:rPr>
          <w:rFonts w:ascii="Arial" w:hAnsi="Arial" w:cs="Arial"/>
          <w:i/>
          <w:iCs/>
          <w:sz w:val="20"/>
          <w:szCs w:val="20"/>
          <w:lang w:val="en-GB"/>
        </w:rPr>
        <w:t>,</w:t>
      </w:r>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w:t>
      </w:r>
      <w:proofErr w:type="gramStart"/>
      <w:r>
        <w:rPr>
          <w:rFonts w:ascii="Arial" w:hAnsi="Arial" w:cs="Arial"/>
          <w:i/>
          <w:iCs/>
          <w:sz w:val="20"/>
          <w:szCs w:val="20"/>
          <w:lang w:val="en-GB"/>
        </w:rPr>
        <w:t>x</w:t>
      </w:r>
      <w:proofErr w:type="gramEnd"/>
      <w:r>
        <w:rPr>
          <w:rFonts w:ascii="Arial" w:hAnsi="Arial" w:cs="Arial"/>
          <w:i/>
          <w:iCs/>
          <w:sz w:val="20"/>
          <w:szCs w:val="20"/>
          <w:lang w:val="en-GB"/>
        </w:rPr>
        <w:t>”     – cannot be displayed for logical reasons (e.g. the index exceeds  999.9).</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xml:space="preserve">– shows development in comparison with </w:t>
      </w:r>
      <w:proofErr w:type="gramStart"/>
      <w:r>
        <w:rPr>
          <w:rFonts w:ascii="Arial" w:hAnsi="Arial" w:cs="Arial"/>
          <w:i/>
          <w:iCs/>
          <w:lang w:val="en-GB"/>
        </w:rPr>
        <w:t>the correspond</w:t>
      </w:r>
      <w:proofErr w:type="gramEnd"/>
      <w:r>
        <w:rPr>
          <w:rFonts w:ascii="Arial" w:hAnsi="Arial" w:cs="Arial"/>
          <w:i/>
          <w:iCs/>
          <w:lang w:val="en-GB"/>
        </w:rPr>
        <w:t xml:space="preserve">. </w:t>
      </w:r>
      <w:proofErr w:type="gramStart"/>
      <w:r>
        <w:rPr>
          <w:rFonts w:ascii="Arial" w:hAnsi="Arial" w:cs="Arial"/>
          <w:i/>
          <w:iCs/>
          <w:lang w:val="en-GB"/>
        </w:rPr>
        <w:t>period</w:t>
      </w:r>
      <w:proofErr w:type="gramEnd"/>
      <w:r>
        <w:rPr>
          <w:rFonts w:ascii="Arial" w:hAnsi="Arial" w:cs="Arial"/>
          <w:i/>
          <w:iCs/>
          <w:lang w:val="en-GB"/>
        </w:rPr>
        <w:t xml:space="preserve"> of the previous year (%).</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8650FB" w:rsidRDefault="008650FB">
      <w:pPr>
        <w:tabs>
          <w:tab w:val="left" w:pos="142"/>
          <w:tab w:val="left" w:pos="709"/>
          <w:tab w:val="left" w:pos="1418"/>
          <w:tab w:val="left" w:pos="2126"/>
        </w:tabs>
        <w:spacing w:after="60"/>
        <w:ind w:firstLine="567"/>
        <w:jc w:val="both"/>
        <w:rPr>
          <w:rFonts w:ascii="Arial" w:hAnsi="Arial" w:cs="Arial"/>
          <w:i/>
          <w:iCs/>
          <w:lang w:val="en-GB"/>
        </w:rPr>
      </w:pP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lastRenderedPageBreak/>
        <w:t>Employees, wages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The average number of employees in actual persons is calculated as the arit</w:t>
      </w:r>
      <w:r>
        <w:rPr>
          <w:rFonts w:cs="Arial"/>
          <w:i/>
          <w:iCs/>
          <w:sz w:val="20"/>
        </w:rPr>
        <w:t>h</w:t>
      </w:r>
      <w:r>
        <w:rPr>
          <w:rFonts w:cs="Arial"/>
          <w:i/>
          <w:iCs/>
          <w:sz w:val="20"/>
        </w:rPr>
        <w:t>metic mean of average numbers of employees in individual months. Conversion to full-time equivalent persons is carried out for part-time emplo</w:t>
      </w:r>
      <w:r>
        <w:rPr>
          <w:rFonts w:cs="Arial"/>
          <w:i/>
          <w:iCs/>
          <w:sz w:val="20"/>
        </w:rPr>
        <w:t>y</w:t>
      </w:r>
      <w:r>
        <w:rPr>
          <w:rFonts w:cs="Arial"/>
          <w:i/>
          <w:iCs/>
          <w:sz w:val="20"/>
        </w:rPr>
        <w:t>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w:t>
      </w:r>
      <w:r>
        <w:rPr>
          <w:rFonts w:ascii="Arial" w:hAnsi="Arial" w:cs="Arial"/>
          <w:i/>
          <w:iCs/>
          <w:lang w:val="en-GB"/>
        </w:rPr>
        <w:t>n</w:t>
      </w:r>
      <w:r>
        <w:rPr>
          <w:rFonts w:ascii="Arial" w:hAnsi="Arial" w:cs="Arial"/>
          <w:i/>
          <w:iCs/>
          <w:lang w:val="en-GB"/>
        </w:rPr>
        <w:t>tary charges and other similar pays, premiums 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proofErr w:type="gramStart"/>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w:t>
      </w:r>
      <w:proofErr w:type="gramEnd"/>
      <w:r>
        <w:rPr>
          <w:rFonts w:ascii="Arial" w:hAnsi="Arial" w:cs="Arial"/>
          <w:i/>
          <w:iCs/>
          <w:lang w:val="en-GB"/>
        </w:rPr>
        <w:t xml:space="preserve"> They mostly include remuneration for work done on the basis of other than contract of emplo</w:t>
      </w:r>
      <w:r>
        <w:rPr>
          <w:rFonts w:ascii="Arial" w:hAnsi="Arial" w:cs="Arial"/>
          <w:i/>
          <w:iCs/>
          <w:lang w:val="en-GB"/>
        </w:rPr>
        <w:t>y</w:t>
      </w:r>
      <w:r>
        <w:rPr>
          <w:rFonts w:ascii="Arial" w:hAnsi="Arial" w:cs="Arial"/>
          <w:i/>
          <w:iCs/>
          <w:lang w:val="en-GB"/>
        </w:rPr>
        <w:t>ment, remuneration based on copyright, severance payments, remuneration to board members (except for royalties paid from profits), remuneration to apprentices, etc.</w:t>
      </w: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includes expenses spent during the reference quarter on the acquisition of these assets by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purchasing or by own activity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proofErr w:type="gramStart"/>
      <w:r>
        <w:rPr>
          <w:rFonts w:ascii="Arial" w:hAnsi="Arial" w:cs="Arial"/>
          <w:i/>
          <w:iCs/>
          <w:lang w:val="en-GB"/>
        </w:rPr>
        <w:t>free</w:t>
      </w:r>
      <w:proofErr w:type="gramEnd"/>
      <w:r>
        <w:rPr>
          <w:rFonts w:ascii="Arial" w:hAnsi="Arial" w:cs="Arial"/>
          <w:i/>
          <w:iCs/>
          <w:lang w:val="en-GB"/>
        </w:rPr>
        <w:t xml:space="preserve"> acquisition or transfer in accordance with legal regulations or by transfer from personal use to business use. The acquisition of tangible fixed assets includes expenses spent gradually or all at once regardless of whether the fixed asset was put in use in the quarter or not. The acquisition also includes the value of fixed assets financially leased (at the level of their initial value not repayments).</w:t>
      </w:r>
    </w:p>
    <w:p w:rsidR="00171E30" w:rsidRDefault="00171E30" w:rsidP="00822A55">
      <w:pPr>
        <w:tabs>
          <w:tab w:val="left" w:pos="142"/>
          <w:tab w:val="left" w:pos="709"/>
          <w:tab w:val="left" w:pos="1418"/>
          <w:tab w:val="left" w:pos="2126"/>
        </w:tabs>
        <w:spacing w:after="60"/>
        <w:ind w:left="567" w:hanging="567"/>
        <w:jc w:val="both"/>
        <w:rPr>
          <w:rFonts w:ascii="Arial" w:hAnsi="Arial" w:cs="Arial"/>
          <w:i/>
          <w:iCs/>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As the acquisition of tangible and intangible fixed assets is reported on 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171E30" w:rsidRDefault="00171E30">
      <w:pPr>
        <w:pStyle w:val="Nadpis3"/>
        <w:tabs>
          <w:tab w:val="left" w:pos="142"/>
          <w:tab w:val="left" w:pos="709"/>
          <w:tab w:val="left" w:pos="1418"/>
          <w:tab w:val="left" w:pos="2126"/>
        </w:tabs>
        <w:spacing w:before="60" w:after="60"/>
        <w:ind w:left="0" w:firstLine="567"/>
        <w:jc w:val="both"/>
        <w:rPr>
          <w:rFonts w:ascii="Arial" w:hAnsi="Arial" w:cs="Arial"/>
          <w:i/>
          <w:iCs/>
          <w:sz w:val="20"/>
          <w:lang w:val="en-GB"/>
        </w:rPr>
      </w:pPr>
      <w:r>
        <w:rPr>
          <w:rFonts w:ascii="Arial" w:hAnsi="Arial" w:cs="Arial"/>
          <w:i/>
          <w:iCs/>
          <w:sz w:val="20"/>
          <w:szCs w:val="20"/>
          <w:lang w:val="en-GB"/>
        </w:rPr>
        <w:t xml:space="preserve">Acquisition of intangible fixed assets, total – </w:t>
      </w:r>
      <w:r>
        <w:rPr>
          <w:rFonts w:ascii="Arial" w:hAnsi="Arial" w:cs="Arial"/>
          <w:b w:val="0"/>
          <w:bCs w:val="0"/>
          <w:i/>
          <w:iCs/>
          <w:sz w:val="20"/>
          <w:szCs w:val="20"/>
          <w:lang w:val="en-GB"/>
        </w:rPr>
        <w:t>the data are drawn on from the turnover on the debit side in accounts that register the acquisition of intangible fixed assets (depending on the chart of accounts and book-keeping methods the reporting units use) or from the property account (if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intangible results of research and similar activities not subjected to i</w:t>
      </w:r>
      <w:r>
        <w:rPr>
          <w:rFonts w:cs="Arial"/>
          <w:i/>
          <w:iCs/>
          <w:sz w:val="20"/>
        </w:rPr>
        <w:t>n</w:t>
      </w:r>
      <w:r>
        <w:rPr>
          <w:rFonts w:cs="Arial"/>
          <w:i/>
          <w:iCs/>
          <w:sz w:val="20"/>
        </w:rPr>
        <w:t xml:space="preserve">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subjects of industrial rights and other results of intellectual creative a</w:t>
      </w:r>
      <w:r>
        <w:rPr>
          <w:rFonts w:cs="Arial"/>
          <w:i/>
          <w:iCs/>
          <w:sz w:val="20"/>
        </w:rPr>
        <w:t>c</w:t>
      </w:r>
      <w:r>
        <w:rPr>
          <w:rFonts w:cs="Arial"/>
          <w:i/>
          <w:iCs/>
          <w:sz w:val="20"/>
        </w:rPr>
        <w:t xml:space="preserve">tivity, which </w:t>
      </w:r>
      <w:r>
        <w:rPr>
          <w:rFonts w:cs="Arial"/>
          <w:i/>
          <w:iCs/>
          <w:sz w:val="20"/>
        </w:rPr>
        <w:br/>
        <w:t>are subjects of valuable rights acquired and provided.</w:t>
      </w:r>
    </w:p>
    <w:p w:rsidR="00171E30" w:rsidRDefault="00171E30">
      <w:pPr>
        <w:pStyle w:val="Zkladntext"/>
        <w:tabs>
          <w:tab w:val="left" w:pos="426"/>
        </w:tabs>
        <w:spacing w:before="60" w:after="60"/>
        <w:ind w:firstLine="567"/>
        <w:rPr>
          <w:rFonts w:cs="Arial"/>
          <w:i/>
          <w:iCs/>
          <w:sz w:val="20"/>
        </w:rPr>
      </w:pPr>
      <w:r>
        <w:rPr>
          <w:rFonts w:cs="Arial"/>
          <w:b/>
          <w:bCs/>
          <w:i/>
          <w:iCs/>
          <w:sz w:val="20"/>
        </w:rPr>
        <w:lastRenderedPageBreak/>
        <w:t xml:space="preserve">Acquisition of tangible fixed assets, total </w:t>
      </w:r>
      <w:r>
        <w:rPr>
          <w:rFonts w:cs="Arial"/>
          <w:i/>
          <w:iCs/>
          <w:sz w:val="20"/>
        </w:rPr>
        <w:t>- data are derived from totals on the debit side of accounts, which register purchases of tangible fixed assets (depen</w:t>
      </w:r>
      <w:r>
        <w:rPr>
          <w:rFonts w:cs="Arial"/>
          <w:i/>
          <w:iCs/>
          <w:sz w:val="20"/>
        </w:rPr>
        <w:t>d</w:t>
      </w:r>
      <w:r>
        <w:rPr>
          <w:rFonts w:cs="Arial"/>
          <w:i/>
          <w:iCs/>
          <w:sz w:val="20"/>
        </w:rPr>
        <w:t>ing on the chart of accounts and the book-keeping methods the reporting units use), or from respective property accounts (if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 xml:space="preserve">other movables – including artworks and collections and other tangible fixed assets not included in list above. </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pPr>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51BB"/>
    <w:rsid w:val="00171E30"/>
    <w:rsid w:val="001D6122"/>
    <w:rsid w:val="00325712"/>
    <w:rsid w:val="0032782F"/>
    <w:rsid w:val="003A09AB"/>
    <w:rsid w:val="00434E8F"/>
    <w:rsid w:val="004564CC"/>
    <w:rsid w:val="00690DA2"/>
    <w:rsid w:val="007B4CDB"/>
    <w:rsid w:val="00822A55"/>
    <w:rsid w:val="008650FB"/>
    <w:rsid w:val="009E32CF"/>
    <w:rsid w:val="00A923ED"/>
    <w:rsid w:val="00C752FF"/>
    <w:rsid w:val="00CD68E5"/>
    <w:rsid w:val="00D509E8"/>
    <w:rsid w:val="00D62CCC"/>
    <w:rsid w:val="00EA5842"/>
    <w:rsid w:val="00EF3C25"/>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2</cp:revision>
  <cp:lastPrinted>2008-06-26T08:33:00Z</cp:lastPrinted>
  <dcterms:created xsi:type="dcterms:W3CDTF">2016-12-16T08:56:00Z</dcterms:created>
  <dcterms:modified xsi:type="dcterms:W3CDTF">2016-12-16T08:56:00Z</dcterms:modified>
</cp:coreProperties>
</file>