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DB" w:rsidRPr="00EB2612" w:rsidRDefault="00BB64DB" w:rsidP="00694914">
      <w:pPr>
        <w:pStyle w:val="Nadpis1"/>
        <w:numPr>
          <w:ilvl w:val="0"/>
          <w:numId w:val="17"/>
        </w:numPr>
      </w:pPr>
      <w:bookmarkStart w:id="0" w:name="_Toc430189800"/>
      <w:bookmarkStart w:id="1" w:name="_Toc465253893"/>
      <w:r w:rsidRPr="00EB2612">
        <w:t>FILM A HUDBA</w:t>
      </w:r>
      <w:bookmarkEnd w:id="0"/>
      <w:bookmarkEnd w:id="1"/>
    </w:p>
    <w:p w:rsidR="00D862DB" w:rsidRPr="00EB2612" w:rsidRDefault="00D862DB" w:rsidP="00D862DB">
      <w:r w:rsidRPr="00EB2612">
        <w:t>Hudební nosič CD, který započal na konci minulého století digitální revoluci v hudebním průmyslu, oslavil v roce 2019 již 40 let působení na trhu. Na velkou oslavu to však není - fyzické nosiče se na začátku druhé dekády pomalu vytrácí z domácností a stávají se fenoménem pro zapálenější hudební fanoušky. Fanoušci fyzických nosičů však volí stále častěji spíše vinylové desky, jejichž prodeje každoročně rostou. Celosvětový trh s nahrávkami táhnou příjmy ze streamingu, zatímco příjmy ze stažených nahrávek za poplatek se každoročně snižují. Významnou část příjmů tvoří každoročně také poplatky za provozovací práva (IFPI, 2020).</w:t>
      </w:r>
    </w:p>
    <w:p w:rsidR="00BB64DB" w:rsidRPr="00EB2612" w:rsidRDefault="00BB64DB" w:rsidP="00BB64DB">
      <w:pPr>
        <w:ind w:firstLine="708"/>
      </w:pPr>
      <w:r w:rsidRPr="00EB2612">
        <w:t>Pro ekonomickou analýzu hudebního průmyslu jako celku by bylo vhodné zohlednit do</w:t>
      </w:r>
      <w:r w:rsidR="000E0D24" w:rsidRPr="00EB2612">
        <w:t> </w:t>
      </w:r>
      <w:r w:rsidRPr="00EB2612">
        <w:t>prezentovaných ukazatelů také tr</w:t>
      </w:r>
      <w:r w:rsidR="001B23C7" w:rsidRPr="00EB2612">
        <w:t>žby z živých vystoupení,</w:t>
      </w:r>
      <w:r w:rsidR="005E6744" w:rsidRPr="00EB2612">
        <w:t xml:space="preserve"> které </w:t>
      </w:r>
      <w:r w:rsidR="001C7E8B" w:rsidRPr="00EB2612">
        <w:t>jsou důležitým zdrojem</w:t>
      </w:r>
      <w:r w:rsidR="001B23C7" w:rsidRPr="00EB2612">
        <w:t xml:space="preserve"> příjmů interpretů</w:t>
      </w:r>
      <w:r w:rsidR="001C4AB2" w:rsidRPr="00EB2612">
        <w:t>.</w:t>
      </w:r>
      <w:r w:rsidRPr="00EB2612">
        <w:t xml:space="preserve"> Vzhledem k velmi úzkému vymezení hudební oblasti</w:t>
      </w:r>
      <w:r w:rsidR="003C7985" w:rsidRPr="00EB2612">
        <w:t xml:space="preserve"> </w:t>
      </w:r>
      <w:r w:rsidRPr="00EB2612">
        <w:t xml:space="preserve">v rámci </w:t>
      </w:r>
      <w:r w:rsidR="003C7985" w:rsidRPr="00EB2612">
        <w:t>výchozího trojsektorového členění kultury</w:t>
      </w:r>
      <w:r w:rsidRPr="00EB2612">
        <w:t xml:space="preserve"> </w:t>
      </w:r>
      <w:r w:rsidR="00CF3AF7" w:rsidRPr="00EB2612">
        <w:t>jsou však v této publikaci</w:t>
      </w:r>
      <w:r w:rsidRPr="00EB2612">
        <w:t xml:space="preserve"> </w:t>
      </w:r>
      <w:r w:rsidR="00EE504E" w:rsidRPr="00EB2612">
        <w:t>příjmy</w:t>
      </w:r>
      <w:r w:rsidRPr="00EB2612">
        <w:t xml:space="preserve"> z živých hudebních vystoupení ponechány mimo oblast zájmu analýzy.</w:t>
      </w:r>
    </w:p>
    <w:p w:rsidR="004E4988" w:rsidRPr="00EB2612" w:rsidRDefault="00B973C2" w:rsidP="00BB64DB">
      <w:pPr>
        <w:ind w:firstLine="708"/>
      </w:pPr>
      <w:r w:rsidRPr="00EB2612">
        <w:t>Stejně jako hudební nahrávky js</w:t>
      </w:r>
      <w:r w:rsidR="00D862DB" w:rsidRPr="00EB2612">
        <w:t>ou také audiovizuální díla stále</w:t>
      </w:r>
      <w:r w:rsidRPr="00EB2612">
        <w:t xml:space="preserve"> častěji </w:t>
      </w:r>
      <w:r w:rsidR="00A00CD9" w:rsidRPr="00EB2612">
        <w:t xml:space="preserve">vyhledávána </w:t>
      </w:r>
      <w:r w:rsidR="003F593B" w:rsidRPr="00EB2612">
        <w:t>prostřednictvím</w:t>
      </w:r>
      <w:r w:rsidR="00A00CD9" w:rsidRPr="00EB2612">
        <w:t xml:space="preserve"> strea</w:t>
      </w:r>
      <w:r w:rsidR="00D862DB" w:rsidRPr="00EB2612">
        <w:t xml:space="preserve">mingových platforem. To se </w:t>
      </w:r>
      <w:r w:rsidR="00A00CD9" w:rsidRPr="00EB2612">
        <w:t>promítá do ekonomických výkonů subjektů v rámci jednotlivých dílčích oblastí filmového průmyslu. Podle údajů Evropské audiovizuální laboratoře je jediným rostoucím segmentem v oblasti audiovize právě streaming (</w:t>
      </w:r>
      <w:r w:rsidR="00D27CF3">
        <w:t>zpřístupnění audiovizuálního obsahu na on-line platformě</w:t>
      </w:r>
      <w:r w:rsidR="00A00CD9" w:rsidRPr="00EB2612">
        <w:t>)</w:t>
      </w:r>
      <w:r w:rsidR="001C7E8B" w:rsidRPr="00EB2612">
        <w:t>,</w:t>
      </w:r>
      <w:r w:rsidR="00A00CD9" w:rsidRPr="00EB2612">
        <w:t xml:space="preserve"> zatímco příjmy z pokladen kinosálů</w:t>
      </w:r>
      <w:r w:rsidR="00D27CF3">
        <w:t xml:space="preserve"> na evropském trhu</w:t>
      </w:r>
      <w:r w:rsidR="00A00CD9" w:rsidRPr="00EB2612">
        <w:t xml:space="preserve"> stagnují a fyzické nosiče se pomalu vytrácí z</w:t>
      </w:r>
      <w:r w:rsidR="001C7E8B" w:rsidRPr="00EB2612">
        <w:t> </w:t>
      </w:r>
      <w:r w:rsidR="00A00CD9" w:rsidRPr="00EB2612">
        <w:t>trhu</w:t>
      </w:r>
      <w:r w:rsidR="001C7E8B" w:rsidRPr="00EB2612">
        <w:t xml:space="preserve"> (EAO, 2020)</w:t>
      </w:r>
      <w:r w:rsidR="00A00CD9" w:rsidRPr="00EB2612">
        <w:t>.</w:t>
      </w:r>
    </w:p>
    <w:p w:rsidR="00CB6787" w:rsidRPr="00EB2612" w:rsidRDefault="00A00CD9" w:rsidP="00BB64DB">
      <w:pPr>
        <w:ind w:firstLine="708"/>
      </w:pPr>
      <w:r w:rsidRPr="00EB2612">
        <w:t xml:space="preserve">Služby </w:t>
      </w:r>
      <w:r w:rsidR="00DE2D5D" w:rsidRPr="00EB2612">
        <w:t xml:space="preserve">pro </w:t>
      </w:r>
      <w:r w:rsidR="007B45A4" w:rsidRPr="00EB2612">
        <w:t xml:space="preserve">internetové </w:t>
      </w:r>
      <w:r w:rsidR="00DE2D5D" w:rsidRPr="00EB2612">
        <w:t>přehrávání filmu</w:t>
      </w:r>
      <w:r w:rsidR="007538BC">
        <w:t xml:space="preserve"> a videa</w:t>
      </w:r>
      <w:r w:rsidR="00DE2D5D" w:rsidRPr="00EB2612">
        <w:t xml:space="preserve"> jsou oblíbené také v České republice a jsou využívány dokonce častěji než digitální služby pro po</w:t>
      </w:r>
      <w:r w:rsidR="00E03492" w:rsidRPr="00EB2612">
        <w:t>slech hudby. Jak ukazuje Graf 26</w:t>
      </w:r>
      <w:r w:rsidRPr="00EB2612">
        <w:t>, v roce 2019</w:t>
      </w:r>
      <w:r w:rsidR="00DE2D5D" w:rsidRPr="00EB2612">
        <w:t xml:space="preserve"> využilo internet pro sledo</w:t>
      </w:r>
      <w:r w:rsidR="007B45A4" w:rsidRPr="00EB2612">
        <w:t>vání filmů či videa přibližně 51</w:t>
      </w:r>
      <w:r w:rsidR="00DE2D5D" w:rsidRPr="00EB2612">
        <w:t xml:space="preserve"> % populace starš</w:t>
      </w:r>
      <w:r w:rsidR="000F6B80" w:rsidRPr="00EB2612">
        <w:t>í 16 let (5</w:t>
      </w:r>
      <w:r w:rsidR="007B45A4" w:rsidRPr="00EB2612">
        <w:t>4</w:t>
      </w:r>
      <w:r w:rsidR="00DE2D5D" w:rsidRPr="00EB2612">
        <w:t xml:space="preserve"> % mužů</w:t>
      </w:r>
      <w:r w:rsidR="000F6B80" w:rsidRPr="00EB2612">
        <w:t xml:space="preserve"> a </w:t>
      </w:r>
      <w:r w:rsidR="007B45A4" w:rsidRPr="00EB2612">
        <w:t>48</w:t>
      </w:r>
      <w:r w:rsidR="00DE2D5D" w:rsidRPr="00EB2612">
        <w:t xml:space="preserve"> % žen), zatímco pro poslech</w:t>
      </w:r>
      <w:r w:rsidR="007B45A4" w:rsidRPr="00EB2612">
        <w:t xml:space="preserve"> hudby pouze 46</w:t>
      </w:r>
      <w:r w:rsidR="0029010F" w:rsidRPr="00EB2612">
        <w:t> </w:t>
      </w:r>
      <w:r w:rsidR="007B45A4" w:rsidRPr="00EB2612">
        <w:t>% sledované populace (49</w:t>
      </w:r>
      <w:r w:rsidR="00AE42D9" w:rsidRPr="00EB2612">
        <w:t xml:space="preserve"> %</w:t>
      </w:r>
      <w:r w:rsidR="007B45A4" w:rsidRPr="00EB2612">
        <w:t xml:space="preserve"> mužů a 44</w:t>
      </w:r>
      <w:r w:rsidR="00AE42D9" w:rsidRPr="00EB2612">
        <w:t xml:space="preserve"> % žen).</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1A4BAA" w:rsidRPr="00EB2612">
        <w:rPr>
          <w:color w:val="auto"/>
          <w:sz w:val="22"/>
          <w:szCs w:val="22"/>
        </w:rPr>
        <w:t>2</w:t>
      </w:r>
      <w:r w:rsidR="00E03492" w:rsidRPr="00EB2612">
        <w:rPr>
          <w:color w:val="auto"/>
          <w:sz w:val="22"/>
          <w:szCs w:val="22"/>
        </w:rPr>
        <w:t>6</w:t>
      </w:r>
      <w:r w:rsidRPr="00EB2612">
        <w:rPr>
          <w:b w:val="0"/>
          <w:color w:val="auto"/>
          <w:sz w:val="22"/>
          <w:szCs w:val="22"/>
        </w:rPr>
        <w:t xml:space="preserve"> </w:t>
      </w:r>
      <w:r w:rsidR="00D52621" w:rsidRPr="00EB2612">
        <w:rPr>
          <w:b w:val="0"/>
          <w:color w:val="auto"/>
          <w:sz w:val="22"/>
          <w:szCs w:val="22"/>
        </w:rPr>
        <w:t xml:space="preserve">Podíl osob </w:t>
      </w:r>
      <w:r w:rsidR="007538BC">
        <w:rPr>
          <w:b w:val="0"/>
          <w:color w:val="auto"/>
          <w:sz w:val="22"/>
          <w:szCs w:val="22"/>
        </w:rPr>
        <w:t>ve věku</w:t>
      </w:r>
      <w:r w:rsidR="0088482B">
        <w:rPr>
          <w:b w:val="0"/>
          <w:color w:val="auto"/>
          <w:sz w:val="22"/>
          <w:szCs w:val="22"/>
        </w:rPr>
        <w:t xml:space="preserve"> 16</w:t>
      </w:r>
      <w:r w:rsidR="007538BC">
        <w:rPr>
          <w:b w:val="0"/>
          <w:color w:val="auto"/>
          <w:sz w:val="22"/>
          <w:szCs w:val="22"/>
        </w:rPr>
        <w:t xml:space="preserve"> a více</w:t>
      </w:r>
      <w:r w:rsidR="0088482B">
        <w:rPr>
          <w:b w:val="0"/>
          <w:color w:val="auto"/>
          <w:sz w:val="22"/>
          <w:szCs w:val="22"/>
        </w:rPr>
        <w:t xml:space="preserve"> let </w:t>
      </w:r>
      <w:r w:rsidR="00D52621" w:rsidRPr="00EB2612">
        <w:rPr>
          <w:b w:val="0"/>
          <w:color w:val="auto"/>
          <w:sz w:val="22"/>
          <w:szCs w:val="22"/>
        </w:rPr>
        <w:t>využívajících internet</w:t>
      </w:r>
      <w:r w:rsidRPr="00EB2612">
        <w:rPr>
          <w:b w:val="0"/>
          <w:color w:val="auto"/>
          <w:sz w:val="22"/>
          <w:szCs w:val="22"/>
        </w:rPr>
        <w:t xml:space="preserve"> k</w:t>
      </w:r>
      <w:r w:rsidR="007E1B9D" w:rsidRPr="00EB2612">
        <w:rPr>
          <w:b w:val="0"/>
          <w:color w:val="auto"/>
          <w:sz w:val="22"/>
          <w:szCs w:val="22"/>
        </w:rPr>
        <w:t> poslechu hudby a sled</w:t>
      </w:r>
      <w:r w:rsidR="007B0332" w:rsidRPr="00EB2612">
        <w:rPr>
          <w:b w:val="0"/>
          <w:color w:val="auto"/>
          <w:sz w:val="22"/>
          <w:szCs w:val="22"/>
        </w:rPr>
        <w:t>ování filmů či videa v roce 2019</w:t>
      </w:r>
      <w:r w:rsidR="007E1B9D" w:rsidRPr="00EB2612">
        <w:rPr>
          <w:b w:val="0"/>
          <w:color w:val="auto"/>
          <w:sz w:val="22"/>
          <w:szCs w:val="22"/>
        </w:rPr>
        <w:t xml:space="preserve"> podle pohlaví</w:t>
      </w:r>
    </w:p>
    <w:p w:rsidR="00FF5022" w:rsidRPr="00EB2612" w:rsidRDefault="00D862DB" w:rsidP="00CD5C9C">
      <w:pPr>
        <w:jc w:val="center"/>
        <w:rPr>
          <w:lang w:eastAsia="en-US"/>
        </w:rPr>
      </w:pPr>
      <w:r w:rsidRPr="00EB2612">
        <w:rPr>
          <w:noProof/>
        </w:rPr>
        <w:drawing>
          <wp:inline distT="0" distB="0" distL="0" distR="0">
            <wp:extent cx="4572000" cy="2162175"/>
            <wp:effectExtent l="0" t="0" r="0" b="0"/>
            <wp:docPr id="2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64DB" w:rsidRPr="00EB2612" w:rsidRDefault="00612473" w:rsidP="00BB64DB">
      <w:pPr>
        <w:pStyle w:val="Titulek"/>
        <w:rPr>
          <w:b w:val="0"/>
          <w:color w:val="auto"/>
          <w:sz w:val="22"/>
          <w:szCs w:val="22"/>
        </w:rPr>
      </w:pPr>
      <w:r w:rsidRPr="00EB2612">
        <w:rPr>
          <w:b w:val="0"/>
          <w:color w:val="auto"/>
          <w:sz w:val="22"/>
          <w:szCs w:val="22"/>
        </w:rPr>
        <w:t xml:space="preserve">Zdroj: </w:t>
      </w:r>
      <w:r w:rsidR="00D862DB" w:rsidRPr="00EB2612">
        <w:rPr>
          <w:b w:val="0"/>
          <w:color w:val="auto"/>
          <w:sz w:val="22"/>
          <w:szCs w:val="22"/>
        </w:rPr>
        <w:t>Výběrové šetření o informačních a komunikačních technologiích</w:t>
      </w:r>
      <w:r w:rsidR="002A0381" w:rsidRPr="00EB2612">
        <w:rPr>
          <w:b w:val="0"/>
          <w:color w:val="auto"/>
          <w:sz w:val="22"/>
          <w:szCs w:val="22"/>
        </w:rPr>
        <w:t xml:space="preserve">, </w:t>
      </w:r>
      <w:r w:rsidRPr="00EB2612">
        <w:rPr>
          <w:b w:val="0"/>
          <w:color w:val="auto"/>
          <w:sz w:val="22"/>
          <w:szCs w:val="22"/>
        </w:rPr>
        <w:t>ČSÚ</w:t>
      </w:r>
    </w:p>
    <w:p w:rsidR="00BB64DB" w:rsidRPr="00EB2612" w:rsidRDefault="00BB64DB" w:rsidP="00BB64DB">
      <w:r w:rsidRPr="00EB2612">
        <w:t>Využívání internetu k přehrávání filmů, videa a hudby se také liší podle věkových kategorií, jak</w:t>
      </w:r>
      <w:r w:rsidR="008B64EB" w:rsidRPr="00EB2612">
        <w:t> </w:t>
      </w:r>
      <w:r w:rsidRPr="00EB2612">
        <w:t>ukazuje Graf</w:t>
      </w:r>
      <w:r w:rsidR="009F6C58" w:rsidRPr="00EB2612">
        <w:t> </w:t>
      </w:r>
      <w:r w:rsidR="004F4DFA" w:rsidRPr="00EB2612">
        <w:t>2</w:t>
      </w:r>
      <w:r w:rsidR="00E03492" w:rsidRPr="00EB2612">
        <w:t>7</w:t>
      </w:r>
      <w:r w:rsidRPr="00EB2612">
        <w:t xml:space="preserve">. </w:t>
      </w:r>
      <w:r w:rsidR="001132C6" w:rsidRPr="00EB2612">
        <w:t>Ve věku</w:t>
      </w:r>
      <w:r w:rsidR="0029010F" w:rsidRPr="00EB2612">
        <w:t xml:space="preserve"> 16</w:t>
      </w:r>
      <w:r w:rsidRPr="00EB2612">
        <w:rPr>
          <w:i/>
          <w:iCs/>
        </w:rPr>
        <w:t>–</w:t>
      </w:r>
      <w:r w:rsidRPr="00EB2612">
        <w:t xml:space="preserve">24 let využilo internet </w:t>
      </w:r>
      <w:r w:rsidR="0098125B" w:rsidRPr="00EB2612">
        <w:t xml:space="preserve">ke sledování filmů a </w:t>
      </w:r>
      <w:r w:rsidR="007C0993" w:rsidRPr="00EB2612">
        <w:t xml:space="preserve">videa </w:t>
      </w:r>
      <w:r w:rsidR="00C10234" w:rsidRPr="00EB2612">
        <w:t>91 % a k</w:t>
      </w:r>
      <w:r w:rsidR="007C0993" w:rsidRPr="00EB2612">
        <w:t xml:space="preserve"> poslechu hudby </w:t>
      </w:r>
      <w:r w:rsidR="00C10234" w:rsidRPr="00EB2612">
        <w:t>84</w:t>
      </w:r>
      <w:r w:rsidR="0098125B" w:rsidRPr="00EB2612">
        <w:t xml:space="preserve"> % populace</w:t>
      </w:r>
      <w:r w:rsidR="00407728" w:rsidRPr="00EB2612">
        <w:t xml:space="preserve"> v této věkové kategorii</w:t>
      </w:r>
      <w:r w:rsidRPr="00EB2612">
        <w:t>. S narůst</w:t>
      </w:r>
      <w:r w:rsidR="007C0993" w:rsidRPr="00EB2612">
        <w:t>ajícím věkem má pak četnost těchto aktivit</w:t>
      </w:r>
      <w:r w:rsidRPr="00EB2612">
        <w:t xml:space="preserve"> sestupnou tendenci</w:t>
      </w:r>
      <w:r w:rsidR="0098125B" w:rsidRPr="00EB2612">
        <w:t xml:space="preserve">, </w:t>
      </w:r>
      <w:r w:rsidR="0098125B" w:rsidRPr="00EB2612">
        <w:lastRenderedPageBreak/>
        <w:t>přičemž podíl těch, kteří poslouchají hudbu</w:t>
      </w:r>
      <w:r w:rsidR="003F593B">
        <w:t>,</w:t>
      </w:r>
      <w:r w:rsidR="0098125B" w:rsidRPr="00EB2612">
        <w:t xml:space="preserve"> klesá rychleji, než podíl těch, kteří sledují </w:t>
      </w:r>
      <w:r w:rsidR="007538BC">
        <w:t>film a video</w:t>
      </w:r>
      <w:r w:rsidRPr="00EB2612">
        <w:t>.</w:t>
      </w:r>
      <w:r w:rsidR="007C0993" w:rsidRPr="00EB2612">
        <w:t xml:space="preserve"> Ve</w:t>
      </w:r>
      <w:r w:rsidR="0029010F" w:rsidRPr="00EB2612">
        <w:t> </w:t>
      </w:r>
      <w:r w:rsidR="00C10234" w:rsidRPr="00EB2612">
        <w:t>věkové kategorii 7</w:t>
      </w:r>
      <w:r w:rsidR="007C0993" w:rsidRPr="00EB2612">
        <w:t xml:space="preserve">5 let a více se pak sledování filmů a videa </w:t>
      </w:r>
      <w:r w:rsidR="00E64CA1" w:rsidRPr="00EB2612">
        <w:t>či poslechu hudby přes internet</w:t>
      </w:r>
      <w:r w:rsidR="007C0993" w:rsidRPr="00EB2612">
        <w:t xml:space="preserve"> věnuje </w:t>
      </w:r>
      <w:r w:rsidR="00C10234" w:rsidRPr="00EB2612">
        <w:t>každý dvacátý</w:t>
      </w:r>
      <w:r w:rsidR="00E64CA1" w:rsidRPr="00EB2612">
        <w:t>.</w:t>
      </w:r>
    </w:p>
    <w:p w:rsidR="00BB64DB" w:rsidRPr="00EB2612" w:rsidRDefault="00BB64DB" w:rsidP="007E1B9D">
      <w:pPr>
        <w:pStyle w:val="Titulek"/>
        <w:keepNext/>
        <w:rPr>
          <w:noProof/>
        </w:rPr>
      </w:pPr>
      <w:r w:rsidRPr="00EB2612">
        <w:rPr>
          <w:color w:val="auto"/>
          <w:sz w:val="22"/>
          <w:szCs w:val="22"/>
        </w:rPr>
        <w:t xml:space="preserve">Graf </w:t>
      </w:r>
      <w:r w:rsidR="00E03492" w:rsidRPr="00EB2612">
        <w:rPr>
          <w:color w:val="auto"/>
          <w:sz w:val="22"/>
          <w:szCs w:val="22"/>
        </w:rPr>
        <w:t>27</w:t>
      </w:r>
      <w:r w:rsidRPr="00EB2612">
        <w:rPr>
          <w:color w:val="auto"/>
          <w:sz w:val="22"/>
          <w:szCs w:val="22"/>
        </w:rPr>
        <w:t xml:space="preserve"> </w:t>
      </w:r>
      <w:r w:rsidR="00407728" w:rsidRPr="00EB2612">
        <w:rPr>
          <w:b w:val="0"/>
          <w:color w:val="auto"/>
          <w:sz w:val="22"/>
          <w:szCs w:val="22"/>
        </w:rPr>
        <w:t>Podíl osob</w:t>
      </w:r>
      <w:r w:rsidR="00407728" w:rsidRPr="00EB2612">
        <w:rPr>
          <w:color w:val="auto"/>
          <w:sz w:val="22"/>
          <w:szCs w:val="22"/>
        </w:rPr>
        <w:t xml:space="preserve"> </w:t>
      </w:r>
      <w:r w:rsidR="00407728" w:rsidRPr="00EB2612">
        <w:rPr>
          <w:b w:val="0"/>
          <w:color w:val="auto"/>
          <w:sz w:val="22"/>
          <w:szCs w:val="22"/>
        </w:rPr>
        <w:t>poslouchající</w:t>
      </w:r>
      <w:r w:rsidR="000D3FEF" w:rsidRPr="00EB2612">
        <w:rPr>
          <w:b w:val="0"/>
          <w:color w:val="auto"/>
          <w:sz w:val="22"/>
          <w:szCs w:val="22"/>
        </w:rPr>
        <w:t>ch</w:t>
      </w:r>
      <w:r w:rsidR="00407728" w:rsidRPr="00EB2612">
        <w:rPr>
          <w:b w:val="0"/>
          <w:color w:val="auto"/>
          <w:sz w:val="22"/>
          <w:szCs w:val="22"/>
        </w:rPr>
        <w:t xml:space="preserve"> hudbu</w:t>
      </w:r>
      <w:r w:rsidR="007E1B9D" w:rsidRPr="00EB2612">
        <w:rPr>
          <w:b w:val="0"/>
          <w:color w:val="auto"/>
          <w:sz w:val="22"/>
          <w:szCs w:val="22"/>
        </w:rPr>
        <w:t xml:space="preserve"> a sle</w:t>
      </w:r>
      <w:r w:rsidR="00407728" w:rsidRPr="00EB2612">
        <w:rPr>
          <w:b w:val="0"/>
          <w:color w:val="auto"/>
          <w:sz w:val="22"/>
          <w:szCs w:val="22"/>
        </w:rPr>
        <w:t>dujících filmy</w:t>
      </w:r>
      <w:r w:rsidR="007E1B9D" w:rsidRPr="00EB2612">
        <w:rPr>
          <w:b w:val="0"/>
          <w:color w:val="auto"/>
          <w:sz w:val="22"/>
          <w:szCs w:val="22"/>
        </w:rPr>
        <w:t xml:space="preserve"> či videa</w:t>
      </w:r>
      <w:r w:rsidR="00407728" w:rsidRPr="00EB2612">
        <w:rPr>
          <w:b w:val="0"/>
          <w:color w:val="auto"/>
          <w:sz w:val="22"/>
          <w:szCs w:val="22"/>
        </w:rPr>
        <w:t xml:space="preserve"> on-line</w:t>
      </w:r>
      <w:r w:rsidR="00C10234" w:rsidRPr="00EB2612">
        <w:rPr>
          <w:b w:val="0"/>
          <w:color w:val="auto"/>
          <w:sz w:val="22"/>
          <w:szCs w:val="22"/>
        </w:rPr>
        <w:t xml:space="preserve"> v roce 2019</w:t>
      </w:r>
      <w:r w:rsidR="007E1B9D" w:rsidRPr="00EB2612">
        <w:rPr>
          <w:b w:val="0"/>
          <w:color w:val="auto"/>
          <w:sz w:val="22"/>
          <w:szCs w:val="22"/>
        </w:rPr>
        <w:t xml:space="preserve"> podle věkových kategorií</w:t>
      </w:r>
      <w:r w:rsidR="007E1B9D" w:rsidRPr="00EB2612">
        <w:rPr>
          <w:noProof/>
        </w:rPr>
        <w:t xml:space="preserve"> </w:t>
      </w:r>
    </w:p>
    <w:p w:rsidR="007E1B9D" w:rsidRPr="00EB2612" w:rsidRDefault="00D862DB" w:rsidP="007E1B9D">
      <w:pPr>
        <w:rPr>
          <w:lang w:eastAsia="en-US"/>
        </w:rPr>
      </w:pPr>
      <w:r w:rsidRPr="00EB2612">
        <w:rPr>
          <w:noProof/>
        </w:rPr>
        <w:drawing>
          <wp:inline distT="0" distB="0" distL="0" distR="0">
            <wp:extent cx="6210300" cy="2695575"/>
            <wp:effectExtent l="0" t="0" r="0" b="0"/>
            <wp:docPr id="10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64DB" w:rsidRPr="00EB2612" w:rsidRDefault="00612473" w:rsidP="00BB64DB">
      <w:pPr>
        <w:pStyle w:val="Titulek"/>
        <w:rPr>
          <w:b w:val="0"/>
          <w:color w:val="auto"/>
          <w:sz w:val="22"/>
          <w:szCs w:val="22"/>
        </w:rPr>
      </w:pPr>
      <w:r w:rsidRPr="00EB2612">
        <w:rPr>
          <w:b w:val="0"/>
          <w:color w:val="auto"/>
          <w:sz w:val="22"/>
          <w:szCs w:val="22"/>
        </w:rPr>
        <w:t xml:space="preserve">Zdroj: </w:t>
      </w:r>
      <w:r w:rsidR="00077ECA" w:rsidRPr="00EB2612">
        <w:rPr>
          <w:b w:val="0"/>
          <w:color w:val="auto"/>
          <w:sz w:val="22"/>
          <w:szCs w:val="22"/>
        </w:rPr>
        <w:t>Výběrové šetření o informačních a komunikačních technologiích</w:t>
      </w:r>
      <w:r w:rsidR="002A0381" w:rsidRPr="00EB2612">
        <w:rPr>
          <w:b w:val="0"/>
          <w:color w:val="auto"/>
          <w:sz w:val="22"/>
          <w:szCs w:val="22"/>
        </w:rPr>
        <w:t xml:space="preserve">, </w:t>
      </w:r>
      <w:r w:rsidRPr="00EB2612">
        <w:rPr>
          <w:b w:val="0"/>
          <w:color w:val="auto"/>
          <w:sz w:val="22"/>
          <w:szCs w:val="22"/>
        </w:rPr>
        <w:t>ČSÚ</w:t>
      </w:r>
    </w:p>
    <w:p w:rsidR="00BB64DB" w:rsidRPr="00EB2612" w:rsidRDefault="00BB64DB" w:rsidP="00694914">
      <w:pPr>
        <w:pStyle w:val="Nadpis2"/>
        <w:numPr>
          <w:ilvl w:val="1"/>
          <w:numId w:val="17"/>
        </w:numPr>
      </w:pPr>
      <w:bookmarkStart w:id="2" w:name="_Toc430189801"/>
      <w:bookmarkStart w:id="3" w:name="_Toc463969184"/>
      <w:bookmarkStart w:id="4" w:name="_Toc465253894"/>
      <w:r w:rsidRPr="00EB2612">
        <w:t>FILM A VIDEO</w:t>
      </w:r>
      <w:bookmarkEnd w:id="2"/>
      <w:bookmarkEnd w:id="3"/>
      <w:bookmarkEnd w:id="4"/>
    </w:p>
    <w:tbl>
      <w:tblPr>
        <w:tblW w:w="5000" w:type="pct"/>
        <w:tblCellMar>
          <w:left w:w="70" w:type="dxa"/>
          <w:right w:w="70" w:type="dxa"/>
        </w:tblCellMar>
        <w:tblLook w:val="04A0"/>
      </w:tblPr>
      <w:tblGrid>
        <w:gridCol w:w="9634"/>
        <w:gridCol w:w="144"/>
      </w:tblGrid>
      <w:tr w:rsidR="00BB64DB" w:rsidRPr="00EB2612" w:rsidTr="002A32D6">
        <w:trPr>
          <w:trHeight w:val="1020"/>
        </w:trPr>
        <w:tc>
          <w:tcPr>
            <w:tcW w:w="3278" w:type="pct"/>
            <w:tcBorders>
              <w:top w:val="nil"/>
              <w:left w:val="nil"/>
              <w:bottom w:val="nil"/>
              <w:right w:val="nil"/>
            </w:tcBorders>
            <w:shd w:val="clear" w:color="auto" w:fill="auto"/>
            <w:hideMark/>
          </w:tcPr>
          <w:p w:rsidR="00BB64DB" w:rsidRPr="00EB2612" w:rsidRDefault="00BB64DB" w:rsidP="002A32D6">
            <w:pPr>
              <w:pStyle w:val="Titulek"/>
              <w:keepNext/>
              <w:jc w:val="right"/>
              <w:rPr>
                <w:b w:val="0"/>
                <w:color w:val="auto"/>
                <w:sz w:val="22"/>
                <w:szCs w:val="22"/>
              </w:rPr>
            </w:pPr>
            <w:bookmarkStart w:id="5" w:name="_Toc464832049"/>
            <w:r w:rsidRPr="00EB2612">
              <w:rPr>
                <w:color w:val="auto"/>
                <w:sz w:val="22"/>
                <w:szCs w:val="22"/>
              </w:rPr>
              <w:t xml:space="preserve">Tabulka </w:t>
            </w:r>
            <w:r w:rsidR="00050886" w:rsidRPr="00EB2612">
              <w:rPr>
                <w:color w:val="auto"/>
                <w:sz w:val="22"/>
                <w:szCs w:val="22"/>
              </w:rPr>
              <w:t>5</w:t>
            </w:r>
            <w:r w:rsidRPr="00EB2612">
              <w:rPr>
                <w:b w:val="0"/>
                <w:color w:val="auto"/>
                <w:sz w:val="22"/>
                <w:szCs w:val="22"/>
              </w:rPr>
              <w:t xml:space="preserve"> Vymezení oblasti filmu a videa podle klasifikace NACE</w:t>
            </w:r>
            <w:bookmarkEnd w:id="5"/>
          </w:p>
          <w:tbl>
            <w:tblPr>
              <w:tblW w:w="9993" w:type="dxa"/>
              <w:tblInd w:w="3119" w:type="dxa"/>
              <w:tblCellMar>
                <w:left w:w="70" w:type="dxa"/>
                <w:right w:w="70" w:type="dxa"/>
              </w:tblCellMar>
              <w:tblLook w:val="04A0"/>
            </w:tblPr>
            <w:tblGrid>
              <w:gridCol w:w="1559"/>
              <w:gridCol w:w="8434"/>
            </w:tblGrid>
            <w:tr w:rsidR="00F12145" w:rsidRPr="00EB2612" w:rsidTr="00F12145">
              <w:trPr>
                <w:trHeight w:val="255"/>
              </w:trPr>
              <w:tc>
                <w:tcPr>
                  <w:tcW w:w="78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EB2612" w:rsidRDefault="00BB64DB" w:rsidP="00F12145">
                  <w:pPr>
                    <w:pStyle w:val="Box"/>
                    <w:ind w:left="497" w:right="-213" w:hanging="497"/>
                    <w:rPr>
                      <w:rFonts w:asciiTheme="minorHAnsi" w:hAnsiTheme="minorHAnsi"/>
                      <w:sz w:val="20"/>
                      <w:szCs w:val="20"/>
                    </w:rPr>
                  </w:pPr>
                  <w:r w:rsidRPr="00EB2612">
                    <w:rPr>
                      <w:rFonts w:asciiTheme="minorHAnsi" w:hAnsiTheme="minorHAnsi"/>
                      <w:sz w:val="20"/>
                      <w:szCs w:val="20"/>
                    </w:rPr>
                    <w:t>NACE</w:t>
                  </w:r>
                </w:p>
              </w:tc>
              <w:tc>
                <w:tcPr>
                  <w:tcW w:w="422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EB2612" w:rsidRDefault="00BB64DB" w:rsidP="00F12145">
                  <w:pPr>
                    <w:pStyle w:val="Box"/>
                    <w:ind w:left="0"/>
                    <w:rPr>
                      <w:rFonts w:asciiTheme="minorHAnsi" w:hAnsiTheme="minorHAnsi"/>
                      <w:sz w:val="20"/>
                      <w:szCs w:val="20"/>
                    </w:rPr>
                  </w:pPr>
                  <w:r w:rsidRPr="00EB2612">
                    <w:rPr>
                      <w:rFonts w:asciiTheme="minorHAnsi" w:hAnsiTheme="minorHAnsi"/>
                      <w:sz w:val="20"/>
                      <w:szCs w:val="20"/>
                    </w:rPr>
                    <w:t>EKONOMICKÁ ČINNOST</w:t>
                  </w:r>
                </w:p>
              </w:tc>
            </w:tr>
            <w:tr w:rsidR="00BB64DB" w:rsidRPr="00EB2612" w:rsidTr="00F12145">
              <w:trPr>
                <w:trHeight w:val="255"/>
              </w:trPr>
              <w:tc>
                <w:tcPr>
                  <w:tcW w:w="780" w:type="pct"/>
                  <w:tcBorders>
                    <w:top w:val="single" w:sz="12" w:space="0" w:color="auto"/>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47.63</w:t>
                  </w:r>
                </w:p>
              </w:tc>
              <w:tc>
                <w:tcPr>
                  <w:tcW w:w="4220" w:type="pct"/>
                  <w:tcBorders>
                    <w:top w:val="single" w:sz="12" w:space="0" w:color="auto"/>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Maloobchod s audio- a videozáznamy (50%)</w:t>
                  </w:r>
                </w:p>
              </w:tc>
            </w:tr>
            <w:tr w:rsidR="00BB64DB" w:rsidRPr="00EB2612" w:rsidTr="00F12145">
              <w:trPr>
                <w:trHeight w:val="255"/>
              </w:trPr>
              <w:tc>
                <w:tcPr>
                  <w:tcW w:w="780" w:type="pct"/>
                  <w:tcBorders>
                    <w:top w:val="nil"/>
                    <w:left w:val="nil"/>
                    <w:bottom w:val="nil"/>
                    <w:right w:val="nil"/>
                  </w:tcBorders>
                  <w:shd w:val="clear" w:color="auto" w:fill="auto"/>
                  <w:hideMark/>
                </w:tcPr>
                <w:p w:rsidR="00BB64DB" w:rsidRPr="00EB2612" w:rsidRDefault="00BB64DB" w:rsidP="00F12145">
                  <w:pPr>
                    <w:spacing w:after="0"/>
                    <w:ind w:right="212"/>
                    <w:rPr>
                      <w:rFonts w:asciiTheme="minorHAnsi" w:hAnsiTheme="minorHAnsi"/>
                      <w:szCs w:val="20"/>
                    </w:rPr>
                  </w:pPr>
                  <w:r w:rsidRPr="00EB2612">
                    <w:rPr>
                      <w:rFonts w:asciiTheme="minorHAnsi" w:hAnsiTheme="minorHAnsi"/>
                      <w:szCs w:val="20"/>
                    </w:rPr>
                    <w:t>59.11</w:t>
                  </w:r>
                </w:p>
              </w:tc>
              <w:tc>
                <w:tcPr>
                  <w:tcW w:w="4220" w:type="pct"/>
                  <w:tcBorders>
                    <w:top w:val="nil"/>
                    <w:left w:val="nil"/>
                    <w:bottom w:val="nil"/>
                    <w:right w:val="nil"/>
                  </w:tcBorders>
                  <w:shd w:val="clear" w:color="auto" w:fill="auto"/>
                  <w:hideMark/>
                </w:tcPr>
                <w:p w:rsidR="00BB64DB" w:rsidRPr="00EB2612" w:rsidRDefault="00BB64DB" w:rsidP="00F12145">
                  <w:pPr>
                    <w:spacing w:after="0"/>
                    <w:ind w:right="-3243"/>
                    <w:rPr>
                      <w:rFonts w:asciiTheme="minorHAnsi" w:hAnsiTheme="minorHAnsi"/>
                      <w:szCs w:val="20"/>
                    </w:rPr>
                  </w:pPr>
                  <w:r w:rsidRPr="00EB2612">
                    <w:rPr>
                      <w:rFonts w:asciiTheme="minorHAnsi" w:hAnsiTheme="minorHAnsi"/>
                      <w:szCs w:val="20"/>
                    </w:rPr>
                    <w:t>Produkce filmů, videozáznamů a televizních programů</w:t>
                  </w:r>
                </w:p>
              </w:tc>
            </w:tr>
            <w:tr w:rsidR="00BB64DB" w:rsidRPr="00EB2612" w:rsidTr="00F12145">
              <w:trPr>
                <w:trHeight w:val="255"/>
              </w:trPr>
              <w:tc>
                <w:tcPr>
                  <w:tcW w:w="78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59.12</w:t>
                  </w:r>
                </w:p>
              </w:tc>
              <w:tc>
                <w:tcPr>
                  <w:tcW w:w="422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Postprodukce filmů, videozáznamů a televizních programů</w:t>
                  </w:r>
                </w:p>
              </w:tc>
            </w:tr>
            <w:tr w:rsidR="00BB64DB" w:rsidRPr="00EB2612" w:rsidTr="00F12145">
              <w:trPr>
                <w:trHeight w:val="255"/>
              </w:trPr>
              <w:tc>
                <w:tcPr>
                  <w:tcW w:w="78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59.13</w:t>
                  </w:r>
                </w:p>
              </w:tc>
              <w:tc>
                <w:tcPr>
                  <w:tcW w:w="422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Distribuce filmů, videozáznamů a televizních programů</w:t>
                  </w:r>
                </w:p>
              </w:tc>
            </w:tr>
            <w:tr w:rsidR="00BB64DB" w:rsidRPr="00EB2612" w:rsidTr="00F12145">
              <w:trPr>
                <w:trHeight w:val="134"/>
              </w:trPr>
              <w:tc>
                <w:tcPr>
                  <w:tcW w:w="78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59.14</w:t>
                  </w:r>
                </w:p>
              </w:tc>
              <w:tc>
                <w:tcPr>
                  <w:tcW w:w="422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 xml:space="preserve">Promítání filmů </w:t>
                  </w:r>
                </w:p>
              </w:tc>
            </w:tr>
            <w:tr w:rsidR="00BB64DB" w:rsidRPr="00EB2612" w:rsidTr="00583523">
              <w:trPr>
                <w:trHeight w:val="255"/>
              </w:trPr>
              <w:tc>
                <w:tcPr>
                  <w:tcW w:w="780" w:type="pct"/>
                  <w:tcBorders>
                    <w:top w:val="nil"/>
                    <w:left w:val="nil"/>
                    <w:bottom w:val="single" w:sz="12" w:space="0" w:color="auto"/>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77.22</w:t>
                  </w:r>
                </w:p>
              </w:tc>
              <w:tc>
                <w:tcPr>
                  <w:tcW w:w="4220" w:type="pct"/>
                  <w:tcBorders>
                    <w:top w:val="nil"/>
                    <w:left w:val="nil"/>
                    <w:bottom w:val="single" w:sz="12" w:space="0" w:color="auto"/>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Pronájem videokazet a disků</w:t>
                  </w:r>
                </w:p>
              </w:tc>
            </w:tr>
          </w:tbl>
          <w:p w:rsidR="00BB64DB" w:rsidRPr="00EB2612" w:rsidRDefault="00BB64DB" w:rsidP="002A32D6">
            <w:pPr>
              <w:spacing w:after="0" w:line="240" w:lineRule="auto"/>
              <w:rPr>
                <w:rFonts w:ascii="Times New Roman" w:hAnsi="Times New Roman"/>
                <w:szCs w:val="20"/>
              </w:rPr>
            </w:pPr>
          </w:p>
        </w:tc>
        <w:tc>
          <w:tcPr>
            <w:tcW w:w="1722" w:type="pct"/>
            <w:tcBorders>
              <w:top w:val="nil"/>
              <w:left w:val="nil"/>
              <w:bottom w:val="nil"/>
              <w:right w:val="nil"/>
            </w:tcBorders>
            <w:shd w:val="clear" w:color="auto" w:fill="auto"/>
            <w:hideMark/>
          </w:tcPr>
          <w:p w:rsidR="00BB64DB" w:rsidRPr="00EB2612" w:rsidRDefault="00BB64DB" w:rsidP="002A32D6">
            <w:pPr>
              <w:spacing w:after="0" w:line="240" w:lineRule="auto"/>
              <w:rPr>
                <w:rFonts w:ascii="Times New Roman" w:hAnsi="Times New Roman"/>
                <w:szCs w:val="20"/>
              </w:rPr>
            </w:pPr>
          </w:p>
        </w:tc>
      </w:tr>
    </w:tbl>
    <w:p w:rsidR="001B13C4" w:rsidRPr="00EB2612" w:rsidRDefault="001B13C4" w:rsidP="00BB64DB"/>
    <w:p w:rsidR="005E01C4" w:rsidRPr="00EB2612" w:rsidRDefault="00096D5E" w:rsidP="00BB64DB">
      <w:r w:rsidRPr="00EB2612">
        <w:t>Výroba audiovizuálních děl je vzhledem k vysokým vstupním nákladům ve velké míře závislá na veřejné podpoře</w:t>
      </w:r>
      <w:r w:rsidR="00BB64DB" w:rsidRPr="00EB2612">
        <w:t xml:space="preserve">. </w:t>
      </w:r>
      <w:r w:rsidR="001B13C4" w:rsidRPr="00EB2612">
        <w:t>Zejména celovečerní f</w:t>
      </w:r>
      <w:r w:rsidRPr="00EB2612">
        <w:t>ilmy vznikají ve většině států díky podpoře z veřejných zdrojů s výjimkou studiových filmů v USA,</w:t>
      </w:r>
      <w:r w:rsidR="00D27CF3">
        <w:t xml:space="preserve"> které nejsou díky zázemí nadnárodních korporací odkázány na vícezdrojové financování</w:t>
      </w:r>
      <w:r w:rsidRPr="00EB2612">
        <w:t>.</w:t>
      </w:r>
      <w:r w:rsidR="001B13C4" w:rsidRPr="00EB2612">
        <w:t xml:space="preserve"> Důležitou roli v evropské produkci filmů hraje také spolufinancování televizními provozovateli. Ti se staraj</w:t>
      </w:r>
      <w:r w:rsidR="005E01C4" w:rsidRPr="00EB2612">
        <w:t>í přibližně o čtvrtinu financování</w:t>
      </w:r>
      <w:r w:rsidR="003F593B">
        <w:t xml:space="preserve"> celkové filmové produkce. Souk</w:t>
      </w:r>
      <w:r w:rsidR="005E01C4" w:rsidRPr="00EB2612">
        <w:t>r</w:t>
      </w:r>
      <w:r w:rsidR="003F593B">
        <w:t>o</w:t>
      </w:r>
      <w:r w:rsidR="005E01C4" w:rsidRPr="00EB2612">
        <w:t>mí investoři pak pokryjí necelou pětinu celkových financí na výrobu filmů (EAO, 2020).</w:t>
      </w:r>
    </w:p>
    <w:p w:rsidR="005E01C4" w:rsidRPr="00EB2612" w:rsidRDefault="005E01C4" w:rsidP="00BB64DB">
      <w:r w:rsidRPr="00EB2612">
        <w:tab/>
      </w:r>
      <w:r w:rsidR="00096D5E" w:rsidRPr="00EB2612">
        <w:t>Také česká filmová</w:t>
      </w:r>
      <w:r w:rsidR="00BB64DB" w:rsidRPr="00EB2612">
        <w:t xml:space="preserve"> produkce</w:t>
      </w:r>
      <w:r w:rsidR="00A95B17" w:rsidRPr="00EB2612">
        <w:t xml:space="preserve"> je </w:t>
      </w:r>
      <w:r w:rsidRPr="00EB2612">
        <w:t>ve velké míře</w:t>
      </w:r>
      <w:r w:rsidR="00A95B17" w:rsidRPr="00EB2612">
        <w:t xml:space="preserve"> závislá</w:t>
      </w:r>
      <w:r w:rsidR="00BB64DB" w:rsidRPr="00EB2612">
        <w:t xml:space="preserve"> na velikosti </w:t>
      </w:r>
      <w:r w:rsidRPr="00EB2612">
        <w:t xml:space="preserve">veřejné </w:t>
      </w:r>
      <w:r w:rsidR="00BB64DB" w:rsidRPr="00EB2612">
        <w:t>finanční podpory, kterou každoročně uděluje S</w:t>
      </w:r>
      <w:r w:rsidR="00E44FE6" w:rsidRPr="00EB2612">
        <w:t>tátní fond kinematografie (Staníková,</w:t>
      </w:r>
      <w:r w:rsidR="008B64EB" w:rsidRPr="00EB2612">
        <w:t> </w:t>
      </w:r>
      <w:r w:rsidR="00E44FE6" w:rsidRPr="00EB2612">
        <w:t>2015</w:t>
      </w:r>
      <w:r w:rsidR="00BB64DB" w:rsidRPr="00EB2612">
        <w:t>). Státní podpora ovlivňuje také zahraniční filmovou produkci</w:t>
      </w:r>
      <w:r w:rsidR="00F12145" w:rsidRPr="00EB2612">
        <w:t xml:space="preserve"> v České republice</w:t>
      </w:r>
      <w:r w:rsidR="00BB64DB" w:rsidRPr="00EB2612">
        <w:t>. Jedná se zejména</w:t>
      </w:r>
      <w:r w:rsidR="00282CCA" w:rsidRPr="00EB2612">
        <w:t> </w:t>
      </w:r>
      <w:r w:rsidR="00BB64DB" w:rsidRPr="00EB2612">
        <w:t>o</w:t>
      </w:r>
      <w:r w:rsidR="00282CCA" w:rsidRPr="00EB2612">
        <w:t> </w:t>
      </w:r>
      <w:r w:rsidR="00A95B17" w:rsidRPr="00EB2612">
        <w:t>filmové pobídky</w:t>
      </w:r>
      <w:r w:rsidR="00BB64DB" w:rsidRPr="00EB2612">
        <w:t xml:space="preserve">, které </w:t>
      </w:r>
      <w:r w:rsidRPr="00EB2612">
        <w:t>byly poprvé zavedeny v</w:t>
      </w:r>
      <w:r w:rsidR="00362010">
        <w:t> </w:t>
      </w:r>
      <w:r w:rsidRPr="00EB2612">
        <w:t>roce</w:t>
      </w:r>
      <w:r w:rsidR="00BB64DB" w:rsidRPr="00EB2612">
        <w:t xml:space="preserve"> 2010</w:t>
      </w:r>
      <w:r w:rsidRPr="00EB2612">
        <w:t xml:space="preserve">. </w:t>
      </w:r>
      <w:r w:rsidR="00C05875" w:rsidRPr="00EB2612">
        <w:t xml:space="preserve">Příjmy českých producentů audiovizuálních děl ze zakázek zahraniční produkce vzrostly od té </w:t>
      </w:r>
      <w:r w:rsidR="00C05875" w:rsidRPr="00EB2612">
        <w:lastRenderedPageBreak/>
        <w:t>doby přibližně devítin</w:t>
      </w:r>
      <w:r w:rsidR="008D3EE8" w:rsidRPr="00EB2612">
        <w:t>ásobně a v roce 2019 dosáhly výše 6,3 mld. Kč (APA, 2020). Pobídkové systémy však fungují v desítkách zemí světa a jen v Evropě jsou zavedeny u více než 30 zemí.</w:t>
      </w:r>
    </w:p>
    <w:p w:rsidR="00BB64DB" w:rsidRPr="00EB2612" w:rsidRDefault="005E01C4" w:rsidP="00BB64DB">
      <w:r w:rsidRPr="00EB2612">
        <w:t xml:space="preserve"> </w:t>
      </w:r>
    </w:p>
    <w:p w:rsidR="00BB64DB" w:rsidRPr="00EB2612" w:rsidRDefault="004B6F2F" w:rsidP="00694914">
      <w:pPr>
        <w:pStyle w:val="Nadpis3"/>
        <w:numPr>
          <w:ilvl w:val="2"/>
          <w:numId w:val="17"/>
        </w:numPr>
      </w:pPr>
      <w:bookmarkStart w:id="6" w:name="_Toc430189802"/>
      <w:bookmarkStart w:id="7" w:name="_Toc431475030"/>
      <w:bookmarkStart w:id="8" w:name="_Toc463969185"/>
      <w:bookmarkStart w:id="9" w:name="_Toc465253895"/>
      <w:r w:rsidRPr="00EB2612">
        <w:t>PŘÍJMY</w:t>
      </w:r>
      <w:r w:rsidR="00BB64DB" w:rsidRPr="00EB2612">
        <w:t xml:space="preserve"> A ZAMĚSTNANOST</w:t>
      </w:r>
      <w:bookmarkEnd w:id="6"/>
      <w:bookmarkEnd w:id="7"/>
      <w:bookmarkEnd w:id="8"/>
      <w:bookmarkEnd w:id="9"/>
      <w:r w:rsidR="00BB64DB" w:rsidRPr="00EB2612">
        <w:t xml:space="preserve"> </w:t>
      </w:r>
    </w:p>
    <w:p w:rsidR="00BB64DB" w:rsidRPr="00EB2612" w:rsidRDefault="00A24289" w:rsidP="00BB64DB">
      <w:r w:rsidRPr="00EB2612">
        <w:t>Celkové příjmy subjektů s převažující ekonomickou činností v oblasti filmu v Čechách vzrostly mezi lety 200</w:t>
      </w:r>
      <w:r w:rsidR="00E6132D" w:rsidRPr="00EB2612">
        <w:t xml:space="preserve">9 a 2018 o 6,7 mld. Kč a v roce 2018 dosáhly výše 19,3 mld. Kč. </w:t>
      </w:r>
      <w:r w:rsidR="006B0ACA" w:rsidRPr="00EB2612">
        <w:t>Data z Podnikové strukturální statistiky reflektují ekonomické činnosti filmové produkce, post-produkce, distribuce, maloobchodu, půjčoven a</w:t>
      </w:r>
      <w:r w:rsidR="00362010">
        <w:t> </w:t>
      </w:r>
      <w:r w:rsidR="006B0ACA" w:rsidRPr="00EB2612">
        <w:t xml:space="preserve">promítání. </w:t>
      </w:r>
      <w:r w:rsidR="00E6132D" w:rsidRPr="00EB2612">
        <w:t xml:space="preserve">Tak jako v jiných oblastech </w:t>
      </w:r>
      <w:r w:rsidR="00E6132D" w:rsidRPr="00394A56">
        <w:rPr>
          <w:b/>
        </w:rPr>
        <w:t xml:space="preserve">tato suma </w:t>
      </w:r>
      <w:r w:rsidR="009973FE" w:rsidRPr="00394A56">
        <w:rPr>
          <w:b/>
        </w:rPr>
        <w:t>nezohledňuje</w:t>
      </w:r>
      <w:r w:rsidR="00E6132D" w:rsidRPr="00394A56">
        <w:rPr>
          <w:b/>
        </w:rPr>
        <w:t xml:space="preserve"> subjekty s jinou převažující ekonomickou činností, </w:t>
      </w:r>
      <w:r w:rsidR="00E6132D" w:rsidRPr="00394A56">
        <w:t>které se</w:t>
      </w:r>
      <w:r w:rsidR="00394A56" w:rsidRPr="00394A56">
        <w:t xml:space="preserve"> také významnou mírou podílejí</w:t>
      </w:r>
      <w:r w:rsidR="00E6132D" w:rsidRPr="00394A56">
        <w:t xml:space="preserve"> na výrobě audiovizuálních děl</w:t>
      </w:r>
      <w:r w:rsidR="006B0ACA" w:rsidRPr="00EB2612">
        <w:t>.</w:t>
      </w:r>
    </w:p>
    <w:p w:rsidR="00BB64DB" w:rsidRPr="00EB2612" w:rsidRDefault="00BB64DB" w:rsidP="00BB64DB">
      <w:pPr>
        <w:pStyle w:val="Titulek"/>
        <w:keepNext/>
        <w:rPr>
          <w:color w:val="auto"/>
          <w:sz w:val="22"/>
          <w:szCs w:val="22"/>
        </w:rPr>
      </w:pPr>
      <w:r w:rsidRPr="00EB2612">
        <w:rPr>
          <w:color w:val="auto"/>
          <w:sz w:val="22"/>
          <w:szCs w:val="22"/>
        </w:rPr>
        <w:t xml:space="preserve">Graf </w:t>
      </w:r>
      <w:r w:rsidR="00050886" w:rsidRPr="00EB2612">
        <w:rPr>
          <w:color w:val="auto"/>
          <w:sz w:val="22"/>
          <w:szCs w:val="22"/>
        </w:rPr>
        <w:t>28</w:t>
      </w:r>
      <w:r w:rsidRPr="00EB2612">
        <w:rPr>
          <w:color w:val="auto"/>
          <w:sz w:val="22"/>
          <w:szCs w:val="22"/>
        </w:rPr>
        <w:t xml:space="preserve"> </w:t>
      </w:r>
      <w:r w:rsidR="001D4ECA" w:rsidRPr="00EB2612">
        <w:rPr>
          <w:b w:val="0"/>
          <w:color w:val="auto"/>
          <w:sz w:val="22"/>
          <w:szCs w:val="22"/>
        </w:rPr>
        <w:t>Příjmy</w:t>
      </w:r>
      <w:r w:rsidR="004271DC" w:rsidRPr="00EB2612">
        <w:rPr>
          <w:b w:val="0"/>
          <w:color w:val="auto"/>
          <w:sz w:val="22"/>
          <w:szCs w:val="22"/>
        </w:rPr>
        <w:t xml:space="preserve"> subjektů v oblasti </w:t>
      </w:r>
      <w:r w:rsidR="00170E8B" w:rsidRPr="00EB2612">
        <w:rPr>
          <w:b w:val="0"/>
          <w:color w:val="auto"/>
          <w:sz w:val="22"/>
          <w:szCs w:val="22"/>
        </w:rPr>
        <w:t>filmu</w:t>
      </w:r>
      <w:r w:rsidR="00CB7B8F" w:rsidRPr="00EB2612">
        <w:rPr>
          <w:b w:val="0"/>
          <w:color w:val="auto"/>
          <w:sz w:val="22"/>
          <w:szCs w:val="22"/>
        </w:rPr>
        <w:t xml:space="preserve"> a videa</w:t>
      </w:r>
      <w:r w:rsidR="004271DC" w:rsidRPr="00EB2612">
        <w:rPr>
          <w:b w:val="0"/>
          <w:color w:val="auto"/>
          <w:sz w:val="22"/>
          <w:szCs w:val="22"/>
        </w:rPr>
        <w:t xml:space="preserve"> (v mld. Kč)</w:t>
      </w:r>
    </w:p>
    <w:p w:rsidR="00BB64DB" w:rsidRPr="00EB2612" w:rsidRDefault="00A758D2" w:rsidP="00BB64DB">
      <w:pPr>
        <w:keepNext/>
      </w:pPr>
      <w:r w:rsidRPr="00EB2612">
        <w:rPr>
          <w:noProof/>
        </w:rPr>
        <w:drawing>
          <wp:inline distT="0" distB="0" distL="0" distR="0">
            <wp:extent cx="6191250" cy="1514475"/>
            <wp:effectExtent l="0" t="0" r="0" b="0"/>
            <wp:docPr id="1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2A0381" w:rsidRPr="00EB2612">
        <w:rPr>
          <w:b w:val="0"/>
          <w:color w:val="auto"/>
          <w:sz w:val="22"/>
          <w:szCs w:val="22"/>
        </w:rPr>
        <w:t xml:space="preserve">Podniková strukturální statistika, </w:t>
      </w:r>
      <w:r w:rsidR="00F12145" w:rsidRPr="00EB2612">
        <w:rPr>
          <w:b w:val="0"/>
          <w:color w:val="auto"/>
          <w:sz w:val="22"/>
          <w:szCs w:val="22"/>
        </w:rPr>
        <w:t>ČSÚ</w:t>
      </w:r>
    </w:p>
    <w:p w:rsidR="00CC035A" w:rsidRPr="00EB2612" w:rsidRDefault="00050886" w:rsidP="00CC035A">
      <w:r w:rsidRPr="00EB2612">
        <w:t>Graf 29</w:t>
      </w:r>
      <w:r w:rsidR="006B0ACA" w:rsidRPr="00EB2612">
        <w:t xml:space="preserve"> pak nabízí pohled zúžený pouze na</w:t>
      </w:r>
      <w:r w:rsidR="00BE7970" w:rsidRPr="00EB2612">
        <w:t xml:space="preserve"> produkci</w:t>
      </w:r>
      <w:r w:rsidR="006B0ACA" w:rsidRPr="00EB2612">
        <w:t xml:space="preserve"> audiovizuálních děl</w:t>
      </w:r>
      <w:r w:rsidR="00BE7970" w:rsidRPr="00EB2612">
        <w:t xml:space="preserve"> vycházející z dat Asociace producentů v</w:t>
      </w:r>
      <w:r w:rsidR="00673B33" w:rsidRPr="00EB2612">
        <w:t> </w:t>
      </w:r>
      <w:r w:rsidR="00BE7970" w:rsidRPr="00EB2612">
        <w:t>audiovizi</w:t>
      </w:r>
      <w:r w:rsidR="00673B33" w:rsidRPr="00EB2612">
        <w:t xml:space="preserve"> (APA)</w:t>
      </w:r>
      <w:r w:rsidR="00BE7970" w:rsidRPr="00EB2612">
        <w:t>.</w:t>
      </w:r>
      <w:r w:rsidR="006B0ACA" w:rsidRPr="00EB2612">
        <w:t xml:space="preserve"> Podle těchto dat se mezi lety 2017 a 2019 </w:t>
      </w:r>
      <w:r w:rsidR="003F593B" w:rsidRPr="00EB2612">
        <w:t>výrazně</w:t>
      </w:r>
      <w:r w:rsidR="006B0ACA" w:rsidRPr="00EB2612">
        <w:t xml:space="preserve"> zvýšily příjmy</w:t>
      </w:r>
      <w:r w:rsidR="009973FE" w:rsidRPr="00EB2612">
        <w:t xml:space="preserve"> produkce ze zahraničních děl – takřka dvojnásobně z 3,2 mld. Kč v roce 2017 na 6,3 mld. Kč v roce 2019. Na tomto nárůstu se </w:t>
      </w:r>
      <w:r w:rsidR="00756868" w:rsidRPr="00EB2612">
        <w:t xml:space="preserve">zřejmě </w:t>
      </w:r>
      <w:r w:rsidR="009973FE" w:rsidRPr="00EB2612">
        <w:t>podílelo</w:t>
      </w:r>
      <w:r w:rsidR="00394A56">
        <w:t xml:space="preserve"> mimořádné</w:t>
      </w:r>
      <w:r w:rsidR="009973FE" w:rsidRPr="00EB2612">
        <w:t xml:space="preserve"> navýšení státní podpory ve formě filmových pobídek z 800 mil. Kč v roce 2018 na 1,3 mld. Kč v roce 2019. Příjmy z produkce českých děl se v posledních třech letech pohybovaly nad hranicí </w:t>
      </w:r>
      <w:r w:rsidR="00756868" w:rsidRPr="00EB2612">
        <w:t>1</w:t>
      </w:r>
      <w:r w:rsidR="009973FE" w:rsidRPr="00EB2612">
        <w:t xml:space="preserve"> mld. Kč a příjmy z reklamní produkce kolem 2 mld. Kč. Celkové příjmy českých producentů v oblasti audiovize dosáhly v roce 2019 </w:t>
      </w:r>
      <w:r w:rsidR="00155FA2" w:rsidRPr="00EB2612">
        <w:t xml:space="preserve">přibližně 9,4 </w:t>
      </w:r>
      <w:r w:rsidR="003F593B" w:rsidRPr="00EB2612">
        <w:t>mld.</w:t>
      </w:r>
      <w:r w:rsidR="00155FA2" w:rsidRPr="00EB2612">
        <w:t xml:space="preserve"> Kč.</w:t>
      </w:r>
    </w:p>
    <w:p w:rsidR="00CC035A" w:rsidRPr="00EB2612" w:rsidRDefault="00CC035A" w:rsidP="00CC035A">
      <w:pPr>
        <w:pStyle w:val="Titulek"/>
        <w:keepNext/>
        <w:rPr>
          <w:color w:val="000000" w:themeColor="text1"/>
          <w:sz w:val="22"/>
          <w:szCs w:val="22"/>
        </w:rPr>
      </w:pPr>
      <w:r w:rsidRPr="00EB2612">
        <w:rPr>
          <w:color w:val="000000" w:themeColor="text1"/>
          <w:sz w:val="22"/>
          <w:szCs w:val="22"/>
        </w:rPr>
        <w:t xml:space="preserve">Graf </w:t>
      </w:r>
      <w:r w:rsidR="00050886" w:rsidRPr="00EB2612">
        <w:rPr>
          <w:color w:val="000000" w:themeColor="text1"/>
          <w:sz w:val="22"/>
          <w:szCs w:val="22"/>
        </w:rPr>
        <w:t>29</w:t>
      </w:r>
      <w:r w:rsidRPr="00EB2612">
        <w:rPr>
          <w:color w:val="000000" w:themeColor="text1"/>
          <w:sz w:val="22"/>
          <w:szCs w:val="22"/>
        </w:rPr>
        <w:t xml:space="preserve"> </w:t>
      </w:r>
      <w:r w:rsidR="00A33972" w:rsidRPr="00EB2612">
        <w:rPr>
          <w:b w:val="0"/>
          <w:color w:val="000000" w:themeColor="text1"/>
          <w:sz w:val="22"/>
          <w:szCs w:val="22"/>
        </w:rPr>
        <w:t>Příjmy</w:t>
      </w:r>
      <w:r w:rsidRPr="00EB2612">
        <w:rPr>
          <w:b w:val="0"/>
          <w:color w:val="000000" w:themeColor="text1"/>
          <w:sz w:val="22"/>
          <w:szCs w:val="22"/>
        </w:rPr>
        <w:t xml:space="preserve"> českých producentů</w:t>
      </w:r>
      <w:r w:rsidR="009973FE" w:rsidRPr="00EB2612">
        <w:rPr>
          <w:b w:val="0"/>
          <w:color w:val="000000" w:themeColor="text1"/>
          <w:sz w:val="22"/>
          <w:szCs w:val="22"/>
        </w:rPr>
        <w:t xml:space="preserve"> v oblasti audiovize</w:t>
      </w:r>
      <w:r w:rsidRPr="00EB2612">
        <w:rPr>
          <w:b w:val="0"/>
          <w:color w:val="000000" w:themeColor="text1"/>
          <w:sz w:val="22"/>
          <w:szCs w:val="22"/>
        </w:rPr>
        <w:t xml:space="preserve"> (v mld. Kč)</w:t>
      </w:r>
    </w:p>
    <w:p w:rsidR="00CC035A" w:rsidRPr="00EB2612" w:rsidRDefault="00C05875" w:rsidP="00CC035A">
      <w:pPr>
        <w:rPr>
          <w:lang w:eastAsia="en-US"/>
        </w:rPr>
      </w:pPr>
      <w:r w:rsidRPr="00EB2612">
        <w:rPr>
          <w:noProof/>
        </w:rPr>
        <w:drawing>
          <wp:inline distT="0" distB="0" distL="0" distR="0">
            <wp:extent cx="6267450" cy="220980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035A" w:rsidRPr="00EB2612" w:rsidRDefault="003F593B" w:rsidP="00CC035A">
      <w:pPr>
        <w:pStyle w:val="Titulek"/>
        <w:rPr>
          <w:b w:val="0"/>
          <w:color w:val="000000" w:themeColor="text1"/>
          <w:sz w:val="22"/>
          <w:szCs w:val="22"/>
        </w:rPr>
      </w:pPr>
      <w:r>
        <w:rPr>
          <w:b w:val="0"/>
          <w:color w:val="000000" w:themeColor="text1"/>
          <w:sz w:val="22"/>
          <w:szCs w:val="22"/>
        </w:rPr>
        <w:t>Zdroj: Asociace producentů v audiovizi</w:t>
      </w:r>
    </w:p>
    <w:p w:rsidR="00BB64DB" w:rsidRPr="00EB2612" w:rsidRDefault="00BB64DB" w:rsidP="00BB64DB">
      <w:r w:rsidRPr="00EB2612">
        <w:lastRenderedPageBreak/>
        <w:t xml:space="preserve">Orientační přehled vývoje zaměstnanosti mezi lety </w:t>
      </w:r>
      <w:r w:rsidR="00155FA2" w:rsidRPr="00EB2612">
        <w:t>2007 a 2018</w:t>
      </w:r>
      <w:r w:rsidRPr="00EB2612">
        <w:t xml:space="preserve"> je patrný z</w:t>
      </w:r>
      <w:r w:rsidR="00050886" w:rsidRPr="00EB2612">
        <w:t xml:space="preserve"> Grafu 30</w:t>
      </w:r>
      <w:r w:rsidRPr="00EB2612">
        <w:t xml:space="preserve">. </w:t>
      </w:r>
      <w:r w:rsidR="00291420" w:rsidRPr="00EB2612">
        <w:t>Statistika</w:t>
      </w:r>
      <w:r w:rsidR="0044303F" w:rsidRPr="00EB2612">
        <w:t>, tak jako v ostatních oblastech,</w:t>
      </w:r>
      <w:r w:rsidR="00530D45" w:rsidRPr="00EB2612">
        <w:t xml:space="preserve"> </w:t>
      </w:r>
      <w:r w:rsidR="00530D45" w:rsidRPr="00394A56">
        <w:rPr>
          <w:b/>
        </w:rPr>
        <w:t>nezachyc</w:t>
      </w:r>
      <w:r w:rsidR="00291420" w:rsidRPr="00394A56">
        <w:rPr>
          <w:b/>
        </w:rPr>
        <w:t>uje pracovníky na dohody a OSVČ</w:t>
      </w:r>
      <w:r w:rsidR="00291420" w:rsidRPr="00EB2612">
        <w:t xml:space="preserve">, kteří </w:t>
      </w:r>
      <w:r w:rsidR="00394A56">
        <w:t>tvoří</w:t>
      </w:r>
      <w:r w:rsidR="00291420" w:rsidRPr="00EB2612">
        <w:t xml:space="preserve"> významnou část pracovní síly ve filmovém průmyslu</w:t>
      </w:r>
      <w:r w:rsidR="00155FA2" w:rsidRPr="00EB2612">
        <w:t xml:space="preserve"> stejně jako </w:t>
      </w:r>
      <w:r w:rsidR="00155FA2" w:rsidRPr="00394A56">
        <w:rPr>
          <w:b/>
        </w:rPr>
        <w:t>zaměstnance subjektů s jinou převažující ekonomickou činností</w:t>
      </w:r>
      <w:r w:rsidR="00155FA2" w:rsidRPr="00EB2612">
        <w:t>.</w:t>
      </w:r>
      <w:r w:rsidR="00851419" w:rsidRPr="00EB2612">
        <w:t xml:space="preserve"> </w:t>
      </w:r>
      <w:r w:rsidR="00155FA2" w:rsidRPr="00EB2612">
        <w:t>Mezi lety 2007 až 2018</w:t>
      </w:r>
      <w:r w:rsidRPr="00EB2612">
        <w:t xml:space="preserve"> se zaměstnanost v oblasti filmu podle </w:t>
      </w:r>
      <w:r w:rsidR="00291420" w:rsidRPr="00EB2612">
        <w:t>Podnikové strukturální statistiky</w:t>
      </w:r>
      <w:r w:rsidRPr="00EB2612">
        <w:t xml:space="preserve"> pohybovala v rozpětí 1</w:t>
      </w:r>
      <w:r w:rsidR="00BC37EF" w:rsidRPr="00EB2612">
        <w:t>,4 až</w:t>
      </w:r>
      <w:r w:rsidRPr="00EB2612">
        <w:t xml:space="preserve"> </w:t>
      </w:r>
      <w:r w:rsidR="00BC37EF" w:rsidRPr="00EB2612">
        <w:t>2,2 tis.</w:t>
      </w:r>
      <w:r w:rsidRPr="00EB2612">
        <w:t xml:space="preserve"> zaměstnanců </w:t>
      </w:r>
      <w:r w:rsidR="0047552D">
        <w:t xml:space="preserve">v přepočtu </w:t>
      </w:r>
      <w:r w:rsidRPr="00EB2612">
        <w:t>na plný pracovní úvazek.</w:t>
      </w:r>
    </w:p>
    <w:p w:rsidR="0044303F" w:rsidRPr="00EB2612" w:rsidRDefault="00BB64DB" w:rsidP="0044303F">
      <w:pPr>
        <w:pStyle w:val="Titulek"/>
        <w:keepNext/>
        <w:rPr>
          <w:color w:val="000000" w:themeColor="text1"/>
          <w:sz w:val="22"/>
          <w:szCs w:val="22"/>
        </w:rPr>
      </w:pPr>
      <w:r w:rsidRPr="00EB2612">
        <w:rPr>
          <w:color w:val="000000" w:themeColor="text1"/>
          <w:sz w:val="22"/>
          <w:szCs w:val="22"/>
        </w:rPr>
        <w:t xml:space="preserve">Graf </w:t>
      </w:r>
      <w:r w:rsidR="00050886" w:rsidRPr="00EB2612">
        <w:rPr>
          <w:color w:val="000000" w:themeColor="text1"/>
          <w:sz w:val="22"/>
          <w:szCs w:val="22"/>
        </w:rPr>
        <w:t>30</w:t>
      </w:r>
      <w:r w:rsidRPr="00EB2612">
        <w:rPr>
          <w:color w:val="000000" w:themeColor="text1"/>
          <w:sz w:val="22"/>
          <w:szCs w:val="22"/>
        </w:rPr>
        <w:t xml:space="preserve"> </w:t>
      </w:r>
      <w:r w:rsidR="001D4ECA" w:rsidRPr="00EB2612">
        <w:rPr>
          <w:b w:val="0"/>
          <w:color w:val="000000" w:themeColor="text1"/>
          <w:sz w:val="22"/>
          <w:szCs w:val="22"/>
        </w:rPr>
        <w:t>Počet</w:t>
      </w:r>
      <w:r w:rsidR="0044303F" w:rsidRPr="00EB2612">
        <w:rPr>
          <w:b w:val="0"/>
          <w:color w:val="000000" w:themeColor="text1"/>
          <w:sz w:val="22"/>
          <w:szCs w:val="22"/>
        </w:rPr>
        <w:t xml:space="preserve"> zaměstnanců v oblasti filmu</w:t>
      </w:r>
      <w:r w:rsidR="00A5138E" w:rsidRPr="00EB2612">
        <w:rPr>
          <w:b w:val="0"/>
          <w:color w:val="000000" w:themeColor="text1"/>
          <w:sz w:val="22"/>
          <w:szCs w:val="22"/>
        </w:rPr>
        <w:t xml:space="preserve"> a videa</w:t>
      </w:r>
      <w:r w:rsidR="0044303F" w:rsidRPr="00EB2612">
        <w:rPr>
          <w:b w:val="0"/>
          <w:color w:val="000000" w:themeColor="text1"/>
          <w:sz w:val="22"/>
          <w:szCs w:val="22"/>
        </w:rPr>
        <w:t xml:space="preserve"> (v tis. osob, přepočteno na plné prac. úvazky)</w:t>
      </w:r>
    </w:p>
    <w:p w:rsidR="00BB64DB" w:rsidRPr="00EB2612" w:rsidRDefault="00155FA2" w:rsidP="0044303F">
      <w:pPr>
        <w:pStyle w:val="Titulek"/>
        <w:keepNext/>
      </w:pPr>
      <w:r w:rsidRPr="00EB2612">
        <w:rPr>
          <w:noProof/>
          <w:lang w:eastAsia="cs-CZ"/>
        </w:rPr>
        <w:drawing>
          <wp:inline distT="0" distB="0" distL="0" distR="0">
            <wp:extent cx="6191250" cy="1571625"/>
            <wp:effectExtent l="0" t="0" r="0" b="0"/>
            <wp:docPr id="10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64DB" w:rsidRPr="00EB2612" w:rsidRDefault="00BB64DB" w:rsidP="00BB64DB">
      <w:pPr>
        <w:pStyle w:val="Titulek"/>
        <w:rPr>
          <w:b w:val="0"/>
          <w:color w:val="000000" w:themeColor="text1"/>
          <w:sz w:val="22"/>
          <w:szCs w:val="22"/>
        </w:rPr>
      </w:pPr>
      <w:r w:rsidRPr="00EB2612">
        <w:rPr>
          <w:b w:val="0"/>
          <w:color w:val="000000" w:themeColor="text1"/>
          <w:sz w:val="22"/>
          <w:szCs w:val="22"/>
        </w:rPr>
        <w:t xml:space="preserve">Zdroj: </w:t>
      </w:r>
      <w:r w:rsidR="002A0381" w:rsidRPr="00EB2612">
        <w:rPr>
          <w:b w:val="0"/>
          <w:color w:val="000000" w:themeColor="text1"/>
          <w:sz w:val="22"/>
          <w:szCs w:val="22"/>
        </w:rPr>
        <w:t xml:space="preserve">Podniková strukturální statistika, </w:t>
      </w:r>
      <w:r w:rsidRPr="00EB2612">
        <w:rPr>
          <w:b w:val="0"/>
          <w:color w:val="000000" w:themeColor="text1"/>
          <w:sz w:val="22"/>
          <w:szCs w:val="22"/>
        </w:rPr>
        <w:t>ČSÚ</w:t>
      </w:r>
    </w:p>
    <w:p w:rsidR="00B17A7F" w:rsidRPr="00EB2612" w:rsidRDefault="00A33972" w:rsidP="00B17A7F">
      <w:pPr>
        <w:rPr>
          <w:lang w:eastAsia="en-US"/>
        </w:rPr>
      </w:pPr>
      <w:r w:rsidRPr="00EB2612">
        <w:rPr>
          <w:lang w:eastAsia="en-US"/>
        </w:rPr>
        <w:t>P</w:t>
      </w:r>
      <w:r w:rsidR="00B17A7F" w:rsidRPr="00EB2612">
        <w:rPr>
          <w:lang w:eastAsia="en-US"/>
        </w:rPr>
        <w:t>ro oblast filmu a videa lze provést</w:t>
      </w:r>
      <w:r w:rsidR="00851419" w:rsidRPr="00EB2612">
        <w:rPr>
          <w:lang w:eastAsia="en-US"/>
        </w:rPr>
        <w:t xml:space="preserve"> také</w:t>
      </w:r>
      <w:r w:rsidR="00B17A7F" w:rsidRPr="00EB2612">
        <w:rPr>
          <w:lang w:eastAsia="en-US"/>
        </w:rPr>
        <w:t xml:space="preserve"> odhad celkové zaměstnanosti na základě údajů z Výběrového šet</w:t>
      </w:r>
      <w:r w:rsidR="00C00A63" w:rsidRPr="00EB2612">
        <w:rPr>
          <w:lang w:eastAsia="en-US"/>
        </w:rPr>
        <w:t>ření pracovních sil. Zohledníme-</w:t>
      </w:r>
      <w:r w:rsidR="00B17A7F" w:rsidRPr="00EB2612">
        <w:rPr>
          <w:lang w:eastAsia="en-US"/>
        </w:rPr>
        <w:t xml:space="preserve">li všechny </w:t>
      </w:r>
      <w:r w:rsidRPr="00EB2612">
        <w:rPr>
          <w:lang w:eastAsia="en-US"/>
        </w:rPr>
        <w:t>pracující</w:t>
      </w:r>
      <w:r w:rsidR="00B17A7F" w:rsidRPr="00EB2612">
        <w:rPr>
          <w:lang w:eastAsia="en-US"/>
        </w:rPr>
        <w:t xml:space="preserve"> osoby (zaměstnance, podnikatele či pracovníky na dohody) bude celková zaměstnanost v oblasti fi</w:t>
      </w:r>
      <w:r w:rsidR="00847347" w:rsidRPr="00EB2612">
        <w:rPr>
          <w:lang w:eastAsia="en-US"/>
        </w:rPr>
        <w:t>lmu a videa d</w:t>
      </w:r>
      <w:r w:rsidR="00394A56">
        <w:rPr>
          <w:lang w:eastAsia="en-US"/>
        </w:rPr>
        <w:t>osahovat 8,1</w:t>
      </w:r>
      <w:r w:rsidR="00B17A7F" w:rsidRPr="00EB2612">
        <w:rPr>
          <w:lang w:eastAsia="en-US"/>
        </w:rPr>
        <w:t xml:space="preserve"> tis. zaměst</w:t>
      </w:r>
      <w:r w:rsidR="00407728" w:rsidRPr="00EB2612">
        <w:rPr>
          <w:lang w:eastAsia="en-US"/>
        </w:rPr>
        <w:t>naných osob</w:t>
      </w:r>
      <w:r w:rsidR="00B17A7F" w:rsidRPr="00EB2612">
        <w:rPr>
          <w:lang w:eastAsia="en-US"/>
        </w:rPr>
        <w:t xml:space="preserve">. </w:t>
      </w:r>
      <w:r w:rsidR="00A70574" w:rsidRPr="00EB2612">
        <w:rPr>
          <w:lang w:eastAsia="en-US"/>
        </w:rPr>
        <w:t xml:space="preserve">Pro </w:t>
      </w:r>
      <w:r w:rsidR="00A70574" w:rsidRPr="009579E9">
        <w:rPr>
          <w:b/>
          <w:lang w:eastAsia="en-US"/>
        </w:rPr>
        <w:t xml:space="preserve">oblast filmu a videa je </w:t>
      </w:r>
      <w:r w:rsidRPr="009579E9">
        <w:rPr>
          <w:b/>
          <w:lang w:eastAsia="en-US"/>
        </w:rPr>
        <w:t xml:space="preserve">podíl pracujících v povolání kulturního </w:t>
      </w:r>
      <w:r w:rsidR="00394A56" w:rsidRPr="009579E9">
        <w:rPr>
          <w:b/>
          <w:lang w:eastAsia="en-US"/>
        </w:rPr>
        <w:t xml:space="preserve">a ne-kulturního </w:t>
      </w:r>
      <w:r w:rsidRPr="009579E9">
        <w:rPr>
          <w:b/>
          <w:lang w:eastAsia="en-US"/>
        </w:rPr>
        <w:t>charakteru</w:t>
      </w:r>
      <w:r w:rsidR="00394A56" w:rsidRPr="009579E9">
        <w:rPr>
          <w:b/>
          <w:lang w:eastAsia="en-US"/>
        </w:rPr>
        <w:t xml:space="preserve"> více vyrovnaný</w:t>
      </w:r>
      <w:r w:rsidR="00394A56">
        <w:rPr>
          <w:lang w:eastAsia="en-US"/>
        </w:rPr>
        <w:t xml:space="preserve"> než v ostatních oblastech, kde ve větší míře převažuje počet kulturních pracovníků. V roce 2019 pracovalo v oblasti filmu</w:t>
      </w:r>
      <w:r w:rsidRPr="00EB2612">
        <w:rPr>
          <w:lang w:eastAsia="en-US"/>
        </w:rPr>
        <w:t xml:space="preserve"> </w:t>
      </w:r>
      <w:r w:rsidR="0082365D" w:rsidRPr="00EB2612">
        <w:rPr>
          <w:lang w:eastAsia="en-US"/>
        </w:rPr>
        <w:t>přibližně 4,4</w:t>
      </w:r>
      <w:r w:rsidR="00A70574" w:rsidRPr="00EB2612">
        <w:rPr>
          <w:lang w:eastAsia="en-US"/>
        </w:rPr>
        <w:t xml:space="preserve"> tis. </w:t>
      </w:r>
      <w:r w:rsidR="00BC3775" w:rsidRPr="00EB2612">
        <w:rPr>
          <w:lang w:eastAsia="en-US"/>
        </w:rPr>
        <w:t>osob vykonávajících kulturní profese</w:t>
      </w:r>
      <w:r w:rsidR="0064229D">
        <w:rPr>
          <w:lang w:eastAsia="en-US"/>
        </w:rPr>
        <w:t xml:space="preserve"> </w:t>
      </w:r>
      <w:r w:rsidR="00BC3775" w:rsidRPr="00EB2612">
        <w:rPr>
          <w:lang w:eastAsia="en-US"/>
        </w:rPr>
        <w:t xml:space="preserve">a </w:t>
      </w:r>
      <w:r w:rsidR="0082365D" w:rsidRPr="00EB2612">
        <w:rPr>
          <w:lang w:eastAsia="en-US"/>
        </w:rPr>
        <w:t>3,7</w:t>
      </w:r>
      <w:r w:rsidR="00A70574" w:rsidRPr="00EB2612">
        <w:rPr>
          <w:lang w:eastAsia="en-US"/>
        </w:rPr>
        <w:t xml:space="preserve"> tis. </w:t>
      </w:r>
      <w:r w:rsidR="00BC3775" w:rsidRPr="00EB2612">
        <w:rPr>
          <w:lang w:eastAsia="en-US"/>
        </w:rPr>
        <w:t xml:space="preserve">osob s povoláním </w:t>
      </w:r>
      <w:r w:rsidR="00394A56">
        <w:rPr>
          <w:lang w:eastAsia="en-US"/>
        </w:rPr>
        <w:t>„ne-kulturního“ charakteru</w:t>
      </w:r>
      <w:r w:rsidR="00851419" w:rsidRPr="00EB2612">
        <w:rPr>
          <w:lang w:eastAsia="en-US"/>
        </w:rPr>
        <w:t xml:space="preserve">. </w:t>
      </w:r>
      <w:r w:rsidR="0082365D" w:rsidRPr="00EB2612">
        <w:rPr>
          <w:lang w:eastAsia="en-US"/>
        </w:rPr>
        <w:t>Velkou část</w:t>
      </w:r>
      <w:r w:rsidR="00C00A63" w:rsidRPr="00EB2612">
        <w:rPr>
          <w:lang w:eastAsia="en-US"/>
        </w:rPr>
        <w:t xml:space="preserve"> z </w:t>
      </w:r>
      <w:r w:rsidR="00BC3775" w:rsidRPr="00EB2612">
        <w:rPr>
          <w:lang w:eastAsia="en-US"/>
        </w:rPr>
        <w:t xml:space="preserve">kulturních </w:t>
      </w:r>
      <w:r w:rsidR="00C00A63" w:rsidRPr="00EB2612">
        <w:rPr>
          <w:lang w:eastAsia="en-US"/>
        </w:rPr>
        <w:t>povolání</w:t>
      </w:r>
      <w:r w:rsidR="00BC3775" w:rsidRPr="00EB2612">
        <w:rPr>
          <w:lang w:eastAsia="en-US"/>
        </w:rPr>
        <w:t xml:space="preserve"> v oblasti filmu a videa </w:t>
      </w:r>
      <w:r w:rsidR="00C00A63" w:rsidRPr="00EB2612">
        <w:rPr>
          <w:lang w:eastAsia="en-US"/>
        </w:rPr>
        <w:t>tvoří technici</w:t>
      </w:r>
      <w:r w:rsidR="00A70574" w:rsidRPr="00EB2612">
        <w:rPr>
          <w:lang w:eastAsia="en-US"/>
        </w:rPr>
        <w:t xml:space="preserve"> v oblasti vysílání a audiovizuálních záznamů</w:t>
      </w:r>
      <w:r w:rsidR="004409F9" w:rsidRPr="00EB2612">
        <w:rPr>
          <w:lang w:eastAsia="en-US"/>
        </w:rPr>
        <w:t xml:space="preserve"> (tedy osoby spadající svým zaměstnáním do kategorie CZ-ISCO 3521)</w:t>
      </w:r>
      <w:r w:rsidR="00C00A63" w:rsidRPr="00EB2612">
        <w:rPr>
          <w:lang w:eastAsia="en-US"/>
        </w:rPr>
        <w:t>.</w:t>
      </w:r>
      <w:r w:rsidR="00A70574" w:rsidRPr="00EB2612">
        <w:rPr>
          <w:lang w:eastAsia="en-US"/>
        </w:rPr>
        <w:t xml:space="preserve"> </w:t>
      </w:r>
      <w:r w:rsidR="00C00A63" w:rsidRPr="00EB2612">
        <w:rPr>
          <w:lang w:eastAsia="en-US"/>
        </w:rPr>
        <w:t>V</w:t>
      </w:r>
      <w:r w:rsidR="00A70574" w:rsidRPr="00EB2612">
        <w:rPr>
          <w:lang w:eastAsia="en-US"/>
        </w:rPr>
        <w:t> oblasti filmu</w:t>
      </w:r>
      <w:r w:rsidR="00851419" w:rsidRPr="00EB2612">
        <w:rPr>
          <w:lang w:eastAsia="en-US"/>
        </w:rPr>
        <w:t xml:space="preserve"> a</w:t>
      </w:r>
      <w:r w:rsidR="004409F9" w:rsidRPr="00EB2612">
        <w:rPr>
          <w:lang w:eastAsia="en-US"/>
        </w:rPr>
        <w:t xml:space="preserve"> videa</w:t>
      </w:r>
      <w:r w:rsidR="00BC3775" w:rsidRPr="00EB2612">
        <w:rPr>
          <w:lang w:eastAsia="en-US"/>
        </w:rPr>
        <w:t xml:space="preserve"> a</w:t>
      </w:r>
      <w:r w:rsidR="0018356F" w:rsidRPr="00EB2612">
        <w:rPr>
          <w:lang w:eastAsia="en-US"/>
        </w:rPr>
        <w:t> </w:t>
      </w:r>
      <w:r w:rsidR="00BC3775" w:rsidRPr="00EB2612">
        <w:rPr>
          <w:lang w:eastAsia="en-US"/>
        </w:rPr>
        <w:t>v jiných kulturních</w:t>
      </w:r>
      <w:r w:rsidR="00756868" w:rsidRPr="00EB2612">
        <w:rPr>
          <w:lang w:eastAsia="en-US"/>
        </w:rPr>
        <w:t xml:space="preserve"> oblastech pracovalo v roce 2019 odhadem 5,6</w:t>
      </w:r>
      <w:r w:rsidR="00847347" w:rsidRPr="00EB2612">
        <w:rPr>
          <w:lang w:eastAsia="en-US"/>
        </w:rPr>
        <w:t xml:space="preserve"> </w:t>
      </w:r>
      <w:r w:rsidR="00A70574" w:rsidRPr="00EB2612">
        <w:rPr>
          <w:lang w:eastAsia="en-US"/>
        </w:rPr>
        <w:t>tis. osob s tímto povoláním.</w:t>
      </w:r>
      <w:r w:rsidR="00BC3775" w:rsidRPr="00EB2612">
        <w:rPr>
          <w:lang w:eastAsia="en-US"/>
        </w:rPr>
        <w:t xml:space="preserve"> Mimo kulturní </w:t>
      </w:r>
      <w:r w:rsidR="00756868" w:rsidRPr="00EB2612">
        <w:rPr>
          <w:lang w:eastAsia="en-US"/>
        </w:rPr>
        <w:t>oblast pak pracovalo přibližně 0,6</w:t>
      </w:r>
      <w:r w:rsidR="00BC3775" w:rsidRPr="00EB2612">
        <w:rPr>
          <w:lang w:eastAsia="en-US"/>
        </w:rPr>
        <w:t xml:space="preserve"> tis.</w:t>
      </w:r>
      <w:r w:rsidRPr="00EB2612">
        <w:rPr>
          <w:lang w:eastAsia="en-US"/>
        </w:rPr>
        <w:t xml:space="preserve"> techniků v oblasti vysílání a audiovizuálních záznamů.</w:t>
      </w:r>
    </w:p>
    <w:p w:rsidR="0001315B" w:rsidRPr="00EB2612" w:rsidRDefault="00050886" w:rsidP="0001315B">
      <w:pPr>
        <w:pStyle w:val="Titulek"/>
        <w:keepNext/>
        <w:jc w:val="left"/>
        <w:rPr>
          <w:b w:val="0"/>
          <w:color w:val="auto"/>
          <w:sz w:val="22"/>
          <w:szCs w:val="22"/>
        </w:rPr>
      </w:pPr>
      <w:bookmarkStart w:id="10" w:name="_Toc464832050"/>
      <w:r w:rsidRPr="00EB2612">
        <w:rPr>
          <w:color w:val="auto"/>
          <w:sz w:val="22"/>
          <w:szCs w:val="22"/>
        </w:rPr>
        <w:t>Graf</w:t>
      </w:r>
      <w:r w:rsidR="0001315B" w:rsidRPr="00EB2612">
        <w:rPr>
          <w:color w:val="auto"/>
          <w:sz w:val="22"/>
          <w:szCs w:val="22"/>
        </w:rPr>
        <w:t xml:space="preserve"> </w:t>
      </w:r>
      <w:r w:rsidRPr="00EB2612">
        <w:rPr>
          <w:color w:val="auto"/>
          <w:sz w:val="22"/>
          <w:szCs w:val="22"/>
        </w:rPr>
        <w:t>31</w:t>
      </w:r>
      <w:r w:rsidR="0001315B" w:rsidRPr="00EB2612">
        <w:t xml:space="preserve"> </w:t>
      </w:r>
      <w:r w:rsidR="0001315B" w:rsidRPr="00EB2612">
        <w:rPr>
          <w:b w:val="0"/>
          <w:color w:val="auto"/>
          <w:sz w:val="22"/>
          <w:szCs w:val="22"/>
        </w:rPr>
        <w:t xml:space="preserve">Odhad počtu </w:t>
      </w:r>
      <w:r w:rsidR="00A33972" w:rsidRPr="00EB2612">
        <w:rPr>
          <w:b w:val="0"/>
          <w:color w:val="auto"/>
          <w:sz w:val="22"/>
          <w:szCs w:val="22"/>
        </w:rPr>
        <w:t>pracujících osob</w:t>
      </w:r>
      <w:r w:rsidR="0001315B" w:rsidRPr="00EB2612">
        <w:rPr>
          <w:b w:val="0"/>
          <w:color w:val="auto"/>
          <w:sz w:val="22"/>
          <w:szCs w:val="22"/>
        </w:rPr>
        <w:t xml:space="preserve"> v o</w:t>
      </w:r>
      <w:r w:rsidR="0082365D" w:rsidRPr="00EB2612">
        <w:rPr>
          <w:b w:val="0"/>
          <w:color w:val="auto"/>
          <w:sz w:val="22"/>
          <w:szCs w:val="22"/>
        </w:rPr>
        <w:t>blasti filmu a videa v roce 2019</w:t>
      </w:r>
      <w:r w:rsidR="00DC44B4" w:rsidRPr="00EB2612">
        <w:rPr>
          <w:b w:val="0"/>
          <w:color w:val="auto"/>
          <w:sz w:val="22"/>
          <w:szCs w:val="22"/>
        </w:rPr>
        <w:t xml:space="preserve"> </w:t>
      </w:r>
      <w:r w:rsidR="0093714D">
        <w:rPr>
          <w:b w:val="0"/>
          <w:color w:val="auto"/>
          <w:sz w:val="22"/>
          <w:szCs w:val="22"/>
        </w:rPr>
        <w:t>(</w:t>
      </w:r>
      <w:r w:rsidR="00DC44B4" w:rsidRPr="00EB2612">
        <w:rPr>
          <w:b w:val="0"/>
          <w:color w:val="auto"/>
          <w:sz w:val="22"/>
          <w:szCs w:val="22"/>
        </w:rPr>
        <w:t>v tis. osob</w:t>
      </w:r>
      <w:bookmarkEnd w:id="10"/>
      <w:r w:rsidR="0093714D">
        <w:rPr>
          <w:b w:val="0"/>
          <w:color w:val="auto"/>
          <w:sz w:val="22"/>
          <w:szCs w:val="22"/>
        </w:rPr>
        <w:t>)</w:t>
      </w:r>
    </w:p>
    <w:p w:rsidR="00EA770B" w:rsidRPr="00EB2612" w:rsidRDefault="00A477D4" w:rsidP="00EA770B">
      <w:pPr>
        <w:rPr>
          <w:lang w:eastAsia="en-US"/>
        </w:rPr>
      </w:pPr>
      <w:r>
        <w:rPr>
          <w:noProof/>
        </w:rPr>
        <w:pict>
          <v:shapetype id="_x0000_t202" coordsize="21600,21600" o:spt="202" path="m,l,21600r21600,l21600,xe">
            <v:stroke joinstyle="miter"/>
            <v:path gradientshapeok="t" o:connecttype="rect"/>
          </v:shapetype>
          <v:shape id="Text Box 33" o:spid="_x0000_s1036" type="#_x0000_t202" style="position:absolute;left:0;text-align:left;margin-left:360.2pt;margin-top:100.8pt;width:42.85pt;height:20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" strokecolor="white [3212]">
            <v:fill opacity="0"/>
            <v:textbox style="mso-next-textbox:#Text Box 33">
              <w:txbxContent>
                <w:p w:rsidR="00705045" w:rsidRPr="003A7ED6" w:rsidRDefault="00705045">
                  <w:pPr>
                    <w:rPr>
                      <w:rFonts w:ascii="Calibri" w:hAnsi="Calibri"/>
                    </w:rPr>
                  </w:pPr>
                  <w:r>
                    <w:rPr>
                      <w:rFonts w:ascii="Calibri" w:hAnsi="Calibri"/>
                    </w:rPr>
                    <w:t>6,2</w:t>
                  </w:r>
                  <w:r w:rsidRPr="003A7ED6">
                    <w:rPr>
                      <w:rFonts w:ascii="Calibri" w:hAnsi="Calibri"/>
                    </w:rPr>
                    <w:t xml:space="preserve"> tis.</w:t>
                  </w:r>
                </w:p>
              </w:txbxContent>
            </v:textbox>
          </v:shape>
        </w:pict>
      </w:r>
      <w:r>
        <w:rPr>
          <w:noProof/>
        </w:rPr>
        <w:pict>
          <v:shape id="Text Box 32" o:spid="_x0000_s1035" type="#_x0000_t202" style="position:absolute;left:0;text-align:left;margin-left:103.7pt;margin-top:100.8pt;width:43.6pt;height:21.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" strokecolor="white [3212]">
            <v:fill opacity="0"/>
            <v:textbox style="mso-next-textbox:#Text Box 32">
              <w:txbxContent>
                <w:p w:rsidR="00705045" w:rsidRPr="003A7ED6" w:rsidRDefault="00705045">
                  <w:pPr>
                    <w:rPr>
                      <w:rFonts w:ascii="Calibri" w:hAnsi="Calibri"/>
                    </w:rPr>
                  </w:pPr>
                  <w:r>
                    <w:rPr>
                      <w:rFonts w:ascii="Calibri" w:hAnsi="Calibri"/>
                    </w:rPr>
                    <w:t>8,1 tis.</w:t>
                  </w:r>
                </w:p>
              </w:txbxContent>
            </v:textbox>
          </v:shape>
        </w:pict>
      </w:r>
      <w:r w:rsidR="00222132" w:rsidRPr="00EB2612">
        <w:rPr>
          <w:noProof/>
        </w:rPr>
        <w:drawing>
          <wp:inline distT="0" distB="0" distL="0" distR="0">
            <wp:extent cx="3457575" cy="2105025"/>
            <wp:effectExtent l="0" t="0" r="0" b="0"/>
            <wp:docPr id="13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22132" w:rsidRPr="00EB2612">
        <w:rPr>
          <w:noProof/>
        </w:rPr>
        <w:drawing>
          <wp:inline distT="0" distB="0" distL="0" distR="0">
            <wp:extent cx="2647950" cy="2076450"/>
            <wp:effectExtent l="0" t="0" r="0" b="0"/>
            <wp:docPr id="134"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035A" w:rsidRPr="00EB2612" w:rsidRDefault="0001315B" w:rsidP="00851419">
      <w:pPr>
        <w:spacing w:before="120"/>
        <w:rPr>
          <w:rFonts w:asciiTheme="minorHAnsi" w:eastAsiaTheme="minorHAnsi" w:hAnsiTheme="minorHAnsi" w:cstheme="minorBidi"/>
          <w:bCs/>
          <w:sz w:val="22"/>
          <w:szCs w:val="22"/>
          <w:lang w:eastAsia="en-US"/>
        </w:rPr>
      </w:pPr>
      <w:r w:rsidRPr="00EB2612">
        <w:rPr>
          <w:rFonts w:asciiTheme="minorHAnsi" w:eastAsiaTheme="minorHAnsi" w:hAnsiTheme="minorHAnsi" w:cstheme="minorBidi"/>
          <w:bCs/>
          <w:sz w:val="22"/>
          <w:szCs w:val="22"/>
          <w:lang w:eastAsia="en-US"/>
        </w:rPr>
        <w:t>Zdroj: Výběrové šetření pracovních sil, VŠPS</w:t>
      </w:r>
    </w:p>
    <w:p w:rsidR="004409F9" w:rsidRPr="00EB2612" w:rsidRDefault="004409F9" w:rsidP="00BB64DB">
      <w:r w:rsidRPr="00EB2612">
        <w:lastRenderedPageBreak/>
        <w:t xml:space="preserve">Údaje o počtu </w:t>
      </w:r>
      <w:r w:rsidRPr="00EB2612">
        <w:rPr>
          <w:lang w:eastAsia="en-US"/>
        </w:rPr>
        <w:t>techniků v oblasti vysílání a audiovizuálních záznamů</w:t>
      </w:r>
      <w:r w:rsidR="00AC1AC6" w:rsidRPr="00EB2612">
        <w:rPr>
          <w:lang w:eastAsia="en-US"/>
        </w:rPr>
        <w:t xml:space="preserve"> z VŠPS</w:t>
      </w:r>
      <w:r w:rsidR="000E3B13" w:rsidRPr="00EB2612">
        <w:rPr>
          <w:lang w:eastAsia="en-US"/>
        </w:rPr>
        <w:t xml:space="preserve"> </w:t>
      </w:r>
      <w:r w:rsidR="00AC1AC6" w:rsidRPr="00EB2612">
        <w:rPr>
          <w:lang w:eastAsia="en-US"/>
        </w:rPr>
        <w:t>lze</w:t>
      </w:r>
      <w:r w:rsidR="000E3B13" w:rsidRPr="00EB2612">
        <w:rPr>
          <w:lang w:eastAsia="en-US"/>
        </w:rPr>
        <w:t xml:space="preserve"> doplnit také </w:t>
      </w:r>
      <w:r w:rsidR="00851419" w:rsidRPr="00EB2612">
        <w:rPr>
          <w:lang w:eastAsia="en-US"/>
        </w:rPr>
        <w:t>o data</w:t>
      </w:r>
      <w:r w:rsidR="000E3B13" w:rsidRPr="00EB2612">
        <w:rPr>
          <w:lang w:eastAsia="en-US"/>
        </w:rPr>
        <w:t xml:space="preserve"> z</w:t>
      </w:r>
      <w:r w:rsidR="008B64EB" w:rsidRPr="00EB2612">
        <w:rPr>
          <w:lang w:eastAsia="en-US"/>
        </w:rPr>
        <w:t> </w:t>
      </w:r>
      <w:r w:rsidR="000E3B13" w:rsidRPr="00EB2612">
        <w:t>Informačního systému o průměrném výdělku (ISPV). Tento údaj však zahrnuje pouze zaměstnance ve mzdové a platové sféře, nikoliv podnikatele a pracovníky na dohodu. P</w:t>
      </w:r>
      <w:r w:rsidR="00B02802" w:rsidRPr="00EB2612">
        <w:t>odle ISPV pracovalo ve mzdové a </w:t>
      </w:r>
      <w:r w:rsidR="00F2260E" w:rsidRPr="00EB2612">
        <w:t>platové sféře v roce 2019</w:t>
      </w:r>
      <w:r w:rsidR="000E3B13" w:rsidRPr="00EB2612">
        <w:t xml:space="preserve"> přibližně 2 tis</w:t>
      </w:r>
      <w:r w:rsidR="00851419" w:rsidRPr="00EB2612">
        <w:t>.</w:t>
      </w:r>
      <w:r w:rsidR="000E3B13" w:rsidRPr="00EB2612">
        <w:t xml:space="preserve"> zaměstnanců </w:t>
      </w:r>
      <w:r w:rsidR="001132C6" w:rsidRPr="00EB2612">
        <w:t>spadajících</w:t>
      </w:r>
      <w:r w:rsidR="00AC1AC6" w:rsidRPr="00EB2612">
        <w:t xml:space="preserve"> charakterem svého povolání do kategorie </w:t>
      </w:r>
      <w:r w:rsidR="00AC1AC6" w:rsidRPr="00EB2612">
        <w:rPr>
          <w:lang w:eastAsia="en-US"/>
        </w:rPr>
        <w:t xml:space="preserve">CZ-ISCO 3521 </w:t>
      </w:r>
      <w:r w:rsidR="000E3B13" w:rsidRPr="00EB2612">
        <w:t xml:space="preserve">a jejich průměrná </w:t>
      </w:r>
      <w:r w:rsidR="00BC3775" w:rsidRPr="00EB2612">
        <w:t xml:space="preserve">mzda </w:t>
      </w:r>
      <w:r w:rsidR="00AC1AC6" w:rsidRPr="00EB2612">
        <w:t xml:space="preserve">se </w:t>
      </w:r>
      <w:r w:rsidR="001132C6" w:rsidRPr="00EB2612">
        <w:t>pohybovala</w:t>
      </w:r>
      <w:r w:rsidR="00AC1AC6" w:rsidRPr="00EB2612">
        <w:t xml:space="preserve"> okolo</w:t>
      </w:r>
      <w:r w:rsidR="00F2260E" w:rsidRPr="00EB2612">
        <w:t xml:space="preserve"> 36</w:t>
      </w:r>
      <w:r w:rsidR="007B0B56" w:rsidRPr="00EB2612">
        <w:t>,3</w:t>
      </w:r>
      <w:r w:rsidR="000E3B13" w:rsidRPr="00EB2612">
        <w:t xml:space="preserve"> tis. Kč.</w:t>
      </w:r>
    </w:p>
    <w:p w:rsidR="00BB64DB" w:rsidRPr="00EB2612" w:rsidRDefault="00700384" w:rsidP="00BB64DB">
      <w:r w:rsidRPr="00EB2612">
        <w:tab/>
      </w:r>
      <w:r w:rsidR="005373E0" w:rsidRPr="00EB2612">
        <w:t>Z hlediska distribuce je vhodné rozlišit kinodistribuci a distribuci videozáznamů respektive jejich maloobchodní prodej. O návštěvnosti a tržbách českých kin vede dlouhodobě roční přehledy Unie filmových</w:t>
      </w:r>
      <w:r w:rsidR="005373E0" w:rsidRPr="00EB2612">
        <w:rPr>
          <w:i/>
        </w:rPr>
        <w:t xml:space="preserve"> </w:t>
      </w:r>
      <w:r w:rsidR="005373E0" w:rsidRPr="00EB2612">
        <w:t>distributorů. Z Grafu 32 je patrný výrazný propad návštěvnosti českých kin mezi lety 1989 a 1995. Ten byl zřejmě způsoben rozmachem videodistribuce a nástupem kabelové televize (Mošna, 2010). V následujících letech návštěvnost v českých kinech stagnovala a oživení se česká kina dočkala až v posledních letech. V roce 2019 návštěvnost dosáhla s 18,3 mil. návštěv nejlepšího výsledku od roku 1993 a oproti předchozímu roku vzrostla o necelé 2 mil. návštěv. Pokladny českých kinosálů zaznamenaly v roce 2019 čisté tržby ve výši 2,6 mld. Kč, přičemž podíl na této částce měly také filmy z české produkce – 2 české filmy</w:t>
      </w:r>
      <w:r w:rsidR="00184B71" w:rsidRPr="00EB2612">
        <w:t xml:space="preserve"> (Ženy v běhu a Poslední aristokratka) se umístily</w:t>
      </w:r>
      <w:r w:rsidR="005373E0" w:rsidRPr="00EB2612">
        <w:t xml:space="preserve"> v nejlepší desítce filmů z hlediska návštěvnosti kinosálů v ČR. Celkové tržby se v průběhu let vyvíjí také v závislosti na průměrné ceně vstupenky, která vzrostla v roce 2019 oproti předchozímu roku přibližně o 3 %.</w:t>
      </w:r>
    </w:p>
    <w:p w:rsidR="00BB64DB" w:rsidRPr="00EB2612" w:rsidRDefault="00BB64DB" w:rsidP="00BB64DB">
      <w:pPr>
        <w:pStyle w:val="Titulek"/>
        <w:keepNext/>
        <w:rPr>
          <w:color w:val="000000" w:themeColor="text1"/>
          <w:sz w:val="22"/>
          <w:szCs w:val="22"/>
        </w:rPr>
      </w:pPr>
      <w:r w:rsidRPr="00EB2612">
        <w:rPr>
          <w:color w:val="000000" w:themeColor="text1"/>
          <w:sz w:val="22"/>
          <w:szCs w:val="22"/>
        </w:rPr>
        <w:t xml:space="preserve">Graf </w:t>
      </w:r>
      <w:r w:rsidR="00050886" w:rsidRPr="00EB2612">
        <w:rPr>
          <w:color w:val="000000" w:themeColor="text1"/>
          <w:sz w:val="22"/>
          <w:szCs w:val="22"/>
        </w:rPr>
        <w:t>32</w:t>
      </w:r>
      <w:r w:rsidRPr="00EB2612">
        <w:rPr>
          <w:color w:val="000000" w:themeColor="text1"/>
          <w:sz w:val="22"/>
          <w:szCs w:val="22"/>
        </w:rPr>
        <w:t xml:space="preserve"> </w:t>
      </w:r>
      <w:r w:rsidRPr="00EB2612">
        <w:rPr>
          <w:b w:val="0"/>
          <w:color w:val="000000" w:themeColor="text1"/>
          <w:sz w:val="22"/>
          <w:szCs w:val="22"/>
        </w:rPr>
        <w:t xml:space="preserve">Návštěvnost </w:t>
      </w:r>
      <w:r w:rsidR="008A07D3" w:rsidRPr="00EB2612">
        <w:rPr>
          <w:b w:val="0"/>
          <w:color w:val="000000" w:themeColor="text1"/>
          <w:sz w:val="22"/>
          <w:szCs w:val="22"/>
        </w:rPr>
        <w:t xml:space="preserve">a tržby </w:t>
      </w:r>
      <w:r w:rsidRPr="00EB2612">
        <w:rPr>
          <w:b w:val="0"/>
          <w:color w:val="000000" w:themeColor="text1"/>
          <w:sz w:val="22"/>
          <w:szCs w:val="22"/>
        </w:rPr>
        <w:t>českých kin</w:t>
      </w:r>
      <w:r w:rsidR="00461F62" w:rsidRPr="00EB2612">
        <w:rPr>
          <w:b w:val="0"/>
          <w:color w:val="000000" w:themeColor="text1"/>
          <w:sz w:val="22"/>
          <w:szCs w:val="22"/>
        </w:rPr>
        <w:t xml:space="preserve"> – meziroční vývoj</w:t>
      </w:r>
    </w:p>
    <w:p w:rsidR="00BB64DB" w:rsidRPr="00EB2612" w:rsidRDefault="00D54E6D" w:rsidP="005373E0">
      <w:pPr>
        <w:keepNext/>
        <w:jc w:val="center"/>
      </w:pPr>
      <w:r w:rsidRPr="00EB2612">
        <w:rPr>
          <w:noProof/>
        </w:rPr>
        <w:drawing>
          <wp:inline distT="0" distB="0" distL="0" distR="0">
            <wp:extent cx="6010275" cy="2552700"/>
            <wp:effectExtent l="0" t="0" r="0" b="0"/>
            <wp:docPr id="14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64DB" w:rsidRPr="00EB2612" w:rsidRDefault="00BB64DB" w:rsidP="00BB64DB">
      <w:pPr>
        <w:pStyle w:val="Titulek"/>
        <w:rPr>
          <w:b w:val="0"/>
          <w:color w:val="000000" w:themeColor="text1"/>
          <w:sz w:val="22"/>
          <w:szCs w:val="22"/>
        </w:rPr>
      </w:pPr>
      <w:r w:rsidRPr="00EB2612">
        <w:rPr>
          <w:b w:val="0"/>
          <w:color w:val="000000" w:themeColor="text1"/>
          <w:sz w:val="22"/>
          <w:szCs w:val="22"/>
        </w:rPr>
        <w:t>Zdroj: Unie filmových distributorů</w:t>
      </w:r>
      <w:r w:rsidR="0086745D" w:rsidRPr="00EB2612">
        <w:rPr>
          <w:b w:val="0"/>
          <w:color w:val="000000" w:themeColor="text1"/>
          <w:sz w:val="22"/>
          <w:szCs w:val="22"/>
        </w:rPr>
        <w:t xml:space="preserve"> </w:t>
      </w:r>
    </w:p>
    <w:p w:rsidR="0086745D" w:rsidRPr="00EB2612" w:rsidRDefault="0086745D" w:rsidP="0086745D">
      <w:pPr>
        <w:rPr>
          <w:lang w:eastAsia="en-US"/>
        </w:rPr>
      </w:pPr>
      <w:r w:rsidRPr="00EB2612">
        <w:rPr>
          <w:lang w:eastAsia="en-US"/>
        </w:rPr>
        <w:t xml:space="preserve">V době </w:t>
      </w:r>
      <w:r w:rsidR="00CC0777">
        <w:rPr>
          <w:lang w:eastAsia="en-US"/>
        </w:rPr>
        <w:t>zpracování</w:t>
      </w:r>
      <w:r w:rsidR="00CC0777" w:rsidRPr="00EB2612">
        <w:rPr>
          <w:lang w:eastAsia="en-US"/>
        </w:rPr>
        <w:t xml:space="preserve"> </w:t>
      </w:r>
      <w:r w:rsidRPr="00EB2612">
        <w:rPr>
          <w:lang w:eastAsia="en-US"/>
        </w:rPr>
        <w:t>této anal</w:t>
      </w:r>
      <w:r w:rsidR="0017016E" w:rsidRPr="00EB2612">
        <w:rPr>
          <w:lang w:eastAsia="en-US"/>
        </w:rPr>
        <w:t xml:space="preserve">ýzy se </w:t>
      </w:r>
      <w:r w:rsidR="007F25FB" w:rsidRPr="00EB2612">
        <w:rPr>
          <w:lang w:eastAsia="en-US"/>
        </w:rPr>
        <w:t xml:space="preserve">celá ekonomika </w:t>
      </w:r>
      <w:r w:rsidR="00652144" w:rsidRPr="00EB2612">
        <w:rPr>
          <w:lang w:eastAsia="en-US"/>
        </w:rPr>
        <w:t xml:space="preserve">potýká </w:t>
      </w:r>
      <w:r w:rsidR="0017016E" w:rsidRPr="00EB2612">
        <w:rPr>
          <w:lang w:eastAsia="en-US"/>
        </w:rPr>
        <w:t>s dopady pandemie nemoc</w:t>
      </w:r>
      <w:r w:rsidR="00CC0777">
        <w:rPr>
          <w:lang w:eastAsia="en-US"/>
        </w:rPr>
        <w:t>i</w:t>
      </w:r>
      <w:r w:rsidR="0017016E" w:rsidRPr="00EB2612">
        <w:rPr>
          <w:lang w:eastAsia="en-US"/>
        </w:rPr>
        <w:t xml:space="preserve"> </w:t>
      </w:r>
      <w:r w:rsidR="007F25FB" w:rsidRPr="00EB2612">
        <w:rPr>
          <w:lang w:eastAsia="en-US"/>
        </w:rPr>
        <w:t>C</w:t>
      </w:r>
      <w:r w:rsidR="00D54E6D" w:rsidRPr="00EB2612">
        <w:rPr>
          <w:lang w:eastAsia="en-US"/>
        </w:rPr>
        <w:t>OVID</w:t>
      </w:r>
      <w:r w:rsidR="003F593B">
        <w:rPr>
          <w:lang w:eastAsia="en-US"/>
        </w:rPr>
        <w:t>-19. Ta se nevyhnula</w:t>
      </w:r>
      <w:r w:rsidR="005A149D">
        <w:rPr>
          <w:lang w:eastAsia="en-US"/>
        </w:rPr>
        <w:t xml:space="preserve"> ani audiovizuál</w:t>
      </w:r>
      <w:r w:rsidR="007F25FB" w:rsidRPr="00EB2612">
        <w:rPr>
          <w:lang w:eastAsia="en-US"/>
        </w:rPr>
        <w:t>nímu sektoru a to zejména v souvislosti s omezeními při produkci audiovizuálních děl a provozu kinos</w:t>
      </w:r>
      <w:r w:rsidR="00652144" w:rsidRPr="00EB2612">
        <w:rPr>
          <w:lang w:eastAsia="en-US"/>
        </w:rPr>
        <w:t>álů. Zatímco rok 2019 znamenal pro kinosály rekordní návštěvnost, již nyní lze předpokládat, že rok 2020 bude spojován</w:t>
      </w:r>
      <w:r w:rsidR="00016534" w:rsidRPr="00EB2612">
        <w:rPr>
          <w:lang w:eastAsia="en-US"/>
        </w:rPr>
        <w:t xml:space="preserve"> naopak</w:t>
      </w:r>
      <w:r w:rsidR="00652144" w:rsidRPr="00EB2612">
        <w:rPr>
          <w:lang w:eastAsia="en-US"/>
        </w:rPr>
        <w:t xml:space="preserve"> s rekordním propadem návštěvnosti a poklesem tržeb ze vstupenek. Z průběžných měsíčních dat </w:t>
      </w:r>
      <w:r w:rsidR="0039720C" w:rsidRPr="00EB2612">
        <w:rPr>
          <w:lang w:eastAsia="en-US"/>
        </w:rPr>
        <w:t>návštěvnosti od ledna do srpna roku 2020 zatím vychází propad návštěvnosti oproti stejnému období v roce 2019 o více než polovinu.</w:t>
      </w:r>
      <w:r w:rsidR="00016534" w:rsidRPr="00EB2612">
        <w:rPr>
          <w:lang w:eastAsia="en-US"/>
        </w:rPr>
        <w:t xml:space="preserve"> </w:t>
      </w:r>
      <w:r w:rsidR="009A7A3F" w:rsidRPr="00EB2612">
        <w:rPr>
          <w:lang w:eastAsia="en-US"/>
        </w:rPr>
        <w:t>Jak ukazuje Graf 33</w:t>
      </w:r>
      <w:r w:rsidR="00D54E6D" w:rsidRPr="00EB2612">
        <w:rPr>
          <w:lang w:eastAsia="en-US"/>
        </w:rPr>
        <w:t>,</w:t>
      </w:r>
      <w:r w:rsidR="009A7A3F" w:rsidRPr="00EB2612">
        <w:rPr>
          <w:lang w:eastAsia="en-US"/>
        </w:rPr>
        <w:t xml:space="preserve"> v</w:t>
      </w:r>
      <w:r w:rsidR="00016534" w:rsidRPr="00EB2612">
        <w:rPr>
          <w:lang w:eastAsia="en-US"/>
        </w:rPr>
        <w:t> jarních měsících</w:t>
      </w:r>
      <w:r w:rsidR="005A149D">
        <w:rPr>
          <w:lang w:eastAsia="en-US"/>
        </w:rPr>
        <w:t xml:space="preserve"> (</w:t>
      </w:r>
      <w:proofErr w:type="gramStart"/>
      <w:r w:rsidR="005A149D">
        <w:rPr>
          <w:lang w:eastAsia="en-US"/>
        </w:rPr>
        <w:t>březen</w:t>
      </w:r>
      <w:r w:rsidR="005A149D" w:rsidRPr="00EB2612">
        <w:t>–</w:t>
      </w:r>
      <w:r w:rsidR="009A7A3F" w:rsidRPr="00EB2612">
        <w:rPr>
          <w:lang w:eastAsia="en-US"/>
        </w:rPr>
        <w:t>červen</w:t>
      </w:r>
      <w:proofErr w:type="gramEnd"/>
      <w:r w:rsidR="009A7A3F" w:rsidRPr="00EB2612">
        <w:rPr>
          <w:lang w:eastAsia="en-US"/>
        </w:rPr>
        <w:t>)</w:t>
      </w:r>
      <w:r w:rsidR="00016534" w:rsidRPr="00EB2612">
        <w:rPr>
          <w:lang w:eastAsia="en-US"/>
        </w:rPr>
        <w:t xml:space="preserve"> v období tzv. první vlny pandemie a nejpřísnějších vládních opatření byla návštěvnost ve srovnání se stejným obdobím předchozího roku </w:t>
      </w:r>
      <w:r w:rsidR="009A7A3F" w:rsidRPr="00EB2612">
        <w:rPr>
          <w:lang w:eastAsia="en-US"/>
        </w:rPr>
        <w:t>přibližně sedminásobně nižší</w:t>
      </w:r>
      <w:r w:rsidR="00016534" w:rsidRPr="00EB2612">
        <w:rPr>
          <w:lang w:eastAsia="en-US"/>
        </w:rPr>
        <w:t>.</w:t>
      </w:r>
      <w:r w:rsidR="005D1AC2">
        <w:rPr>
          <w:lang w:eastAsia="en-US"/>
        </w:rPr>
        <w:t xml:space="preserve"> Po dobu uzavření kinosálů při první vlně pandemie vznikl také projekt virtuálního kina Asociace provozovatelů kin, </w:t>
      </w:r>
      <w:r w:rsidR="005D1AC2">
        <w:rPr>
          <w:lang w:eastAsia="en-US"/>
        </w:rPr>
        <w:lastRenderedPageBreak/>
        <w:t>který umožňoval sledovat divákům vybrané filmy</w:t>
      </w:r>
      <w:r w:rsidR="0064229D">
        <w:rPr>
          <w:lang w:eastAsia="en-US"/>
        </w:rPr>
        <w:t xml:space="preserve"> z domova</w:t>
      </w:r>
      <w:r w:rsidR="005D1AC2">
        <w:rPr>
          <w:lang w:eastAsia="en-US"/>
        </w:rPr>
        <w:t xml:space="preserve"> v pevně zvolený čas a bez reklam. Virtuální </w:t>
      </w:r>
      <w:r w:rsidR="0064229D">
        <w:rPr>
          <w:lang w:eastAsia="en-US"/>
        </w:rPr>
        <w:t xml:space="preserve">vstupenku do </w:t>
      </w:r>
      <w:r w:rsidR="005D1AC2">
        <w:rPr>
          <w:lang w:eastAsia="en-US"/>
        </w:rPr>
        <w:t xml:space="preserve">kina přes web Vasekino.cz </w:t>
      </w:r>
      <w:r w:rsidR="0064229D">
        <w:rPr>
          <w:lang w:eastAsia="en-US"/>
        </w:rPr>
        <w:t>zakoupilo</w:t>
      </w:r>
      <w:r w:rsidR="005D1AC2">
        <w:rPr>
          <w:lang w:eastAsia="en-US"/>
        </w:rPr>
        <w:t xml:space="preserve"> v rámci první vlny pandemie přibližně 10 tis. </w:t>
      </w:r>
      <w:r w:rsidR="0064229D">
        <w:rPr>
          <w:lang w:eastAsia="en-US"/>
        </w:rPr>
        <w:t>osob.</w:t>
      </w:r>
    </w:p>
    <w:p w:rsidR="0086745D" w:rsidRPr="00EB2612" w:rsidRDefault="0086745D" w:rsidP="0086745D">
      <w:pPr>
        <w:pStyle w:val="Titulek"/>
        <w:keepNext/>
        <w:rPr>
          <w:color w:val="000000" w:themeColor="text1"/>
          <w:sz w:val="22"/>
          <w:szCs w:val="22"/>
        </w:rPr>
      </w:pPr>
      <w:r w:rsidRPr="00EB2612">
        <w:rPr>
          <w:color w:val="000000" w:themeColor="text1"/>
          <w:sz w:val="22"/>
          <w:szCs w:val="22"/>
        </w:rPr>
        <w:t xml:space="preserve">Graf 33 </w:t>
      </w:r>
      <w:r w:rsidR="00461F62" w:rsidRPr="00EB2612">
        <w:rPr>
          <w:b w:val="0"/>
          <w:color w:val="000000" w:themeColor="text1"/>
          <w:sz w:val="22"/>
          <w:szCs w:val="22"/>
        </w:rPr>
        <w:t xml:space="preserve">Návštěvnost a tržby českých kin </w:t>
      </w:r>
      <w:r w:rsidR="00184B71" w:rsidRPr="00EB2612">
        <w:rPr>
          <w:b w:val="0"/>
          <w:color w:val="000000" w:themeColor="text1"/>
          <w:sz w:val="22"/>
          <w:szCs w:val="22"/>
        </w:rPr>
        <w:t>v lednu až srpnu 2019 a 2020</w:t>
      </w:r>
    </w:p>
    <w:p w:rsidR="005373E0" w:rsidRPr="00EB2612" w:rsidRDefault="005373E0" w:rsidP="00BB64DB">
      <w:r w:rsidRPr="00EB2612">
        <w:rPr>
          <w:noProof/>
        </w:rPr>
        <w:drawing>
          <wp:inline distT="0" distB="0" distL="0" distR="0">
            <wp:extent cx="6172200" cy="2295525"/>
            <wp:effectExtent l="0" t="0" r="0" b="0"/>
            <wp:docPr id="13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7A3F" w:rsidRPr="00EB2612" w:rsidRDefault="009A7A3F" w:rsidP="00BB64DB">
      <w:r w:rsidRPr="00EB2612">
        <w:t>Zdroj: Unie filmových distributorů</w:t>
      </w:r>
    </w:p>
    <w:p w:rsidR="009A7A3F" w:rsidRPr="00EB2612" w:rsidRDefault="009A7A3F" w:rsidP="00BB64DB">
      <w:r w:rsidRPr="00EB2612">
        <w:t xml:space="preserve">Zatímco </w:t>
      </w:r>
      <w:r w:rsidR="00184B71" w:rsidRPr="00EB2612">
        <w:t>protipandemická</w:t>
      </w:r>
      <w:r w:rsidR="00122CFA" w:rsidRPr="00EB2612">
        <w:t xml:space="preserve"> opatření v první polovině roku 2020 negativně </w:t>
      </w:r>
      <w:r w:rsidR="00184B71" w:rsidRPr="00EB2612">
        <w:t>ovlivnila</w:t>
      </w:r>
      <w:r w:rsidR="005F646F" w:rsidRPr="00EB2612">
        <w:t xml:space="preserve"> návštěvnost kinosálů</w:t>
      </w:r>
      <w:r w:rsidR="00122CFA" w:rsidRPr="00EB2612">
        <w:t xml:space="preserve">, nepřímo </w:t>
      </w:r>
      <w:r w:rsidR="005F646F" w:rsidRPr="00EB2612">
        <w:t xml:space="preserve">zřejmě </w:t>
      </w:r>
      <w:r w:rsidR="00184B71" w:rsidRPr="00EB2612">
        <w:t>podpořila</w:t>
      </w:r>
      <w:r w:rsidR="00122CFA" w:rsidRPr="00EB2612">
        <w:t xml:space="preserve"> sledování audiovizuálních děl </w:t>
      </w:r>
      <w:r w:rsidR="00184B71" w:rsidRPr="00EB2612">
        <w:t>prostřednictvím streamingu</w:t>
      </w:r>
      <w:r w:rsidR="00C6102D" w:rsidRPr="00EB2612">
        <w:t>.</w:t>
      </w:r>
      <w:r w:rsidR="00122CFA" w:rsidRPr="00EB2612">
        <w:t xml:space="preserve"> Např.</w:t>
      </w:r>
      <w:r w:rsidR="00C6102D" w:rsidRPr="00EB2612">
        <w:t xml:space="preserve"> </w:t>
      </w:r>
      <w:r w:rsidR="00122CFA" w:rsidRPr="00EB2612">
        <w:t>s</w:t>
      </w:r>
      <w:r w:rsidR="00167C65" w:rsidRPr="00EB2612">
        <w:t xml:space="preserve">treamingový gigant Netflix ohlásil v první polovině roku 2020 nárůst </w:t>
      </w:r>
      <w:r w:rsidR="00184B71" w:rsidRPr="00EB2612">
        <w:t xml:space="preserve">celosvětového </w:t>
      </w:r>
      <w:r w:rsidR="00EA2A3F" w:rsidRPr="00EB2612">
        <w:t>počtu předplatitelů o 26 mil., což je dvojnásobek hodnot z předchozího roku za stejné období (CNBC, 2020a, 2020b).</w:t>
      </w:r>
    </w:p>
    <w:p w:rsidR="00461F62" w:rsidRPr="00EB2612" w:rsidRDefault="00461F62" w:rsidP="00BB64DB">
      <w:r w:rsidRPr="00EB2612">
        <w:t>O aktivitách a tržbách společností poskytujících digitální služby na českém trhu nejsou dostupná ucelená data. Některé informace se dají získat z šetření Kult 6-01 prováděném ČSÚ, které bude podrobněji rozebráno v Kapitole 6. Filmové katalogy přístupné online u nás v současnosti bezplatně provozuje např. Česká televize či Prima, za poplatek pak televize Nova prostřednictvím služby Voyo či jiní soukromí poskytovatelé (například Alza či O2). Artové filmy pak za poplatek nabízí společnost AeroVod. Společnost Netflix vstoupila na český trh v roce 2016.</w:t>
      </w:r>
    </w:p>
    <w:p w:rsidR="00BB64DB" w:rsidRPr="00EB2612" w:rsidRDefault="00461F62" w:rsidP="00BB64DB">
      <w:r w:rsidRPr="00EB2612">
        <w:t xml:space="preserve">Okrajovým </w:t>
      </w:r>
      <w:r w:rsidR="003F593B" w:rsidRPr="00EB2612">
        <w:t>segmentem</w:t>
      </w:r>
      <w:r w:rsidRPr="00EB2612">
        <w:t xml:space="preserve"> trhu se stávají fyzické nosiče audiovizuálních materiálů. O</w:t>
      </w:r>
      <w:r w:rsidR="0018356F" w:rsidRPr="00EB2612">
        <w:t> </w:t>
      </w:r>
      <w:r w:rsidR="001857FC" w:rsidRPr="00EB2612">
        <w:t xml:space="preserve">tom </w:t>
      </w:r>
      <w:r w:rsidRPr="00EB2612">
        <w:t xml:space="preserve">svědčí </w:t>
      </w:r>
      <w:r w:rsidR="001857FC" w:rsidRPr="00EB2612">
        <w:t>například</w:t>
      </w:r>
      <w:r w:rsidR="007121B5" w:rsidRPr="00EB2612">
        <w:t xml:space="preserve"> </w:t>
      </w:r>
      <w:r w:rsidR="001857FC" w:rsidRPr="00EB2612">
        <w:t>skutečnost, že</w:t>
      </w:r>
      <w:r w:rsidR="007121B5" w:rsidRPr="00EB2612">
        <w:t xml:space="preserve"> nenahrané</w:t>
      </w:r>
      <w:r w:rsidR="001857FC" w:rsidRPr="00EB2612">
        <w:t xml:space="preserve"> </w:t>
      </w:r>
      <w:r w:rsidR="007121B5" w:rsidRPr="00EB2612">
        <w:t>blu-ray disky, CD a DVD byly vyřazeny ze spotřebitelského koše ČSÚ (Potočková, 2018).</w:t>
      </w:r>
      <w:r w:rsidRPr="00EB2612">
        <w:t xml:space="preserve"> </w:t>
      </w:r>
      <w:r w:rsidR="00BB64DB" w:rsidRPr="00EB2612">
        <w:t xml:space="preserve">Podle </w:t>
      </w:r>
      <w:r w:rsidR="00511E36" w:rsidRPr="00EB2612">
        <w:t>údajů Podnikové strukturální statistiky</w:t>
      </w:r>
      <w:r w:rsidR="00BB64DB" w:rsidRPr="00EB2612">
        <w:t xml:space="preserve"> poklesly </w:t>
      </w:r>
      <w:r w:rsidR="00BF0E2E" w:rsidRPr="00EB2612">
        <w:t>příjmy</w:t>
      </w:r>
      <w:r w:rsidR="00BB64DB" w:rsidRPr="00EB2612">
        <w:t xml:space="preserve"> z půjčování médií s audiovizuálním obsahem (Pronájem videokazet a disků N</w:t>
      </w:r>
      <w:r w:rsidR="007121B5" w:rsidRPr="00EB2612">
        <w:t>ACE</w:t>
      </w:r>
      <w:r w:rsidRPr="00EB2612">
        <w:t xml:space="preserve"> 77.22) mezi lety 2005–2018</w:t>
      </w:r>
      <w:r w:rsidR="00FB51BC" w:rsidRPr="00EB2612">
        <w:t xml:space="preserve"> trojnásobně</w:t>
      </w:r>
      <w:r w:rsidR="004B6546" w:rsidRPr="00EB2612">
        <w:t>,</w:t>
      </w:r>
      <w:r w:rsidR="008A07D3" w:rsidRPr="00EB2612">
        <w:t xml:space="preserve"> z</w:t>
      </w:r>
      <w:r w:rsidR="007121B5" w:rsidRPr="00EB2612">
        <w:t xml:space="preserve"> </w:t>
      </w:r>
      <w:r w:rsidR="00FB51BC" w:rsidRPr="00EB2612">
        <w:t xml:space="preserve">507 </w:t>
      </w:r>
      <w:r w:rsidR="00170E8B" w:rsidRPr="00EB2612">
        <w:t>mil.</w:t>
      </w:r>
      <w:r w:rsidR="004F2B2D" w:rsidRPr="00EB2612">
        <w:t xml:space="preserve"> Kč</w:t>
      </w:r>
      <w:r w:rsidR="007121B5" w:rsidRPr="00EB2612">
        <w:t xml:space="preserve"> </w:t>
      </w:r>
      <w:r w:rsidR="008A07D3" w:rsidRPr="00EB2612">
        <w:t xml:space="preserve">v roce 2005 </w:t>
      </w:r>
      <w:r w:rsidRPr="00EB2612">
        <w:t>na 169</w:t>
      </w:r>
      <w:r w:rsidR="00BB64DB" w:rsidRPr="00EB2612">
        <w:t xml:space="preserve"> mil. Kč</w:t>
      </w:r>
      <w:r w:rsidRPr="00EB2612">
        <w:t xml:space="preserve"> v roce 2018</w:t>
      </w:r>
      <w:r w:rsidR="00511E36" w:rsidRPr="00EB2612">
        <w:t>.</w:t>
      </w:r>
    </w:p>
    <w:p w:rsidR="00BB64DB" w:rsidRPr="00EB2612" w:rsidRDefault="00BB64DB" w:rsidP="00694914">
      <w:pPr>
        <w:pStyle w:val="Nadpis3"/>
        <w:numPr>
          <w:ilvl w:val="2"/>
          <w:numId w:val="17"/>
        </w:numPr>
      </w:pPr>
      <w:bookmarkStart w:id="11" w:name="_Toc430189803"/>
      <w:bookmarkStart w:id="12" w:name="_Toc431475031"/>
      <w:bookmarkStart w:id="13" w:name="_Toc463969186"/>
      <w:bookmarkStart w:id="14" w:name="_Toc465253896"/>
      <w:r w:rsidRPr="00EB2612">
        <w:t>POHLED SPOTŘEBITELE</w:t>
      </w:r>
      <w:bookmarkEnd w:id="11"/>
      <w:bookmarkEnd w:id="12"/>
      <w:bookmarkEnd w:id="13"/>
      <w:bookmarkEnd w:id="14"/>
    </w:p>
    <w:p w:rsidR="00D645B6" w:rsidRPr="00EB2612" w:rsidRDefault="00BB64DB" w:rsidP="00D645B6">
      <w:r w:rsidRPr="00EB2612">
        <w:t>I přes poměrně širokou pop</w:t>
      </w:r>
      <w:r w:rsidR="00192EBA" w:rsidRPr="00EB2612">
        <w:t xml:space="preserve">ularitu sledování a stahování </w:t>
      </w:r>
      <w:r w:rsidRPr="00EB2612">
        <w:t xml:space="preserve">audiovizuálního obsahu, není zatím v České republice příliš rozšířené využití internetu k nákupu těchto děl (ať už se jedná o objednání fyzických </w:t>
      </w:r>
      <w:r w:rsidR="00FF3DCC" w:rsidRPr="00EB2612">
        <w:t>nosičů</w:t>
      </w:r>
      <w:r w:rsidRPr="00EB2612">
        <w:t xml:space="preserve"> či jejich stažení </w:t>
      </w:r>
      <w:r w:rsidR="00F61C33" w:rsidRPr="00EB2612">
        <w:t>nebo</w:t>
      </w:r>
      <w:r w:rsidRPr="00EB2612">
        <w:t xml:space="preserve"> poslech online). Hudbu či film přes</w:t>
      </w:r>
      <w:r w:rsidR="00983BC9" w:rsidRPr="00EB2612">
        <w:t xml:space="preserve"> internet v</w:t>
      </w:r>
      <w:r w:rsidR="00122CFA" w:rsidRPr="00EB2612">
        <w:t> </w:t>
      </w:r>
      <w:r w:rsidR="00FF3DCC" w:rsidRPr="00EB2612">
        <w:t>roce</w:t>
      </w:r>
      <w:r w:rsidR="00122CFA" w:rsidRPr="00EB2612">
        <w:t xml:space="preserve"> 2019</w:t>
      </w:r>
      <w:r w:rsidR="00983BC9" w:rsidRPr="00EB2612">
        <w:t xml:space="preserve"> nakoupilo </w:t>
      </w:r>
      <w:r w:rsidR="00122CFA" w:rsidRPr="00EB2612">
        <w:t>6,7</w:t>
      </w:r>
      <w:r w:rsidRPr="00EB2612">
        <w:t xml:space="preserve"> % </w:t>
      </w:r>
      <w:r w:rsidR="00F61C33" w:rsidRPr="00EB2612">
        <w:t xml:space="preserve">celkové </w:t>
      </w:r>
      <w:r w:rsidRPr="00EB2612">
        <w:t>české</w:t>
      </w:r>
      <w:r w:rsidR="00313494" w:rsidRPr="00EB2612">
        <w:t> </w:t>
      </w:r>
      <w:r w:rsidRPr="00EB2612">
        <w:t>populace</w:t>
      </w:r>
      <w:r w:rsidR="00282CCA" w:rsidRPr="00EB2612">
        <w:t> </w:t>
      </w:r>
      <w:r w:rsidRPr="00EB2612">
        <w:t>a</w:t>
      </w:r>
      <w:r w:rsidR="00282CCA" w:rsidRPr="00EB2612">
        <w:t> </w:t>
      </w:r>
      <w:r w:rsidR="00122CFA" w:rsidRPr="00EB2612">
        <w:t>11,4</w:t>
      </w:r>
      <w:r w:rsidR="00983BC9" w:rsidRPr="00EB2612">
        <w:t xml:space="preserve"> </w:t>
      </w:r>
      <w:r w:rsidRPr="00EB2612">
        <w:t xml:space="preserve">% </w:t>
      </w:r>
      <w:r w:rsidR="00F61C33" w:rsidRPr="00EB2612">
        <w:t xml:space="preserve">z osob </w:t>
      </w:r>
      <w:r w:rsidRPr="00EB2612">
        <w:t>nakupující</w:t>
      </w:r>
      <w:r w:rsidR="00F61C33" w:rsidRPr="00EB2612">
        <w:t>ch</w:t>
      </w:r>
      <w:r w:rsidRPr="00EB2612">
        <w:t xml:space="preserve"> přes internet.</w:t>
      </w:r>
      <w:r w:rsidR="00F543ED" w:rsidRPr="00EB2612">
        <w:t xml:space="preserve"> </w:t>
      </w:r>
      <w:r w:rsidR="003C29BE" w:rsidRPr="00EB2612">
        <w:rPr>
          <w:lang w:eastAsia="en-US"/>
        </w:rPr>
        <w:t>V evropském srovnání pod</w:t>
      </w:r>
      <w:r w:rsidR="00326B2F" w:rsidRPr="00EB2612">
        <w:rPr>
          <w:lang w:eastAsia="en-US"/>
        </w:rPr>
        <w:t>ílů</w:t>
      </w:r>
      <w:r w:rsidR="003C29BE" w:rsidRPr="00EB2612">
        <w:rPr>
          <w:lang w:eastAsia="en-US"/>
        </w:rPr>
        <w:t xml:space="preserve"> uživatelů placených digitálních audiovizuálních služeb</w:t>
      </w:r>
      <w:r w:rsidR="005902CB" w:rsidRPr="00EB2612">
        <w:rPr>
          <w:lang w:eastAsia="en-US"/>
        </w:rPr>
        <w:t xml:space="preserve"> na celkové populaci</w:t>
      </w:r>
      <w:r w:rsidR="00326B2F" w:rsidRPr="00EB2612">
        <w:rPr>
          <w:lang w:eastAsia="en-US"/>
        </w:rPr>
        <w:t xml:space="preserve"> z roku 2018</w:t>
      </w:r>
      <w:r w:rsidR="003C29BE" w:rsidRPr="00EB2612">
        <w:rPr>
          <w:lang w:eastAsia="en-US"/>
        </w:rPr>
        <w:t xml:space="preserve"> se Česká republika umístila se 4 </w:t>
      </w:r>
      <w:r w:rsidR="003C29BE" w:rsidRPr="00EB2612">
        <w:t xml:space="preserve">% uživatelů na posledním místě. Nejvíce jsou služby typu Netflix či HBO GO rozšířené ve skandinávských zemích, z nichž na nejvyšší </w:t>
      </w:r>
      <w:r w:rsidR="00326B2F" w:rsidRPr="00EB2612">
        <w:t>příčku s </w:t>
      </w:r>
      <w:r w:rsidR="00F61C33" w:rsidRPr="00EB2612">
        <w:t>56</w:t>
      </w:r>
      <w:r w:rsidR="00326B2F" w:rsidRPr="00EB2612">
        <w:t xml:space="preserve">% podílem </w:t>
      </w:r>
      <w:r w:rsidR="003C29BE" w:rsidRPr="00EB2612">
        <w:t>uživatelů placených služeb dos</w:t>
      </w:r>
      <w:r w:rsidR="00326B2F" w:rsidRPr="00EB2612">
        <w:t xml:space="preserve">áhlo </w:t>
      </w:r>
      <w:r w:rsidR="003C29BE" w:rsidRPr="00EB2612">
        <w:t xml:space="preserve">Švédsko. To má také </w:t>
      </w:r>
      <w:r w:rsidR="005902CB" w:rsidRPr="00EB2612">
        <w:t xml:space="preserve">vysoký podíl (33 %) uživatelů placených služeb ve starší populaci ve věku 55-74 let. Oproti tomu Dánsko, </w:t>
      </w:r>
      <w:r w:rsidR="005902CB" w:rsidRPr="00EB2612">
        <w:lastRenderedPageBreak/>
        <w:t>které se s 54 %</w:t>
      </w:r>
      <w:r w:rsidR="00326B2F" w:rsidRPr="00EB2612">
        <w:t xml:space="preserve"> podílem</w:t>
      </w:r>
      <w:r w:rsidR="005902CB" w:rsidRPr="00EB2612">
        <w:t xml:space="preserve"> uživatelů placených služeb umístilo na třetím místě má ve věkové kategorii 55-74 let pouze 21,6 % uživatelů. </w:t>
      </w:r>
      <w:r w:rsidR="00F61C33" w:rsidRPr="00EB2612">
        <w:t>Průměrný p</w:t>
      </w:r>
      <w:r w:rsidR="00326B2F" w:rsidRPr="00EB2612">
        <w:t>odíl</w:t>
      </w:r>
      <w:r w:rsidR="00072ED0" w:rsidRPr="00EB2612">
        <w:t xml:space="preserve"> uživatelů </w:t>
      </w:r>
      <w:r w:rsidR="003F593B" w:rsidRPr="00EB2612">
        <w:t>placených služeb</w:t>
      </w:r>
      <w:r w:rsidR="00326B2F" w:rsidRPr="00EB2612">
        <w:t xml:space="preserve"> v evropské osmadvacítce</w:t>
      </w:r>
      <w:r w:rsidR="00072ED0" w:rsidRPr="00EB2612">
        <w:t xml:space="preserve"> dosahoval 26 %. Ve věkové kategorii 55-74 let využívala tyto služby přibližně desetina evropské populace.</w:t>
      </w:r>
    </w:p>
    <w:p w:rsidR="00001CBC" w:rsidRPr="00EB2612" w:rsidRDefault="00001CBC" w:rsidP="00001CBC">
      <w:pPr>
        <w:pStyle w:val="Titulek"/>
        <w:keepNext/>
        <w:rPr>
          <w:b w:val="0"/>
          <w:color w:val="000000" w:themeColor="text1"/>
          <w:sz w:val="22"/>
          <w:szCs w:val="22"/>
        </w:rPr>
      </w:pPr>
      <w:r w:rsidRPr="00EB2612">
        <w:rPr>
          <w:color w:val="000000" w:themeColor="text1"/>
          <w:sz w:val="22"/>
          <w:szCs w:val="22"/>
        </w:rPr>
        <w:t>Graf</w:t>
      </w:r>
      <w:r w:rsidR="00424B58">
        <w:rPr>
          <w:color w:val="000000" w:themeColor="text1"/>
          <w:sz w:val="22"/>
          <w:szCs w:val="22"/>
        </w:rPr>
        <w:t xml:space="preserve"> 34</w:t>
      </w:r>
      <w:r w:rsidRPr="00EB2612">
        <w:rPr>
          <w:color w:val="000000" w:themeColor="text1"/>
          <w:sz w:val="22"/>
          <w:szCs w:val="22"/>
        </w:rPr>
        <w:t xml:space="preserve"> </w:t>
      </w:r>
      <w:r w:rsidR="00326B2F" w:rsidRPr="00EB2612">
        <w:rPr>
          <w:b w:val="0"/>
          <w:color w:val="000000" w:themeColor="text1"/>
          <w:sz w:val="22"/>
          <w:szCs w:val="22"/>
        </w:rPr>
        <w:t xml:space="preserve">Podíl </w:t>
      </w:r>
      <w:r w:rsidR="00072ED0" w:rsidRPr="00EB2612">
        <w:rPr>
          <w:b w:val="0"/>
          <w:color w:val="000000" w:themeColor="text1"/>
          <w:sz w:val="22"/>
          <w:szCs w:val="22"/>
        </w:rPr>
        <w:t>uživatelů placených audiovizuálních</w:t>
      </w:r>
      <w:r w:rsidR="0064229D">
        <w:rPr>
          <w:b w:val="0"/>
          <w:color w:val="000000" w:themeColor="text1"/>
          <w:sz w:val="22"/>
          <w:szCs w:val="22"/>
        </w:rPr>
        <w:t xml:space="preserve"> služeb</w:t>
      </w:r>
      <w:r w:rsidR="00072ED0" w:rsidRPr="00EB2612">
        <w:rPr>
          <w:b w:val="0"/>
          <w:color w:val="000000" w:themeColor="text1"/>
          <w:sz w:val="22"/>
          <w:szCs w:val="22"/>
        </w:rPr>
        <w:t xml:space="preserve"> </w:t>
      </w:r>
      <w:r w:rsidRPr="00EB2612">
        <w:rPr>
          <w:b w:val="0"/>
          <w:color w:val="000000" w:themeColor="text1"/>
          <w:sz w:val="22"/>
          <w:szCs w:val="22"/>
        </w:rPr>
        <w:t>v roce 2018</w:t>
      </w:r>
      <w:r w:rsidR="00D645B6" w:rsidRPr="00EB2612">
        <w:rPr>
          <w:b w:val="0"/>
          <w:color w:val="000000" w:themeColor="text1"/>
          <w:sz w:val="22"/>
          <w:szCs w:val="22"/>
        </w:rPr>
        <w:t xml:space="preserve"> – mezinárodní srovnání</w:t>
      </w:r>
      <w:r w:rsidR="005902CB" w:rsidRPr="00EB2612">
        <w:rPr>
          <w:b w:val="0"/>
          <w:color w:val="000000" w:themeColor="text1"/>
          <w:sz w:val="22"/>
          <w:szCs w:val="22"/>
        </w:rPr>
        <w:t xml:space="preserve"> (v %)</w:t>
      </w:r>
    </w:p>
    <w:p w:rsidR="00122CFA" w:rsidRPr="00EB2612" w:rsidRDefault="00122CFA" w:rsidP="003F3BE1">
      <w:pPr>
        <w:rPr>
          <w:lang w:eastAsia="en-US"/>
        </w:rPr>
      </w:pPr>
      <w:r w:rsidRPr="00EB2612">
        <w:rPr>
          <w:noProof/>
        </w:rPr>
        <w:drawing>
          <wp:inline distT="0" distB="0" distL="0" distR="0">
            <wp:extent cx="6124575" cy="2847975"/>
            <wp:effectExtent l="0" t="0" r="0" b="0"/>
            <wp:docPr id="2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2CFA" w:rsidRPr="00EB2612" w:rsidRDefault="00D645B6" w:rsidP="003F3BE1">
      <w:pPr>
        <w:rPr>
          <w:lang w:eastAsia="en-US"/>
        </w:rPr>
      </w:pPr>
      <w:r w:rsidRPr="00EB2612">
        <w:rPr>
          <w:lang w:eastAsia="en-US"/>
        </w:rPr>
        <w:t xml:space="preserve">Zdroj: </w:t>
      </w:r>
      <w:r w:rsidR="00077ECA" w:rsidRPr="00EB2612">
        <w:rPr>
          <w:lang w:eastAsia="en-US"/>
        </w:rPr>
        <w:t>ICT usage in households and by individuals,</w:t>
      </w:r>
      <w:r w:rsidR="00077ECA" w:rsidRPr="00EB2612">
        <w:rPr>
          <w:szCs w:val="22"/>
          <w:lang w:eastAsia="en-US"/>
        </w:rPr>
        <w:t xml:space="preserve"> </w:t>
      </w:r>
      <w:r w:rsidR="00077ECA" w:rsidRPr="00EB2612">
        <w:rPr>
          <w:rFonts w:asciiTheme="minorHAnsi" w:hAnsiTheme="minorHAnsi"/>
          <w:sz w:val="22"/>
          <w:szCs w:val="22"/>
          <w:lang w:eastAsia="en-US"/>
        </w:rPr>
        <w:t>Eurostat</w:t>
      </w:r>
    </w:p>
    <w:p w:rsidR="003F3BE1" w:rsidRPr="00EB2612" w:rsidRDefault="003F3BE1" w:rsidP="003F3BE1">
      <w:pPr>
        <w:rPr>
          <w:lang w:eastAsia="en-US"/>
        </w:rPr>
      </w:pPr>
      <w:r w:rsidRPr="00EB2612">
        <w:rPr>
          <w:lang w:eastAsia="en-US"/>
        </w:rPr>
        <w:t xml:space="preserve">Zajímavé údaje o spotřebitelských návycích v oblasti filmu přináší také výsledky šetření Životní podmínky ČR z roku 2015. Z výsledků tohoto šetření vyplývá, že </w:t>
      </w:r>
      <w:r w:rsidR="00F61C33" w:rsidRPr="00EB2612">
        <w:rPr>
          <w:lang w:eastAsia="en-US"/>
        </w:rPr>
        <w:t>alespoň jednou</w:t>
      </w:r>
      <w:r w:rsidRPr="00EB2612">
        <w:rPr>
          <w:lang w:eastAsia="en-US"/>
        </w:rPr>
        <w:t xml:space="preserve"> navštívila v uplynulých 12 měsících</w:t>
      </w:r>
      <w:r w:rsidR="00F61C33" w:rsidRPr="00EB2612">
        <w:rPr>
          <w:lang w:eastAsia="en-US"/>
        </w:rPr>
        <w:t xml:space="preserve"> kino</w:t>
      </w:r>
      <w:r w:rsidRPr="00EB2612">
        <w:rPr>
          <w:lang w:eastAsia="en-US"/>
        </w:rPr>
        <w:t xml:space="preserve"> téměř polovina populace. Nejčastějším důvodem, proč lidé nenavštívili kino, byl prostý nedostatek zájmu a</w:t>
      </w:r>
      <w:r w:rsidR="004B6546" w:rsidRPr="00EB2612">
        <w:rPr>
          <w:lang w:eastAsia="en-US"/>
        </w:rPr>
        <w:t> </w:t>
      </w:r>
      <w:r w:rsidRPr="00EB2612">
        <w:rPr>
          <w:lang w:eastAsia="en-US"/>
        </w:rPr>
        <w:t xml:space="preserve">dále pak nedostatek času. Dalšími důvody byla vysoká cena vstupenky či velká vzdálenost do nejbližšího kinosálu. </w:t>
      </w:r>
      <w:r w:rsidR="00F61C33" w:rsidRPr="00EB2612">
        <w:rPr>
          <w:lang w:eastAsia="en-US"/>
        </w:rPr>
        <w:t>V</w:t>
      </w:r>
      <w:r w:rsidRPr="00EB2612">
        <w:rPr>
          <w:lang w:eastAsia="en-US"/>
        </w:rPr>
        <w:t>ýčet odpovědí na otázku, zda respondent navštívil v posledních 12 mě</w:t>
      </w:r>
      <w:r w:rsidR="00192EBA" w:rsidRPr="00EB2612">
        <w:rPr>
          <w:lang w:eastAsia="en-US"/>
        </w:rPr>
        <w:t>sících k</w:t>
      </w:r>
      <w:r w:rsidR="00FF526E">
        <w:rPr>
          <w:lang w:eastAsia="en-US"/>
        </w:rPr>
        <w:t>inosál, nabízí Graf 35</w:t>
      </w:r>
      <w:r w:rsidRPr="00EB2612">
        <w:rPr>
          <w:lang w:eastAsia="en-US"/>
        </w:rPr>
        <w:t>.</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424B58">
        <w:rPr>
          <w:color w:val="auto"/>
          <w:sz w:val="22"/>
          <w:szCs w:val="22"/>
        </w:rPr>
        <w:t>35</w:t>
      </w:r>
      <w:r w:rsidRPr="00EB2612">
        <w:rPr>
          <w:color w:val="auto"/>
          <w:sz w:val="22"/>
          <w:szCs w:val="22"/>
        </w:rPr>
        <w:t xml:space="preserve"> </w:t>
      </w:r>
      <w:r w:rsidR="00F61C33" w:rsidRPr="00EB2612">
        <w:rPr>
          <w:b w:val="0"/>
          <w:color w:val="auto"/>
          <w:sz w:val="22"/>
          <w:szCs w:val="22"/>
        </w:rPr>
        <w:t xml:space="preserve">Podíl osob </w:t>
      </w:r>
      <w:r w:rsidR="007A250A">
        <w:rPr>
          <w:b w:val="0"/>
          <w:color w:val="auto"/>
          <w:sz w:val="22"/>
          <w:szCs w:val="22"/>
        </w:rPr>
        <w:t xml:space="preserve">ve věku </w:t>
      </w:r>
      <w:r w:rsidR="00F61C33" w:rsidRPr="00EB2612">
        <w:rPr>
          <w:b w:val="0"/>
          <w:color w:val="auto"/>
          <w:sz w:val="22"/>
          <w:szCs w:val="22"/>
        </w:rPr>
        <w:t>16</w:t>
      </w:r>
      <w:r w:rsidR="007A250A">
        <w:rPr>
          <w:b w:val="0"/>
          <w:color w:val="auto"/>
          <w:sz w:val="22"/>
          <w:szCs w:val="22"/>
        </w:rPr>
        <w:t xml:space="preserve"> a více</w:t>
      </w:r>
      <w:r w:rsidR="00F61C33" w:rsidRPr="00EB2612">
        <w:rPr>
          <w:b w:val="0"/>
          <w:color w:val="auto"/>
          <w:sz w:val="22"/>
          <w:szCs w:val="22"/>
        </w:rPr>
        <w:t xml:space="preserve"> let podle návštěvy kina v posledních 12 měsících</w:t>
      </w:r>
      <w:r w:rsidR="00A635F9" w:rsidRPr="00EB2612">
        <w:rPr>
          <w:b w:val="0"/>
          <w:color w:val="auto"/>
          <w:sz w:val="22"/>
          <w:szCs w:val="22"/>
        </w:rPr>
        <w:t xml:space="preserve"> a podle pohlaví, </w:t>
      </w:r>
      <w:r w:rsidR="00F61C33" w:rsidRPr="00EB2612">
        <w:rPr>
          <w:b w:val="0"/>
          <w:color w:val="auto"/>
          <w:sz w:val="22"/>
          <w:szCs w:val="22"/>
        </w:rPr>
        <w:t>2015</w:t>
      </w:r>
    </w:p>
    <w:p w:rsidR="00BB64DB" w:rsidRPr="00EB2612" w:rsidRDefault="003F3BE1" w:rsidP="00220644">
      <w:pPr>
        <w:keepNext/>
        <w:jc w:val="center"/>
      </w:pPr>
      <w:r w:rsidRPr="00EB2612">
        <w:rPr>
          <w:noProof/>
        </w:rPr>
        <w:drawing>
          <wp:inline distT="0" distB="0" distL="0" distR="0">
            <wp:extent cx="6096000" cy="203835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64DB" w:rsidRPr="00EB2612" w:rsidRDefault="004D3A66" w:rsidP="00BB64DB">
      <w:pPr>
        <w:pStyle w:val="Titulek"/>
        <w:rPr>
          <w:b w:val="0"/>
          <w:color w:val="auto"/>
          <w:sz w:val="22"/>
          <w:szCs w:val="22"/>
        </w:rPr>
      </w:pPr>
      <w:r w:rsidRPr="00EB2612">
        <w:rPr>
          <w:b w:val="0"/>
          <w:color w:val="auto"/>
          <w:sz w:val="22"/>
          <w:szCs w:val="22"/>
        </w:rPr>
        <w:t xml:space="preserve">Zdroj: </w:t>
      </w:r>
      <w:r w:rsidR="00A635F9" w:rsidRPr="00EB2612">
        <w:rPr>
          <w:b w:val="0"/>
          <w:color w:val="auto"/>
          <w:sz w:val="22"/>
          <w:szCs w:val="22"/>
        </w:rPr>
        <w:t>Životní podmínky</w:t>
      </w:r>
      <w:r w:rsidR="00F27845" w:rsidRPr="00EB2612">
        <w:rPr>
          <w:b w:val="0"/>
          <w:color w:val="auto"/>
          <w:sz w:val="22"/>
          <w:szCs w:val="22"/>
        </w:rPr>
        <w:t>, ČSÚ</w:t>
      </w:r>
    </w:p>
    <w:p w:rsidR="00D20AAC" w:rsidRPr="00EB2612" w:rsidRDefault="00D20AAC" w:rsidP="00D20AAC">
      <w:pPr>
        <w:rPr>
          <w:lang w:eastAsia="en-US"/>
        </w:rPr>
      </w:pPr>
      <w:r w:rsidRPr="00EB2612">
        <w:rPr>
          <w:lang w:eastAsia="en-US"/>
        </w:rPr>
        <w:t>Oblíbenost návštěvy kinosálů se dle úda</w:t>
      </w:r>
      <w:r w:rsidR="00A635F9" w:rsidRPr="00EB2612">
        <w:rPr>
          <w:lang w:eastAsia="en-US"/>
        </w:rPr>
        <w:t>jů z šetření Životní podmínky</w:t>
      </w:r>
      <w:r w:rsidRPr="00EB2612">
        <w:rPr>
          <w:lang w:eastAsia="en-US"/>
        </w:rPr>
        <w:t xml:space="preserve"> 2015 značně liší u různých věkových kategorií a má </w:t>
      </w:r>
      <w:r w:rsidR="003920A5" w:rsidRPr="00EB2612">
        <w:rPr>
          <w:lang w:eastAsia="en-US"/>
        </w:rPr>
        <w:t xml:space="preserve">s rostoucím věkem </w:t>
      </w:r>
      <w:r w:rsidRPr="00EB2612">
        <w:rPr>
          <w:lang w:eastAsia="en-US"/>
        </w:rPr>
        <w:t xml:space="preserve">sestupnou tendenci. Kino navštěvovali nejčastěji </w:t>
      </w:r>
      <w:r w:rsidR="004B6546" w:rsidRPr="00EB2612">
        <w:rPr>
          <w:lang w:eastAsia="en-US"/>
        </w:rPr>
        <w:t>mladí lidé ve věku 16</w:t>
      </w:r>
      <w:r w:rsidR="00D52692" w:rsidRPr="00EB2612">
        <w:rPr>
          <w:lang w:eastAsia="en-US"/>
        </w:rPr>
        <w:t xml:space="preserve">–24 </w:t>
      </w:r>
      <w:r w:rsidR="00D52692" w:rsidRPr="00EB2612">
        <w:rPr>
          <w:lang w:eastAsia="en-US"/>
        </w:rPr>
        <w:lastRenderedPageBreak/>
        <w:t>let (85</w:t>
      </w:r>
      <w:r w:rsidRPr="00EB2612">
        <w:rPr>
          <w:lang w:eastAsia="en-US"/>
        </w:rPr>
        <w:t xml:space="preserve"> %) a </w:t>
      </w:r>
      <w:r w:rsidR="00D52692" w:rsidRPr="00EB2612">
        <w:rPr>
          <w:lang w:eastAsia="en-US"/>
        </w:rPr>
        <w:t>dále pak lidé ve věku 25–34 let (71</w:t>
      </w:r>
      <w:r w:rsidRPr="00EB2612">
        <w:rPr>
          <w:lang w:eastAsia="en-US"/>
        </w:rPr>
        <w:t xml:space="preserve"> %). S přibývajícím věkem obliba této aktivity klesá. Zmíněné výsledky přinášejí důležité zjištění, že návštěva kina si zatím u mladých lidí drží silnou pozici v konkurenci stále sofistikovanějších možností v oblasti digitální zábavy.</w:t>
      </w:r>
    </w:p>
    <w:p w:rsidR="007B7D35" w:rsidRPr="00EB2612" w:rsidRDefault="007B7D35" w:rsidP="007B7D35">
      <w:pPr>
        <w:pStyle w:val="Titulek"/>
        <w:keepNext/>
        <w:rPr>
          <w:b w:val="0"/>
          <w:color w:val="auto"/>
          <w:sz w:val="22"/>
          <w:szCs w:val="22"/>
        </w:rPr>
      </w:pPr>
      <w:r w:rsidRPr="00EB2612">
        <w:rPr>
          <w:color w:val="auto"/>
          <w:sz w:val="22"/>
          <w:szCs w:val="22"/>
        </w:rPr>
        <w:t xml:space="preserve">Graf </w:t>
      </w:r>
      <w:r w:rsidR="00424B58">
        <w:rPr>
          <w:color w:val="auto"/>
          <w:sz w:val="22"/>
          <w:szCs w:val="22"/>
        </w:rPr>
        <w:t>36</w:t>
      </w:r>
      <w:r w:rsidRPr="00EB2612">
        <w:rPr>
          <w:color w:val="auto"/>
          <w:sz w:val="22"/>
          <w:szCs w:val="22"/>
        </w:rPr>
        <w:t xml:space="preserve"> </w:t>
      </w:r>
      <w:r w:rsidR="00A635F9" w:rsidRPr="00EB2612">
        <w:rPr>
          <w:b w:val="0"/>
          <w:color w:val="auto"/>
          <w:sz w:val="22"/>
          <w:szCs w:val="22"/>
        </w:rPr>
        <w:t>Podíl osob, které alespoň jednou v posledních 12 měsících navštívil</w:t>
      </w:r>
      <w:r w:rsidR="000A3293">
        <w:rPr>
          <w:b w:val="0"/>
          <w:color w:val="auto"/>
          <w:sz w:val="22"/>
          <w:szCs w:val="22"/>
        </w:rPr>
        <w:t>y</w:t>
      </w:r>
      <w:r w:rsidR="00A635F9" w:rsidRPr="00EB2612">
        <w:rPr>
          <w:b w:val="0"/>
          <w:color w:val="auto"/>
          <w:sz w:val="22"/>
          <w:szCs w:val="22"/>
        </w:rPr>
        <w:t xml:space="preserve"> kino, podle věkových kategorií, 2015</w:t>
      </w:r>
    </w:p>
    <w:p w:rsidR="00A65AE6" w:rsidRPr="00EB2612" w:rsidRDefault="00A65AE6" w:rsidP="00D52692">
      <w:pPr>
        <w:jc w:val="center"/>
        <w:rPr>
          <w:lang w:eastAsia="en-US"/>
        </w:rPr>
      </w:pPr>
      <w:r w:rsidRPr="00EB2612">
        <w:rPr>
          <w:noProof/>
        </w:rPr>
        <w:drawing>
          <wp:inline distT="0" distB="0" distL="0" distR="0">
            <wp:extent cx="4476750" cy="1704975"/>
            <wp:effectExtent l="0" t="0" r="0" b="0"/>
            <wp:docPr id="1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B7D35" w:rsidRPr="00EB2612" w:rsidRDefault="007B7D35" w:rsidP="00F77FD7">
      <w:pPr>
        <w:rPr>
          <w:rFonts w:asciiTheme="minorHAnsi" w:hAnsiTheme="minorHAnsi"/>
          <w:sz w:val="22"/>
          <w:szCs w:val="22"/>
          <w:lang w:eastAsia="en-US"/>
        </w:rPr>
      </w:pPr>
      <w:r w:rsidRPr="00EB2612">
        <w:rPr>
          <w:rFonts w:asciiTheme="minorHAnsi" w:hAnsiTheme="minorHAnsi"/>
          <w:sz w:val="22"/>
          <w:szCs w:val="22"/>
          <w:lang w:eastAsia="en-US"/>
        </w:rPr>
        <w:t xml:space="preserve">Zdroj: Životní podmínky </w:t>
      </w:r>
      <w:r w:rsidR="000A1A9F" w:rsidRPr="00EB2612">
        <w:rPr>
          <w:rFonts w:asciiTheme="minorHAnsi" w:hAnsiTheme="minorHAnsi"/>
          <w:sz w:val="22"/>
          <w:szCs w:val="22"/>
          <w:lang w:eastAsia="en-US"/>
        </w:rPr>
        <w:t>ČR</w:t>
      </w:r>
      <w:r w:rsidRPr="00EB2612">
        <w:rPr>
          <w:rFonts w:asciiTheme="minorHAnsi" w:hAnsiTheme="minorHAnsi"/>
          <w:sz w:val="22"/>
          <w:szCs w:val="22"/>
          <w:lang w:eastAsia="en-US"/>
        </w:rPr>
        <w:t>, ČSÚ</w:t>
      </w:r>
    </w:p>
    <w:p w:rsidR="002920AC" w:rsidRPr="00EB2612" w:rsidRDefault="002920AC" w:rsidP="00F77FD7">
      <w:pPr>
        <w:rPr>
          <w:rFonts w:asciiTheme="minorHAnsi" w:hAnsiTheme="minorHAnsi"/>
          <w:sz w:val="22"/>
          <w:szCs w:val="22"/>
          <w:lang w:eastAsia="en-US"/>
        </w:rPr>
      </w:pPr>
      <w:r w:rsidRPr="00EB2612">
        <w:rPr>
          <w:rFonts w:asciiTheme="minorHAnsi" w:hAnsiTheme="minorHAnsi"/>
          <w:sz w:val="22"/>
          <w:szCs w:val="22"/>
          <w:lang w:eastAsia="en-US"/>
        </w:rPr>
        <w:t>V rámci mezinárodního srovnání návštěvnosti</w:t>
      </w:r>
      <w:r w:rsidR="00B41036" w:rsidRPr="00EB2612">
        <w:rPr>
          <w:rStyle w:val="Znakapoznpodarou"/>
          <w:rFonts w:asciiTheme="minorHAnsi" w:hAnsiTheme="minorHAnsi"/>
          <w:sz w:val="22"/>
          <w:szCs w:val="22"/>
          <w:lang w:eastAsia="en-US"/>
        </w:rPr>
        <w:footnoteReference w:id="1"/>
      </w:r>
      <w:r w:rsidRPr="00EB2612">
        <w:rPr>
          <w:rFonts w:asciiTheme="minorHAnsi" w:hAnsiTheme="minorHAnsi"/>
          <w:sz w:val="22"/>
          <w:szCs w:val="22"/>
          <w:lang w:eastAsia="en-US"/>
        </w:rPr>
        <w:t xml:space="preserve"> kin v zemích EU se Česká republika řadí do první </w:t>
      </w:r>
      <w:r w:rsidR="00A635F9" w:rsidRPr="00EB2612">
        <w:rPr>
          <w:rFonts w:asciiTheme="minorHAnsi" w:hAnsiTheme="minorHAnsi"/>
          <w:sz w:val="22"/>
          <w:szCs w:val="22"/>
          <w:lang w:eastAsia="en-US"/>
        </w:rPr>
        <w:t>poloviny</w:t>
      </w:r>
      <w:r w:rsidRPr="00EB2612">
        <w:rPr>
          <w:rFonts w:asciiTheme="minorHAnsi" w:hAnsiTheme="minorHAnsi"/>
          <w:sz w:val="22"/>
          <w:szCs w:val="22"/>
          <w:lang w:eastAsia="en-US"/>
        </w:rPr>
        <w:t xml:space="preserve"> zemí s největší návštěvností. Nej</w:t>
      </w:r>
      <w:r w:rsidR="00011F3D" w:rsidRPr="00EB2612">
        <w:rPr>
          <w:rFonts w:asciiTheme="minorHAnsi" w:hAnsiTheme="minorHAnsi"/>
          <w:sz w:val="22"/>
          <w:szCs w:val="22"/>
          <w:lang w:eastAsia="en-US"/>
        </w:rPr>
        <w:t>větší část populace chodila</w:t>
      </w:r>
      <w:r w:rsidRPr="00EB2612">
        <w:rPr>
          <w:rFonts w:asciiTheme="minorHAnsi" w:hAnsiTheme="minorHAnsi"/>
          <w:sz w:val="22"/>
          <w:szCs w:val="22"/>
          <w:lang w:eastAsia="en-US"/>
        </w:rPr>
        <w:t xml:space="preserve"> do kina v severských zemích Dánsku a Švédsku, kde alespoň jednou </w:t>
      </w:r>
      <w:r w:rsidR="003920A5" w:rsidRPr="00EB2612">
        <w:rPr>
          <w:rFonts w:asciiTheme="minorHAnsi" w:hAnsiTheme="minorHAnsi"/>
          <w:sz w:val="22"/>
          <w:szCs w:val="22"/>
          <w:lang w:eastAsia="en-US"/>
        </w:rPr>
        <w:t>v roce 2015 navštívi</w:t>
      </w:r>
      <w:r w:rsidRPr="00EB2612">
        <w:rPr>
          <w:rFonts w:asciiTheme="minorHAnsi" w:hAnsiTheme="minorHAnsi"/>
          <w:sz w:val="22"/>
          <w:szCs w:val="22"/>
          <w:lang w:eastAsia="en-US"/>
        </w:rPr>
        <w:t>lo</w:t>
      </w:r>
      <w:r w:rsidR="003920A5" w:rsidRPr="00EB2612">
        <w:rPr>
          <w:rFonts w:asciiTheme="minorHAnsi" w:hAnsiTheme="minorHAnsi"/>
          <w:sz w:val="22"/>
          <w:szCs w:val="22"/>
          <w:lang w:eastAsia="en-US"/>
        </w:rPr>
        <w:t xml:space="preserve"> kinosál</w:t>
      </w:r>
      <w:r w:rsidRPr="00EB2612">
        <w:rPr>
          <w:rFonts w:asciiTheme="minorHAnsi" w:hAnsiTheme="minorHAnsi"/>
          <w:sz w:val="22"/>
          <w:szCs w:val="22"/>
          <w:lang w:eastAsia="en-US"/>
        </w:rPr>
        <w:t xml:space="preserve"> více než 60 % populace. </w:t>
      </w:r>
      <w:r w:rsidR="00AA1776" w:rsidRPr="00EB2612">
        <w:rPr>
          <w:rFonts w:asciiTheme="minorHAnsi" w:hAnsiTheme="minorHAnsi"/>
          <w:sz w:val="22"/>
          <w:szCs w:val="22"/>
          <w:lang w:eastAsia="en-US"/>
        </w:rPr>
        <w:t>Nej</w:t>
      </w:r>
      <w:r w:rsidR="003920A5" w:rsidRPr="00EB2612">
        <w:rPr>
          <w:rFonts w:asciiTheme="minorHAnsi" w:hAnsiTheme="minorHAnsi"/>
          <w:sz w:val="22"/>
          <w:szCs w:val="22"/>
          <w:lang w:eastAsia="en-US"/>
        </w:rPr>
        <w:t>častěji</w:t>
      </w:r>
      <w:r w:rsidR="00AA1776" w:rsidRPr="00EB2612">
        <w:rPr>
          <w:rFonts w:asciiTheme="minorHAnsi" w:hAnsiTheme="minorHAnsi"/>
          <w:sz w:val="22"/>
          <w:szCs w:val="22"/>
          <w:lang w:eastAsia="en-US"/>
        </w:rPr>
        <w:t xml:space="preserve"> pak navš</w:t>
      </w:r>
      <w:r w:rsidR="003920A5" w:rsidRPr="00EB2612">
        <w:rPr>
          <w:rFonts w:asciiTheme="minorHAnsi" w:hAnsiTheme="minorHAnsi"/>
          <w:sz w:val="22"/>
          <w:szCs w:val="22"/>
          <w:lang w:eastAsia="en-US"/>
        </w:rPr>
        <w:t>těvovali kinosály</w:t>
      </w:r>
      <w:r w:rsidR="00AA1776" w:rsidRPr="00EB2612">
        <w:rPr>
          <w:rFonts w:asciiTheme="minorHAnsi" w:hAnsiTheme="minorHAnsi"/>
          <w:sz w:val="22"/>
          <w:szCs w:val="22"/>
          <w:lang w:eastAsia="en-US"/>
        </w:rPr>
        <w:t xml:space="preserve"> diváci ve Francii, kde </w:t>
      </w:r>
      <w:r w:rsidR="003920A5" w:rsidRPr="00EB2612">
        <w:rPr>
          <w:rFonts w:asciiTheme="minorHAnsi" w:hAnsiTheme="minorHAnsi"/>
          <w:sz w:val="22"/>
          <w:szCs w:val="22"/>
          <w:lang w:eastAsia="en-US"/>
        </w:rPr>
        <w:t>téměř</w:t>
      </w:r>
      <w:r w:rsidR="00AA1776" w:rsidRPr="00EB2612">
        <w:rPr>
          <w:rFonts w:asciiTheme="minorHAnsi" w:hAnsiTheme="minorHAnsi"/>
          <w:sz w:val="22"/>
          <w:szCs w:val="22"/>
          <w:lang w:eastAsia="en-US"/>
        </w:rPr>
        <w:t xml:space="preserve"> 30 % populace </w:t>
      </w:r>
      <w:r w:rsidR="003920A5" w:rsidRPr="00EB2612">
        <w:rPr>
          <w:rFonts w:asciiTheme="minorHAnsi" w:hAnsiTheme="minorHAnsi"/>
          <w:sz w:val="22"/>
          <w:szCs w:val="22"/>
          <w:lang w:eastAsia="en-US"/>
        </w:rPr>
        <w:t>přišlo do kina</w:t>
      </w:r>
      <w:r w:rsidR="00AA1776" w:rsidRPr="00EB2612">
        <w:rPr>
          <w:rFonts w:asciiTheme="minorHAnsi" w:hAnsiTheme="minorHAnsi"/>
          <w:sz w:val="22"/>
          <w:szCs w:val="22"/>
          <w:lang w:eastAsia="en-US"/>
        </w:rPr>
        <w:t xml:space="preserve"> v roce 2015 více než čtyřikrát.</w:t>
      </w:r>
    </w:p>
    <w:p w:rsidR="00560108" w:rsidRPr="00EB2612" w:rsidRDefault="00560108" w:rsidP="00560108">
      <w:pPr>
        <w:pStyle w:val="Titulek"/>
        <w:keepNext/>
        <w:rPr>
          <w:b w:val="0"/>
          <w:color w:val="auto"/>
          <w:sz w:val="22"/>
          <w:szCs w:val="22"/>
        </w:rPr>
      </w:pPr>
      <w:r w:rsidRPr="00EB2612">
        <w:rPr>
          <w:color w:val="auto"/>
          <w:sz w:val="22"/>
          <w:szCs w:val="22"/>
        </w:rPr>
        <w:t>Graf</w:t>
      </w:r>
      <w:r w:rsidR="007B7D35" w:rsidRPr="00EB2612">
        <w:rPr>
          <w:color w:val="auto"/>
          <w:sz w:val="22"/>
          <w:szCs w:val="22"/>
        </w:rPr>
        <w:t xml:space="preserve"> </w:t>
      </w:r>
      <w:r w:rsidR="001A4BAA" w:rsidRPr="00EB2612">
        <w:rPr>
          <w:color w:val="auto"/>
          <w:sz w:val="22"/>
          <w:szCs w:val="22"/>
        </w:rPr>
        <w:t>3</w:t>
      </w:r>
      <w:r w:rsidR="00424B58">
        <w:rPr>
          <w:color w:val="auto"/>
          <w:sz w:val="22"/>
          <w:szCs w:val="22"/>
        </w:rPr>
        <w:t>7</w:t>
      </w:r>
      <w:r w:rsidR="007B7D35" w:rsidRPr="00EB2612">
        <w:t xml:space="preserve"> </w:t>
      </w:r>
      <w:r w:rsidR="00A635F9" w:rsidRPr="00EB2612">
        <w:rPr>
          <w:b w:val="0"/>
          <w:color w:val="auto"/>
          <w:sz w:val="22"/>
          <w:szCs w:val="22"/>
        </w:rPr>
        <w:t>Podíl osob</w:t>
      </w:r>
      <w:r w:rsidR="007A250A">
        <w:rPr>
          <w:b w:val="0"/>
          <w:color w:val="auto"/>
          <w:sz w:val="22"/>
          <w:szCs w:val="22"/>
        </w:rPr>
        <w:t xml:space="preserve"> ve věku 16 a více let</w:t>
      </w:r>
      <w:r w:rsidR="00A635F9" w:rsidRPr="00EB2612">
        <w:rPr>
          <w:b w:val="0"/>
          <w:color w:val="auto"/>
          <w:sz w:val="22"/>
          <w:szCs w:val="22"/>
        </w:rPr>
        <w:t xml:space="preserve">, které v posledních 12 měsících navštívily </w:t>
      </w:r>
      <w:r w:rsidR="003920A5" w:rsidRPr="00EB2612">
        <w:rPr>
          <w:b w:val="0"/>
          <w:color w:val="auto"/>
          <w:sz w:val="22"/>
          <w:szCs w:val="22"/>
        </w:rPr>
        <w:t>kino</w:t>
      </w:r>
      <w:r w:rsidR="00AA1776" w:rsidRPr="00EB2612">
        <w:rPr>
          <w:b w:val="0"/>
          <w:color w:val="auto"/>
          <w:sz w:val="22"/>
          <w:szCs w:val="22"/>
        </w:rPr>
        <w:t xml:space="preserve"> (</w:t>
      </w:r>
      <w:r w:rsidR="001B0E1D">
        <w:rPr>
          <w:b w:val="0"/>
          <w:color w:val="auto"/>
          <w:sz w:val="22"/>
          <w:szCs w:val="22"/>
        </w:rPr>
        <w:t>v %)</w:t>
      </w:r>
      <w:r w:rsidR="00077ECA" w:rsidRPr="00EB2612">
        <w:rPr>
          <w:b w:val="0"/>
          <w:color w:val="auto"/>
          <w:sz w:val="22"/>
          <w:szCs w:val="22"/>
        </w:rPr>
        <w:t>, 2015</w:t>
      </w:r>
    </w:p>
    <w:p w:rsidR="00EA2F6A" w:rsidRPr="00EB2612" w:rsidRDefault="00077ECA" w:rsidP="007B7D35">
      <w:pPr>
        <w:jc w:val="center"/>
        <w:rPr>
          <w:lang w:eastAsia="en-US"/>
        </w:rPr>
      </w:pPr>
      <w:r w:rsidRPr="00EB2612">
        <w:rPr>
          <w:noProof/>
        </w:rPr>
        <w:drawing>
          <wp:inline distT="0" distB="0" distL="0" distR="0">
            <wp:extent cx="6134100" cy="2447925"/>
            <wp:effectExtent l="0" t="0" r="0" b="0"/>
            <wp:docPr id="145"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F4DFA" w:rsidRPr="00EB2612" w:rsidRDefault="00560108" w:rsidP="00F77FD7">
      <w:pPr>
        <w:rPr>
          <w:rFonts w:asciiTheme="minorHAnsi" w:hAnsiTheme="minorHAnsi"/>
          <w:sz w:val="22"/>
          <w:szCs w:val="22"/>
          <w:lang w:eastAsia="en-US"/>
        </w:rPr>
      </w:pPr>
      <w:r w:rsidRPr="00EB2612">
        <w:rPr>
          <w:rFonts w:asciiTheme="minorHAnsi" w:hAnsiTheme="minorHAnsi"/>
          <w:sz w:val="22"/>
          <w:szCs w:val="22"/>
          <w:lang w:eastAsia="en-US"/>
        </w:rPr>
        <w:t xml:space="preserve">Zdroj: </w:t>
      </w:r>
      <w:r w:rsidR="00D20AAC" w:rsidRPr="00EB2612">
        <w:rPr>
          <w:rFonts w:asciiTheme="minorHAnsi" w:hAnsiTheme="minorHAnsi"/>
          <w:sz w:val="22"/>
          <w:szCs w:val="22"/>
          <w:lang w:eastAsia="en-US"/>
        </w:rPr>
        <w:t>EU-SILC</w:t>
      </w:r>
      <w:r w:rsidRPr="00EB2612">
        <w:rPr>
          <w:rFonts w:asciiTheme="minorHAnsi" w:hAnsiTheme="minorHAnsi"/>
          <w:sz w:val="22"/>
          <w:szCs w:val="22"/>
          <w:lang w:eastAsia="en-US"/>
        </w:rPr>
        <w:t xml:space="preserve">, </w:t>
      </w:r>
      <w:r w:rsidR="00D20AAC" w:rsidRPr="00EB2612">
        <w:rPr>
          <w:rFonts w:asciiTheme="minorHAnsi" w:hAnsiTheme="minorHAnsi"/>
          <w:sz w:val="22"/>
          <w:szCs w:val="22"/>
          <w:lang w:eastAsia="en-US"/>
        </w:rPr>
        <w:t>Eurostat</w:t>
      </w:r>
    </w:p>
    <w:p w:rsidR="004F4DFA" w:rsidRPr="00EB2612" w:rsidRDefault="004F4DFA">
      <w:pPr>
        <w:spacing w:after="0" w:line="240" w:lineRule="auto"/>
        <w:jc w:val="left"/>
        <w:rPr>
          <w:rFonts w:asciiTheme="minorHAnsi" w:hAnsiTheme="minorHAnsi"/>
          <w:sz w:val="22"/>
          <w:szCs w:val="22"/>
          <w:lang w:eastAsia="en-US"/>
        </w:rPr>
      </w:pPr>
    </w:p>
    <w:p w:rsidR="00BB64DB" w:rsidRPr="00EB2612" w:rsidRDefault="00BB64DB" w:rsidP="00694914">
      <w:pPr>
        <w:pStyle w:val="Nadpis2"/>
        <w:numPr>
          <w:ilvl w:val="1"/>
          <w:numId w:val="17"/>
        </w:numPr>
      </w:pPr>
      <w:bookmarkStart w:id="15" w:name="_Toc430189804"/>
      <w:bookmarkStart w:id="16" w:name="_Toc463969187"/>
      <w:bookmarkStart w:id="17" w:name="_Toc465253897"/>
      <w:r w:rsidRPr="00EB2612">
        <w:lastRenderedPageBreak/>
        <w:t>HUDBA</w:t>
      </w:r>
      <w:bookmarkEnd w:id="15"/>
      <w:bookmarkEnd w:id="16"/>
      <w:bookmarkEnd w:id="17"/>
    </w:p>
    <w:p w:rsidR="00BB64DB" w:rsidRPr="00EB2612" w:rsidRDefault="00BB64DB" w:rsidP="00BB64DB">
      <w:pPr>
        <w:pStyle w:val="Titulek"/>
        <w:keepNext/>
        <w:jc w:val="right"/>
        <w:rPr>
          <w:color w:val="auto"/>
        </w:rPr>
      </w:pPr>
      <w:bookmarkStart w:id="18" w:name="_Toc464832051"/>
      <w:r w:rsidRPr="00EB2612">
        <w:rPr>
          <w:color w:val="auto"/>
          <w:sz w:val="22"/>
          <w:szCs w:val="22"/>
        </w:rPr>
        <w:t xml:space="preserve">Tabulka </w:t>
      </w:r>
      <w:r w:rsidR="00050886" w:rsidRPr="00EB2612">
        <w:rPr>
          <w:color w:val="auto"/>
          <w:sz w:val="22"/>
          <w:szCs w:val="22"/>
        </w:rPr>
        <w:t>6</w:t>
      </w:r>
      <w:r w:rsidRPr="00EB2612">
        <w:rPr>
          <w:color w:val="auto"/>
        </w:rPr>
        <w:t xml:space="preserve"> </w:t>
      </w:r>
      <w:r w:rsidRPr="00EB2612">
        <w:rPr>
          <w:b w:val="0"/>
          <w:color w:val="auto"/>
          <w:sz w:val="22"/>
          <w:szCs w:val="22"/>
        </w:rPr>
        <w:t>Vymezení oblasti hudby podle klasifikace NACE</w:t>
      </w:r>
      <w:bookmarkEnd w:id="18"/>
      <w:r w:rsidRPr="00EB2612">
        <w:rPr>
          <w:color w:val="auto"/>
        </w:rPr>
        <w:t xml:space="preserve"> </w:t>
      </w:r>
    </w:p>
    <w:tbl>
      <w:tblPr>
        <w:tblW w:w="6748" w:type="dxa"/>
        <w:jc w:val="right"/>
        <w:tblCellMar>
          <w:left w:w="70" w:type="dxa"/>
          <w:right w:w="70" w:type="dxa"/>
        </w:tblCellMar>
        <w:tblLook w:val="04A0"/>
      </w:tblPr>
      <w:tblGrid>
        <w:gridCol w:w="1380"/>
        <w:gridCol w:w="5368"/>
      </w:tblGrid>
      <w:tr w:rsidR="00BB64DB" w:rsidRPr="00EB2612" w:rsidTr="00005C1A">
        <w:trPr>
          <w:trHeight w:val="255"/>
          <w:jc w:val="right"/>
        </w:trPr>
        <w:tc>
          <w:tcPr>
            <w:tcW w:w="1380"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4D3A66">
            <w:pPr>
              <w:pStyle w:val="Box"/>
              <w:ind w:hanging="1133"/>
              <w:rPr>
                <w:rFonts w:asciiTheme="minorHAnsi" w:hAnsiTheme="minorHAnsi"/>
                <w:sz w:val="20"/>
                <w:szCs w:val="20"/>
              </w:rPr>
            </w:pPr>
            <w:r w:rsidRPr="00EB2612">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4D3A66">
            <w:pPr>
              <w:pStyle w:val="Box"/>
              <w:ind w:left="0" w:hanging="15"/>
              <w:rPr>
                <w:rFonts w:asciiTheme="minorHAnsi" w:hAnsiTheme="minorHAnsi"/>
                <w:sz w:val="20"/>
                <w:szCs w:val="20"/>
              </w:rPr>
            </w:pPr>
            <w:r w:rsidRPr="00EB2612">
              <w:rPr>
                <w:rFonts w:asciiTheme="minorHAnsi" w:hAnsiTheme="minorHAnsi"/>
                <w:sz w:val="20"/>
                <w:szCs w:val="20"/>
              </w:rPr>
              <w:t>EKONOMICKÁ ČINNOST</w:t>
            </w:r>
          </w:p>
        </w:tc>
      </w:tr>
      <w:tr w:rsidR="00BB64DB" w:rsidRPr="00EB2612" w:rsidTr="00005C1A">
        <w:trPr>
          <w:trHeight w:val="255"/>
          <w:jc w:val="right"/>
        </w:trPr>
        <w:tc>
          <w:tcPr>
            <w:tcW w:w="1380" w:type="dxa"/>
            <w:tcBorders>
              <w:top w:val="single" w:sz="12" w:space="0" w:color="auto"/>
              <w:left w:val="nil"/>
              <w:bottom w:val="nil"/>
              <w:right w:val="nil"/>
            </w:tcBorders>
            <w:shd w:val="clear" w:color="auto" w:fill="auto"/>
            <w:hideMark/>
          </w:tcPr>
          <w:p w:rsidR="00BB64DB" w:rsidRPr="00EB2612" w:rsidRDefault="00BB64DB" w:rsidP="00005C1A">
            <w:pPr>
              <w:spacing w:after="0"/>
              <w:rPr>
                <w:rFonts w:asciiTheme="minorHAnsi" w:hAnsiTheme="minorHAnsi"/>
                <w:szCs w:val="20"/>
              </w:rPr>
            </w:pPr>
            <w:r w:rsidRPr="00EB2612">
              <w:rPr>
                <w:rFonts w:asciiTheme="minorHAnsi" w:hAnsiTheme="minorHAnsi"/>
                <w:szCs w:val="20"/>
              </w:rPr>
              <w:t>59.20</w:t>
            </w:r>
          </w:p>
        </w:tc>
        <w:tc>
          <w:tcPr>
            <w:tcW w:w="5368" w:type="dxa"/>
            <w:tcBorders>
              <w:top w:val="single" w:sz="12" w:space="0" w:color="auto"/>
              <w:left w:val="nil"/>
              <w:bottom w:val="nil"/>
              <w:right w:val="nil"/>
            </w:tcBorders>
            <w:shd w:val="clear" w:color="auto" w:fill="auto"/>
            <w:hideMark/>
          </w:tcPr>
          <w:p w:rsidR="00BB64DB" w:rsidRPr="00EB2612" w:rsidRDefault="00BB64DB" w:rsidP="00005C1A">
            <w:pPr>
              <w:spacing w:after="0"/>
              <w:rPr>
                <w:rFonts w:asciiTheme="minorHAnsi" w:hAnsiTheme="minorHAnsi"/>
                <w:szCs w:val="20"/>
              </w:rPr>
            </w:pPr>
            <w:r w:rsidRPr="00EB2612">
              <w:rPr>
                <w:rFonts w:asciiTheme="minorHAnsi" w:hAnsiTheme="minorHAnsi"/>
                <w:szCs w:val="20"/>
              </w:rPr>
              <w:t>Pořizování zvukových nahrávek</w:t>
            </w:r>
            <w:r w:rsidRPr="00EB2612">
              <w:rPr>
                <w:rFonts w:asciiTheme="minorHAnsi" w:hAnsiTheme="minorHAnsi"/>
                <w:b/>
                <w:bCs/>
                <w:szCs w:val="20"/>
              </w:rPr>
              <w:t xml:space="preserve"> </w:t>
            </w:r>
            <w:r w:rsidRPr="00EB2612">
              <w:rPr>
                <w:rFonts w:asciiTheme="minorHAnsi" w:hAnsiTheme="minorHAnsi"/>
                <w:szCs w:val="20"/>
              </w:rPr>
              <w:t>a hudební vydavatelské činnosti</w:t>
            </w:r>
          </w:p>
        </w:tc>
      </w:tr>
      <w:tr w:rsidR="00BB64DB" w:rsidRPr="00EB2612" w:rsidTr="00583523">
        <w:trPr>
          <w:trHeight w:val="255"/>
          <w:jc w:val="right"/>
        </w:trPr>
        <w:tc>
          <w:tcPr>
            <w:tcW w:w="1380" w:type="dxa"/>
            <w:tcBorders>
              <w:top w:val="nil"/>
              <w:left w:val="nil"/>
              <w:bottom w:val="single" w:sz="12" w:space="0" w:color="auto"/>
              <w:right w:val="nil"/>
            </w:tcBorders>
            <w:shd w:val="clear" w:color="auto" w:fill="auto"/>
            <w:hideMark/>
          </w:tcPr>
          <w:p w:rsidR="00BB64DB" w:rsidRPr="00EB2612" w:rsidRDefault="00BB64DB" w:rsidP="00005C1A">
            <w:pPr>
              <w:spacing w:after="0"/>
              <w:rPr>
                <w:rFonts w:asciiTheme="minorHAnsi" w:hAnsiTheme="minorHAnsi"/>
                <w:szCs w:val="20"/>
              </w:rPr>
            </w:pPr>
            <w:r w:rsidRPr="00EB2612">
              <w:rPr>
                <w:rFonts w:asciiTheme="minorHAnsi" w:hAnsiTheme="minorHAnsi"/>
                <w:szCs w:val="20"/>
              </w:rPr>
              <w:t>47.63</w:t>
            </w:r>
          </w:p>
        </w:tc>
        <w:tc>
          <w:tcPr>
            <w:tcW w:w="5368" w:type="dxa"/>
            <w:tcBorders>
              <w:top w:val="nil"/>
              <w:left w:val="nil"/>
              <w:bottom w:val="single" w:sz="12" w:space="0" w:color="auto"/>
              <w:right w:val="nil"/>
            </w:tcBorders>
            <w:shd w:val="clear" w:color="auto" w:fill="auto"/>
            <w:hideMark/>
          </w:tcPr>
          <w:p w:rsidR="00BB64DB" w:rsidRPr="00EB2612" w:rsidRDefault="00BB64DB" w:rsidP="00005C1A">
            <w:pPr>
              <w:spacing w:after="0"/>
              <w:rPr>
                <w:rFonts w:asciiTheme="minorHAnsi" w:hAnsiTheme="minorHAnsi"/>
                <w:szCs w:val="20"/>
              </w:rPr>
            </w:pPr>
            <w:r w:rsidRPr="00EB2612">
              <w:rPr>
                <w:rFonts w:asciiTheme="minorHAnsi" w:hAnsiTheme="minorHAnsi"/>
                <w:szCs w:val="20"/>
              </w:rPr>
              <w:t>Maloobchod s audio- a videozáznamy (50%)</w:t>
            </w:r>
          </w:p>
        </w:tc>
      </w:tr>
    </w:tbl>
    <w:p w:rsidR="00731CAB" w:rsidRPr="00EB2612" w:rsidRDefault="00BB64DB" w:rsidP="00BB64DB">
      <w:r w:rsidRPr="00EB2612">
        <w:rPr>
          <w:b/>
          <w:color w:val="C00000"/>
        </w:rPr>
        <w:br/>
      </w:r>
      <w:r w:rsidRPr="00EB2612">
        <w:t>Struktura oblasti hudby je vzhledem k jejímu užšímu vymezení ve srovnání s filmovou oblastí výrazně jednodušší. Trh s hudebními nahrávkami, na který je omezena hudební oblast v definici použité pro tuto analýzu, můžeme rozdělit na primá</w:t>
      </w:r>
      <w:r w:rsidR="00430E4E" w:rsidRPr="00EB2612">
        <w:t>rní a sekundární. Primární trh zahrnuje pořizování</w:t>
      </w:r>
      <w:r w:rsidRPr="00EB2612">
        <w:t xml:space="preserve"> nahrávek a jejich distribuci k cílovým konzumentům prostřednictvím fyzických nosičů a v současnosti stále častěji pomocí digitálních online služeb umožňujících stažení hudebních souborů a poslech hudby online. Na sekundárním trhu se pak nahrávky dostávají k cílovým spotřebitelům prostřednictvím dalších služeb jako je vysílání rádia či poslech ve společenských zařízeních (restaurace, sportovní stadion apod.). Prostředky, které platí provozovatelé zařízení kolektivním správcům, pak tito správci přerozdělují vlastníků</w:t>
      </w:r>
      <w:r w:rsidR="006A5E80" w:rsidRPr="00EB2612">
        <w:t>m autorských práv</w:t>
      </w:r>
      <w:r w:rsidR="00731CAB" w:rsidRPr="00EB2612">
        <w:t xml:space="preserve"> (Towse, 2010)</w:t>
      </w:r>
      <w:r w:rsidR="006A5E80" w:rsidRPr="00EB2612">
        <w:t>.</w:t>
      </w:r>
    </w:p>
    <w:p w:rsidR="00BB64DB" w:rsidRPr="00EB2612" w:rsidRDefault="00731CAB" w:rsidP="00BB64DB">
      <w:r w:rsidRPr="00EB2612">
        <w:tab/>
      </w:r>
      <w:r w:rsidR="00BB64DB" w:rsidRPr="00EB2612">
        <w:t xml:space="preserve">Tržby plynoucí z prodeje hudebních nahrávek jsou celosvětově rozděleny mezi několik velkých nahrávacích a vydavatelských společností. Menší nezávislé společnosti se pak zaměřují na okrajový trh, který však může být </w:t>
      </w:r>
      <w:r w:rsidRPr="00EB2612">
        <w:t xml:space="preserve">finančně </w:t>
      </w:r>
      <w:r w:rsidR="00BB64DB" w:rsidRPr="00EB2612">
        <w:t xml:space="preserve">zajímavý </w:t>
      </w:r>
      <w:r w:rsidRPr="00EB2612">
        <w:t>kvůli jiným návykům a větší loajalitě</w:t>
      </w:r>
      <w:r w:rsidR="00BB64DB" w:rsidRPr="00EB2612">
        <w:t xml:space="preserve"> hudebních posluchačů pohybujících se na tomto trhu. Stejná situace panuje také na českém trhu, který ovládá několik velkých společností a menší vydavatelství dosahují </w:t>
      </w:r>
      <w:r w:rsidR="00DB4861">
        <w:t xml:space="preserve">podle údajů z roku 2017 </w:t>
      </w:r>
      <w:r w:rsidR="00BB64DB" w:rsidRPr="00EB2612">
        <w:t>pou</w:t>
      </w:r>
      <w:r w:rsidR="00FA7D92" w:rsidRPr="00EB2612">
        <w:t>ze na 27</w:t>
      </w:r>
      <w:r w:rsidR="00BB64DB" w:rsidRPr="00EB2612">
        <w:t xml:space="preserve"> % z celkových tržeb (</w:t>
      </w:r>
      <w:r w:rsidR="00C8582D" w:rsidRPr="00EB2612">
        <w:t>ČNS</w:t>
      </w:r>
      <w:r w:rsidR="00F76EFC" w:rsidRPr="00EB2612">
        <w:t xml:space="preserve"> IFPI, 2020</w:t>
      </w:r>
      <w:r w:rsidR="00BB64DB" w:rsidRPr="00EB2612">
        <w:t>).</w:t>
      </w:r>
    </w:p>
    <w:p w:rsidR="00BB64DB" w:rsidRPr="00EB2612" w:rsidRDefault="00B414F8" w:rsidP="00694914">
      <w:pPr>
        <w:pStyle w:val="Nadpis3"/>
        <w:numPr>
          <w:ilvl w:val="2"/>
          <w:numId w:val="17"/>
        </w:numPr>
      </w:pPr>
      <w:bookmarkStart w:id="19" w:name="_Toc430189805"/>
      <w:bookmarkStart w:id="20" w:name="_Toc431475033"/>
      <w:bookmarkStart w:id="21" w:name="_Toc463969188"/>
      <w:bookmarkStart w:id="22" w:name="_Toc465253898"/>
      <w:r w:rsidRPr="00EB2612">
        <w:t>PŘÍJMY</w:t>
      </w:r>
      <w:r w:rsidR="00BB64DB" w:rsidRPr="00EB2612">
        <w:t xml:space="preserve"> A ZAMĚSTNANOST</w:t>
      </w:r>
      <w:bookmarkEnd w:id="19"/>
      <w:bookmarkEnd w:id="20"/>
      <w:bookmarkEnd w:id="21"/>
      <w:bookmarkEnd w:id="22"/>
    </w:p>
    <w:p w:rsidR="00CC1BCB" w:rsidRPr="00EB2612" w:rsidRDefault="00C8582D" w:rsidP="00BB64DB">
      <w:pPr>
        <w:rPr>
          <w:color w:val="000000" w:themeColor="text1"/>
        </w:rPr>
      </w:pPr>
      <w:r w:rsidRPr="00EB2612">
        <w:rPr>
          <w:color w:val="000000" w:themeColor="text1"/>
        </w:rPr>
        <w:t>Pro</w:t>
      </w:r>
      <w:r w:rsidR="00BB64DB" w:rsidRPr="00EB2612">
        <w:rPr>
          <w:color w:val="000000" w:themeColor="text1"/>
        </w:rPr>
        <w:t xml:space="preserve"> </w:t>
      </w:r>
      <w:r w:rsidRPr="00EB2612">
        <w:rPr>
          <w:color w:val="000000" w:themeColor="text1"/>
        </w:rPr>
        <w:t>analýzu</w:t>
      </w:r>
      <w:r w:rsidR="00BB64DB" w:rsidRPr="00EB2612">
        <w:rPr>
          <w:color w:val="000000" w:themeColor="text1"/>
        </w:rPr>
        <w:t xml:space="preserve"> celkových </w:t>
      </w:r>
      <w:r w:rsidRPr="00EB2612">
        <w:rPr>
          <w:color w:val="000000" w:themeColor="text1"/>
        </w:rPr>
        <w:t>příjmů</w:t>
      </w:r>
      <w:r w:rsidR="00BB64DB" w:rsidRPr="00EB2612">
        <w:rPr>
          <w:color w:val="000000" w:themeColor="text1"/>
        </w:rPr>
        <w:t xml:space="preserve"> </w:t>
      </w:r>
      <w:r w:rsidRPr="00EB2612">
        <w:rPr>
          <w:color w:val="000000" w:themeColor="text1"/>
        </w:rPr>
        <w:t>v oblasti vydávání a prodeje zvukových nahrávek byla použita pouze data shromažďovaná Českou národní skupinou Mezinárodní federace hudebního průmyslu (ČNS IFPI) vzhledem k tomu, že poskytují úplnější přehled o prodeji nahrávek, který je navíc možné rozdělit na fyzické a digitální prodeje.</w:t>
      </w:r>
      <w:r w:rsidR="00CC1BCB" w:rsidRPr="00EB2612">
        <w:rPr>
          <w:color w:val="000000" w:themeColor="text1"/>
        </w:rPr>
        <w:t xml:space="preserve"> Na druhou stranu, údaje o prodeji nahrávek nezahrnují veškeré příjmy subjektů v oblasti hud</w:t>
      </w:r>
      <w:r w:rsidR="00701EC5" w:rsidRPr="00EB2612">
        <w:rPr>
          <w:color w:val="000000" w:themeColor="text1"/>
        </w:rPr>
        <w:t>b</w:t>
      </w:r>
      <w:r w:rsidR="00F76EFC" w:rsidRPr="00EB2612">
        <w:rPr>
          <w:color w:val="000000" w:themeColor="text1"/>
        </w:rPr>
        <w:t>y, které dosahovaly v roce 2018</w:t>
      </w:r>
      <w:r w:rsidR="00CC1BCB" w:rsidRPr="00EB2612">
        <w:rPr>
          <w:color w:val="000000" w:themeColor="text1"/>
        </w:rPr>
        <w:t xml:space="preserve"> podle Strukturální podn</w:t>
      </w:r>
      <w:r w:rsidR="00CC31D3" w:rsidRPr="00EB2612">
        <w:rPr>
          <w:color w:val="000000" w:themeColor="text1"/>
        </w:rPr>
        <w:t>ikové statistiky výše zhruba 2</w:t>
      </w:r>
      <w:r w:rsidR="0033411B" w:rsidRPr="00EB2612">
        <w:rPr>
          <w:color w:val="000000" w:themeColor="text1"/>
        </w:rPr>
        <w:t>,1</w:t>
      </w:r>
      <w:r w:rsidR="00CC31D3" w:rsidRPr="00EB2612">
        <w:rPr>
          <w:color w:val="000000" w:themeColor="text1"/>
        </w:rPr>
        <w:t xml:space="preserve"> mld. Kč.</w:t>
      </w:r>
    </w:p>
    <w:p w:rsidR="00BB64DB" w:rsidRPr="00EB2612" w:rsidRDefault="00CC1BCB" w:rsidP="00BB64DB">
      <w:r w:rsidRPr="00EB2612">
        <w:rPr>
          <w:color w:val="000000" w:themeColor="text1"/>
        </w:rPr>
        <w:tab/>
      </w:r>
      <w:r w:rsidRPr="00EB2612">
        <w:t>A</w:t>
      </w:r>
      <w:r w:rsidR="00BB64DB" w:rsidRPr="00EB2612">
        <w:t>sociace</w:t>
      </w:r>
      <w:r w:rsidRPr="00EB2612">
        <w:t xml:space="preserve"> IFPI</w:t>
      </w:r>
      <w:r w:rsidR="00BB64DB" w:rsidRPr="00EB2612">
        <w:t xml:space="preserve"> sdružuje velké společnosti</w:t>
      </w:r>
      <w:r w:rsidR="00731CAB" w:rsidRPr="00EB2612">
        <w:t xml:space="preserve">, jež se </w:t>
      </w:r>
      <w:r w:rsidR="00CC31D3" w:rsidRPr="00EB2612">
        <w:t xml:space="preserve">podílí na stěžejní části tržeb z hudebních nahrávek, spolupracuje však i s menšími vydavatelstvími, která dodávají </w:t>
      </w:r>
      <w:r w:rsidR="00A052DD" w:rsidRPr="00EB2612">
        <w:t>ekonomická data.</w:t>
      </w:r>
      <w:r w:rsidR="00BB64DB" w:rsidRPr="00EB2612">
        <w:t xml:space="preserve"> </w:t>
      </w:r>
      <w:r w:rsidR="000B3E9E" w:rsidRPr="00EB2612">
        <w:t xml:space="preserve">Časová řada v Grafu </w:t>
      </w:r>
      <w:r w:rsidR="00FF526E">
        <w:t>38</w:t>
      </w:r>
      <w:r w:rsidR="00C8582D" w:rsidRPr="00EB2612">
        <w:t xml:space="preserve"> zachycuje</w:t>
      </w:r>
      <w:r w:rsidR="00BB64DB" w:rsidRPr="00EB2612">
        <w:t xml:space="preserve"> </w:t>
      </w:r>
      <w:r w:rsidR="00C8582D" w:rsidRPr="00EB2612">
        <w:t xml:space="preserve">prudký pokles příjmů z prodeje hudebních nahrávek mezi lety 2008 a 2010 a následný </w:t>
      </w:r>
      <w:r w:rsidR="00BB64DB" w:rsidRPr="00EB2612">
        <w:t xml:space="preserve">zpomalující se </w:t>
      </w:r>
      <w:r w:rsidR="00C8582D" w:rsidRPr="00EB2612">
        <w:t>propad od roku 2010. Zpomalení poklesu tržeb bylo zřejmě způsobené</w:t>
      </w:r>
      <w:r w:rsidR="00BB64DB" w:rsidRPr="00EB2612">
        <w:t xml:space="preserve"> rozšířením nabídky online služeb, zejména zavedením služby </w:t>
      </w:r>
      <w:r w:rsidR="003150BE" w:rsidRPr="00EB2612">
        <w:rPr>
          <w:i/>
        </w:rPr>
        <w:t>iT</w:t>
      </w:r>
      <w:r w:rsidR="00BB64DB" w:rsidRPr="00EB2612">
        <w:rPr>
          <w:i/>
        </w:rPr>
        <w:t>unes</w:t>
      </w:r>
      <w:r w:rsidR="00BB64DB" w:rsidRPr="00EB2612">
        <w:t xml:space="preserve"> na český trh. </w:t>
      </w:r>
      <w:r w:rsidR="00C8582D" w:rsidRPr="00EB2612">
        <w:t xml:space="preserve">V </w:t>
      </w:r>
      <w:r w:rsidR="00BB64DB" w:rsidRPr="00EB2612">
        <w:t xml:space="preserve">roce 2014 </w:t>
      </w:r>
      <w:r w:rsidR="00C8582D" w:rsidRPr="00EB2612">
        <w:t xml:space="preserve">pak došlo </w:t>
      </w:r>
      <w:r w:rsidR="00BB64DB" w:rsidRPr="00EB2612">
        <w:t>po dlouhém období stagnac</w:t>
      </w:r>
      <w:r w:rsidR="00C8582D" w:rsidRPr="00EB2612">
        <w:t>e poprvé k růstu tržeb, který byl ovlivněn</w:t>
      </w:r>
      <w:r w:rsidR="00BB64DB" w:rsidRPr="00EB2612">
        <w:t xml:space="preserve"> </w:t>
      </w:r>
      <w:r w:rsidR="00C8582D" w:rsidRPr="00EB2612">
        <w:t>nárůstem příjmů ze</w:t>
      </w:r>
      <w:r w:rsidR="00BB64DB" w:rsidRPr="00EB2612">
        <w:t xml:space="preserve"> zpo</w:t>
      </w:r>
      <w:r w:rsidR="00C8582D" w:rsidRPr="00EB2612">
        <w:t>platněných digitálních služeb</w:t>
      </w:r>
      <w:r w:rsidR="00645CFB" w:rsidRPr="00EB2612">
        <w:t xml:space="preserve">. </w:t>
      </w:r>
      <w:r w:rsidR="00CA5B30" w:rsidRPr="00EB2612">
        <w:t>Tento růst pokračoval i</w:t>
      </w:r>
      <w:r w:rsidR="00645CFB" w:rsidRPr="00EB2612">
        <w:t> </w:t>
      </w:r>
      <w:r w:rsidR="00CA5B30" w:rsidRPr="00EB2612">
        <w:t>v</w:t>
      </w:r>
      <w:r w:rsidR="001B0E1D">
        <w:t> následujícím</w:t>
      </w:r>
      <w:r w:rsidR="00A052DD" w:rsidRPr="00EB2612">
        <w:t xml:space="preserve"> </w:t>
      </w:r>
      <w:r w:rsidR="001B0E1D">
        <w:t>období</w:t>
      </w:r>
      <w:r w:rsidR="00A052DD" w:rsidRPr="00EB2612">
        <w:t xml:space="preserve"> </w:t>
      </w:r>
      <w:r w:rsidR="00CA5B30" w:rsidRPr="00EB2612">
        <w:t>2015</w:t>
      </w:r>
      <w:r w:rsidR="001B0E1D">
        <w:t xml:space="preserve"> až</w:t>
      </w:r>
      <w:r w:rsidR="00667C2E" w:rsidRPr="00EB2612">
        <w:t xml:space="preserve"> 2019</w:t>
      </w:r>
      <w:r w:rsidR="00A052DD" w:rsidRPr="00EB2612">
        <w:t xml:space="preserve"> (tyto</w:t>
      </w:r>
      <w:r w:rsidR="00A543D4" w:rsidRPr="00EB2612">
        <w:t xml:space="preserve"> údaje jsou navíc mírně navýšeny</w:t>
      </w:r>
      <w:r w:rsidR="00A052DD" w:rsidRPr="00EB2612">
        <w:t xml:space="preserve"> o data z menších vydavatelství, která dříve nebyla sledována)</w:t>
      </w:r>
      <w:r w:rsidR="00CA5B30" w:rsidRPr="00EB2612">
        <w:t>.</w:t>
      </w:r>
    </w:p>
    <w:p w:rsidR="00BB64DB" w:rsidRPr="00EB2612" w:rsidRDefault="00BB64DB" w:rsidP="00BB64DB">
      <w:pPr>
        <w:pStyle w:val="Titulek"/>
        <w:keepNext/>
        <w:rPr>
          <w:color w:val="auto"/>
        </w:rPr>
      </w:pPr>
      <w:r w:rsidRPr="00EB2612">
        <w:rPr>
          <w:color w:val="auto"/>
          <w:sz w:val="22"/>
          <w:szCs w:val="22"/>
        </w:rPr>
        <w:lastRenderedPageBreak/>
        <w:t xml:space="preserve">Graf </w:t>
      </w:r>
      <w:r w:rsidR="001A4BAA" w:rsidRPr="00EB2612">
        <w:rPr>
          <w:color w:val="auto"/>
          <w:sz w:val="22"/>
          <w:szCs w:val="22"/>
        </w:rPr>
        <w:t>3</w:t>
      </w:r>
      <w:r w:rsidR="00424B58">
        <w:rPr>
          <w:color w:val="auto"/>
          <w:sz w:val="22"/>
          <w:szCs w:val="22"/>
        </w:rPr>
        <w:t>8</w:t>
      </w:r>
      <w:r w:rsidRPr="00EB2612">
        <w:rPr>
          <w:color w:val="auto"/>
        </w:rPr>
        <w:t xml:space="preserve"> </w:t>
      </w:r>
      <w:r w:rsidR="001D4ECA" w:rsidRPr="00EB2612">
        <w:rPr>
          <w:b w:val="0"/>
          <w:color w:val="auto"/>
          <w:sz w:val="22"/>
          <w:szCs w:val="22"/>
        </w:rPr>
        <w:t>Příjmy</w:t>
      </w:r>
      <w:r w:rsidRPr="00EB2612">
        <w:rPr>
          <w:b w:val="0"/>
          <w:color w:val="auto"/>
          <w:sz w:val="22"/>
          <w:szCs w:val="22"/>
        </w:rPr>
        <w:t xml:space="preserve"> </w:t>
      </w:r>
      <w:r w:rsidR="00697C18" w:rsidRPr="00EB2612">
        <w:rPr>
          <w:b w:val="0"/>
          <w:color w:val="auto"/>
          <w:sz w:val="22"/>
          <w:szCs w:val="22"/>
        </w:rPr>
        <w:t>z prodeje hudebních nahrávek</w:t>
      </w:r>
      <w:r w:rsidR="00126EBA" w:rsidRPr="00EB2612">
        <w:rPr>
          <w:b w:val="0"/>
          <w:color w:val="auto"/>
          <w:sz w:val="22"/>
          <w:szCs w:val="22"/>
        </w:rPr>
        <w:t xml:space="preserve"> </w:t>
      </w:r>
      <w:r w:rsidRPr="00EB2612">
        <w:rPr>
          <w:b w:val="0"/>
          <w:color w:val="auto"/>
          <w:sz w:val="22"/>
          <w:szCs w:val="22"/>
        </w:rPr>
        <w:t>(v mil. Kč)</w:t>
      </w:r>
    </w:p>
    <w:p w:rsidR="00BB64DB" w:rsidRPr="00EB2612" w:rsidRDefault="00667C2E" w:rsidP="00BB64DB">
      <w:pPr>
        <w:keepNext/>
        <w:jc w:val="center"/>
      </w:pPr>
      <w:r w:rsidRPr="00EB2612">
        <w:rPr>
          <w:noProof/>
        </w:rPr>
        <w:drawing>
          <wp:inline distT="0" distB="0" distL="0" distR="0">
            <wp:extent cx="6210300" cy="1447800"/>
            <wp:effectExtent l="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5C19FC" w:rsidRPr="00EB2612">
        <w:rPr>
          <w:b w:val="0"/>
          <w:color w:val="auto"/>
          <w:sz w:val="22"/>
          <w:szCs w:val="22"/>
        </w:rPr>
        <w:t>ČNS IFPI</w:t>
      </w:r>
    </w:p>
    <w:p w:rsidR="00BB64DB" w:rsidRPr="00EB2612" w:rsidRDefault="00BB64DB" w:rsidP="00BB64DB">
      <w:r w:rsidRPr="00EB2612">
        <w:t xml:space="preserve">Vývoj příjmů z digitálních </w:t>
      </w:r>
      <w:r w:rsidR="00542B56">
        <w:t xml:space="preserve">služeb </w:t>
      </w:r>
      <w:r w:rsidRPr="00EB2612">
        <w:t>a fyzických nosičů</w:t>
      </w:r>
      <w:r w:rsidR="00610F13" w:rsidRPr="00EB2612">
        <w:t xml:space="preserve"> mezi zlomový</w:t>
      </w:r>
      <w:r w:rsidR="00842647" w:rsidRPr="00EB2612">
        <w:t>mi lety 2010 a 2019</w:t>
      </w:r>
      <w:r w:rsidRPr="00EB2612">
        <w:t xml:space="preserve"> zachycuje Graf </w:t>
      </w:r>
      <w:r w:rsidR="00424B58">
        <w:t>39</w:t>
      </w:r>
      <w:r w:rsidRPr="00EB2612">
        <w:t>. Jak</w:t>
      </w:r>
      <w:r w:rsidR="00220644" w:rsidRPr="00EB2612">
        <w:t> </w:t>
      </w:r>
      <w:r w:rsidRPr="00EB2612">
        <w:t>je</w:t>
      </w:r>
      <w:r w:rsidR="00220644" w:rsidRPr="00EB2612">
        <w:t> </w:t>
      </w:r>
      <w:r w:rsidRPr="00EB2612">
        <w:t>patrné z grafu,</w:t>
      </w:r>
      <w:r w:rsidR="009F1BE9" w:rsidRPr="00EB2612">
        <w:t xml:space="preserve"> podíl digitálních formátů</w:t>
      </w:r>
      <w:r w:rsidR="00610F13" w:rsidRPr="00EB2612">
        <w:t xml:space="preserve"> na celkových příjmech</w:t>
      </w:r>
      <w:r w:rsidR="009F1BE9" w:rsidRPr="00EB2612">
        <w:t xml:space="preserve"> </w:t>
      </w:r>
      <w:r w:rsidR="00842647" w:rsidRPr="00EB2612">
        <w:t>v roce 2019</w:t>
      </w:r>
      <w:r w:rsidR="00610F13" w:rsidRPr="00EB2612">
        <w:t xml:space="preserve"> </w:t>
      </w:r>
      <w:r w:rsidR="00842647" w:rsidRPr="00EB2612">
        <w:t>již podruhé</w:t>
      </w:r>
      <w:r w:rsidR="00610F13" w:rsidRPr="00EB2612">
        <w:t xml:space="preserve"> převýšil podíl fyzických nosičů.</w:t>
      </w:r>
      <w:r w:rsidR="00A052DD" w:rsidRPr="00EB2612">
        <w:t xml:space="preserve"> Český trh tak </w:t>
      </w:r>
      <w:r w:rsidR="009F1BE9" w:rsidRPr="00EB2612">
        <w:t>pomalu dohání trendy</w:t>
      </w:r>
      <w:r w:rsidR="00A052DD" w:rsidRPr="00EB2612">
        <w:t xml:space="preserve"> globálního trhu, kde </w:t>
      </w:r>
      <w:r w:rsidR="009B7A06" w:rsidRPr="00EB2612">
        <w:t xml:space="preserve">digitální služby již několik let jednoznačně dominují. </w:t>
      </w:r>
      <w:r w:rsidRPr="00EB2612">
        <w:t xml:space="preserve">Zajímavým </w:t>
      </w:r>
      <w:r w:rsidR="009F1BE9" w:rsidRPr="00EB2612">
        <w:t>úkazem</w:t>
      </w:r>
      <w:r w:rsidRPr="00EB2612">
        <w:t xml:space="preserve"> posledních několika let je zvýšení zájmu o vinylové nos</w:t>
      </w:r>
      <w:r w:rsidR="00CA5B30" w:rsidRPr="00EB2612">
        <w:t>i</w:t>
      </w:r>
      <w:r w:rsidR="00842647" w:rsidRPr="00EB2612">
        <w:t>če, které v roce 2019 tvořily 30</w:t>
      </w:r>
      <w:r w:rsidR="00542B56">
        <w:t> </w:t>
      </w:r>
      <w:r w:rsidRPr="00EB2612">
        <w:t>% prodeje fyzických formátů na českém trhu</w:t>
      </w:r>
      <w:r w:rsidR="009F1BE9" w:rsidRPr="00EB2612">
        <w:t xml:space="preserve"> a jejich prodeje již </w:t>
      </w:r>
      <w:r w:rsidR="00610F13" w:rsidRPr="00EB2612">
        <w:t>pátým</w:t>
      </w:r>
      <w:r w:rsidR="009F1BE9" w:rsidRPr="00EB2612">
        <w:t xml:space="preserve"> rokem po sobě stoupají</w:t>
      </w:r>
      <w:r w:rsidRPr="00EB2612">
        <w:t>.</w:t>
      </w:r>
      <w:r w:rsidR="008D10CC" w:rsidRPr="00EB2612">
        <w:t xml:space="preserve"> Příjmy z prodeje CD sice v roce 2019 oproti předchozímu roku mírně stouply, dlouhodobě však mají spíše sestupnou tendenci</w:t>
      </w:r>
      <w:r w:rsidR="009F1BE9" w:rsidRPr="00EB2612">
        <w:t xml:space="preserve">. </w:t>
      </w:r>
      <w:r w:rsidR="00B41036" w:rsidRPr="00EB2612">
        <w:t>Je třeba zmínit</w:t>
      </w:r>
      <w:r w:rsidR="009F1BE9" w:rsidRPr="00EB2612">
        <w:t>, že tyto údaje zahrnují pouze data od členských společností IFPI a</w:t>
      </w:r>
      <w:r w:rsidR="00362010">
        <w:t> </w:t>
      </w:r>
      <w:r w:rsidR="009F1BE9" w:rsidRPr="00EB2612">
        <w:t>několik</w:t>
      </w:r>
      <w:r w:rsidR="008D10CC" w:rsidRPr="00EB2612">
        <w:t>a</w:t>
      </w:r>
      <w:r w:rsidR="009F1BE9" w:rsidRPr="00EB2612">
        <w:t xml:space="preserve"> vybraných organizac</w:t>
      </w:r>
      <w:r w:rsidR="00610F13" w:rsidRPr="00EB2612">
        <w:t>í, se kterými IFPI spolupracuje</w:t>
      </w:r>
      <w:r w:rsidR="00E40913" w:rsidRPr="00EB2612">
        <w:t>.</w:t>
      </w:r>
      <w:r w:rsidR="00CA7634" w:rsidRPr="00EB2612">
        <w:t xml:space="preserve"> Údaje také nezahrnují příjmy z provozovacích práv ke zvukovým nahrávkám. Celkové příjmy hudebního průmyslu</w:t>
      </w:r>
      <w:r w:rsidR="008D10CC" w:rsidRPr="00EB2612">
        <w:t xml:space="preserve"> zahrnující všechny subjekty by</w:t>
      </w:r>
      <w:r w:rsidR="00CA7634" w:rsidRPr="00EB2612">
        <w:t xml:space="preserve"> dosáhly podle odhadu v</w:t>
      </w:r>
      <w:r w:rsidR="008D10CC" w:rsidRPr="00EB2612">
        <w:t xml:space="preserve"> tiskové zprávě IFPI v roce 2019</w:t>
      </w:r>
      <w:r w:rsidR="00CA7634" w:rsidRPr="00EB2612">
        <w:t xml:space="preserve"> přibližně </w:t>
      </w:r>
      <w:r w:rsidR="00DB4861">
        <w:t>1,1 mld</w:t>
      </w:r>
      <w:r w:rsidR="00CA7634" w:rsidRPr="00EB2612">
        <w:t>. Kč.</w:t>
      </w:r>
    </w:p>
    <w:p w:rsidR="00BB64DB" w:rsidRPr="00EB2612" w:rsidRDefault="00BB64DB" w:rsidP="00BB64DB">
      <w:pPr>
        <w:pStyle w:val="Titulek"/>
        <w:keepNext/>
        <w:rPr>
          <w:color w:val="auto"/>
          <w:sz w:val="22"/>
          <w:szCs w:val="22"/>
        </w:rPr>
      </w:pPr>
      <w:r w:rsidRPr="00EB2612">
        <w:rPr>
          <w:color w:val="auto"/>
          <w:sz w:val="22"/>
          <w:szCs w:val="22"/>
        </w:rPr>
        <w:t xml:space="preserve">Graf </w:t>
      </w:r>
      <w:r w:rsidR="00424B58">
        <w:rPr>
          <w:color w:val="auto"/>
          <w:sz w:val="22"/>
          <w:szCs w:val="22"/>
        </w:rPr>
        <w:t>39</w:t>
      </w:r>
      <w:r w:rsidRPr="00EB2612">
        <w:rPr>
          <w:color w:val="auto"/>
          <w:sz w:val="22"/>
          <w:szCs w:val="22"/>
        </w:rPr>
        <w:t xml:space="preserve"> </w:t>
      </w:r>
      <w:r w:rsidR="00B41036" w:rsidRPr="00EB2612">
        <w:rPr>
          <w:b w:val="0"/>
          <w:color w:val="auto"/>
          <w:sz w:val="22"/>
          <w:szCs w:val="22"/>
        </w:rPr>
        <w:t xml:space="preserve">Příjmy </w:t>
      </w:r>
      <w:r w:rsidRPr="00EB2612">
        <w:rPr>
          <w:b w:val="0"/>
          <w:color w:val="auto"/>
          <w:sz w:val="22"/>
          <w:szCs w:val="22"/>
        </w:rPr>
        <w:t xml:space="preserve">z prodeje fyzických nosičů a digitálních </w:t>
      </w:r>
      <w:r w:rsidR="005C19FC" w:rsidRPr="00EB2612">
        <w:rPr>
          <w:b w:val="0"/>
          <w:color w:val="auto"/>
          <w:sz w:val="22"/>
          <w:szCs w:val="22"/>
        </w:rPr>
        <w:t>služeb (v mil</w:t>
      </w:r>
      <w:r w:rsidRPr="00EB2612">
        <w:rPr>
          <w:b w:val="0"/>
          <w:color w:val="auto"/>
          <w:sz w:val="22"/>
          <w:szCs w:val="22"/>
        </w:rPr>
        <w:t>. Kč</w:t>
      </w:r>
      <w:r w:rsidR="00CA7634" w:rsidRPr="00EB2612">
        <w:rPr>
          <w:b w:val="0"/>
          <w:color w:val="auto"/>
          <w:sz w:val="22"/>
          <w:szCs w:val="22"/>
        </w:rPr>
        <w:t>, pouze členské společnosti IFPI a</w:t>
      </w:r>
      <w:r w:rsidR="00362010">
        <w:rPr>
          <w:b w:val="0"/>
          <w:color w:val="auto"/>
          <w:sz w:val="22"/>
          <w:szCs w:val="22"/>
        </w:rPr>
        <w:t> </w:t>
      </w:r>
      <w:r w:rsidR="00CA7634" w:rsidRPr="00EB2612">
        <w:rPr>
          <w:b w:val="0"/>
          <w:color w:val="auto"/>
          <w:sz w:val="22"/>
          <w:szCs w:val="22"/>
        </w:rPr>
        <w:t>vybrané organizace</w:t>
      </w:r>
      <w:r w:rsidRPr="00EB2612">
        <w:rPr>
          <w:b w:val="0"/>
          <w:color w:val="auto"/>
          <w:sz w:val="22"/>
          <w:szCs w:val="22"/>
        </w:rPr>
        <w:t>)</w:t>
      </w:r>
    </w:p>
    <w:p w:rsidR="00BB64DB" w:rsidRPr="00EB2612" w:rsidRDefault="001B0E1D" w:rsidP="00BB64DB">
      <w:pPr>
        <w:keepNext/>
        <w:jc w:val="center"/>
      </w:pPr>
      <w:r w:rsidRPr="001B0E1D">
        <w:rPr>
          <w:noProof/>
        </w:rPr>
        <w:drawing>
          <wp:inline distT="0" distB="0" distL="0" distR="0">
            <wp:extent cx="5972810" cy="2334260"/>
            <wp:effectExtent l="0" t="0" r="0" b="0"/>
            <wp:docPr id="12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5C19FC" w:rsidRPr="00EB2612">
        <w:rPr>
          <w:b w:val="0"/>
          <w:color w:val="auto"/>
          <w:sz w:val="22"/>
          <w:szCs w:val="22"/>
        </w:rPr>
        <w:t>ČNS</w:t>
      </w:r>
      <w:r w:rsidRPr="00EB2612">
        <w:rPr>
          <w:b w:val="0"/>
          <w:color w:val="auto"/>
          <w:sz w:val="22"/>
          <w:szCs w:val="22"/>
        </w:rPr>
        <w:t xml:space="preserve"> IF</w:t>
      </w:r>
      <w:r w:rsidR="005C19FC" w:rsidRPr="00EB2612">
        <w:rPr>
          <w:b w:val="0"/>
          <w:color w:val="auto"/>
          <w:sz w:val="22"/>
          <w:szCs w:val="22"/>
        </w:rPr>
        <w:t>PI</w:t>
      </w:r>
    </w:p>
    <w:p w:rsidR="00A543D4" w:rsidRPr="00EB2612" w:rsidRDefault="00BB64DB" w:rsidP="00BB64DB">
      <w:r w:rsidRPr="00EB2612">
        <w:t>Zachytit údaje o pracovním trhu v oblasti hudby je stejně komplikované jako ve filmové oblasti. Prezentované</w:t>
      </w:r>
      <w:r w:rsidR="00220644" w:rsidRPr="00EB2612">
        <w:t> </w:t>
      </w:r>
      <w:r w:rsidRPr="00EB2612">
        <w:t xml:space="preserve">údaje se týkají </w:t>
      </w:r>
      <w:r w:rsidR="00844C07" w:rsidRPr="00EB2612">
        <w:t>primárně</w:t>
      </w:r>
      <w:r w:rsidRPr="00EB2612">
        <w:t xml:space="preserve"> zaměstnanců vydavatelských a produkčních společností a</w:t>
      </w:r>
      <w:r w:rsidR="00220644" w:rsidRPr="00EB2612">
        <w:t> </w:t>
      </w:r>
      <w:r w:rsidRPr="00EB2612">
        <w:t>obchodníků s hudbou. Nikoliv však samotných profesionálních hudebníků, kteří by svou ekonomickou činností spadali spíše do oblasti scénických umění</w:t>
      </w:r>
      <w:r w:rsidR="00542285" w:rsidRPr="00EB2612">
        <w:t xml:space="preserve">. </w:t>
      </w:r>
      <w:r w:rsidRPr="00EB2612">
        <w:t>Pro část hudebníků a skladatelů vytvářejících obsah, který je následně nahrá</w:t>
      </w:r>
      <w:r w:rsidR="00CD32B3">
        <w:t>vá</w:t>
      </w:r>
      <w:r w:rsidRPr="00EB2612">
        <w:t>n</w:t>
      </w:r>
      <w:r w:rsidR="00282CCA" w:rsidRPr="00EB2612">
        <w:t> </w:t>
      </w:r>
      <w:r w:rsidRPr="00EB2612">
        <w:t>a</w:t>
      </w:r>
      <w:r w:rsidR="00282CCA" w:rsidRPr="00EB2612">
        <w:t> </w:t>
      </w:r>
      <w:r w:rsidRPr="00EB2612">
        <w:t>distribuován, navíc aktivita</w:t>
      </w:r>
      <w:r w:rsidR="00CA5B30" w:rsidRPr="00EB2612">
        <w:t xml:space="preserve"> v rámci hudebního průmyslu</w:t>
      </w:r>
      <w:r w:rsidRPr="00EB2612">
        <w:t xml:space="preserve"> nepředstavuje hlavní povolání, ale pouze občasný přivýdělek. Jak vyplývá z Gr</w:t>
      </w:r>
      <w:r w:rsidR="004F4DFA" w:rsidRPr="00EB2612">
        <w:t xml:space="preserve">afu </w:t>
      </w:r>
      <w:r w:rsidR="00FF526E">
        <w:t>40</w:t>
      </w:r>
      <w:r w:rsidRPr="00EB2612">
        <w:t>, celková zaměstnan</w:t>
      </w:r>
      <w:r w:rsidR="00CA5B30" w:rsidRPr="00EB2612">
        <w:t xml:space="preserve">ost v takto vymezené </w:t>
      </w:r>
      <w:r w:rsidR="00CA5B30" w:rsidRPr="00EB2612">
        <w:lastRenderedPageBreak/>
        <w:t>oblasti má od roku 2006 spíše sestupnou tendenci</w:t>
      </w:r>
      <w:r w:rsidR="00DB3EA4" w:rsidRPr="00EB2612">
        <w:t xml:space="preserve"> a</w:t>
      </w:r>
      <w:r w:rsidRPr="00EB2612">
        <w:t xml:space="preserve"> </w:t>
      </w:r>
      <w:r w:rsidR="000D50FF" w:rsidRPr="00EB2612">
        <w:t>ve sledovaném období</w:t>
      </w:r>
      <w:r w:rsidR="00DB4861">
        <w:t xml:space="preserve"> 2006–</w:t>
      </w:r>
      <w:r w:rsidR="000D50FF" w:rsidRPr="00EB2612">
        <w:t>2018 klesla o polovinu na 261 zaměstnanců v roce 2018</w:t>
      </w:r>
      <w:r w:rsidRPr="00EB2612">
        <w:t>.</w:t>
      </w:r>
    </w:p>
    <w:p w:rsidR="00A543D4" w:rsidRPr="00EB2612" w:rsidRDefault="00A543D4" w:rsidP="00A543D4">
      <w:pPr>
        <w:pStyle w:val="Titulek"/>
        <w:keepNext/>
      </w:pPr>
      <w:r w:rsidRPr="00EB2612">
        <w:rPr>
          <w:noProof/>
        </w:rPr>
        <w:t xml:space="preserve"> </w:t>
      </w:r>
      <w:r w:rsidRPr="00EB2612">
        <w:rPr>
          <w:color w:val="auto"/>
          <w:sz w:val="22"/>
          <w:szCs w:val="22"/>
        </w:rPr>
        <w:t xml:space="preserve">Graf </w:t>
      </w:r>
      <w:r w:rsidR="00424B58">
        <w:rPr>
          <w:color w:val="auto"/>
          <w:sz w:val="22"/>
          <w:szCs w:val="22"/>
        </w:rPr>
        <w:t>40</w:t>
      </w:r>
      <w:r w:rsidRPr="00EB2612">
        <w:rPr>
          <w:color w:val="auto"/>
        </w:rPr>
        <w:t xml:space="preserve"> </w:t>
      </w:r>
      <w:r w:rsidRPr="00EB2612">
        <w:rPr>
          <w:b w:val="0"/>
          <w:color w:val="auto"/>
          <w:sz w:val="22"/>
          <w:szCs w:val="22"/>
        </w:rPr>
        <w:t>P</w:t>
      </w:r>
      <w:r w:rsidRPr="00EB2612">
        <w:rPr>
          <w:b w:val="0"/>
          <w:color w:val="000000" w:themeColor="text1"/>
          <w:sz w:val="22"/>
          <w:szCs w:val="22"/>
        </w:rPr>
        <w:t>očet zaměstnanců v oblasti hudby (v osobách, přepočteno na plné prac. úvazky)</w:t>
      </w:r>
    </w:p>
    <w:p w:rsidR="00BB64DB" w:rsidRPr="00EB2612" w:rsidRDefault="000D50FF" w:rsidP="00A543D4">
      <w:r w:rsidRPr="00EB2612">
        <w:rPr>
          <w:noProof/>
        </w:rPr>
        <w:drawing>
          <wp:inline distT="0" distB="0" distL="0" distR="0">
            <wp:extent cx="6105525" cy="1676400"/>
            <wp:effectExtent l="0" t="0" r="0" b="0"/>
            <wp:docPr id="28"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543D4" w:rsidRPr="00EB2612" w:rsidRDefault="00A543D4" w:rsidP="00A543D4">
      <w:pPr>
        <w:keepNext/>
        <w:jc w:val="left"/>
      </w:pPr>
      <w:r w:rsidRPr="00EB2612">
        <w:t>Zdroj: Podniková strukturální statistika, ČSÚ</w:t>
      </w:r>
    </w:p>
    <w:p w:rsidR="00A543D4" w:rsidRPr="00EB2612" w:rsidRDefault="00A543D4" w:rsidP="00A543D4">
      <w:pPr>
        <w:keepNext/>
      </w:pPr>
      <w:r w:rsidRPr="00EB2612">
        <w:t xml:space="preserve">Úplnější odhad zaměstnanosti v oblasti hudby je možné získat z Výběrového šetření pracovních sil, které zohledňuje všechny </w:t>
      </w:r>
      <w:r w:rsidR="00145A10">
        <w:t>pracující</w:t>
      </w:r>
      <w:r w:rsidR="00145A10" w:rsidRPr="00EB2612">
        <w:t xml:space="preserve"> </w:t>
      </w:r>
      <w:r w:rsidRPr="00EB2612">
        <w:t xml:space="preserve">osoby (zaměstnance, podnikatele či pracovníky na dohody). Podle údajů z tohoto šetření pracovalo v oblasti hudby přibližně </w:t>
      </w:r>
      <w:r w:rsidR="0094244C" w:rsidRPr="00EB2612">
        <w:t>1,1</w:t>
      </w:r>
      <w:r w:rsidRPr="00EB2612">
        <w:t xml:space="preserve"> tis. zaměs</w:t>
      </w:r>
      <w:r w:rsidR="0094244C" w:rsidRPr="00EB2612">
        <w:t>tnaných osob, přičemž přibližně 1 tis. z nich</w:t>
      </w:r>
      <w:r w:rsidRPr="00EB2612">
        <w:t xml:space="preserve"> vykonávalo povo</w:t>
      </w:r>
      <w:r w:rsidR="0094244C" w:rsidRPr="00EB2612">
        <w:t>lání „kulturního“ charakteru a pouze desí</w:t>
      </w:r>
      <w:r w:rsidR="003F593B">
        <w:t>t</w:t>
      </w:r>
      <w:r w:rsidR="0094244C" w:rsidRPr="00EB2612">
        <w:t>ky</w:t>
      </w:r>
      <w:r w:rsidRPr="00EB2612">
        <w:t xml:space="preserve"> </w:t>
      </w:r>
      <w:r w:rsidR="0094244C" w:rsidRPr="00EB2612">
        <w:t xml:space="preserve">osob </w:t>
      </w:r>
      <w:r w:rsidRPr="00EB2612">
        <w:t>povolání spíše „ne-kulturního“ charakteru. Do výpočtů o povoláních kulturního charakteru vstupují zejména povolání technického rázu (technici v oblasti vysílání a audiovizuálních záznamů</w:t>
      </w:r>
      <w:r w:rsidR="00026804" w:rsidRPr="00EB2612">
        <w:t xml:space="preserve"> či produkční</w:t>
      </w:r>
      <w:r w:rsidRPr="00EB2612">
        <w:t>)</w:t>
      </w:r>
      <w:r w:rsidR="00844C07" w:rsidRPr="00EB2612">
        <w:t xml:space="preserve"> a samotní hudebníci, zpěvá</w:t>
      </w:r>
      <w:r w:rsidR="003D02CE" w:rsidRPr="00EB2612">
        <w:t>ci a skladatelé působí v oblasti</w:t>
      </w:r>
      <w:r w:rsidR="00844C07" w:rsidRPr="00EB2612">
        <w:t xml:space="preserve"> hudebního vydavatelství a maloobchodu </w:t>
      </w:r>
      <w:r w:rsidR="00026804" w:rsidRPr="00EB2612">
        <w:t>v</w:t>
      </w:r>
      <w:r w:rsidR="00DB4861">
        <w:t> </w:t>
      </w:r>
      <w:r w:rsidR="00026804" w:rsidRPr="00EB2612">
        <w:t>menší</w:t>
      </w:r>
      <w:r w:rsidR="00DB4861">
        <w:t xml:space="preserve"> míře</w:t>
      </w:r>
      <w:r w:rsidRPr="00EB2612">
        <w:t>.</w:t>
      </w:r>
      <w:r w:rsidR="00844C07" w:rsidRPr="00EB2612">
        <w:t xml:space="preserve"> Celkově p</w:t>
      </w:r>
      <w:r w:rsidR="002168C9" w:rsidRPr="00EB2612">
        <w:t>ak evidovala statistika VŠPS 6,3</w:t>
      </w:r>
      <w:r w:rsidR="00844C07" w:rsidRPr="00EB2612">
        <w:t xml:space="preserve"> tis. hudebníků, zpěváků a skladat</w:t>
      </w:r>
      <w:r w:rsidR="002168C9" w:rsidRPr="00EB2612">
        <w:t>elů, přičemž většina z nich (5,7</w:t>
      </w:r>
      <w:r w:rsidR="00844C07" w:rsidRPr="00EB2612">
        <w:t xml:space="preserve"> tis) pracovala v některé z kulturních </w:t>
      </w:r>
      <w:r w:rsidR="00AB451D">
        <w:t>organizací</w:t>
      </w:r>
      <w:r w:rsidR="00844C07" w:rsidRPr="00EB2612">
        <w:t>.</w:t>
      </w:r>
    </w:p>
    <w:p w:rsidR="00F33E22" w:rsidRPr="00EB2612" w:rsidRDefault="003D02CE" w:rsidP="00F33E22">
      <w:pPr>
        <w:pStyle w:val="Titulek"/>
        <w:keepNext/>
        <w:jc w:val="left"/>
        <w:rPr>
          <w:b w:val="0"/>
          <w:color w:val="auto"/>
          <w:sz w:val="22"/>
          <w:szCs w:val="22"/>
        </w:rPr>
      </w:pPr>
      <w:bookmarkStart w:id="23" w:name="_Toc464832052"/>
      <w:r w:rsidRPr="00EB2612">
        <w:rPr>
          <w:color w:val="auto"/>
          <w:sz w:val="22"/>
          <w:szCs w:val="22"/>
        </w:rPr>
        <w:t>Graf 4</w:t>
      </w:r>
      <w:r w:rsidR="00424B58">
        <w:rPr>
          <w:color w:val="auto"/>
          <w:sz w:val="22"/>
          <w:szCs w:val="22"/>
        </w:rPr>
        <w:t>1</w:t>
      </w:r>
      <w:r w:rsidR="00F33E22" w:rsidRPr="00EB2612">
        <w:t xml:space="preserve"> </w:t>
      </w:r>
      <w:r w:rsidR="00F33E22" w:rsidRPr="00EB2612">
        <w:rPr>
          <w:b w:val="0"/>
          <w:color w:val="auto"/>
          <w:sz w:val="22"/>
          <w:szCs w:val="22"/>
        </w:rPr>
        <w:t xml:space="preserve">Odhad počtu osob </w:t>
      </w:r>
      <w:r w:rsidR="00145A10">
        <w:rPr>
          <w:b w:val="0"/>
          <w:color w:val="auto"/>
          <w:sz w:val="22"/>
          <w:szCs w:val="22"/>
        </w:rPr>
        <w:t xml:space="preserve">pracujících </w:t>
      </w:r>
      <w:r w:rsidR="00F33E22" w:rsidRPr="00EB2612">
        <w:rPr>
          <w:b w:val="0"/>
          <w:color w:val="auto"/>
          <w:sz w:val="22"/>
          <w:szCs w:val="22"/>
        </w:rPr>
        <w:t xml:space="preserve">v oblasti </w:t>
      </w:r>
      <w:r w:rsidR="00DC44B4" w:rsidRPr="00EB2612">
        <w:rPr>
          <w:b w:val="0"/>
          <w:color w:val="auto"/>
          <w:sz w:val="22"/>
          <w:szCs w:val="22"/>
        </w:rPr>
        <w:t>hudby v roce</w:t>
      </w:r>
      <w:r w:rsidR="00526D24" w:rsidRPr="00EB2612">
        <w:rPr>
          <w:b w:val="0"/>
          <w:color w:val="auto"/>
          <w:sz w:val="22"/>
          <w:szCs w:val="22"/>
        </w:rPr>
        <w:t xml:space="preserve"> 2017</w:t>
      </w:r>
      <w:r w:rsidR="00DC44B4" w:rsidRPr="00EB2612">
        <w:rPr>
          <w:b w:val="0"/>
          <w:color w:val="auto"/>
          <w:sz w:val="22"/>
          <w:szCs w:val="22"/>
        </w:rPr>
        <w:t xml:space="preserve"> v tis. osob</w:t>
      </w:r>
      <w:bookmarkEnd w:id="23"/>
    </w:p>
    <w:p w:rsidR="00F6775F" w:rsidRPr="00EB2612" w:rsidRDefault="00A477D4" w:rsidP="00F6775F">
      <w:pPr>
        <w:rPr>
          <w:lang w:eastAsia="en-US"/>
        </w:rPr>
      </w:pPr>
      <w:r>
        <w:rPr>
          <w:noProof/>
        </w:rPr>
        <w:pict>
          <v:shape id="Text Box 36" o:spid="_x0000_s1038" type="#_x0000_t202" style="position:absolute;left:0;text-align:left;margin-left:351.55pt;margin-top:125.45pt;width:44.75pt;height:20.2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" strokecolor="white [3212]">
            <v:fill opacity="0"/>
            <v:textbox style="mso-next-textbox:#Text Box 36">
              <w:txbxContent>
                <w:p w:rsidR="00705045" w:rsidRPr="00FD1391" w:rsidRDefault="00705045" w:rsidP="00FD1391">
                  <w:pPr>
                    <w:rPr>
                      <w:rFonts w:ascii="Calibri" w:hAnsi="Calibri"/>
                    </w:rPr>
                  </w:pPr>
                  <w:r>
                    <w:rPr>
                      <w:rFonts w:ascii="Calibri" w:hAnsi="Calibri"/>
                    </w:rPr>
                    <w:t>6,3</w:t>
                  </w:r>
                  <w:r w:rsidRPr="00FD1391">
                    <w:rPr>
                      <w:rFonts w:ascii="Calibri" w:hAnsi="Calibri"/>
                    </w:rPr>
                    <w:t xml:space="preserve"> tis.</w:t>
                  </w:r>
                </w:p>
              </w:txbxContent>
            </v:textbox>
          </v:shape>
        </w:pict>
      </w:r>
      <w:r w:rsidRPr="00A477D4">
        <w:rPr>
          <w:b/>
          <w:noProof/>
          <w:sz w:val="22"/>
          <w:szCs w:val="22"/>
        </w:rPr>
        <w:pict>
          <v:shape id="Text Box 35" o:spid="_x0000_s1037" type="#_x0000_t202" style="position:absolute;left:0;text-align:left;margin-left:126.55pt;margin-top:120.2pt;width:44pt;height:25.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" strokecolor="white [3212]">
            <v:fill opacity="0"/>
            <v:textbox style="mso-next-textbox:#Text Box 35">
              <w:txbxContent>
                <w:p w:rsidR="00705045" w:rsidRPr="00FD1391" w:rsidRDefault="00705045">
                  <w:pPr>
                    <w:rPr>
                      <w:rFonts w:ascii="Calibri" w:hAnsi="Calibri"/>
                    </w:rPr>
                  </w:pPr>
                  <w:r>
                    <w:rPr>
                      <w:rFonts w:ascii="Calibri" w:hAnsi="Calibri"/>
                    </w:rPr>
                    <w:t>1,1</w:t>
                  </w:r>
                  <w:r w:rsidRPr="00FD1391">
                    <w:rPr>
                      <w:rFonts w:ascii="Calibri" w:hAnsi="Calibri"/>
                    </w:rPr>
                    <w:t xml:space="preserve"> tis.</w:t>
                  </w:r>
                </w:p>
              </w:txbxContent>
            </v:textbox>
          </v:shape>
        </w:pict>
      </w:r>
      <w:r w:rsidR="000D50FF" w:rsidRPr="00EB2612">
        <w:rPr>
          <w:noProof/>
        </w:rPr>
        <w:drawing>
          <wp:inline distT="0" distB="0" distL="0" distR="0">
            <wp:extent cx="3267075" cy="2486025"/>
            <wp:effectExtent l="0" t="0" r="0" b="0"/>
            <wp:docPr id="10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F6775F" w:rsidRPr="00EB2612">
        <w:rPr>
          <w:noProof/>
        </w:rPr>
        <w:t xml:space="preserve"> </w:t>
      </w:r>
      <w:r w:rsidR="0094244C" w:rsidRPr="00EB2612">
        <w:rPr>
          <w:noProof/>
        </w:rPr>
        <w:drawing>
          <wp:inline distT="0" distB="0" distL="0" distR="0">
            <wp:extent cx="2628900" cy="2438400"/>
            <wp:effectExtent l="0" t="0" r="0" b="0"/>
            <wp:docPr id="125"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90C58" w:rsidRPr="00EB2612" w:rsidRDefault="00BB64DB" w:rsidP="00130F4A">
      <w:pPr>
        <w:pStyle w:val="Titulek"/>
        <w:spacing w:before="120"/>
        <w:rPr>
          <w:b w:val="0"/>
          <w:color w:val="auto"/>
          <w:sz w:val="22"/>
          <w:szCs w:val="22"/>
        </w:rPr>
      </w:pPr>
      <w:r w:rsidRPr="00EB2612">
        <w:rPr>
          <w:b w:val="0"/>
          <w:color w:val="auto"/>
          <w:sz w:val="22"/>
          <w:szCs w:val="22"/>
        </w:rPr>
        <w:t xml:space="preserve">Zdroj: </w:t>
      </w:r>
      <w:r w:rsidR="00DC44B4" w:rsidRPr="00EB2612">
        <w:rPr>
          <w:b w:val="0"/>
          <w:color w:val="auto"/>
          <w:sz w:val="22"/>
          <w:szCs w:val="22"/>
        </w:rPr>
        <w:t>Výběrové šetření pracovních sil</w:t>
      </w:r>
      <w:r w:rsidR="00B90C58" w:rsidRPr="00EB2612">
        <w:rPr>
          <w:b w:val="0"/>
          <w:color w:val="auto"/>
          <w:sz w:val="22"/>
          <w:szCs w:val="22"/>
        </w:rPr>
        <w:t xml:space="preserve">, </w:t>
      </w:r>
      <w:r w:rsidRPr="00EB2612">
        <w:rPr>
          <w:b w:val="0"/>
          <w:color w:val="auto"/>
          <w:sz w:val="22"/>
          <w:szCs w:val="22"/>
        </w:rPr>
        <w:t>ČSÚ</w:t>
      </w:r>
    </w:p>
    <w:p w:rsidR="002A20E0" w:rsidRPr="00EB2612" w:rsidRDefault="002A20E0" w:rsidP="002A20E0">
      <w:r w:rsidRPr="00EB2612">
        <w:t xml:space="preserve">Tyto údaje je možné </w:t>
      </w:r>
      <w:r w:rsidR="002603B5" w:rsidRPr="00EB2612">
        <w:t xml:space="preserve">doplnit </w:t>
      </w:r>
      <w:r w:rsidRPr="00EB2612">
        <w:t xml:space="preserve">také o data o hudebnících, zpěvácích a </w:t>
      </w:r>
      <w:r w:rsidR="003F593B" w:rsidRPr="00EB2612">
        <w:t>skladatelích</w:t>
      </w:r>
      <w:r w:rsidRPr="00EB2612">
        <w:t xml:space="preserve"> </w:t>
      </w:r>
      <w:r w:rsidRPr="00EB2612">
        <w:rPr>
          <w:lang w:eastAsia="en-US"/>
        </w:rPr>
        <w:t>z </w:t>
      </w:r>
      <w:r w:rsidRPr="00EB2612">
        <w:t>Informačního systému o</w:t>
      </w:r>
      <w:r w:rsidR="00362010">
        <w:t> </w:t>
      </w:r>
      <w:r w:rsidRPr="00EB2612">
        <w:t>průměrném výdělku (ISPV), který zahrnuje pouze zaměstnance ve mzdové a platové sféře, nikoliv podnikatele a pracovníky na dohodu. Podle ISPV pracovalo ve mzdové a platov</w:t>
      </w:r>
      <w:r w:rsidR="002168C9" w:rsidRPr="00EB2612">
        <w:t>é sféře v roce 2019</w:t>
      </w:r>
      <w:r w:rsidRPr="00EB2612">
        <w:t xml:space="preserve"> přibližně </w:t>
      </w:r>
      <w:r w:rsidRPr="00EB2612">
        <w:lastRenderedPageBreak/>
        <w:t>2</w:t>
      </w:r>
      <w:r w:rsidR="002168C9" w:rsidRPr="00EB2612">
        <w:t>,4</w:t>
      </w:r>
      <w:r w:rsidRPr="00EB2612">
        <w:t xml:space="preserve"> tis. zaměstnanců spadajících charakterem svého povolání do kategorie </w:t>
      </w:r>
      <w:r w:rsidRPr="00EB2612">
        <w:rPr>
          <w:lang w:eastAsia="en-US"/>
        </w:rPr>
        <w:t xml:space="preserve">CZ-ISCO 2652 </w:t>
      </w:r>
      <w:r w:rsidR="00DB4861">
        <w:t xml:space="preserve">a jejich průměrná mzda </w:t>
      </w:r>
      <w:r w:rsidR="002168C9" w:rsidRPr="00EB2612">
        <w:t>dosahovala výše 35</w:t>
      </w:r>
      <w:r w:rsidRPr="00EB2612">
        <w:t>,6 tis. Kč.</w:t>
      </w:r>
    </w:p>
    <w:p w:rsidR="008A09ED" w:rsidRPr="00EB2612" w:rsidRDefault="008A09ED" w:rsidP="002A20E0">
      <w:r w:rsidRPr="00EB2612">
        <w:t xml:space="preserve">Největší dopady pandemie na hudební průmysl se dají očekávat v oblasti veřejných produkcí. Omezení kulturních akcí dopadne nejen na provozovatele klubů, hudebníky a techniky, ale také na </w:t>
      </w:r>
      <w:r w:rsidR="003F593B" w:rsidRPr="00EB2612">
        <w:t>vydavatele a</w:t>
      </w:r>
      <w:r w:rsidR="00362010">
        <w:t> </w:t>
      </w:r>
      <w:r w:rsidR="003F593B" w:rsidRPr="00EB2612">
        <w:t>autory</w:t>
      </w:r>
      <w:r w:rsidRPr="00EB2612">
        <w:t xml:space="preserve"> v souvislos</w:t>
      </w:r>
      <w:r w:rsidR="003F593B">
        <w:t>ti s příjmy z p</w:t>
      </w:r>
      <w:r w:rsidRPr="00EB2612">
        <w:t>rov</w:t>
      </w:r>
      <w:r w:rsidR="003F593B">
        <w:t>o</w:t>
      </w:r>
      <w:r w:rsidRPr="00EB2612">
        <w:t xml:space="preserve">zovacích práv. Jistý pokles může vlivem vládních opatření zaznamenat také trh s fyzickými nosiči, který se </w:t>
      </w:r>
      <w:r w:rsidR="00145A10">
        <w:t>už tak</w:t>
      </w:r>
      <w:r w:rsidR="00145A10" w:rsidRPr="00EB2612">
        <w:t xml:space="preserve"> </w:t>
      </w:r>
      <w:r w:rsidRPr="00EB2612">
        <w:t xml:space="preserve">v posledních letech potýkal s úbytkem zájmu. Naopak streamovacích platforem by se pandemie v takové míře dotknout neměla. Lídr na trhu </w:t>
      </w:r>
      <w:proofErr w:type="spellStart"/>
      <w:r w:rsidRPr="00EB2612">
        <w:t>streamingu</w:t>
      </w:r>
      <w:proofErr w:type="spellEnd"/>
      <w:r w:rsidR="00145A10">
        <w:t>,</w:t>
      </w:r>
      <w:r w:rsidRPr="00EB2612">
        <w:t xml:space="preserve"> </w:t>
      </w:r>
      <w:proofErr w:type="spellStart"/>
      <w:r w:rsidRPr="00EB2612">
        <w:t>Spotify</w:t>
      </w:r>
      <w:proofErr w:type="spellEnd"/>
      <w:r w:rsidR="00145A10">
        <w:t>,</w:t>
      </w:r>
      <w:r w:rsidRPr="00EB2612">
        <w:t xml:space="preserve"> sice zaznamenal v druhém kvartálu roku 2020 mírnější zájem inzerentů v období krize, ale počet předplatitelů vzrostl oproti prvnímu kvartálu o 6 % (CNBC, 2020c).</w:t>
      </w:r>
    </w:p>
    <w:p w:rsidR="00BB64DB" w:rsidRPr="00EB2612" w:rsidRDefault="00BB64DB" w:rsidP="00694914">
      <w:pPr>
        <w:pStyle w:val="Nadpis3"/>
        <w:numPr>
          <w:ilvl w:val="2"/>
          <w:numId w:val="17"/>
        </w:numPr>
      </w:pPr>
      <w:bookmarkStart w:id="24" w:name="_Toc430189806"/>
      <w:bookmarkStart w:id="25" w:name="_Toc431475034"/>
      <w:bookmarkStart w:id="26" w:name="_Toc463969189"/>
      <w:bookmarkStart w:id="27" w:name="_Toc465253899"/>
      <w:r w:rsidRPr="00EB2612">
        <w:t>POHLED SPOTŘEBITELE</w:t>
      </w:r>
      <w:bookmarkEnd w:id="24"/>
      <w:bookmarkEnd w:id="25"/>
      <w:bookmarkEnd w:id="26"/>
      <w:bookmarkEnd w:id="27"/>
    </w:p>
    <w:p w:rsidR="00BB64DB" w:rsidRPr="00EB2612" w:rsidRDefault="00BB64DB" w:rsidP="00BB64DB">
      <w:r w:rsidRPr="00EB2612">
        <w:t>Podrobná studie, která by se zaměřovala pouze na posluchače hudby a jejich návyky</w:t>
      </w:r>
      <w:r w:rsidR="0025640A" w:rsidRPr="00EB2612">
        <w:t>,</w:t>
      </w:r>
      <w:r w:rsidRPr="00EB2612">
        <w:t xml:space="preserve"> </w:t>
      </w:r>
      <w:r w:rsidR="00772DA1" w:rsidRPr="00EB2612">
        <w:t xml:space="preserve">nebyla v době </w:t>
      </w:r>
      <w:r w:rsidR="00145A10">
        <w:t>zpracování</w:t>
      </w:r>
      <w:r w:rsidR="00145A10" w:rsidRPr="00EB2612">
        <w:t xml:space="preserve"> </w:t>
      </w:r>
      <w:r w:rsidR="00772DA1" w:rsidRPr="00EB2612">
        <w:t>tohoto textu</w:t>
      </w:r>
      <w:r w:rsidR="00282CCA" w:rsidRPr="00EB2612">
        <w:t> </w:t>
      </w:r>
      <w:r w:rsidR="00772DA1" w:rsidRPr="00EB2612">
        <w:t>k</w:t>
      </w:r>
      <w:r w:rsidR="00282CCA" w:rsidRPr="00EB2612">
        <w:t> </w:t>
      </w:r>
      <w:r w:rsidR="00772DA1" w:rsidRPr="00EB2612">
        <w:t>dispozici</w:t>
      </w:r>
      <w:r w:rsidRPr="00EB2612">
        <w:t xml:space="preserve">. </w:t>
      </w:r>
      <w:r w:rsidR="00772DA1" w:rsidRPr="00EB2612">
        <w:t>Nárůst</w:t>
      </w:r>
      <w:r w:rsidRPr="00EB2612">
        <w:t xml:space="preserve"> tržeb z digitálních prodejů nicméně naznačuje, že ochota internetových uživatelů </w:t>
      </w:r>
      <w:r w:rsidR="00DB4861">
        <w:t>platit za</w:t>
      </w:r>
      <w:r w:rsidRPr="00EB2612">
        <w:t xml:space="preserve"> online </w:t>
      </w:r>
      <w:r w:rsidR="00EF194E" w:rsidRPr="00EB2612">
        <w:t xml:space="preserve">a digitální služby se </w:t>
      </w:r>
      <w:r w:rsidR="00CD5C5C" w:rsidRPr="00EB2612">
        <w:t>zvyšuje</w:t>
      </w:r>
      <w:r w:rsidRPr="00EB2612">
        <w:t>. Z hlediska oblíbenosti digitálních služeb roste popularita poslechu online knihoven (stream), který</w:t>
      </w:r>
      <w:r w:rsidR="004702DC" w:rsidRPr="00EB2612">
        <w:t xml:space="preserve"> se v roce </w:t>
      </w:r>
      <w:r w:rsidR="00CB7D34" w:rsidRPr="00EB2612">
        <w:t>2019</w:t>
      </w:r>
      <w:r w:rsidRPr="00EB2612">
        <w:t xml:space="preserve"> postaral o </w:t>
      </w:r>
      <w:r w:rsidR="00A12B64">
        <w:t>36</w:t>
      </w:r>
      <w:r w:rsidRPr="00EB2612">
        <w:t xml:space="preserve"> %</w:t>
      </w:r>
      <w:r w:rsidR="004702DC" w:rsidRPr="00EB2612">
        <w:t xml:space="preserve"> celkových příjmů z hudebních nahrávek</w:t>
      </w:r>
      <w:r w:rsidR="00A12B64">
        <w:t xml:space="preserve"> ve výši 1,1 mld. Kč</w:t>
      </w:r>
      <w:r w:rsidRPr="00EB2612">
        <w:t>. Naopak oblíbenost staho</w:t>
      </w:r>
      <w:r w:rsidR="00B976FB" w:rsidRPr="00EB2612">
        <w:t>vání nahrávek</w:t>
      </w:r>
      <w:r w:rsidR="00130F4A" w:rsidRPr="00EB2612">
        <w:t xml:space="preserve"> (např. prostřednictvím služby </w:t>
      </w:r>
      <w:proofErr w:type="spellStart"/>
      <w:r w:rsidR="00130F4A" w:rsidRPr="00EB2612">
        <w:t>iTunes</w:t>
      </w:r>
      <w:proofErr w:type="spellEnd"/>
      <w:r w:rsidR="00130F4A" w:rsidRPr="00EB2612">
        <w:t>)</w:t>
      </w:r>
      <w:r w:rsidR="00656938" w:rsidRPr="00EB2612">
        <w:t xml:space="preserve"> v roce 201</w:t>
      </w:r>
      <w:r w:rsidR="00CB7D34" w:rsidRPr="00EB2612">
        <w:t>9</w:t>
      </w:r>
      <w:r w:rsidR="00DB4861">
        <w:t xml:space="preserve"> byla minimální a</w:t>
      </w:r>
      <w:r w:rsidR="00B976FB" w:rsidRPr="00EB2612">
        <w:t xml:space="preserve"> </w:t>
      </w:r>
      <w:r w:rsidR="00AB7963" w:rsidRPr="00EB2612">
        <w:t>tvořila pouhá</w:t>
      </w:r>
      <w:r w:rsidR="009D1443" w:rsidRPr="00EB2612">
        <w:t xml:space="preserve"> </w:t>
      </w:r>
      <w:r w:rsidR="00656938" w:rsidRPr="00EB2612">
        <w:t>3</w:t>
      </w:r>
      <w:r w:rsidR="00AB7963" w:rsidRPr="00EB2612">
        <w:t xml:space="preserve"> </w:t>
      </w:r>
      <w:r w:rsidR="009D1443" w:rsidRPr="00EB2612">
        <w:t xml:space="preserve">% </w:t>
      </w:r>
      <w:r w:rsidR="00AB7963" w:rsidRPr="00EB2612">
        <w:t>celkových prodejů</w:t>
      </w:r>
      <w:r w:rsidRPr="00EB2612">
        <w:t>.</w:t>
      </w:r>
      <w:r w:rsidR="00AB7963" w:rsidRPr="00EB2612">
        <w:t xml:space="preserve"> Z fyzických formá</w:t>
      </w:r>
      <w:r w:rsidR="00656938" w:rsidRPr="00EB2612">
        <w:t>t</w:t>
      </w:r>
      <w:r w:rsidR="00CB7D34" w:rsidRPr="00EB2612">
        <w:t>ů stále dominuje CD, nicméně 6</w:t>
      </w:r>
      <w:r w:rsidR="00AB7963" w:rsidRPr="00EB2612">
        <w:t>%</w:t>
      </w:r>
      <w:r w:rsidR="008979C4" w:rsidRPr="00EB2612">
        <w:t xml:space="preserve"> podíl</w:t>
      </w:r>
      <w:r w:rsidR="00AB7963" w:rsidRPr="00EB2612">
        <w:t xml:space="preserve"> </w:t>
      </w:r>
      <w:r w:rsidR="008979C4" w:rsidRPr="00EB2612">
        <w:t xml:space="preserve">vinylových desek </w:t>
      </w:r>
      <w:r w:rsidR="00AB7963" w:rsidRPr="00EB2612">
        <w:t>na c</w:t>
      </w:r>
      <w:r w:rsidR="008979C4" w:rsidRPr="00EB2612">
        <w:t>elkových příjmech hudebního trhu byl</w:t>
      </w:r>
      <w:r w:rsidR="00AB7963" w:rsidRPr="00EB2612">
        <w:t xml:space="preserve"> ještě před několika lety nepředstavitelný</w:t>
      </w:r>
      <w:r w:rsidR="008979C4" w:rsidRPr="00EB2612">
        <w:t xml:space="preserve"> a do budoucna lze očekávat další posílení pozice tohoto formátu</w:t>
      </w:r>
      <w:r w:rsidRPr="00EB2612">
        <w:t>.</w:t>
      </w:r>
    </w:p>
    <w:p w:rsidR="00BB64DB" w:rsidRPr="00EB2612" w:rsidRDefault="00BB64DB" w:rsidP="003A4800">
      <w:pPr>
        <w:pStyle w:val="Titulek"/>
        <w:keepNext/>
        <w:jc w:val="left"/>
        <w:rPr>
          <w:color w:val="auto"/>
          <w:sz w:val="22"/>
          <w:szCs w:val="22"/>
        </w:rPr>
      </w:pPr>
      <w:r w:rsidRPr="00EB2612">
        <w:rPr>
          <w:color w:val="auto"/>
          <w:sz w:val="22"/>
          <w:szCs w:val="22"/>
        </w:rPr>
        <w:t xml:space="preserve">Graf </w:t>
      </w:r>
      <w:r w:rsidR="00424B58">
        <w:rPr>
          <w:color w:val="auto"/>
          <w:sz w:val="22"/>
          <w:szCs w:val="22"/>
        </w:rPr>
        <w:t>42</w:t>
      </w:r>
      <w:r w:rsidRPr="00EB2612">
        <w:rPr>
          <w:color w:val="auto"/>
          <w:sz w:val="22"/>
          <w:szCs w:val="22"/>
        </w:rPr>
        <w:t xml:space="preserve"> </w:t>
      </w:r>
      <w:r w:rsidR="00FD1391" w:rsidRPr="00EB2612">
        <w:rPr>
          <w:b w:val="0"/>
          <w:color w:val="auto"/>
          <w:sz w:val="22"/>
          <w:szCs w:val="22"/>
        </w:rPr>
        <w:t xml:space="preserve">Podíl </w:t>
      </w:r>
      <w:r w:rsidR="008979C4" w:rsidRPr="00EB2612">
        <w:rPr>
          <w:b w:val="0"/>
          <w:color w:val="auto"/>
          <w:sz w:val="22"/>
          <w:szCs w:val="22"/>
        </w:rPr>
        <w:t xml:space="preserve">prodeje </w:t>
      </w:r>
      <w:r w:rsidR="00FD1391" w:rsidRPr="00EB2612">
        <w:rPr>
          <w:b w:val="0"/>
          <w:color w:val="auto"/>
          <w:sz w:val="22"/>
          <w:szCs w:val="22"/>
        </w:rPr>
        <w:t>jednotlivých formátů a práv k nahrávkám</w:t>
      </w:r>
      <w:r w:rsidRPr="00EB2612">
        <w:rPr>
          <w:b w:val="0"/>
          <w:color w:val="auto"/>
          <w:sz w:val="22"/>
          <w:szCs w:val="22"/>
        </w:rPr>
        <w:t xml:space="preserve"> na </w:t>
      </w:r>
      <w:r w:rsidR="004702DC" w:rsidRPr="00EB2612">
        <w:rPr>
          <w:b w:val="0"/>
          <w:color w:val="auto"/>
          <w:sz w:val="22"/>
          <w:szCs w:val="22"/>
        </w:rPr>
        <w:t>celkových příjmech</w:t>
      </w:r>
      <w:r w:rsidR="008979C4" w:rsidRPr="00EB2612">
        <w:rPr>
          <w:b w:val="0"/>
          <w:color w:val="auto"/>
          <w:sz w:val="22"/>
          <w:szCs w:val="22"/>
        </w:rPr>
        <w:t xml:space="preserve"> </w:t>
      </w:r>
      <w:r w:rsidR="00726F43">
        <w:rPr>
          <w:b w:val="0"/>
          <w:color w:val="auto"/>
          <w:sz w:val="22"/>
          <w:szCs w:val="22"/>
        </w:rPr>
        <w:t>z hudebních nahrávek</w:t>
      </w:r>
      <w:r w:rsidR="00145A10">
        <w:rPr>
          <w:b w:val="0"/>
          <w:color w:val="auto"/>
          <w:sz w:val="22"/>
          <w:szCs w:val="22"/>
        </w:rPr>
        <w:t xml:space="preserve"> </w:t>
      </w:r>
      <w:r w:rsidR="004702DC" w:rsidRPr="00EB2612">
        <w:rPr>
          <w:b w:val="0"/>
          <w:color w:val="auto"/>
          <w:sz w:val="22"/>
          <w:szCs w:val="22"/>
        </w:rPr>
        <w:t>v roce 201</w:t>
      </w:r>
      <w:r w:rsidR="00EA41D4" w:rsidRPr="00EB2612">
        <w:rPr>
          <w:b w:val="0"/>
          <w:color w:val="auto"/>
          <w:sz w:val="22"/>
          <w:szCs w:val="22"/>
        </w:rPr>
        <w:t>9</w:t>
      </w:r>
    </w:p>
    <w:p w:rsidR="00BB64DB" w:rsidRPr="00EB2612" w:rsidRDefault="00CB7D34" w:rsidP="00BB64DB">
      <w:pPr>
        <w:keepNext/>
        <w:jc w:val="center"/>
      </w:pPr>
      <w:r w:rsidRPr="00EB2612">
        <w:rPr>
          <w:noProof/>
        </w:rPr>
        <w:drawing>
          <wp:inline distT="0" distB="0" distL="0" distR="0">
            <wp:extent cx="4181475" cy="1809750"/>
            <wp:effectExtent l="0" t="0" r="0" b="0"/>
            <wp:docPr id="132"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B64DB" w:rsidRPr="00EB2612" w:rsidRDefault="00564762" w:rsidP="00BB64DB">
      <w:pPr>
        <w:pStyle w:val="Titulek"/>
        <w:rPr>
          <w:b w:val="0"/>
          <w:color w:val="auto"/>
          <w:sz w:val="22"/>
          <w:szCs w:val="22"/>
        </w:rPr>
      </w:pPr>
      <w:r w:rsidRPr="00EB2612">
        <w:rPr>
          <w:b w:val="0"/>
          <w:color w:val="auto"/>
          <w:sz w:val="22"/>
          <w:szCs w:val="22"/>
        </w:rPr>
        <w:t>Zdroj: ČNS</w:t>
      </w:r>
      <w:r w:rsidR="00BB64DB" w:rsidRPr="00EB2612">
        <w:rPr>
          <w:b w:val="0"/>
          <w:color w:val="auto"/>
          <w:sz w:val="22"/>
          <w:szCs w:val="22"/>
        </w:rPr>
        <w:t xml:space="preserve"> IFPI</w:t>
      </w:r>
    </w:p>
    <w:p w:rsidR="00C20932" w:rsidRPr="00EB2612" w:rsidRDefault="00C20932" w:rsidP="00C20932">
      <w:pPr>
        <w:rPr>
          <w:lang w:eastAsia="en-US"/>
        </w:rPr>
      </w:pPr>
      <w:r w:rsidRPr="00EB2612">
        <w:rPr>
          <w:lang w:eastAsia="en-US"/>
        </w:rPr>
        <w:t>To, že čeští posluchači dávají přednost digitálním formátům před těmi fyzickými</w:t>
      </w:r>
      <w:r w:rsidR="0065040F" w:rsidRPr="00EB2612">
        <w:rPr>
          <w:lang w:eastAsia="en-US"/>
        </w:rPr>
        <w:t>,</w:t>
      </w:r>
      <w:r w:rsidRPr="00EB2612">
        <w:rPr>
          <w:lang w:eastAsia="en-US"/>
        </w:rPr>
        <w:t xml:space="preserve"> dokládá časová řada v</w:t>
      </w:r>
      <w:r w:rsidR="003A4800" w:rsidRPr="00EB2612">
        <w:rPr>
          <w:lang w:eastAsia="en-US"/>
        </w:rPr>
        <w:t> </w:t>
      </w:r>
      <w:r w:rsidRPr="00EB2612">
        <w:rPr>
          <w:lang w:eastAsia="en-US"/>
        </w:rPr>
        <w:t>G</w:t>
      </w:r>
      <w:r w:rsidR="0065040F" w:rsidRPr="00EB2612">
        <w:rPr>
          <w:lang w:eastAsia="en-US"/>
        </w:rPr>
        <w:t>r</w:t>
      </w:r>
      <w:r w:rsidR="00CD5C5C" w:rsidRPr="00EB2612">
        <w:rPr>
          <w:lang w:eastAsia="en-US"/>
        </w:rPr>
        <w:t>afu</w:t>
      </w:r>
      <w:r w:rsidR="003A4800" w:rsidRPr="00EB2612">
        <w:rPr>
          <w:lang w:eastAsia="en-US"/>
        </w:rPr>
        <w:t> </w:t>
      </w:r>
      <w:r w:rsidR="00FF526E">
        <w:rPr>
          <w:lang w:eastAsia="en-US"/>
        </w:rPr>
        <w:t>43</w:t>
      </w:r>
      <w:r w:rsidRPr="00EB2612">
        <w:rPr>
          <w:lang w:eastAsia="en-US"/>
        </w:rPr>
        <w:t>. P</w:t>
      </w:r>
      <w:r w:rsidR="00141308" w:rsidRPr="00EB2612">
        <w:rPr>
          <w:lang w:eastAsia="en-US"/>
        </w:rPr>
        <w:t>odle odhadů ČNS IFPI v roce 2019</w:t>
      </w:r>
      <w:r w:rsidRPr="00EB2612">
        <w:rPr>
          <w:lang w:eastAsia="en-US"/>
        </w:rPr>
        <w:t xml:space="preserve"> příjmy z digitálních nahrávek </w:t>
      </w:r>
      <w:r w:rsidR="00656938" w:rsidRPr="00EB2612">
        <w:rPr>
          <w:lang w:eastAsia="en-US"/>
        </w:rPr>
        <w:t>již</w:t>
      </w:r>
      <w:r w:rsidR="00141308" w:rsidRPr="00EB2612">
        <w:rPr>
          <w:lang w:eastAsia="en-US"/>
        </w:rPr>
        <w:t xml:space="preserve"> potřetí</w:t>
      </w:r>
      <w:r w:rsidRPr="00EB2612">
        <w:rPr>
          <w:lang w:eastAsia="en-US"/>
        </w:rPr>
        <w:t xml:space="preserve"> </w:t>
      </w:r>
      <w:r w:rsidR="00141308" w:rsidRPr="00EB2612">
        <w:rPr>
          <w:lang w:eastAsia="en-US"/>
        </w:rPr>
        <w:t xml:space="preserve">překonaly </w:t>
      </w:r>
      <w:r w:rsidRPr="00EB2612">
        <w:rPr>
          <w:lang w:eastAsia="en-US"/>
        </w:rPr>
        <w:t xml:space="preserve">příjmy z fyzických formátů a od roku 2013 jejich podíl vzrostl </w:t>
      </w:r>
      <w:r w:rsidR="00656938" w:rsidRPr="00EB2612">
        <w:rPr>
          <w:lang w:eastAsia="en-US"/>
        </w:rPr>
        <w:t>více než</w:t>
      </w:r>
      <w:r w:rsidRPr="00EB2612">
        <w:rPr>
          <w:lang w:eastAsia="en-US"/>
        </w:rPr>
        <w:t xml:space="preserve"> dvojnásobně. Jak již bylo zmíněno výše, jedná se o odhad příjmů v celém hudebním trhu </w:t>
      </w:r>
      <w:r w:rsidR="001132C6" w:rsidRPr="00EB2612">
        <w:rPr>
          <w:lang w:eastAsia="en-US"/>
        </w:rPr>
        <w:t>zahrnující</w:t>
      </w:r>
      <w:r w:rsidRPr="00EB2612">
        <w:rPr>
          <w:lang w:eastAsia="en-US"/>
        </w:rPr>
        <w:t xml:space="preserve"> data od členských společností IFPI, spřízněných organizací a </w:t>
      </w:r>
      <w:r w:rsidR="003F593B" w:rsidRPr="00EB2612">
        <w:rPr>
          <w:lang w:eastAsia="en-US"/>
        </w:rPr>
        <w:t>dopočtená</w:t>
      </w:r>
      <w:r w:rsidR="001132C6" w:rsidRPr="00EB2612">
        <w:rPr>
          <w:lang w:eastAsia="en-US"/>
        </w:rPr>
        <w:t xml:space="preserve"> data chybějící</w:t>
      </w:r>
      <w:r w:rsidR="00CD5C5C" w:rsidRPr="00EB2612">
        <w:rPr>
          <w:lang w:eastAsia="en-US"/>
        </w:rPr>
        <w:t>ch subjektů.</w:t>
      </w:r>
    </w:p>
    <w:p w:rsidR="00BB64DB" w:rsidRPr="00EB2612" w:rsidRDefault="00BB64DB" w:rsidP="00BB64DB">
      <w:pPr>
        <w:pStyle w:val="Titulek"/>
        <w:keepNext/>
        <w:rPr>
          <w:b w:val="0"/>
          <w:color w:val="auto"/>
          <w:sz w:val="22"/>
          <w:szCs w:val="22"/>
        </w:rPr>
      </w:pPr>
      <w:r w:rsidRPr="00EB2612">
        <w:rPr>
          <w:color w:val="auto"/>
          <w:sz w:val="22"/>
          <w:szCs w:val="22"/>
        </w:rPr>
        <w:lastRenderedPageBreak/>
        <w:t xml:space="preserve">Graf </w:t>
      </w:r>
      <w:r w:rsidR="00424B58">
        <w:rPr>
          <w:color w:val="auto"/>
          <w:sz w:val="22"/>
          <w:szCs w:val="22"/>
        </w:rPr>
        <w:t>43</w:t>
      </w:r>
      <w:r w:rsidRPr="00EB2612">
        <w:rPr>
          <w:color w:val="auto"/>
          <w:sz w:val="22"/>
          <w:szCs w:val="22"/>
        </w:rPr>
        <w:t xml:space="preserve"> </w:t>
      </w:r>
      <w:r w:rsidR="0065040F" w:rsidRPr="00EB2612">
        <w:rPr>
          <w:b w:val="0"/>
          <w:color w:val="auto"/>
          <w:sz w:val="22"/>
          <w:szCs w:val="22"/>
        </w:rPr>
        <w:t xml:space="preserve">Podíl </w:t>
      </w:r>
      <w:r w:rsidR="00C20932" w:rsidRPr="00EB2612">
        <w:rPr>
          <w:b w:val="0"/>
          <w:color w:val="auto"/>
          <w:sz w:val="22"/>
          <w:szCs w:val="22"/>
        </w:rPr>
        <w:t>digitálních a fyzických nosičů</w:t>
      </w:r>
      <w:r w:rsidR="0065040F" w:rsidRPr="00EB2612">
        <w:rPr>
          <w:b w:val="0"/>
          <w:color w:val="auto"/>
          <w:sz w:val="22"/>
          <w:szCs w:val="22"/>
        </w:rPr>
        <w:t xml:space="preserve"> na příjmech z prodeje hudebních nahrávek</w:t>
      </w:r>
      <w:r w:rsidR="00CD5C5C" w:rsidRPr="00EB2612">
        <w:rPr>
          <w:b w:val="0"/>
          <w:color w:val="auto"/>
          <w:sz w:val="22"/>
          <w:szCs w:val="22"/>
        </w:rPr>
        <w:t xml:space="preserve"> (odhad)</w:t>
      </w:r>
    </w:p>
    <w:p w:rsidR="00BB64DB" w:rsidRPr="00EB2612" w:rsidRDefault="00141308" w:rsidP="00CD5C5C">
      <w:pPr>
        <w:jc w:val="center"/>
        <w:rPr>
          <w:lang w:eastAsia="en-US"/>
        </w:rPr>
      </w:pPr>
      <w:r w:rsidRPr="00EB2612">
        <w:rPr>
          <w:noProof/>
        </w:rPr>
        <w:drawing>
          <wp:inline distT="0" distB="0" distL="0" distR="0">
            <wp:extent cx="5476875" cy="1609725"/>
            <wp:effectExtent l="0" t="0" r="0" b="0"/>
            <wp:docPr id="137"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41308" w:rsidRPr="00EB2612" w:rsidRDefault="00BB64DB" w:rsidP="00141308">
      <w:pPr>
        <w:pStyle w:val="Titulek"/>
        <w:rPr>
          <w:b w:val="0"/>
          <w:color w:val="auto"/>
          <w:sz w:val="22"/>
          <w:szCs w:val="22"/>
        </w:rPr>
      </w:pPr>
      <w:r w:rsidRPr="00EB2612">
        <w:rPr>
          <w:b w:val="0"/>
          <w:color w:val="auto"/>
          <w:sz w:val="22"/>
          <w:szCs w:val="22"/>
        </w:rPr>
        <w:t xml:space="preserve">Zdroj: </w:t>
      </w:r>
      <w:r w:rsidR="00564762" w:rsidRPr="00EB2612">
        <w:rPr>
          <w:b w:val="0"/>
          <w:color w:val="auto"/>
          <w:sz w:val="22"/>
          <w:szCs w:val="22"/>
        </w:rPr>
        <w:t>ČNS IFPI</w:t>
      </w:r>
    </w:p>
    <w:p w:rsidR="00427534" w:rsidRPr="00EB2612" w:rsidRDefault="00427534" w:rsidP="00EC5902">
      <w:r w:rsidRPr="00EB2612">
        <w:t xml:space="preserve">I přesto, že příjmy z placených </w:t>
      </w:r>
      <w:r w:rsidR="00356C82" w:rsidRPr="00EB2612">
        <w:t xml:space="preserve">streamingových platforem rostou, má jejich využití mezi českými posluchači </w:t>
      </w:r>
      <w:r w:rsidR="00EA41D4" w:rsidRPr="00EB2612">
        <w:t xml:space="preserve">zatím </w:t>
      </w:r>
      <w:r w:rsidR="00356C82" w:rsidRPr="00EB2612">
        <w:t xml:space="preserve">velké rezervy. Zatímco </w:t>
      </w:r>
      <w:r w:rsidR="00EA41D4" w:rsidRPr="00EB2612">
        <w:t>hudbu</w:t>
      </w:r>
      <w:r w:rsidR="00356C82" w:rsidRPr="00EB2612">
        <w:t xml:space="preserve"> přes internet poslo</w:t>
      </w:r>
      <w:r w:rsidR="00EA41D4" w:rsidRPr="00EB2612">
        <w:t>u</w:t>
      </w:r>
      <w:r w:rsidR="00356C82" w:rsidRPr="00EB2612">
        <w:t>chalo v roce 2019</w:t>
      </w:r>
      <w:r w:rsidR="00EA41D4" w:rsidRPr="00EB2612">
        <w:t xml:space="preserve"> přibližně 44</w:t>
      </w:r>
      <w:r w:rsidR="00356C82" w:rsidRPr="00EB2612">
        <w:t xml:space="preserve"> </w:t>
      </w:r>
      <w:r w:rsidR="00EA41D4" w:rsidRPr="00EB2612">
        <w:t>% osob starších 16 let, za poslech přes placené stránky či aplikace zaplatilo pouze 3 % osob ve sledované kategorii. Některé streamingové služby (jako např. Spotify či YouTube Music) jsou však dostupné uživatelům také zdarma přerušov</w:t>
      </w:r>
      <w:r w:rsidR="004D7235" w:rsidRPr="00EB2612">
        <w:t>ané</w:t>
      </w:r>
      <w:r w:rsidR="00EA41D4" w:rsidRPr="00EB2612">
        <w:t xml:space="preserve"> obchodním sdělením.</w:t>
      </w:r>
      <w:r w:rsidR="004D7235" w:rsidRPr="00EB2612">
        <w:t xml:space="preserve"> Nejvyšší podíl (89 %) posluchačů online hudby je mezi mladými lidmi ve věku 16 – 24 let a nejvyšší podíl (9 %) uživatelů placených služeb najdeme ve věkové kategorii 25 – 34 let. Mezi staršími lidmi nad 65 let je pouze 13 % posluchačů hudby</w:t>
      </w:r>
      <w:r w:rsidR="00EF2525" w:rsidRPr="00EB2612">
        <w:t xml:space="preserve"> online</w:t>
      </w:r>
      <w:r w:rsidR="004D7235" w:rsidRPr="00EB2612">
        <w:t xml:space="preserve"> a podíl uživatelů placených služeb se blíží nule. </w:t>
      </w:r>
    </w:p>
    <w:p w:rsidR="00EA41D4" w:rsidRPr="00EB2612" w:rsidRDefault="00424B58" w:rsidP="00EA41D4">
      <w:pPr>
        <w:pStyle w:val="Titulek"/>
        <w:keepNext/>
        <w:rPr>
          <w:color w:val="auto"/>
          <w:sz w:val="22"/>
          <w:szCs w:val="22"/>
        </w:rPr>
      </w:pPr>
      <w:r w:rsidRPr="00424B58">
        <w:rPr>
          <w:color w:val="auto"/>
          <w:sz w:val="22"/>
          <w:szCs w:val="22"/>
        </w:rPr>
        <w:t xml:space="preserve">Graf </w:t>
      </w:r>
      <w:r>
        <w:rPr>
          <w:color w:val="auto"/>
          <w:sz w:val="22"/>
          <w:szCs w:val="22"/>
        </w:rPr>
        <w:t>44</w:t>
      </w:r>
      <w:r w:rsidR="00EF2525" w:rsidRPr="00EB2612">
        <w:rPr>
          <w:color w:val="auto"/>
          <w:sz w:val="22"/>
          <w:szCs w:val="22"/>
        </w:rPr>
        <w:t xml:space="preserve"> </w:t>
      </w:r>
      <w:r w:rsidR="00EF2525" w:rsidRPr="00EB2612">
        <w:rPr>
          <w:b w:val="0"/>
          <w:color w:val="auto"/>
          <w:sz w:val="22"/>
          <w:szCs w:val="22"/>
        </w:rPr>
        <w:t xml:space="preserve">Podíl osob </w:t>
      </w:r>
      <w:r>
        <w:rPr>
          <w:b w:val="0"/>
          <w:color w:val="auto"/>
          <w:sz w:val="22"/>
          <w:szCs w:val="22"/>
        </w:rPr>
        <w:t xml:space="preserve">starších 16 let využívajících internet k </w:t>
      </w:r>
      <w:r w:rsidR="003F593B" w:rsidRPr="00EB2612">
        <w:rPr>
          <w:b w:val="0"/>
          <w:color w:val="auto"/>
          <w:sz w:val="22"/>
          <w:szCs w:val="22"/>
        </w:rPr>
        <w:t>poslechu</w:t>
      </w:r>
      <w:r>
        <w:rPr>
          <w:b w:val="0"/>
          <w:color w:val="auto"/>
          <w:sz w:val="22"/>
          <w:szCs w:val="22"/>
        </w:rPr>
        <w:t xml:space="preserve"> hudby</w:t>
      </w:r>
      <w:r w:rsidR="00EF2525" w:rsidRPr="00EB2612">
        <w:rPr>
          <w:b w:val="0"/>
          <w:color w:val="auto"/>
          <w:sz w:val="22"/>
          <w:szCs w:val="22"/>
        </w:rPr>
        <w:t xml:space="preserve"> v roce 2019</w:t>
      </w:r>
      <w:r>
        <w:rPr>
          <w:b w:val="0"/>
          <w:color w:val="auto"/>
          <w:sz w:val="22"/>
          <w:szCs w:val="22"/>
        </w:rPr>
        <w:t>,</w:t>
      </w:r>
      <w:r w:rsidR="00EF2525" w:rsidRPr="00EB2612">
        <w:rPr>
          <w:b w:val="0"/>
          <w:color w:val="auto"/>
          <w:sz w:val="22"/>
          <w:szCs w:val="22"/>
        </w:rPr>
        <w:t xml:space="preserve"> podle věkových kategorií</w:t>
      </w:r>
    </w:p>
    <w:p w:rsidR="00CD5C5C" w:rsidRPr="00B37218" w:rsidRDefault="00427534" w:rsidP="00B37218">
      <w:pPr>
        <w:pStyle w:val="Titulek"/>
        <w:rPr>
          <w:b w:val="0"/>
          <w:color w:val="auto"/>
          <w:sz w:val="22"/>
          <w:szCs w:val="22"/>
        </w:rPr>
      </w:pPr>
      <w:r w:rsidRPr="00EB2612">
        <w:rPr>
          <w:b w:val="0"/>
          <w:noProof/>
          <w:color w:val="auto"/>
          <w:sz w:val="22"/>
          <w:szCs w:val="22"/>
          <w:lang w:eastAsia="cs-CZ"/>
        </w:rPr>
        <w:drawing>
          <wp:inline distT="0" distB="0" distL="0" distR="0">
            <wp:extent cx="6124575" cy="2247900"/>
            <wp:effectExtent l="0" t="0" r="0" b="0"/>
            <wp:docPr id="144"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EA41D4" w:rsidRPr="00EB2612">
        <w:rPr>
          <w:b w:val="0"/>
          <w:color w:val="auto"/>
          <w:sz w:val="22"/>
          <w:szCs w:val="22"/>
        </w:rPr>
        <w:t>Zdroj:</w:t>
      </w:r>
      <w:r w:rsidR="00EF2525" w:rsidRPr="00EB2612">
        <w:rPr>
          <w:b w:val="0"/>
          <w:color w:val="auto"/>
          <w:sz w:val="22"/>
          <w:szCs w:val="22"/>
        </w:rPr>
        <w:t xml:space="preserve"> Výběrové šetření o informačních a komunikačních technologiích, ČSÚ</w:t>
      </w:r>
    </w:p>
    <w:sectPr w:rsidR="00CD5C5C" w:rsidRPr="00B37218" w:rsidSect="00B37218">
      <w:headerReference w:type="even" r:id="rId29"/>
      <w:headerReference w:type="default" r:id="rId30"/>
      <w:footerReference w:type="even" r:id="rId31"/>
      <w:footerReference w:type="default" r:id="rId32"/>
      <w:footnotePr>
        <w:numStart w:val="7"/>
      </w:footnotePr>
      <w:pgSz w:w="11906" w:h="16838" w:code="9"/>
      <w:pgMar w:top="1134" w:right="1134" w:bottom="1418" w:left="1134" w:header="680" w:footer="680"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8A9" w:rsidRDefault="001368A9" w:rsidP="00E71A58">
      <w:r>
        <w:separator/>
      </w:r>
    </w:p>
  </w:endnote>
  <w:endnote w:type="continuationSeparator" w:id="0">
    <w:p w:rsidR="001368A9" w:rsidRDefault="001368A9"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D4" w:rsidRPr="0094032D" w:rsidRDefault="00705045" w:rsidP="0094032D">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A477D4" w:rsidRPr="005A21E0">
      <w:rPr>
        <w:rFonts w:ascii="Arial" w:hAnsi="Arial" w:cs="Arial"/>
        <w:sz w:val="16"/>
        <w:szCs w:val="16"/>
      </w:rPr>
      <w:fldChar w:fldCharType="begin"/>
    </w:r>
    <w:r w:rsidRPr="005A21E0">
      <w:rPr>
        <w:rFonts w:ascii="Arial" w:hAnsi="Arial" w:cs="Arial"/>
        <w:sz w:val="16"/>
        <w:szCs w:val="16"/>
      </w:rPr>
      <w:instrText>PAGE   \* MERGEFORMAT</w:instrText>
    </w:r>
    <w:r w:rsidR="00A477D4" w:rsidRPr="005A21E0">
      <w:rPr>
        <w:rFonts w:ascii="Arial" w:hAnsi="Arial" w:cs="Arial"/>
        <w:sz w:val="16"/>
        <w:szCs w:val="16"/>
      </w:rPr>
      <w:fldChar w:fldCharType="separate"/>
    </w:r>
    <w:r w:rsidR="00B37218">
      <w:rPr>
        <w:rFonts w:ascii="Arial" w:hAnsi="Arial" w:cs="Arial"/>
        <w:noProof/>
        <w:sz w:val="16"/>
        <w:szCs w:val="16"/>
      </w:rPr>
      <w:t>38</w:t>
    </w:r>
    <w:r w:rsidR="00A477D4" w:rsidRPr="005A21E0">
      <w:rPr>
        <w:rFonts w:ascii="Arial" w:hAnsi="Arial" w:cs="Arial"/>
        <w:sz w:val="16"/>
        <w:szCs w:val="16"/>
      </w:rPr>
      <w:fldChar w:fldCharType="end"/>
    </w:r>
    <w:r>
      <w:rPr>
        <w:rFonts w:ascii="Arial" w:hAnsi="Arial" w:cs="Arial"/>
        <w:sz w:val="16"/>
        <w:szCs w:val="16"/>
      </w:rPr>
      <w:tab/>
      <w:t>2019</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5" w:rsidRDefault="00705045" w:rsidP="0094032D">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-83820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rPr>
        <w:rFonts w:ascii="Arial" w:hAnsi="Arial" w:cs="Arial"/>
        <w:sz w:val="16"/>
        <w:szCs w:val="16"/>
      </w:rPr>
      <w:tab/>
    </w:r>
    <w:r>
      <w:rPr>
        <w:rFonts w:ascii="Arial" w:hAnsi="Arial" w:cs="Arial"/>
        <w:sz w:val="16"/>
        <w:szCs w:val="16"/>
      </w:rPr>
      <w:tab/>
    </w:r>
    <w:r>
      <w:rPr>
        <w:rFonts w:ascii="Arial" w:hAnsi="Arial" w:cs="Arial"/>
        <w:sz w:val="16"/>
        <w:szCs w:val="16"/>
      </w:rPr>
      <w:tab/>
      <w:t>2019</w:t>
    </w:r>
    <w:r>
      <w:tab/>
    </w:r>
    <w:r>
      <w:tab/>
    </w:r>
    <w:r w:rsidR="00A477D4" w:rsidRPr="00B6608F">
      <w:rPr>
        <w:rFonts w:ascii="Arial" w:hAnsi="Arial" w:cs="Arial"/>
        <w:sz w:val="16"/>
        <w:szCs w:val="16"/>
      </w:rPr>
      <w:fldChar w:fldCharType="begin"/>
    </w:r>
    <w:r w:rsidRPr="00B6608F">
      <w:rPr>
        <w:rFonts w:ascii="Arial" w:hAnsi="Arial" w:cs="Arial"/>
        <w:sz w:val="16"/>
        <w:szCs w:val="16"/>
      </w:rPr>
      <w:instrText>PAGE   \* MERGEFORMAT</w:instrText>
    </w:r>
    <w:r w:rsidR="00A477D4" w:rsidRPr="00B6608F">
      <w:rPr>
        <w:rFonts w:ascii="Arial" w:hAnsi="Arial" w:cs="Arial"/>
        <w:sz w:val="16"/>
        <w:szCs w:val="16"/>
      </w:rPr>
      <w:fldChar w:fldCharType="separate"/>
    </w:r>
    <w:r w:rsidR="00B37218">
      <w:rPr>
        <w:rFonts w:ascii="Arial" w:hAnsi="Arial" w:cs="Arial"/>
        <w:noProof/>
        <w:sz w:val="16"/>
        <w:szCs w:val="16"/>
      </w:rPr>
      <w:t>29</w:t>
    </w:r>
    <w:r w:rsidR="00A477D4"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8A9" w:rsidRDefault="001368A9" w:rsidP="00E71A58">
      <w:r>
        <w:separator/>
      </w:r>
    </w:p>
  </w:footnote>
  <w:footnote w:type="continuationSeparator" w:id="0">
    <w:p w:rsidR="001368A9" w:rsidRDefault="001368A9" w:rsidP="00E71A58">
      <w:r>
        <w:continuationSeparator/>
      </w:r>
    </w:p>
  </w:footnote>
  <w:footnote w:id="1">
    <w:p w:rsidR="00705045" w:rsidRDefault="00705045">
      <w:pPr>
        <w:pStyle w:val="Textpoznpodarou"/>
      </w:pPr>
      <w:r>
        <w:rPr>
          <w:rStyle w:val="Znakapoznpodarou"/>
        </w:rPr>
        <w:footnoteRef/>
      </w:r>
      <w:r>
        <w:t xml:space="preserve"> Počet diváků, kteří navštívili ve sledovaném roce kinosál.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5" w:rsidRPr="00AD306C" w:rsidRDefault="00705045"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5" w:rsidRPr="00DC5B3B" w:rsidRDefault="00705045"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9B753F5"/>
    <w:multiLevelType w:val="hybridMultilevel"/>
    <w:tmpl w:val="EA44B3D4"/>
    <w:lvl w:ilvl="0" w:tplc="2C68DA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4A6449C"/>
    <w:multiLevelType w:val="multilevel"/>
    <w:tmpl w:val="82185780"/>
    <w:lvl w:ilvl="0">
      <w:start w:val="5"/>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0"/>
  </w:num>
  <w:num w:numId="5">
    <w:abstractNumId w:val="17"/>
  </w:num>
  <w:num w:numId="6">
    <w:abstractNumId w:val="2"/>
  </w:num>
  <w:num w:numId="7">
    <w:abstractNumId w:val="1"/>
  </w:num>
  <w:num w:numId="8">
    <w:abstractNumId w:val="15"/>
  </w:num>
  <w:num w:numId="9">
    <w:abstractNumId w:val="16"/>
  </w:num>
  <w:num w:numId="10">
    <w:abstractNumId w:val="6"/>
  </w:num>
  <w:num w:numId="11">
    <w:abstractNumId w:val="4"/>
  </w:num>
  <w:num w:numId="12">
    <w:abstractNumId w:val="10"/>
  </w:num>
  <w:num w:numId="13">
    <w:abstractNumId w:val="13"/>
  </w:num>
  <w:num w:numId="14">
    <w:abstractNumId w:val="11"/>
  </w:num>
  <w:num w:numId="15">
    <w:abstractNumId w:val="9"/>
  </w:num>
  <w:num w:numId="16">
    <w:abstractNumId w:val="3"/>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109570">
      <o:colormru v:ext="edit" colors="#ecf4dd,#eaecee,#fcec0a,#fcecdb,#f1daf5"/>
    </o:shapedefaults>
  </w:hdrShapeDefaults>
  <w:footnotePr>
    <w:numStart w:val="7"/>
    <w:footnote w:id="-1"/>
    <w:footnote w:id="0"/>
  </w:footnotePr>
  <w:endnotePr>
    <w:endnote w:id="-1"/>
    <w:endnote w:id="0"/>
  </w:endnotePr>
  <w:compat/>
  <w:rsids>
    <w:rsidRoot w:val="00F2719E"/>
    <w:rsid w:val="00001CBC"/>
    <w:rsid w:val="0000213E"/>
    <w:rsid w:val="00003EB5"/>
    <w:rsid w:val="000055B7"/>
    <w:rsid w:val="000057AA"/>
    <w:rsid w:val="00005C1A"/>
    <w:rsid w:val="00006E97"/>
    <w:rsid w:val="000073B4"/>
    <w:rsid w:val="0000746B"/>
    <w:rsid w:val="0000767A"/>
    <w:rsid w:val="00010702"/>
    <w:rsid w:val="0001137B"/>
    <w:rsid w:val="000114A4"/>
    <w:rsid w:val="00011DA8"/>
    <w:rsid w:val="00011F3D"/>
    <w:rsid w:val="00012C46"/>
    <w:rsid w:val="0001315B"/>
    <w:rsid w:val="00013DBA"/>
    <w:rsid w:val="00014F4C"/>
    <w:rsid w:val="00015D27"/>
    <w:rsid w:val="00015DE3"/>
    <w:rsid w:val="00016534"/>
    <w:rsid w:val="00020722"/>
    <w:rsid w:val="00020FF8"/>
    <w:rsid w:val="00023EDD"/>
    <w:rsid w:val="000251B8"/>
    <w:rsid w:val="00026804"/>
    <w:rsid w:val="00027455"/>
    <w:rsid w:val="00030619"/>
    <w:rsid w:val="00033CE1"/>
    <w:rsid w:val="000343E1"/>
    <w:rsid w:val="00035134"/>
    <w:rsid w:val="000360F3"/>
    <w:rsid w:val="00037107"/>
    <w:rsid w:val="00037854"/>
    <w:rsid w:val="00040658"/>
    <w:rsid w:val="000414D9"/>
    <w:rsid w:val="00041902"/>
    <w:rsid w:val="00042038"/>
    <w:rsid w:val="00042B50"/>
    <w:rsid w:val="00042E63"/>
    <w:rsid w:val="00043B12"/>
    <w:rsid w:val="000443B0"/>
    <w:rsid w:val="00045846"/>
    <w:rsid w:val="00045A03"/>
    <w:rsid w:val="0004694F"/>
    <w:rsid w:val="00046FD2"/>
    <w:rsid w:val="000472B0"/>
    <w:rsid w:val="00050886"/>
    <w:rsid w:val="00051988"/>
    <w:rsid w:val="00052F4D"/>
    <w:rsid w:val="00054903"/>
    <w:rsid w:val="00054D69"/>
    <w:rsid w:val="00056176"/>
    <w:rsid w:val="000624C6"/>
    <w:rsid w:val="0006271F"/>
    <w:rsid w:val="00062EC5"/>
    <w:rsid w:val="000630A6"/>
    <w:rsid w:val="000636B3"/>
    <w:rsid w:val="00063FC1"/>
    <w:rsid w:val="00065A43"/>
    <w:rsid w:val="000665F4"/>
    <w:rsid w:val="00067B3F"/>
    <w:rsid w:val="00067FD5"/>
    <w:rsid w:val="00070E6A"/>
    <w:rsid w:val="000728C1"/>
    <w:rsid w:val="00072ED0"/>
    <w:rsid w:val="0007483B"/>
    <w:rsid w:val="00075BB9"/>
    <w:rsid w:val="00075EB5"/>
    <w:rsid w:val="00076B2C"/>
    <w:rsid w:val="00077ECA"/>
    <w:rsid w:val="00082977"/>
    <w:rsid w:val="00084A0D"/>
    <w:rsid w:val="00086610"/>
    <w:rsid w:val="00086DBB"/>
    <w:rsid w:val="00087634"/>
    <w:rsid w:val="00092D20"/>
    <w:rsid w:val="00093340"/>
    <w:rsid w:val="00096D5E"/>
    <w:rsid w:val="000A0B24"/>
    <w:rsid w:val="000A0F0E"/>
    <w:rsid w:val="000A0FF8"/>
    <w:rsid w:val="000A1183"/>
    <w:rsid w:val="000A1A9F"/>
    <w:rsid w:val="000A1C9C"/>
    <w:rsid w:val="000A3293"/>
    <w:rsid w:val="000A344D"/>
    <w:rsid w:val="000A36DA"/>
    <w:rsid w:val="000A5D59"/>
    <w:rsid w:val="000A72DF"/>
    <w:rsid w:val="000B2D38"/>
    <w:rsid w:val="000B3393"/>
    <w:rsid w:val="000B3817"/>
    <w:rsid w:val="000B3E9E"/>
    <w:rsid w:val="000B3FA5"/>
    <w:rsid w:val="000B6EF8"/>
    <w:rsid w:val="000C0391"/>
    <w:rsid w:val="000C27A2"/>
    <w:rsid w:val="000C3408"/>
    <w:rsid w:val="000C3D1A"/>
    <w:rsid w:val="000C43C6"/>
    <w:rsid w:val="000C53B3"/>
    <w:rsid w:val="000C5653"/>
    <w:rsid w:val="000C7B44"/>
    <w:rsid w:val="000D0A66"/>
    <w:rsid w:val="000D21E1"/>
    <w:rsid w:val="000D3256"/>
    <w:rsid w:val="000D3FD9"/>
    <w:rsid w:val="000D3FEF"/>
    <w:rsid w:val="000D41C4"/>
    <w:rsid w:val="000D50FF"/>
    <w:rsid w:val="000E077B"/>
    <w:rsid w:val="000E0D24"/>
    <w:rsid w:val="000E178F"/>
    <w:rsid w:val="000E334B"/>
    <w:rsid w:val="000E3B13"/>
    <w:rsid w:val="000E3F07"/>
    <w:rsid w:val="000E3F11"/>
    <w:rsid w:val="000E44A0"/>
    <w:rsid w:val="000E4FAD"/>
    <w:rsid w:val="000E5EEF"/>
    <w:rsid w:val="000E5F9D"/>
    <w:rsid w:val="000E7074"/>
    <w:rsid w:val="000F0B50"/>
    <w:rsid w:val="000F1F8C"/>
    <w:rsid w:val="000F4B0F"/>
    <w:rsid w:val="000F6B80"/>
    <w:rsid w:val="000F6FFD"/>
    <w:rsid w:val="0010042A"/>
    <w:rsid w:val="001009D1"/>
    <w:rsid w:val="00103D6C"/>
    <w:rsid w:val="00104257"/>
    <w:rsid w:val="001042A6"/>
    <w:rsid w:val="0010446E"/>
    <w:rsid w:val="00105D5C"/>
    <w:rsid w:val="00107B33"/>
    <w:rsid w:val="001132C6"/>
    <w:rsid w:val="0011354C"/>
    <w:rsid w:val="00113B8D"/>
    <w:rsid w:val="00114747"/>
    <w:rsid w:val="001149CE"/>
    <w:rsid w:val="00114A3F"/>
    <w:rsid w:val="00114BE5"/>
    <w:rsid w:val="00115522"/>
    <w:rsid w:val="00115B4A"/>
    <w:rsid w:val="00120628"/>
    <w:rsid w:val="0012173C"/>
    <w:rsid w:val="00121FC2"/>
    <w:rsid w:val="00121FC7"/>
    <w:rsid w:val="00122CFA"/>
    <w:rsid w:val="001252B4"/>
    <w:rsid w:val="00126988"/>
    <w:rsid w:val="00126EBA"/>
    <w:rsid w:val="00126F11"/>
    <w:rsid w:val="00127405"/>
    <w:rsid w:val="001275BC"/>
    <w:rsid w:val="00130F4A"/>
    <w:rsid w:val="00132090"/>
    <w:rsid w:val="00134285"/>
    <w:rsid w:val="001342F6"/>
    <w:rsid w:val="00134579"/>
    <w:rsid w:val="00135B17"/>
    <w:rsid w:val="0013662C"/>
    <w:rsid w:val="001368A9"/>
    <w:rsid w:val="00136A04"/>
    <w:rsid w:val="0014040A"/>
    <w:rsid w:val="001405FA"/>
    <w:rsid w:val="00141131"/>
    <w:rsid w:val="00141268"/>
    <w:rsid w:val="00141308"/>
    <w:rsid w:val="00141FE5"/>
    <w:rsid w:val="001425C3"/>
    <w:rsid w:val="00143AB2"/>
    <w:rsid w:val="00145A10"/>
    <w:rsid w:val="00145EE4"/>
    <w:rsid w:val="001467F1"/>
    <w:rsid w:val="001471DB"/>
    <w:rsid w:val="00147436"/>
    <w:rsid w:val="00147DC4"/>
    <w:rsid w:val="00150997"/>
    <w:rsid w:val="00150D41"/>
    <w:rsid w:val="001531C9"/>
    <w:rsid w:val="00154174"/>
    <w:rsid w:val="00154890"/>
    <w:rsid w:val="001548F9"/>
    <w:rsid w:val="00154C09"/>
    <w:rsid w:val="00154C75"/>
    <w:rsid w:val="00155FA2"/>
    <w:rsid w:val="001577FA"/>
    <w:rsid w:val="00157EB6"/>
    <w:rsid w:val="0016269D"/>
    <w:rsid w:val="00162937"/>
    <w:rsid w:val="00162FCB"/>
    <w:rsid w:val="00163793"/>
    <w:rsid w:val="001661C5"/>
    <w:rsid w:val="001665E5"/>
    <w:rsid w:val="00166697"/>
    <w:rsid w:val="001670A1"/>
    <w:rsid w:val="00167452"/>
    <w:rsid w:val="00167C65"/>
    <w:rsid w:val="0017016E"/>
    <w:rsid w:val="00170E8B"/>
    <w:rsid w:val="001714F2"/>
    <w:rsid w:val="00171A03"/>
    <w:rsid w:val="00171D41"/>
    <w:rsid w:val="00172569"/>
    <w:rsid w:val="00173531"/>
    <w:rsid w:val="00173703"/>
    <w:rsid w:val="001760CA"/>
    <w:rsid w:val="001801FE"/>
    <w:rsid w:val="00180F64"/>
    <w:rsid w:val="00182456"/>
    <w:rsid w:val="00182CF3"/>
    <w:rsid w:val="0018356F"/>
    <w:rsid w:val="00183E00"/>
    <w:rsid w:val="00184AD2"/>
    <w:rsid w:val="00184B71"/>
    <w:rsid w:val="00184C98"/>
    <w:rsid w:val="00185010"/>
    <w:rsid w:val="001857FC"/>
    <w:rsid w:val="001858F2"/>
    <w:rsid w:val="00185C4B"/>
    <w:rsid w:val="001918B2"/>
    <w:rsid w:val="001919CC"/>
    <w:rsid w:val="00191AF3"/>
    <w:rsid w:val="00192EBA"/>
    <w:rsid w:val="0019310E"/>
    <w:rsid w:val="00193560"/>
    <w:rsid w:val="00194011"/>
    <w:rsid w:val="00195E7C"/>
    <w:rsid w:val="0019602F"/>
    <w:rsid w:val="00196AEC"/>
    <w:rsid w:val="00196B4C"/>
    <w:rsid w:val="0019720B"/>
    <w:rsid w:val="001975AC"/>
    <w:rsid w:val="001A12AC"/>
    <w:rsid w:val="001A37DE"/>
    <w:rsid w:val="001A3DC1"/>
    <w:rsid w:val="001A4BAA"/>
    <w:rsid w:val="001A552F"/>
    <w:rsid w:val="001A58FD"/>
    <w:rsid w:val="001A6358"/>
    <w:rsid w:val="001A67A3"/>
    <w:rsid w:val="001A67EB"/>
    <w:rsid w:val="001A7DF6"/>
    <w:rsid w:val="001B0E1D"/>
    <w:rsid w:val="001B13C4"/>
    <w:rsid w:val="001B1812"/>
    <w:rsid w:val="001B23C7"/>
    <w:rsid w:val="001B3110"/>
    <w:rsid w:val="001B368B"/>
    <w:rsid w:val="001B55B6"/>
    <w:rsid w:val="001B5EAE"/>
    <w:rsid w:val="001B6DBF"/>
    <w:rsid w:val="001B721C"/>
    <w:rsid w:val="001B7827"/>
    <w:rsid w:val="001C01F3"/>
    <w:rsid w:val="001C089F"/>
    <w:rsid w:val="001C11CA"/>
    <w:rsid w:val="001C36A4"/>
    <w:rsid w:val="001C378C"/>
    <w:rsid w:val="001C3E02"/>
    <w:rsid w:val="001C4A1B"/>
    <w:rsid w:val="001C4AB2"/>
    <w:rsid w:val="001C5D40"/>
    <w:rsid w:val="001C6DBA"/>
    <w:rsid w:val="001C709C"/>
    <w:rsid w:val="001C7E8B"/>
    <w:rsid w:val="001D07D2"/>
    <w:rsid w:val="001D41F6"/>
    <w:rsid w:val="001D4ECA"/>
    <w:rsid w:val="001D5C28"/>
    <w:rsid w:val="001E020A"/>
    <w:rsid w:val="001E0AA5"/>
    <w:rsid w:val="001E0B54"/>
    <w:rsid w:val="001E12BB"/>
    <w:rsid w:val="001E342E"/>
    <w:rsid w:val="001E3995"/>
    <w:rsid w:val="001E4F12"/>
    <w:rsid w:val="001E554C"/>
    <w:rsid w:val="001F1BF3"/>
    <w:rsid w:val="001F4597"/>
    <w:rsid w:val="001F4B32"/>
    <w:rsid w:val="001F78F9"/>
    <w:rsid w:val="00200D8C"/>
    <w:rsid w:val="00204DB6"/>
    <w:rsid w:val="00210AA5"/>
    <w:rsid w:val="00211A50"/>
    <w:rsid w:val="002130C8"/>
    <w:rsid w:val="0021339F"/>
    <w:rsid w:val="00215600"/>
    <w:rsid w:val="002159A9"/>
    <w:rsid w:val="002168C9"/>
    <w:rsid w:val="002169D5"/>
    <w:rsid w:val="0021730B"/>
    <w:rsid w:val="00220642"/>
    <w:rsid w:val="00220644"/>
    <w:rsid w:val="0022139E"/>
    <w:rsid w:val="0022192F"/>
    <w:rsid w:val="00222132"/>
    <w:rsid w:val="00222204"/>
    <w:rsid w:val="00223E31"/>
    <w:rsid w:val="002240EE"/>
    <w:rsid w:val="00224F9D"/>
    <w:rsid w:val="002252E0"/>
    <w:rsid w:val="002255F6"/>
    <w:rsid w:val="00226D50"/>
    <w:rsid w:val="00227799"/>
    <w:rsid w:val="00230E00"/>
    <w:rsid w:val="00231FC7"/>
    <w:rsid w:val="002328DA"/>
    <w:rsid w:val="00232B25"/>
    <w:rsid w:val="002342F1"/>
    <w:rsid w:val="00234BB2"/>
    <w:rsid w:val="00234F33"/>
    <w:rsid w:val="00235533"/>
    <w:rsid w:val="002358E7"/>
    <w:rsid w:val="00236443"/>
    <w:rsid w:val="00237048"/>
    <w:rsid w:val="00240E77"/>
    <w:rsid w:val="00243670"/>
    <w:rsid w:val="002436BA"/>
    <w:rsid w:val="00244A15"/>
    <w:rsid w:val="00245506"/>
    <w:rsid w:val="00245697"/>
    <w:rsid w:val="002459CE"/>
    <w:rsid w:val="0024640B"/>
    <w:rsid w:val="00246A65"/>
    <w:rsid w:val="00246B49"/>
    <w:rsid w:val="00247371"/>
    <w:rsid w:val="002473D9"/>
    <w:rsid w:val="0024799E"/>
    <w:rsid w:val="002479CE"/>
    <w:rsid w:val="00250807"/>
    <w:rsid w:val="0025314C"/>
    <w:rsid w:val="00253EF2"/>
    <w:rsid w:val="0025430C"/>
    <w:rsid w:val="00254E3D"/>
    <w:rsid w:val="00255DDE"/>
    <w:rsid w:val="0025640A"/>
    <w:rsid w:val="002603B5"/>
    <w:rsid w:val="00260C15"/>
    <w:rsid w:val="0026222F"/>
    <w:rsid w:val="0026297E"/>
    <w:rsid w:val="00262FF7"/>
    <w:rsid w:val="00264C1E"/>
    <w:rsid w:val="002675E5"/>
    <w:rsid w:val="00270304"/>
    <w:rsid w:val="00270851"/>
    <w:rsid w:val="0027106E"/>
    <w:rsid w:val="002726A6"/>
    <w:rsid w:val="00272FDF"/>
    <w:rsid w:val="00273D6F"/>
    <w:rsid w:val="00276FD9"/>
    <w:rsid w:val="002771F3"/>
    <w:rsid w:val="00277254"/>
    <w:rsid w:val="0027768A"/>
    <w:rsid w:val="00277B29"/>
    <w:rsid w:val="00281805"/>
    <w:rsid w:val="00282789"/>
    <w:rsid w:val="00282CCA"/>
    <w:rsid w:val="002842E6"/>
    <w:rsid w:val="0029010F"/>
    <w:rsid w:val="00291420"/>
    <w:rsid w:val="00291DE1"/>
    <w:rsid w:val="002920AC"/>
    <w:rsid w:val="0029216C"/>
    <w:rsid w:val="00292413"/>
    <w:rsid w:val="002931E4"/>
    <w:rsid w:val="00294458"/>
    <w:rsid w:val="002951F3"/>
    <w:rsid w:val="00296083"/>
    <w:rsid w:val="0029679D"/>
    <w:rsid w:val="002978CD"/>
    <w:rsid w:val="00297CA7"/>
    <w:rsid w:val="002A0381"/>
    <w:rsid w:val="002A1980"/>
    <w:rsid w:val="002A20E0"/>
    <w:rsid w:val="002A32D6"/>
    <w:rsid w:val="002A45B7"/>
    <w:rsid w:val="002A5595"/>
    <w:rsid w:val="002B05A8"/>
    <w:rsid w:val="002B09CD"/>
    <w:rsid w:val="002B1997"/>
    <w:rsid w:val="002B1A98"/>
    <w:rsid w:val="002B21CF"/>
    <w:rsid w:val="002B2C99"/>
    <w:rsid w:val="002B32C9"/>
    <w:rsid w:val="002B37BD"/>
    <w:rsid w:val="002B38C6"/>
    <w:rsid w:val="002B6FCF"/>
    <w:rsid w:val="002B71DD"/>
    <w:rsid w:val="002B7E46"/>
    <w:rsid w:val="002C1C2C"/>
    <w:rsid w:val="002C3743"/>
    <w:rsid w:val="002C3AEA"/>
    <w:rsid w:val="002C43BD"/>
    <w:rsid w:val="002C542C"/>
    <w:rsid w:val="002C6AF9"/>
    <w:rsid w:val="002D06A3"/>
    <w:rsid w:val="002D0CCB"/>
    <w:rsid w:val="002D12FB"/>
    <w:rsid w:val="002D1652"/>
    <w:rsid w:val="002D20D9"/>
    <w:rsid w:val="002D22C5"/>
    <w:rsid w:val="002D3685"/>
    <w:rsid w:val="002D4AB1"/>
    <w:rsid w:val="002D79EC"/>
    <w:rsid w:val="002E02A1"/>
    <w:rsid w:val="002E2B47"/>
    <w:rsid w:val="002E4A91"/>
    <w:rsid w:val="002E7553"/>
    <w:rsid w:val="002F0571"/>
    <w:rsid w:val="002F073D"/>
    <w:rsid w:val="002F0CEC"/>
    <w:rsid w:val="002F1CBF"/>
    <w:rsid w:val="002F2DCA"/>
    <w:rsid w:val="002F3F60"/>
    <w:rsid w:val="002F5BC4"/>
    <w:rsid w:val="002F7B33"/>
    <w:rsid w:val="00302448"/>
    <w:rsid w:val="003031D5"/>
    <w:rsid w:val="00304771"/>
    <w:rsid w:val="00305060"/>
    <w:rsid w:val="00306C5B"/>
    <w:rsid w:val="00310821"/>
    <w:rsid w:val="00310E42"/>
    <w:rsid w:val="00311332"/>
    <w:rsid w:val="00312F56"/>
    <w:rsid w:val="00313494"/>
    <w:rsid w:val="003150BE"/>
    <w:rsid w:val="00315D7E"/>
    <w:rsid w:val="00316A8D"/>
    <w:rsid w:val="00317581"/>
    <w:rsid w:val="003204A0"/>
    <w:rsid w:val="003209D6"/>
    <w:rsid w:val="00323843"/>
    <w:rsid w:val="00324A6A"/>
    <w:rsid w:val="00324E8E"/>
    <w:rsid w:val="003254A1"/>
    <w:rsid w:val="00325918"/>
    <w:rsid w:val="00326993"/>
    <w:rsid w:val="00326B2F"/>
    <w:rsid w:val="0032737D"/>
    <w:rsid w:val="003302D5"/>
    <w:rsid w:val="003316CE"/>
    <w:rsid w:val="003320C2"/>
    <w:rsid w:val="00332E5D"/>
    <w:rsid w:val="0033411B"/>
    <w:rsid w:val="003365DE"/>
    <w:rsid w:val="00336E6B"/>
    <w:rsid w:val="00337A53"/>
    <w:rsid w:val="00340562"/>
    <w:rsid w:val="00342299"/>
    <w:rsid w:val="00342D37"/>
    <w:rsid w:val="003430AF"/>
    <w:rsid w:val="0034338F"/>
    <w:rsid w:val="00343FD9"/>
    <w:rsid w:val="003440AB"/>
    <w:rsid w:val="00346445"/>
    <w:rsid w:val="003464C3"/>
    <w:rsid w:val="00347005"/>
    <w:rsid w:val="003502AC"/>
    <w:rsid w:val="00351229"/>
    <w:rsid w:val="00352B9A"/>
    <w:rsid w:val="00354201"/>
    <w:rsid w:val="00356257"/>
    <w:rsid w:val="00356C82"/>
    <w:rsid w:val="00357841"/>
    <w:rsid w:val="00362010"/>
    <w:rsid w:val="00363800"/>
    <w:rsid w:val="00363B2D"/>
    <w:rsid w:val="003657F3"/>
    <w:rsid w:val="00367BCF"/>
    <w:rsid w:val="0037140D"/>
    <w:rsid w:val="003725A8"/>
    <w:rsid w:val="003731DD"/>
    <w:rsid w:val="003759E9"/>
    <w:rsid w:val="00376C04"/>
    <w:rsid w:val="00376CCE"/>
    <w:rsid w:val="00377195"/>
    <w:rsid w:val="00382400"/>
    <w:rsid w:val="00384F4B"/>
    <w:rsid w:val="00385D98"/>
    <w:rsid w:val="0039067F"/>
    <w:rsid w:val="003920A5"/>
    <w:rsid w:val="00393CDB"/>
    <w:rsid w:val="0039428D"/>
    <w:rsid w:val="00394A56"/>
    <w:rsid w:val="0039617D"/>
    <w:rsid w:val="0039690A"/>
    <w:rsid w:val="0039720C"/>
    <w:rsid w:val="003A004A"/>
    <w:rsid w:val="003A0347"/>
    <w:rsid w:val="003A2B4D"/>
    <w:rsid w:val="003A3495"/>
    <w:rsid w:val="003A3E05"/>
    <w:rsid w:val="003A419C"/>
    <w:rsid w:val="003A478C"/>
    <w:rsid w:val="003A4800"/>
    <w:rsid w:val="003A489B"/>
    <w:rsid w:val="003A4E04"/>
    <w:rsid w:val="003A5525"/>
    <w:rsid w:val="003A5CE5"/>
    <w:rsid w:val="003A6B38"/>
    <w:rsid w:val="003A6B7F"/>
    <w:rsid w:val="003A6F15"/>
    <w:rsid w:val="003A73CF"/>
    <w:rsid w:val="003A7ABE"/>
    <w:rsid w:val="003A7ED6"/>
    <w:rsid w:val="003B08D8"/>
    <w:rsid w:val="003B39C4"/>
    <w:rsid w:val="003B43D1"/>
    <w:rsid w:val="003B588B"/>
    <w:rsid w:val="003B5A32"/>
    <w:rsid w:val="003B5BF6"/>
    <w:rsid w:val="003B6B56"/>
    <w:rsid w:val="003B6FE3"/>
    <w:rsid w:val="003C03EB"/>
    <w:rsid w:val="003C04BB"/>
    <w:rsid w:val="003C0D7E"/>
    <w:rsid w:val="003C105C"/>
    <w:rsid w:val="003C27FD"/>
    <w:rsid w:val="003C28F7"/>
    <w:rsid w:val="003C29BE"/>
    <w:rsid w:val="003C30A0"/>
    <w:rsid w:val="003C37A5"/>
    <w:rsid w:val="003C3996"/>
    <w:rsid w:val="003C5703"/>
    <w:rsid w:val="003C678D"/>
    <w:rsid w:val="003C6CC2"/>
    <w:rsid w:val="003C7122"/>
    <w:rsid w:val="003C736E"/>
    <w:rsid w:val="003C7985"/>
    <w:rsid w:val="003D02CE"/>
    <w:rsid w:val="003D10BF"/>
    <w:rsid w:val="003D241B"/>
    <w:rsid w:val="003D2970"/>
    <w:rsid w:val="003D2D18"/>
    <w:rsid w:val="003D5037"/>
    <w:rsid w:val="003D58AA"/>
    <w:rsid w:val="003D5D57"/>
    <w:rsid w:val="003E1BC7"/>
    <w:rsid w:val="003E247A"/>
    <w:rsid w:val="003E28A4"/>
    <w:rsid w:val="003E444C"/>
    <w:rsid w:val="003E47B8"/>
    <w:rsid w:val="003E6436"/>
    <w:rsid w:val="003E6610"/>
    <w:rsid w:val="003E6F0D"/>
    <w:rsid w:val="003E74F1"/>
    <w:rsid w:val="003F1562"/>
    <w:rsid w:val="003F29B7"/>
    <w:rsid w:val="003F2BD8"/>
    <w:rsid w:val="003F2F1D"/>
    <w:rsid w:val="003F313C"/>
    <w:rsid w:val="003F3756"/>
    <w:rsid w:val="003F3BE1"/>
    <w:rsid w:val="003F44B8"/>
    <w:rsid w:val="003F4B35"/>
    <w:rsid w:val="003F593B"/>
    <w:rsid w:val="003F5DA8"/>
    <w:rsid w:val="003F71DC"/>
    <w:rsid w:val="004004F4"/>
    <w:rsid w:val="00400DAB"/>
    <w:rsid w:val="00402BF3"/>
    <w:rsid w:val="0040387F"/>
    <w:rsid w:val="004048BF"/>
    <w:rsid w:val="00405FEB"/>
    <w:rsid w:val="0040639D"/>
    <w:rsid w:val="00406BC3"/>
    <w:rsid w:val="00407728"/>
    <w:rsid w:val="00410BEE"/>
    <w:rsid w:val="00410E63"/>
    <w:rsid w:val="0041187E"/>
    <w:rsid w:val="00411EBC"/>
    <w:rsid w:val="0041244D"/>
    <w:rsid w:val="00416EF5"/>
    <w:rsid w:val="00421D77"/>
    <w:rsid w:val="0042216F"/>
    <w:rsid w:val="00423511"/>
    <w:rsid w:val="004243D2"/>
    <w:rsid w:val="00424B58"/>
    <w:rsid w:val="00425125"/>
    <w:rsid w:val="004259B5"/>
    <w:rsid w:val="004271DC"/>
    <w:rsid w:val="00427534"/>
    <w:rsid w:val="00427A75"/>
    <w:rsid w:val="004301D5"/>
    <w:rsid w:val="00430658"/>
    <w:rsid w:val="00430E4E"/>
    <w:rsid w:val="00432D49"/>
    <w:rsid w:val="004333B9"/>
    <w:rsid w:val="00435122"/>
    <w:rsid w:val="0043575F"/>
    <w:rsid w:val="00436C81"/>
    <w:rsid w:val="004409F9"/>
    <w:rsid w:val="00441419"/>
    <w:rsid w:val="00442C72"/>
    <w:rsid w:val="0044303F"/>
    <w:rsid w:val="004443D7"/>
    <w:rsid w:val="004451D7"/>
    <w:rsid w:val="004512B7"/>
    <w:rsid w:val="00453AD7"/>
    <w:rsid w:val="00456315"/>
    <w:rsid w:val="004571B5"/>
    <w:rsid w:val="00461546"/>
    <w:rsid w:val="00461B09"/>
    <w:rsid w:val="00461F62"/>
    <w:rsid w:val="004637FC"/>
    <w:rsid w:val="00465DDB"/>
    <w:rsid w:val="004702DC"/>
    <w:rsid w:val="00470AC3"/>
    <w:rsid w:val="00471102"/>
    <w:rsid w:val="0047223A"/>
    <w:rsid w:val="00472C6B"/>
    <w:rsid w:val="00472CC3"/>
    <w:rsid w:val="0047552D"/>
    <w:rsid w:val="00476265"/>
    <w:rsid w:val="00477774"/>
    <w:rsid w:val="00477AEF"/>
    <w:rsid w:val="0048086F"/>
    <w:rsid w:val="0048139F"/>
    <w:rsid w:val="00484A8E"/>
    <w:rsid w:val="00486E03"/>
    <w:rsid w:val="00487513"/>
    <w:rsid w:val="00493CD1"/>
    <w:rsid w:val="00494EAC"/>
    <w:rsid w:val="004970D1"/>
    <w:rsid w:val="004A156B"/>
    <w:rsid w:val="004A2B92"/>
    <w:rsid w:val="004A30B2"/>
    <w:rsid w:val="004A65EE"/>
    <w:rsid w:val="004A6936"/>
    <w:rsid w:val="004A6D3A"/>
    <w:rsid w:val="004A77DF"/>
    <w:rsid w:val="004B13C0"/>
    <w:rsid w:val="004B16DF"/>
    <w:rsid w:val="004B288C"/>
    <w:rsid w:val="004B3227"/>
    <w:rsid w:val="004B38ED"/>
    <w:rsid w:val="004B4315"/>
    <w:rsid w:val="004B55B7"/>
    <w:rsid w:val="004B5F06"/>
    <w:rsid w:val="004B6546"/>
    <w:rsid w:val="004B68A9"/>
    <w:rsid w:val="004B6D72"/>
    <w:rsid w:val="004B6F2F"/>
    <w:rsid w:val="004B7DDE"/>
    <w:rsid w:val="004C05A9"/>
    <w:rsid w:val="004C2CC6"/>
    <w:rsid w:val="004C3867"/>
    <w:rsid w:val="004C41AE"/>
    <w:rsid w:val="004C4901"/>
    <w:rsid w:val="004C4951"/>
    <w:rsid w:val="004C4CD0"/>
    <w:rsid w:val="004C70DC"/>
    <w:rsid w:val="004C7C28"/>
    <w:rsid w:val="004D0211"/>
    <w:rsid w:val="004D200D"/>
    <w:rsid w:val="004D2283"/>
    <w:rsid w:val="004D28F3"/>
    <w:rsid w:val="004D3A66"/>
    <w:rsid w:val="004D3CB9"/>
    <w:rsid w:val="004D3F3A"/>
    <w:rsid w:val="004D52A5"/>
    <w:rsid w:val="004D5A93"/>
    <w:rsid w:val="004D7235"/>
    <w:rsid w:val="004D7B88"/>
    <w:rsid w:val="004D7C1D"/>
    <w:rsid w:val="004E00E1"/>
    <w:rsid w:val="004E1817"/>
    <w:rsid w:val="004E33D5"/>
    <w:rsid w:val="004E3C8D"/>
    <w:rsid w:val="004E419B"/>
    <w:rsid w:val="004E4988"/>
    <w:rsid w:val="004E52BA"/>
    <w:rsid w:val="004E55F0"/>
    <w:rsid w:val="004E668C"/>
    <w:rsid w:val="004E7FF4"/>
    <w:rsid w:val="004F06F5"/>
    <w:rsid w:val="004F0B29"/>
    <w:rsid w:val="004F111C"/>
    <w:rsid w:val="004F2329"/>
    <w:rsid w:val="004F29BD"/>
    <w:rsid w:val="004F2B2D"/>
    <w:rsid w:val="004F4DFA"/>
    <w:rsid w:val="004F5E3A"/>
    <w:rsid w:val="004F690F"/>
    <w:rsid w:val="004F78AD"/>
    <w:rsid w:val="004F7E67"/>
    <w:rsid w:val="0050025B"/>
    <w:rsid w:val="00501567"/>
    <w:rsid w:val="005101BF"/>
    <w:rsid w:val="005108B9"/>
    <w:rsid w:val="005108C0"/>
    <w:rsid w:val="00510991"/>
    <w:rsid w:val="0051113D"/>
    <w:rsid w:val="005116CC"/>
    <w:rsid w:val="00511873"/>
    <w:rsid w:val="00511E36"/>
    <w:rsid w:val="0051292C"/>
    <w:rsid w:val="00512EEF"/>
    <w:rsid w:val="00513B7E"/>
    <w:rsid w:val="00513E5E"/>
    <w:rsid w:val="00515293"/>
    <w:rsid w:val="00515498"/>
    <w:rsid w:val="00516215"/>
    <w:rsid w:val="00517594"/>
    <w:rsid w:val="005178A9"/>
    <w:rsid w:val="005179BB"/>
    <w:rsid w:val="005203C7"/>
    <w:rsid w:val="00521047"/>
    <w:rsid w:val="00522C16"/>
    <w:rsid w:val="00522F08"/>
    <w:rsid w:val="00525137"/>
    <w:rsid w:val="005251DD"/>
    <w:rsid w:val="00526D24"/>
    <w:rsid w:val="00527DB8"/>
    <w:rsid w:val="00530D45"/>
    <w:rsid w:val="005310BC"/>
    <w:rsid w:val="00531D9B"/>
    <w:rsid w:val="005321A8"/>
    <w:rsid w:val="00532B6D"/>
    <w:rsid w:val="005337DE"/>
    <w:rsid w:val="005345E7"/>
    <w:rsid w:val="00535656"/>
    <w:rsid w:val="00535AEF"/>
    <w:rsid w:val="0053607C"/>
    <w:rsid w:val="005366C7"/>
    <w:rsid w:val="00536FAD"/>
    <w:rsid w:val="005373E0"/>
    <w:rsid w:val="00537F25"/>
    <w:rsid w:val="005403DE"/>
    <w:rsid w:val="00540DAE"/>
    <w:rsid w:val="00540F78"/>
    <w:rsid w:val="00542285"/>
    <w:rsid w:val="005428B5"/>
    <w:rsid w:val="00542B56"/>
    <w:rsid w:val="00542DAE"/>
    <w:rsid w:val="00543340"/>
    <w:rsid w:val="0054686F"/>
    <w:rsid w:val="00546EF1"/>
    <w:rsid w:val="00546FDC"/>
    <w:rsid w:val="0056006C"/>
    <w:rsid w:val="00560108"/>
    <w:rsid w:val="0056037F"/>
    <w:rsid w:val="00560B0A"/>
    <w:rsid w:val="00562394"/>
    <w:rsid w:val="005626ED"/>
    <w:rsid w:val="005636E4"/>
    <w:rsid w:val="005639DB"/>
    <w:rsid w:val="00564762"/>
    <w:rsid w:val="005670CC"/>
    <w:rsid w:val="005717CE"/>
    <w:rsid w:val="005719E1"/>
    <w:rsid w:val="00571CFA"/>
    <w:rsid w:val="00575C2E"/>
    <w:rsid w:val="0057615C"/>
    <w:rsid w:val="00581347"/>
    <w:rsid w:val="00583523"/>
    <w:rsid w:val="005837A2"/>
    <w:rsid w:val="00583872"/>
    <w:rsid w:val="00583FFD"/>
    <w:rsid w:val="005843E4"/>
    <w:rsid w:val="005902CB"/>
    <w:rsid w:val="005915B4"/>
    <w:rsid w:val="00593152"/>
    <w:rsid w:val="005941E7"/>
    <w:rsid w:val="005950FA"/>
    <w:rsid w:val="0059779F"/>
    <w:rsid w:val="005A149D"/>
    <w:rsid w:val="005A19D9"/>
    <w:rsid w:val="005A21E0"/>
    <w:rsid w:val="005A282E"/>
    <w:rsid w:val="005A3AAF"/>
    <w:rsid w:val="005A5927"/>
    <w:rsid w:val="005A737D"/>
    <w:rsid w:val="005B0F98"/>
    <w:rsid w:val="005B1EDC"/>
    <w:rsid w:val="005B3EF6"/>
    <w:rsid w:val="005B63CE"/>
    <w:rsid w:val="005B749B"/>
    <w:rsid w:val="005C19FC"/>
    <w:rsid w:val="005C2BBE"/>
    <w:rsid w:val="005C441C"/>
    <w:rsid w:val="005C480B"/>
    <w:rsid w:val="005C628E"/>
    <w:rsid w:val="005C6BD9"/>
    <w:rsid w:val="005C6D38"/>
    <w:rsid w:val="005C6D3C"/>
    <w:rsid w:val="005C761C"/>
    <w:rsid w:val="005C78E0"/>
    <w:rsid w:val="005C7ABD"/>
    <w:rsid w:val="005C7B93"/>
    <w:rsid w:val="005D0C11"/>
    <w:rsid w:val="005D1937"/>
    <w:rsid w:val="005D1AC2"/>
    <w:rsid w:val="005D1B6C"/>
    <w:rsid w:val="005D3B74"/>
    <w:rsid w:val="005D3BE6"/>
    <w:rsid w:val="005D4464"/>
    <w:rsid w:val="005D5802"/>
    <w:rsid w:val="005D6DE0"/>
    <w:rsid w:val="005E0178"/>
    <w:rsid w:val="005E01C4"/>
    <w:rsid w:val="005E03ED"/>
    <w:rsid w:val="005E1FD9"/>
    <w:rsid w:val="005E2679"/>
    <w:rsid w:val="005E330D"/>
    <w:rsid w:val="005E339C"/>
    <w:rsid w:val="005E3C8A"/>
    <w:rsid w:val="005E47BF"/>
    <w:rsid w:val="005E50D7"/>
    <w:rsid w:val="005E6744"/>
    <w:rsid w:val="005E6AEE"/>
    <w:rsid w:val="005E7F4D"/>
    <w:rsid w:val="005F0301"/>
    <w:rsid w:val="005F2E69"/>
    <w:rsid w:val="005F4950"/>
    <w:rsid w:val="005F4FDA"/>
    <w:rsid w:val="005F646F"/>
    <w:rsid w:val="005F71A6"/>
    <w:rsid w:val="005F721F"/>
    <w:rsid w:val="005F7971"/>
    <w:rsid w:val="00600CDB"/>
    <w:rsid w:val="00602F8C"/>
    <w:rsid w:val="00604307"/>
    <w:rsid w:val="006046AE"/>
    <w:rsid w:val="0060487F"/>
    <w:rsid w:val="00604C8E"/>
    <w:rsid w:val="00605693"/>
    <w:rsid w:val="00606322"/>
    <w:rsid w:val="00606EDA"/>
    <w:rsid w:val="006078F0"/>
    <w:rsid w:val="006103FD"/>
    <w:rsid w:val="00610461"/>
    <w:rsid w:val="006106B6"/>
    <w:rsid w:val="00610A24"/>
    <w:rsid w:val="00610F13"/>
    <w:rsid w:val="00611AC9"/>
    <w:rsid w:val="00612473"/>
    <w:rsid w:val="006155F2"/>
    <w:rsid w:val="006170FF"/>
    <w:rsid w:val="006178DD"/>
    <w:rsid w:val="00620906"/>
    <w:rsid w:val="00620F58"/>
    <w:rsid w:val="0062339D"/>
    <w:rsid w:val="00623611"/>
    <w:rsid w:val="00623821"/>
    <w:rsid w:val="00624093"/>
    <w:rsid w:val="00624D4E"/>
    <w:rsid w:val="00625534"/>
    <w:rsid w:val="0063066A"/>
    <w:rsid w:val="00631D5B"/>
    <w:rsid w:val="00634729"/>
    <w:rsid w:val="006350A5"/>
    <w:rsid w:val="006360F1"/>
    <w:rsid w:val="006367EA"/>
    <w:rsid w:val="006404A7"/>
    <w:rsid w:val="006405DE"/>
    <w:rsid w:val="00641938"/>
    <w:rsid w:val="00641AB6"/>
    <w:rsid w:val="00642106"/>
    <w:rsid w:val="0064229D"/>
    <w:rsid w:val="00643AF5"/>
    <w:rsid w:val="00643B19"/>
    <w:rsid w:val="006451E4"/>
    <w:rsid w:val="00645CFB"/>
    <w:rsid w:val="00646186"/>
    <w:rsid w:val="00646B40"/>
    <w:rsid w:val="0065040F"/>
    <w:rsid w:val="006511BA"/>
    <w:rsid w:val="006511DD"/>
    <w:rsid w:val="006517EA"/>
    <w:rsid w:val="00652144"/>
    <w:rsid w:val="00653037"/>
    <w:rsid w:val="00654CC7"/>
    <w:rsid w:val="006568DB"/>
    <w:rsid w:val="00656938"/>
    <w:rsid w:val="00656C7D"/>
    <w:rsid w:val="00656F53"/>
    <w:rsid w:val="006571EA"/>
    <w:rsid w:val="00657E87"/>
    <w:rsid w:val="00660B8E"/>
    <w:rsid w:val="0066141D"/>
    <w:rsid w:val="00661E03"/>
    <w:rsid w:val="00661E15"/>
    <w:rsid w:val="006640AC"/>
    <w:rsid w:val="00664C16"/>
    <w:rsid w:val="0066739F"/>
    <w:rsid w:val="00667C2E"/>
    <w:rsid w:val="006710C9"/>
    <w:rsid w:val="00671757"/>
    <w:rsid w:val="0067262C"/>
    <w:rsid w:val="00672C44"/>
    <w:rsid w:val="00673941"/>
    <w:rsid w:val="00673A17"/>
    <w:rsid w:val="00673B33"/>
    <w:rsid w:val="006755E7"/>
    <w:rsid w:val="00675E37"/>
    <w:rsid w:val="006761D5"/>
    <w:rsid w:val="0067675D"/>
    <w:rsid w:val="00676E68"/>
    <w:rsid w:val="00676E88"/>
    <w:rsid w:val="006807FF"/>
    <w:rsid w:val="00681439"/>
    <w:rsid w:val="00681BA0"/>
    <w:rsid w:val="00681EDB"/>
    <w:rsid w:val="0068260E"/>
    <w:rsid w:val="00683423"/>
    <w:rsid w:val="00683DBB"/>
    <w:rsid w:val="006854C9"/>
    <w:rsid w:val="00690DCF"/>
    <w:rsid w:val="00694914"/>
    <w:rsid w:val="006950C3"/>
    <w:rsid w:val="00695BEF"/>
    <w:rsid w:val="00696750"/>
    <w:rsid w:val="00696E42"/>
    <w:rsid w:val="006977F6"/>
    <w:rsid w:val="00697A13"/>
    <w:rsid w:val="00697C18"/>
    <w:rsid w:val="006A0EA1"/>
    <w:rsid w:val="006A109C"/>
    <w:rsid w:val="006A2E44"/>
    <w:rsid w:val="006A3DF0"/>
    <w:rsid w:val="006A40BF"/>
    <w:rsid w:val="006A56B5"/>
    <w:rsid w:val="006A5E80"/>
    <w:rsid w:val="006A63F6"/>
    <w:rsid w:val="006A7884"/>
    <w:rsid w:val="006B0478"/>
    <w:rsid w:val="006B0ACA"/>
    <w:rsid w:val="006B1349"/>
    <w:rsid w:val="006B2037"/>
    <w:rsid w:val="006B2F7A"/>
    <w:rsid w:val="006B4F63"/>
    <w:rsid w:val="006B565D"/>
    <w:rsid w:val="006B5932"/>
    <w:rsid w:val="006B59D8"/>
    <w:rsid w:val="006B6D35"/>
    <w:rsid w:val="006B6E7B"/>
    <w:rsid w:val="006B73D0"/>
    <w:rsid w:val="006B78D8"/>
    <w:rsid w:val="006C113F"/>
    <w:rsid w:val="006C19DE"/>
    <w:rsid w:val="006C1C47"/>
    <w:rsid w:val="006C2078"/>
    <w:rsid w:val="006C2716"/>
    <w:rsid w:val="006C3ECB"/>
    <w:rsid w:val="006C4500"/>
    <w:rsid w:val="006C4BAC"/>
    <w:rsid w:val="006D0684"/>
    <w:rsid w:val="006D2601"/>
    <w:rsid w:val="006D4797"/>
    <w:rsid w:val="006D61F6"/>
    <w:rsid w:val="006E096A"/>
    <w:rsid w:val="006E1600"/>
    <w:rsid w:val="006E1790"/>
    <w:rsid w:val="006E1D91"/>
    <w:rsid w:val="006E279A"/>
    <w:rsid w:val="006E313B"/>
    <w:rsid w:val="006E3528"/>
    <w:rsid w:val="006F2AE7"/>
    <w:rsid w:val="006F31E4"/>
    <w:rsid w:val="006F78BB"/>
    <w:rsid w:val="00700384"/>
    <w:rsid w:val="00701523"/>
    <w:rsid w:val="00701EC5"/>
    <w:rsid w:val="00701EFF"/>
    <w:rsid w:val="00702C7D"/>
    <w:rsid w:val="00702F00"/>
    <w:rsid w:val="00704803"/>
    <w:rsid w:val="00705045"/>
    <w:rsid w:val="00706055"/>
    <w:rsid w:val="007078C1"/>
    <w:rsid w:val="00710610"/>
    <w:rsid w:val="00711D9A"/>
    <w:rsid w:val="00712073"/>
    <w:rsid w:val="00712185"/>
    <w:rsid w:val="007121B5"/>
    <w:rsid w:val="00712234"/>
    <w:rsid w:val="007127CE"/>
    <w:rsid w:val="00714826"/>
    <w:rsid w:val="007148A5"/>
    <w:rsid w:val="007211F5"/>
    <w:rsid w:val="00722350"/>
    <w:rsid w:val="007233A2"/>
    <w:rsid w:val="00726115"/>
    <w:rsid w:val="00726F43"/>
    <w:rsid w:val="00730718"/>
    <w:rsid w:val="00730AE8"/>
    <w:rsid w:val="00730CCD"/>
    <w:rsid w:val="00731CAB"/>
    <w:rsid w:val="00731D02"/>
    <w:rsid w:val="0073250D"/>
    <w:rsid w:val="00733C7A"/>
    <w:rsid w:val="0073527D"/>
    <w:rsid w:val="007358EB"/>
    <w:rsid w:val="00735F55"/>
    <w:rsid w:val="00736F19"/>
    <w:rsid w:val="007372EA"/>
    <w:rsid w:val="00740F4A"/>
    <w:rsid w:val="00741493"/>
    <w:rsid w:val="007420CD"/>
    <w:rsid w:val="007459B4"/>
    <w:rsid w:val="00745E24"/>
    <w:rsid w:val="0074634F"/>
    <w:rsid w:val="007464BC"/>
    <w:rsid w:val="007476C4"/>
    <w:rsid w:val="00750D87"/>
    <w:rsid w:val="00751DC5"/>
    <w:rsid w:val="00752180"/>
    <w:rsid w:val="00752E59"/>
    <w:rsid w:val="007538BC"/>
    <w:rsid w:val="0075473C"/>
    <w:rsid w:val="00754990"/>
    <w:rsid w:val="00755D3A"/>
    <w:rsid w:val="00755F49"/>
    <w:rsid w:val="007562FD"/>
    <w:rsid w:val="00756776"/>
    <w:rsid w:val="00756868"/>
    <w:rsid w:val="00756AF1"/>
    <w:rsid w:val="007609C6"/>
    <w:rsid w:val="00761B68"/>
    <w:rsid w:val="00763FF2"/>
    <w:rsid w:val="00770610"/>
    <w:rsid w:val="00772B59"/>
    <w:rsid w:val="00772D56"/>
    <w:rsid w:val="00772DA1"/>
    <w:rsid w:val="007738C7"/>
    <w:rsid w:val="007764CA"/>
    <w:rsid w:val="00776527"/>
    <w:rsid w:val="00781D20"/>
    <w:rsid w:val="00783501"/>
    <w:rsid w:val="0078588D"/>
    <w:rsid w:val="00786C17"/>
    <w:rsid w:val="00792A45"/>
    <w:rsid w:val="00793BA5"/>
    <w:rsid w:val="007941FE"/>
    <w:rsid w:val="00794608"/>
    <w:rsid w:val="00795A8D"/>
    <w:rsid w:val="007A1A44"/>
    <w:rsid w:val="007A250A"/>
    <w:rsid w:val="007A33CC"/>
    <w:rsid w:val="007A39D9"/>
    <w:rsid w:val="007A4926"/>
    <w:rsid w:val="007A677D"/>
    <w:rsid w:val="007A7E86"/>
    <w:rsid w:val="007B0332"/>
    <w:rsid w:val="007B04C3"/>
    <w:rsid w:val="007B0B56"/>
    <w:rsid w:val="007B0F0E"/>
    <w:rsid w:val="007B3AB7"/>
    <w:rsid w:val="007B41A0"/>
    <w:rsid w:val="007B45A4"/>
    <w:rsid w:val="007B47EE"/>
    <w:rsid w:val="007B4BE9"/>
    <w:rsid w:val="007B4F04"/>
    <w:rsid w:val="007B60D9"/>
    <w:rsid w:val="007B7D35"/>
    <w:rsid w:val="007C0993"/>
    <w:rsid w:val="007C2C8E"/>
    <w:rsid w:val="007C419E"/>
    <w:rsid w:val="007C4B02"/>
    <w:rsid w:val="007C5DBE"/>
    <w:rsid w:val="007C6308"/>
    <w:rsid w:val="007D05E9"/>
    <w:rsid w:val="007D12C6"/>
    <w:rsid w:val="007D2468"/>
    <w:rsid w:val="007D286D"/>
    <w:rsid w:val="007D2DCB"/>
    <w:rsid w:val="007D3651"/>
    <w:rsid w:val="007D386E"/>
    <w:rsid w:val="007D3AAB"/>
    <w:rsid w:val="007D5538"/>
    <w:rsid w:val="007D7921"/>
    <w:rsid w:val="007E12CE"/>
    <w:rsid w:val="007E1B9D"/>
    <w:rsid w:val="007E3184"/>
    <w:rsid w:val="007E4B4F"/>
    <w:rsid w:val="007E6865"/>
    <w:rsid w:val="007E68C1"/>
    <w:rsid w:val="007E6F04"/>
    <w:rsid w:val="007E769B"/>
    <w:rsid w:val="007E7E61"/>
    <w:rsid w:val="007F0C99"/>
    <w:rsid w:val="007F0F88"/>
    <w:rsid w:val="007F1A17"/>
    <w:rsid w:val="007F214A"/>
    <w:rsid w:val="007F25FB"/>
    <w:rsid w:val="007F3674"/>
    <w:rsid w:val="007F46D3"/>
    <w:rsid w:val="007F6D8D"/>
    <w:rsid w:val="007F717B"/>
    <w:rsid w:val="0080031A"/>
    <w:rsid w:val="008004E0"/>
    <w:rsid w:val="008018B7"/>
    <w:rsid w:val="008025EE"/>
    <w:rsid w:val="00803B23"/>
    <w:rsid w:val="00805A76"/>
    <w:rsid w:val="00807FC7"/>
    <w:rsid w:val="00810B18"/>
    <w:rsid w:val="008112B6"/>
    <w:rsid w:val="00812056"/>
    <w:rsid w:val="008134C4"/>
    <w:rsid w:val="00816723"/>
    <w:rsid w:val="008177C2"/>
    <w:rsid w:val="0082100C"/>
    <w:rsid w:val="00821FF6"/>
    <w:rsid w:val="0082352E"/>
    <w:rsid w:val="0082365D"/>
    <w:rsid w:val="00823F9B"/>
    <w:rsid w:val="0082466D"/>
    <w:rsid w:val="0082590A"/>
    <w:rsid w:val="00827397"/>
    <w:rsid w:val="00830E90"/>
    <w:rsid w:val="0083143E"/>
    <w:rsid w:val="00831A80"/>
    <w:rsid w:val="0083398A"/>
    <w:rsid w:val="00834FAA"/>
    <w:rsid w:val="0083501D"/>
    <w:rsid w:val="00836086"/>
    <w:rsid w:val="00840B9E"/>
    <w:rsid w:val="008417AB"/>
    <w:rsid w:val="00841A5E"/>
    <w:rsid w:val="00842647"/>
    <w:rsid w:val="008432B1"/>
    <w:rsid w:val="00844C07"/>
    <w:rsid w:val="0084557C"/>
    <w:rsid w:val="00846194"/>
    <w:rsid w:val="00847143"/>
    <w:rsid w:val="00847347"/>
    <w:rsid w:val="00850BFC"/>
    <w:rsid w:val="008512E7"/>
    <w:rsid w:val="00851419"/>
    <w:rsid w:val="00852103"/>
    <w:rsid w:val="008545E7"/>
    <w:rsid w:val="00854DAE"/>
    <w:rsid w:val="00855495"/>
    <w:rsid w:val="0085594C"/>
    <w:rsid w:val="00856B6A"/>
    <w:rsid w:val="00857BB4"/>
    <w:rsid w:val="00857D9C"/>
    <w:rsid w:val="00861EA1"/>
    <w:rsid w:val="00862FE6"/>
    <w:rsid w:val="00864085"/>
    <w:rsid w:val="0086745D"/>
    <w:rsid w:val="00870D69"/>
    <w:rsid w:val="00871A6E"/>
    <w:rsid w:val="008725B4"/>
    <w:rsid w:val="00875C9E"/>
    <w:rsid w:val="00876086"/>
    <w:rsid w:val="00876A3A"/>
    <w:rsid w:val="00877C01"/>
    <w:rsid w:val="008820A6"/>
    <w:rsid w:val="0088284D"/>
    <w:rsid w:val="00882967"/>
    <w:rsid w:val="0088482B"/>
    <w:rsid w:val="0088598B"/>
    <w:rsid w:val="008862D3"/>
    <w:rsid w:val="00890155"/>
    <w:rsid w:val="008905EC"/>
    <w:rsid w:val="0089266D"/>
    <w:rsid w:val="008927E1"/>
    <w:rsid w:val="00894302"/>
    <w:rsid w:val="00894E77"/>
    <w:rsid w:val="00895548"/>
    <w:rsid w:val="008964FF"/>
    <w:rsid w:val="008979C4"/>
    <w:rsid w:val="008A07D3"/>
    <w:rsid w:val="008A09ED"/>
    <w:rsid w:val="008A0AD4"/>
    <w:rsid w:val="008A31C1"/>
    <w:rsid w:val="008A3E33"/>
    <w:rsid w:val="008A5146"/>
    <w:rsid w:val="008A53CB"/>
    <w:rsid w:val="008B0299"/>
    <w:rsid w:val="008B0CC3"/>
    <w:rsid w:val="008B32B7"/>
    <w:rsid w:val="008B64EB"/>
    <w:rsid w:val="008B6CDE"/>
    <w:rsid w:val="008B6E1E"/>
    <w:rsid w:val="008B76B8"/>
    <w:rsid w:val="008B7C02"/>
    <w:rsid w:val="008C0E88"/>
    <w:rsid w:val="008C1C7A"/>
    <w:rsid w:val="008C1EEB"/>
    <w:rsid w:val="008C2DDF"/>
    <w:rsid w:val="008C4861"/>
    <w:rsid w:val="008C5593"/>
    <w:rsid w:val="008D10CC"/>
    <w:rsid w:val="008D2A16"/>
    <w:rsid w:val="008D2F5A"/>
    <w:rsid w:val="008D35DE"/>
    <w:rsid w:val="008D3EE8"/>
    <w:rsid w:val="008D4396"/>
    <w:rsid w:val="008D4831"/>
    <w:rsid w:val="008D48C3"/>
    <w:rsid w:val="008D5856"/>
    <w:rsid w:val="008D5C9E"/>
    <w:rsid w:val="008D6513"/>
    <w:rsid w:val="008D6B5F"/>
    <w:rsid w:val="008E0B46"/>
    <w:rsid w:val="008E1B68"/>
    <w:rsid w:val="008E2F03"/>
    <w:rsid w:val="008E31FF"/>
    <w:rsid w:val="008E3759"/>
    <w:rsid w:val="008E3C01"/>
    <w:rsid w:val="008E3CF8"/>
    <w:rsid w:val="008E441C"/>
    <w:rsid w:val="008E49E1"/>
    <w:rsid w:val="008E55E4"/>
    <w:rsid w:val="008E67C9"/>
    <w:rsid w:val="008E685D"/>
    <w:rsid w:val="008F0867"/>
    <w:rsid w:val="008F2642"/>
    <w:rsid w:val="008F2AED"/>
    <w:rsid w:val="008F3375"/>
    <w:rsid w:val="008F39E3"/>
    <w:rsid w:val="008F3C15"/>
    <w:rsid w:val="008F4094"/>
    <w:rsid w:val="008F477E"/>
    <w:rsid w:val="008F4AB5"/>
    <w:rsid w:val="008F58EE"/>
    <w:rsid w:val="008F61DD"/>
    <w:rsid w:val="008F7193"/>
    <w:rsid w:val="009003A8"/>
    <w:rsid w:val="0090098A"/>
    <w:rsid w:val="009029A0"/>
    <w:rsid w:val="00902EFF"/>
    <w:rsid w:val="00903051"/>
    <w:rsid w:val="0090382A"/>
    <w:rsid w:val="00903FEE"/>
    <w:rsid w:val="00904083"/>
    <w:rsid w:val="009048AE"/>
    <w:rsid w:val="00905120"/>
    <w:rsid w:val="00905296"/>
    <w:rsid w:val="00905780"/>
    <w:rsid w:val="00906251"/>
    <w:rsid w:val="00907906"/>
    <w:rsid w:val="00910452"/>
    <w:rsid w:val="00911F2E"/>
    <w:rsid w:val="009124F1"/>
    <w:rsid w:val="00913CB6"/>
    <w:rsid w:val="00914126"/>
    <w:rsid w:val="009148D6"/>
    <w:rsid w:val="009150C0"/>
    <w:rsid w:val="00916F66"/>
    <w:rsid w:val="00917A68"/>
    <w:rsid w:val="00921B50"/>
    <w:rsid w:val="00921B97"/>
    <w:rsid w:val="00921F14"/>
    <w:rsid w:val="00922E0F"/>
    <w:rsid w:val="009233B2"/>
    <w:rsid w:val="00924E33"/>
    <w:rsid w:val="009253A5"/>
    <w:rsid w:val="00927143"/>
    <w:rsid w:val="00931012"/>
    <w:rsid w:val="00932900"/>
    <w:rsid w:val="00934E40"/>
    <w:rsid w:val="00935A0D"/>
    <w:rsid w:val="00936824"/>
    <w:rsid w:val="0093714D"/>
    <w:rsid w:val="0094032D"/>
    <w:rsid w:val="009421B4"/>
    <w:rsid w:val="0094244C"/>
    <w:rsid w:val="00942F60"/>
    <w:rsid w:val="00943909"/>
    <w:rsid w:val="0094427A"/>
    <w:rsid w:val="00946D80"/>
    <w:rsid w:val="00947140"/>
    <w:rsid w:val="0095234B"/>
    <w:rsid w:val="00953DCA"/>
    <w:rsid w:val="00953DFC"/>
    <w:rsid w:val="00954561"/>
    <w:rsid w:val="009558B0"/>
    <w:rsid w:val="0095723C"/>
    <w:rsid w:val="009579E9"/>
    <w:rsid w:val="0096015F"/>
    <w:rsid w:val="00961359"/>
    <w:rsid w:val="00961DC9"/>
    <w:rsid w:val="00963B40"/>
    <w:rsid w:val="00963E39"/>
    <w:rsid w:val="009646A5"/>
    <w:rsid w:val="00965755"/>
    <w:rsid w:val="009703B2"/>
    <w:rsid w:val="00971EC6"/>
    <w:rsid w:val="009722A9"/>
    <w:rsid w:val="00972FC7"/>
    <w:rsid w:val="00973454"/>
    <w:rsid w:val="0097432A"/>
    <w:rsid w:val="00974923"/>
    <w:rsid w:val="00976385"/>
    <w:rsid w:val="0098125B"/>
    <w:rsid w:val="00983BC9"/>
    <w:rsid w:val="0098563A"/>
    <w:rsid w:val="00985D52"/>
    <w:rsid w:val="009861FF"/>
    <w:rsid w:val="00986F4F"/>
    <w:rsid w:val="00990621"/>
    <w:rsid w:val="00993E93"/>
    <w:rsid w:val="00993F83"/>
    <w:rsid w:val="00994972"/>
    <w:rsid w:val="00995124"/>
    <w:rsid w:val="009973FE"/>
    <w:rsid w:val="009A04C3"/>
    <w:rsid w:val="009A04D6"/>
    <w:rsid w:val="009A1116"/>
    <w:rsid w:val="009A1E6E"/>
    <w:rsid w:val="009A1FA5"/>
    <w:rsid w:val="009A2640"/>
    <w:rsid w:val="009A6027"/>
    <w:rsid w:val="009A66C6"/>
    <w:rsid w:val="009A6971"/>
    <w:rsid w:val="009A75F3"/>
    <w:rsid w:val="009A7A3F"/>
    <w:rsid w:val="009B195C"/>
    <w:rsid w:val="009B2CE4"/>
    <w:rsid w:val="009B2F33"/>
    <w:rsid w:val="009B3302"/>
    <w:rsid w:val="009B6EC8"/>
    <w:rsid w:val="009B6EFA"/>
    <w:rsid w:val="009B6FD3"/>
    <w:rsid w:val="009B7457"/>
    <w:rsid w:val="009B74C9"/>
    <w:rsid w:val="009B7A06"/>
    <w:rsid w:val="009C04A5"/>
    <w:rsid w:val="009C2245"/>
    <w:rsid w:val="009C246D"/>
    <w:rsid w:val="009C3204"/>
    <w:rsid w:val="009C3B45"/>
    <w:rsid w:val="009C4C08"/>
    <w:rsid w:val="009C5639"/>
    <w:rsid w:val="009C62A4"/>
    <w:rsid w:val="009C64E1"/>
    <w:rsid w:val="009C6B26"/>
    <w:rsid w:val="009C6CB3"/>
    <w:rsid w:val="009C74FF"/>
    <w:rsid w:val="009C7F11"/>
    <w:rsid w:val="009D09CB"/>
    <w:rsid w:val="009D1443"/>
    <w:rsid w:val="009D1D0C"/>
    <w:rsid w:val="009D25AA"/>
    <w:rsid w:val="009D29C0"/>
    <w:rsid w:val="009D2B0A"/>
    <w:rsid w:val="009D36AF"/>
    <w:rsid w:val="009D572F"/>
    <w:rsid w:val="009D5C53"/>
    <w:rsid w:val="009D6B69"/>
    <w:rsid w:val="009D6D97"/>
    <w:rsid w:val="009D6FD4"/>
    <w:rsid w:val="009E2A0D"/>
    <w:rsid w:val="009E34B8"/>
    <w:rsid w:val="009E51E5"/>
    <w:rsid w:val="009E6DDF"/>
    <w:rsid w:val="009E7516"/>
    <w:rsid w:val="009E7CF6"/>
    <w:rsid w:val="009E7D44"/>
    <w:rsid w:val="009F02BD"/>
    <w:rsid w:val="009F04AA"/>
    <w:rsid w:val="009F128C"/>
    <w:rsid w:val="009F1BE9"/>
    <w:rsid w:val="009F238C"/>
    <w:rsid w:val="009F2FED"/>
    <w:rsid w:val="009F4056"/>
    <w:rsid w:val="009F4438"/>
    <w:rsid w:val="009F44C6"/>
    <w:rsid w:val="009F4C62"/>
    <w:rsid w:val="009F5926"/>
    <w:rsid w:val="009F6142"/>
    <w:rsid w:val="009F65E2"/>
    <w:rsid w:val="009F68CD"/>
    <w:rsid w:val="009F6BE3"/>
    <w:rsid w:val="009F6C58"/>
    <w:rsid w:val="009F7855"/>
    <w:rsid w:val="009F7CDC"/>
    <w:rsid w:val="00A00200"/>
    <w:rsid w:val="00A0074A"/>
    <w:rsid w:val="00A00CD9"/>
    <w:rsid w:val="00A02659"/>
    <w:rsid w:val="00A04605"/>
    <w:rsid w:val="00A04643"/>
    <w:rsid w:val="00A052DD"/>
    <w:rsid w:val="00A05EEE"/>
    <w:rsid w:val="00A064D7"/>
    <w:rsid w:val="00A0703E"/>
    <w:rsid w:val="00A076EF"/>
    <w:rsid w:val="00A10D66"/>
    <w:rsid w:val="00A11B36"/>
    <w:rsid w:val="00A12B64"/>
    <w:rsid w:val="00A15F2B"/>
    <w:rsid w:val="00A20AC3"/>
    <w:rsid w:val="00A2331B"/>
    <w:rsid w:val="00A2347A"/>
    <w:rsid w:val="00A23E43"/>
    <w:rsid w:val="00A24289"/>
    <w:rsid w:val="00A242B0"/>
    <w:rsid w:val="00A300BD"/>
    <w:rsid w:val="00A30D3A"/>
    <w:rsid w:val="00A33179"/>
    <w:rsid w:val="00A33661"/>
    <w:rsid w:val="00A33972"/>
    <w:rsid w:val="00A33EFD"/>
    <w:rsid w:val="00A35033"/>
    <w:rsid w:val="00A35492"/>
    <w:rsid w:val="00A35B08"/>
    <w:rsid w:val="00A35DDE"/>
    <w:rsid w:val="00A36757"/>
    <w:rsid w:val="00A4343C"/>
    <w:rsid w:val="00A454CB"/>
    <w:rsid w:val="00A46DE0"/>
    <w:rsid w:val="00A47539"/>
    <w:rsid w:val="00A477D4"/>
    <w:rsid w:val="00A504C5"/>
    <w:rsid w:val="00A5138E"/>
    <w:rsid w:val="00A53A8A"/>
    <w:rsid w:val="00A543D4"/>
    <w:rsid w:val="00A555E0"/>
    <w:rsid w:val="00A6066F"/>
    <w:rsid w:val="00A607F0"/>
    <w:rsid w:val="00A61865"/>
    <w:rsid w:val="00A61DF0"/>
    <w:rsid w:val="00A62302"/>
    <w:rsid w:val="00A623C5"/>
    <w:rsid w:val="00A62CE1"/>
    <w:rsid w:val="00A635F9"/>
    <w:rsid w:val="00A63BAB"/>
    <w:rsid w:val="00A64348"/>
    <w:rsid w:val="00A65561"/>
    <w:rsid w:val="00A65AE6"/>
    <w:rsid w:val="00A66484"/>
    <w:rsid w:val="00A66FDB"/>
    <w:rsid w:val="00A67DF4"/>
    <w:rsid w:val="00A70574"/>
    <w:rsid w:val="00A7074F"/>
    <w:rsid w:val="00A70B41"/>
    <w:rsid w:val="00A72085"/>
    <w:rsid w:val="00A7537C"/>
    <w:rsid w:val="00A758D2"/>
    <w:rsid w:val="00A75E40"/>
    <w:rsid w:val="00A800CC"/>
    <w:rsid w:val="00A82726"/>
    <w:rsid w:val="00A846CE"/>
    <w:rsid w:val="00A850C0"/>
    <w:rsid w:val="00A857C0"/>
    <w:rsid w:val="00A86E79"/>
    <w:rsid w:val="00A86F80"/>
    <w:rsid w:val="00A902A0"/>
    <w:rsid w:val="00A91FA4"/>
    <w:rsid w:val="00A92238"/>
    <w:rsid w:val="00A92865"/>
    <w:rsid w:val="00A9313D"/>
    <w:rsid w:val="00A94B82"/>
    <w:rsid w:val="00A956B9"/>
    <w:rsid w:val="00A95B17"/>
    <w:rsid w:val="00A96EFF"/>
    <w:rsid w:val="00A97755"/>
    <w:rsid w:val="00AA1547"/>
    <w:rsid w:val="00AA1726"/>
    <w:rsid w:val="00AA1776"/>
    <w:rsid w:val="00AA18C3"/>
    <w:rsid w:val="00AA2926"/>
    <w:rsid w:val="00AA37CA"/>
    <w:rsid w:val="00AA4814"/>
    <w:rsid w:val="00AA4913"/>
    <w:rsid w:val="00AA559A"/>
    <w:rsid w:val="00AA5EC7"/>
    <w:rsid w:val="00AA5F96"/>
    <w:rsid w:val="00AA632A"/>
    <w:rsid w:val="00AB2949"/>
    <w:rsid w:val="00AB2AF1"/>
    <w:rsid w:val="00AB32A2"/>
    <w:rsid w:val="00AB395D"/>
    <w:rsid w:val="00AB451D"/>
    <w:rsid w:val="00AB4A72"/>
    <w:rsid w:val="00AB76AC"/>
    <w:rsid w:val="00AB7963"/>
    <w:rsid w:val="00AC1AC6"/>
    <w:rsid w:val="00AC1B69"/>
    <w:rsid w:val="00AC4219"/>
    <w:rsid w:val="00AC4A96"/>
    <w:rsid w:val="00AC59AE"/>
    <w:rsid w:val="00AC6EE9"/>
    <w:rsid w:val="00AD076E"/>
    <w:rsid w:val="00AD17DE"/>
    <w:rsid w:val="00AD20E8"/>
    <w:rsid w:val="00AD306C"/>
    <w:rsid w:val="00AD473A"/>
    <w:rsid w:val="00AD5932"/>
    <w:rsid w:val="00AD617C"/>
    <w:rsid w:val="00AE1B59"/>
    <w:rsid w:val="00AE20F6"/>
    <w:rsid w:val="00AE42D9"/>
    <w:rsid w:val="00AE562A"/>
    <w:rsid w:val="00AF026E"/>
    <w:rsid w:val="00AF1D7D"/>
    <w:rsid w:val="00AF21F2"/>
    <w:rsid w:val="00AF36B3"/>
    <w:rsid w:val="00AF43AB"/>
    <w:rsid w:val="00AF447D"/>
    <w:rsid w:val="00AF52E3"/>
    <w:rsid w:val="00AF70B2"/>
    <w:rsid w:val="00B002FC"/>
    <w:rsid w:val="00B00577"/>
    <w:rsid w:val="00B0063E"/>
    <w:rsid w:val="00B01692"/>
    <w:rsid w:val="00B01997"/>
    <w:rsid w:val="00B01CAD"/>
    <w:rsid w:val="00B02802"/>
    <w:rsid w:val="00B02A97"/>
    <w:rsid w:val="00B02B9F"/>
    <w:rsid w:val="00B03A3F"/>
    <w:rsid w:val="00B04E18"/>
    <w:rsid w:val="00B06DD7"/>
    <w:rsid w:val="00B07800"/>
    <w:rsid w:val="00B10C48"/>
    <w:rsid w:val="00B11CD3"/>
    <w:rsid w:val="00B134BB"/>
    <w:rsid w:val="00B13F18"/>
    <w:rsid w:val="00B15700"/>
    <w:rsid w:val="00B17A7F"/>
    <w:rsid w:val="00B17E71"/>
    <w:rsid w:val="00B17FDE"/>
    <w:rsid w:val="00B209E4"/>
    <w:rsid w:val="00B21017"/>
    <w:rsid w:val="00B2154E"/>
    <w:rsid w:val="00B2382B"/>
    <w:rsid w:val="00B26A63"/>
    <w:rsid w:val="00B26D79"/>
    <w:rsid w:val="00B277C2"/>
    <w:rsid w:val="00B3051C"/>
    <w:rsid w:val="00B30983"/>
    <w:rsid w:val="00B31A08"/>
    <w:rsid w:val="00B32936"/>
    <w:rsid w:val="00B32DDB"/>
    <w:rsid w:val="00B3377E"/>
    <w:rsid w:val="00B34A56"/>
    <w:rsid w:val="00B35D12"/>
    <w:rsid w:val="00B36210"/>
    <w:rsid w:val="00B37218"/>
    <w:rsid w:val="00B374C5"/>
    <w:rsid w:val="00B41036"/>
    <w:rsid w:val="00B414F8"/>
    <w:rsid w:val="00B41BE5"/>
    <w:rsid w:val="00B42372"/>
    <w:rsid w:val="00B44D79"/>
    <w:rsid w:val="00B45232"/>
    <w:rsid w:val="00B45422"/>
    <w:rsid w:val="00B508F7"/>
    <w:rsid w:val="00B54975"/>
    <w:rsid w:val="00B54D2B"/>
    <w:rsid w:val="00B554C6"/>
    <w:rsid w:val="00B55E53"/>
    <w:rsid w:val="00B570F5"/>
    <w:rsid w:val="00B60550"/>
    <w:rsid w:val="00B615FA"/>
    <w:rsid w:val="00B6249B"/>
    <w:rsid w:val="00B63403"/>
    <w:rsid w:val="00B6348E"/>
    <w:rsid w:val="00B6407A"/>
    <w:rsid w:val="00B6608F"/>
    <w:rsid w:val="00B66D44"/>
    <w:rsid w:val="00B73995"/>
    <w:rsid w:val="00B74386"/>
    <w:rsid w:val="00B75959"/>
    <w:rsid w:val="00B75B1B"/>
    <w:rsid w:val="00B76D1E"/>
    <w:rsid w:val="00B82B44"/>
    <w:rsid w:val="00B848A3"/>
    <w:rsid w:val="00B85D5F"/>
    <w:rsid w:val="00B9096F"/>
    <w:rsid w:val="00B90C58"/>
    <w:rsid w:val="00B92A12"/>
    <w:rsid w:val="00B92E07"/>
    <w:rsid w:val="00B93569"/>
    <w:rsid w:val="00B935C6"/>
    <w:rsid w:val="00B9366B"/>
    <w:rsid w:val="00B937BA"/>
    <w:rsid w:val="00B93823"/>
    <w:rsid w:val="00B94374"/>
    <w:rsid w:val="00B95940"/>
    <w:rsid w:val="00B973C2"/>
    <w:rsid w:val="00B976FB"/>
    <w:rsid w:val="00B97BEC"/>
    <w:rsid w:val="00B97DC8"/>
    <w:rsid w:val="00BA0781"/>
    <w:rsid w:val="00BA2F87"/>
    <w:rsid w:val="00BA36DE"/>
    <w:rsid w:val="00BA3ED9"/>
    <w:rsid w:val="00BA414E"/>
    <w:rsid w:val="00BA4480"/>
    <w:rsid w:val="00BA44D7"/>
    <w:rsid w:val="00BA493B"/>
    <w:rsid w:val="00BA5388"/>
    <w:rsid w:val="00BA5469"/>
    <w:rsid w:val="00BA5682"/>
    <w:rsid w:val="00BA606F"/>
    <w:rsid w:val="00BA7A10"/>
    <w:rsid w:val="00BB00BE"/>
    <w:rsid w:val="00BB1409"/>
    <w:rsid w:val="00BB5366"/>
    <w:rsid w:val="00BB53DA"/>
    <w:rsid w:val="00BB58D0"/>
    <w:rsid w:val="00BB64DB"/>
    <w:rsid w:val="00BC0761"/>
    <w:rsid w:val="00BC2168"/>
    <w:rsid w:val="00BC3543"/>
    <w:rsid w:val="00BC3775"/>
    <w:rsid w:val="00BC37EF"/>
    <w:rsid w:val="00BC5B4C"/>
    <w:rsid w:val="00BC712A"/>
    <w:rsid w:val="00BC7551"/>
    <w:rsid w:val="00BC7950"/>
    <w:rsid w:val="00BD1D56"/>
    <w:rsid w:val="00BD2F1E"/>
    <w:rsid w:val="00BD366B"/>
    <w:rsid w:val="00BD48C8"/>
    <w:rsid w:val="00BD6D50"/>
    <w:rsid w:val="00BE07B2"/>
    <w:rsid w:val="00BE0A28"/>
    <w:rsid w:val="00BE1A8D"/>
    <w:rsid w:val="00BE3640"/>
    <w:rsid w:val="00BE7543"/>
    <w:rsid w:val="00BE7970"/>
    <w:rsid w:val="00BE7BBE"/>
    <w:rsid w:val="00BF03B4"/>
    <w:rsid w:val="00BF04D9"/>
    <w:rsid w:val="00BF08D4"/>
    <w:rsid w:val="00BF0E2E"/>
    <w:rsid w:val="00BF199B"/>
    <w:rsid w:val="00BF33BA"/>
    <w:rsid w:val="00BF3A86"/>
    <w:rsid w:val="00C00A63"/>
    <w:rsid w:val="00C02AFD"/>
    <w:rsid w:val="00C02DCF"/>
    <w:rsid w:val="00C041AD"/>
    <w:rsid w:val="00C04770"/>
    <w:rsid w:val="00C05875"/>
    <w:rsid w:val="00C05AF7"/>
    <w:rsid w:val="00C10021"/>
    <w:rsid w:val="00C10234"/>
    <w:rsid w:val="00C128A0"/>
    <w:rsid w:val="00C12EC2"/>
    <w:rsid w:val="00C138D0"/>
    <w:rsid w:val="00C1603D"/>
    <w:rsid w:val="00C161FF"/>
    <w:rsid w:val="00C165FD"/>
    <w:rsid w:val="00C16C0E"/>
    <w:rsid w:val="00C174DD"/>
    <w:rsid w:val="00C20932"/>
    <w:rsid w:val="00C21F94"/>
    <w:rsid w:val="00C22D52"/>
    <w:rsid w:val="00C22FBD"/>
    <w:rsid w:val="00C26558"/>
    <w:rsid w:val="00C30140"/>
    <w:rsid w:val="00C30C52"/>
    <w:rsid w:val="00C30DFA"/>
    <w:rsid w:val="00C32DCF"/>
    <w:rsid w:val="00C37C2F"/>
    <w:rsid w:val="00C40BCF"/>
    <w:rsid w:val="00C430FD"/>
    <w:rsid w:val="00C4315C"/>
    <w:rsid w:val="00C43825"/>
    <w:rsid w:val="00C44D39"/>
    <w:rsid w:val="00C47F27"/>
    <w:rsid w:val="00C5141B"/>
    <w:rsid w:val="00C515BF"/>
    <w:rsid w:val="00C519D0"/>
    <w:rsid w:val="00C522C1"/>
    <w:rsid w:val="00C53B40"/>
    <w:rsid w:val="00C53DDA"/>
    <w:rsid w:val="00C569E6"/>
    <w:rsid w:val="00C56C25"/>
    <w:rsid w:val="00C5791B"/>
    <w:rsid w:val="00C60EA0"/>
    <w:rsid w:val="00C6102D"/>
    <w:rsid w:val="00C61984"/>
    <w:rsid w:val="00C625F7"/>
    <w:rsid w:val="00C62ACF"/>
    <w:rsid w:val="00C62D2F"/>
    <w:rsid w:val="00C64BB8"/>
    <w:rsid w:val="00C716DF"/>
    <w:rsid w:val="00C7180D"/>
    <w:rsid w:val="00C71DEC"/>
    <w:rsid w:val="00C720AF"/>
    <w:rsid w:val="00C76A44"/>
    <w:rsid w:val="00C776EE"/>
    <w:rsid w:val="00C80F44"/>
    <w:rsid w:val="00C844DF"/>
    <w:rsid w:val="00C8471A"/>
    <w:rsid w:val="00C84ABE"/>
    <w:rsid w:val="00C8582D"/>
    <w:rsid w:val="00C867AC"/>
    <w:rsid w:val="00C90CF4"/>
    <w:rsid w:val="00C91190"/>
    <w:rsid w:val="00C913EB"/>
    <w:rsid w:val="00C920F2"/>
    <w:rsid w:val="00C92542"/>
    <w:rsid w:val="00C92E76"/>
    <w:rsid w:val="00C93389"/>
    <w:rsid w:val="00C93E10"/>
    <w:rsid w:val="00C943FA"/>
    <w:rsid w:val="00C95D31"/>
    <w:rsid w:val="00C96C58"/>
    <w:rsid w:val="00C972A4"/>
    <w:rsid w:val="00CA0C22"/>
    <w:rsid w:val="00CA14B1"/>
    <w:rsid w:val="00CA35A0"/>
    <w:rsid w:val="00CA4E46"/>
    <w:rsid w:val="00CA5513"/>
    <w:rsid w:val="00CA5B30"/>
    <w:rsid w:val="00CA7634"/>
    <w:rsid w:val="00CB0E73"/>
    <w:rsid w:val="00CB119C"/>
    <w:rsid w:val="00CB19B7"/>
    <w:rsid w:val="00CB2058"/>
    <w:rsid w:val="00CB2E34"/>
    <w:rsid w:val="00CB365C"/>
    <w:rsid w:val="00CB5E1F"/>
    <w:rsid w:val="00CB6787"/>
    <w:rsid w:val="00CB7B8F"/>
    <w:rsid w:val="00CB7C6A"/>
    <w:rsid w:val="00CB7D34"/>
    <w:rsid w:val="00CC035A"/>
    <w:rsid w:val="00CC0777"/>
    <w:rsid w:val="00CC08A8"/>
    <w:rsid w:val="00CC15C7"/>
    <w:rsid w:val="00CC1BCB"/>
    <w:rsid w:val="00CC31D3"/>
    <w:rsid w:val="00CC6AC0"/>
    <w:rsid w:val="00CC6CE2"/>
    <w:rsid w:val="00CD0733"/>
    <w:rsid w:val="00CD32B3"/>
    <w:rsid w:val="00CD38A6"/>
    <w:rsid w:val="00CD52DD"/>
    <w:rsid w:val="00CD5C5C"/>
    <w:rsid w:val="00CD5C9C"/>
    <w:rsid w:val="00CD69AB"/>
    <w:rsid w:val="00CD7FF3"/>
    <w:rsid w:val="00CE05B1"/>
    <w:rsid w:val="00CE19FA"/>
    <w:rsid w:val="00CE5770"/>
    <w:rsid w:val="00CE5B81"/>
    <w:rsid w:val="00CE7123"/>
    <w:rsid w:val="00CE762C"/>
    <w:rsid w:val="00CF0318"/>
    <w:rsid w:val="00CF1E47"/>
    <w:rsid w:val="00CF30FD"/>
    <w:rsid w:val="00CF3750"/>
    <w:rsid w:val="00CF3994"/>
    <w:rsid w:val="00CF3AF7"/>
    <w:rsid w:val="00CF3BC3"/>
    <w:rsid w:val="00CF4814"/>
    <w:rsid w:val="00CF51EC"/>
    <w:rsid w:val="00CF630C"/>
    <w:rsid w:val="00CF6D6C"/>
    <w:rsid w:val="00CF75B4"/>
    <w:rsid w:val="00CF765A"/>
    <w:rsid w:val="00D02B32"/>
    <w:rsid w:val="00D040DD"/>
    <w:rsid w:val="00D04CDF"/>
    <w:rsid w:val="00D06570"/>
    <w:rsid w:val="00D0660A"/>
    <w:rsid w:val="00D07643"/>
    <w:rsid w:val="00D1043F"/>
    <w:rsid w:val="00D1153B"/>
    <w:rsid w:val="00D1192D"/>
    <w:rsid w:val="00D11E62"/>
    <w:rsid w:val="00D123E4"/>
    <w:rsid w:val="00D15C62"/>
    <w:rsid w:val="00D15D2B"/>
    <w:rsid w:val="00D16B95"/>
    <w:rsid w:val="00D16CA3"/>
    <w:rsid w:val="00D170B3"/>
    <w:rsid w:val="00D17C11"/>
    <w:rsid w:val="00D2032F"/>
    <w:rsid w:val="00D20AAC"/>
    <w:rsid w:val="00D219B3"/>
    <w:rsid w:val="00D22C45"/>
    <w:rsid w:val="00D2340A"/>
    <w:rsid w:val="00D237B5"/>
    <w:rsid w:val="00D27CF3"/>
    <w:rsid w:val="00D304D1"/>
    <w:rsid w:val="00D31B7A"/>
    <w:rsid w:val="00D32644"/>
    <w:rsid w:val="00D32AAF"/>
    <w:rsid w:val="00D357F7"/>
    <w:rsid w:val="00D36CF5"/>
    <w:rsid w:val="00D37936"/>
    <w:rsid w:val="00D40648"/>
    <w:rsid w:val="00D41139"/>
    <w:rsid w:val="00D424F7"/>
    <w:rsid w:val="00D42E39"/>
    <w:rsid w:val="00D4367D"/>
    <w:rsid w:val="00D448C3"/>
    <w:rsid w:val="00D4509A"/>
    <w:rsid w:val="00D45C2E"/>
    <w:rsid w:val="00D508CE"/>
    <w:rsid w:val="00D50CCC"/>
    <w:rsid w:val="00D51F16"/>
    <w:rsid w:val="00D52054"/>
    <w:rsid w:val="00D52621"/>
    <w:rsid w:val="00D52692"/>
    <w:rsid w:val="00D54E6D"/>
    <w:rsid w:val="00D55EC8"/>
    <w:rsid w:val="00D562C1"/>
    <w:rsid w:val="00D56499"/>
    <w:rsid w:val="00D61FFA"/>
    <w:rsid w:val="00D645B6"/>
    <w:rsid w:val="00D64DAC"/>
    <w:rsid w:val="00D66A96"/>
    <w:rsid w:val="00D7252F"/>
    <w:rsid w:val="00D72956"/>
    <w:rsid w:val="00D732EA"/>
    <w:rsid w:val="00D739E9"/>
    <w:rsid w:val="00D73DDD"/>
    <w:rsid w:val="00D74697"/>
    <w:rsid w:val="00D746BE"/>
    <w:rsid w:val="00D7580F"/>
    <w:rsid w:val="00D771EB"/>
    <w:rsid w:val="00D7784F"/>
    <w:rsid w:val="00D77F03"/>
    <w:rsid w:val="00D77F78"/>
    <w:rsid w:val="00D82C76"/>
    <w:rsid w:val="00D82E85"/>
    <w:rsid w:val="00D82F91"/>
    <w:rsid w:val="00D83806"/>
    <w:rsid w:val="00D85311"/>
    <w:rsid w:val="00D86177"/>
    <w:rsid w:val="00D862DB"/>
    <w:rsid w:val="00D862E2"/>
    <w:rsid w:val="00D870FA"/>
    <w:rsid w:val="00D8721D"/>
    <w:rsid w:val="00D90902"/>
    <w:rsid w:val="00D926D6"/>
    <w:rsid w:val="00D931E3"/>
    <w:rsid w:val="00D93FAE"/>
    <w:rsid w:val="00D9593B"/>
    <w:rsid w:val="00D95F9C"/>
    <w:rsid w:val="00D97D4F"/>
    <w:rsid w:val="00DA236F"/>
    <w:rsid w:val="00DA23C8"/>
    <w:rsid w:val="00DA4A23"/>
    <w:rsid w:val="00DA4D23"/>
    <w:rsid w:val="00DA5A26"/>
    <w:rsid w:val="00DA631C"/>
    <w:rsid w:val="00DA7A50"/>
    <w:rsid w:val="00DA7CC2"/>
    <w:rsid w:val="00DB1043"/>
    <w:rsid w:val="00DB2C93"/>
    <w:rsid w:val="00DB3080"/>
    <w:rsid w:val="00DB3EA4"/>
    <w:rsid w:val="00DB4065"/>
    <w:rsid w:val="00DB4861"/>
    <w:rsid w:val="00DB4CA7"/>
    <w:rsid w:val="00DB5208"/>
    <w:rsid w:val="00DB5650"/>
    <w:rsid w:val="00DB5A0B"/>
    <w:rsid w:val="00DB63A5"/>
    <w:rsid w:val="00DC34E8"/>
    <w:rsid w:val="00DC44B4"/>
    <w:rsid w:val="00DC4F06"/>
    <w:rsid w:val="00DC5B3B"/>
    <w:rsid w:val="00DD025D"/>
    <w:rsid w:val="00DD1E87"/>
    <w:rsid w:val="00DD1F3F"/>
    <w:rsid w:val="00DD22C3"/>
    <w:rsid w:val="00DD29DA"/>
    <w:rsid w:val="00DD2C24"/>
    <w:rsid w:val="00DD3310"/>
    <w:rsid w:val="00DD5273"/>
    <w:rsid w:val="00DD6045"/>
    <w:rsid w:val="00DD7D6D"/>
    <w:rsid w:val="00DE14E0"/>
    <w:rsid w:val="00DE1868"/>
    <w:rsid w:val="00DE18D5"/>
    <w:rsid w:val="00DE1D26"/>
    <w:rsid w:val="00DE24CD"/>
    <w:rsid w:val="00DE2D5D"/>
    <w:rsid w:val="00DE3559"/>
    <w:rsid w:val="00DE4E41"/>
    <w:rsid w:val="00DE61D7"/>
    <w:rsid w:val="00DF0AEA"/>
    <w:rsid w:val="00DF2BE0"/>
    <w:rsid w:val="00DF38C7"/>
    <w:rsid w:val="00DF38E1"/>
    <w:rsid w:val="00DF6411"/>
    <w:rsid w:val="00DF765E"/>
    <w:rsid w:val="00E01C0E"/>
    <w:rsid w:val="00E0238B"/>
    <w:rsid w:val="00E0253B"/>
    <w:rsid w:val="00E03492"/>
    <w:rsid w:val="00E04694"/>
    <w:rsid w:val="00E047D9"/>
    <w:rsid w:val="00E069D1"/>
    <w:rsid w:val="00E1134C"/>
    <w:rsid w:val="00E14DCA"/>
    <w:rsid w:val="00E17081"/>
    <w:rsid w:val="00E177CD"/>
    <w:rsid w:val="00E179D6"/>
    <w:rsid w:val="00E23A1A"/>
    <w:rsid w:val="00E25339"/>
    <w:rsid w:val="00E26F9A"/>
    <w:rsid w:val="00E27145"/>
    <w:rsid w:val="00E302A2"/>
    <w:rsid w:val="00E313C9"/>
    <w:rsid w:val="00E32007"/>
    <w:rsid w:val="00E32551"/>
    <w:rsid w:val="00E32F67"/>
    <w:rsid w:val="00E34129"/>
    <w:rsid w:val="00E34334"/>
    <w:rsid w:val="00E35EE2"/>
    <w:rsid w:val="00E40913"/>
    <w:rsid w:val="00E4183E"/>
    <w:rsid w:val="00E43274"/>
    <w:rsid w:val="00E44FE6"/>
    <w:rsid w:val="00E4586D"/>
    <w:rsid w:val="00E46A44"/>
    <w:rsid w:val="00E4731C"/>
    <w:rsid w:val="00E51707"/>
    <w:rsid w:val="00E52C0B"/>
    <w:rsid w:val="00E5532E"/>
    <w:rsid w:val="00E55E70"/>
    <w:rsid w:val="00E5721D"/>
    <w:rsid w:val="00E57AF7"/>
    <w:rsid w:val="00E60C65"/>
    <w:rsid w:val="00E6132D"/>
    <w:rsid w:val="00E61500"/>
    <w:rsid w:val="00E63796"/>
    <w:rsid w:val="00E63E10"/>
    <w:rsid w:val="00E64CA1"/>
    <w:rsid w:val="00E65176"/>
    <w:rsid w:val="00E66077"/>
    <w:rsid w:val="00E67F89"/>
    <w:rsid w:val="00E70357"/>
    <w:rsid w:val="00E71A58"/>
    <w:rsid w:val="00E7309F"/>
    <w:rsid w:val="00E80CEE"/>
    <w:rsid w:val="00E828AD"/>
    <w:rsid w:val="00E83728"/>
    <w:rsid w:val="00E84923"/>
    <w:rsid w:val="00E86BBC"/>
    <w:rsid w:val="00E87690"/>
    <w:rsid w:val="00E916F2"/>
    <w:rsid w:val="00E928A7"/>
    <w:rsid w:val="00E92B7F"/>
    <w:rsid w:val="00E93594"/>
    <w:rsid w:val="00E93DF1"/>
    <w:rsid w:val="00E93E77"/>
    <w:rsid w:val="00E94123"/>
    <w:rsid w:val="00E94893"/>
    <w:rsid w:val="00E957EC"/>
    <w:rsid w:val="00E95ED4"/>
    <w:rsid w:val="00E96DF9"/>
    <w:rsid w:val="00E978D1"/>
    <w:rsid w:val="00E97CEB"/>
    <w:rsid w:val="00E97FA6"/>
    <w:rsid w:val="00EA0C68"/>
    <w:rsid w:val="00EA1483"/>
    <w:rsid w:val="00EA2491"/>
    <w:rsid w:val="00EA2A3F"/>
    <w:rsid w:val="00EA2F6A"/>
    <w:rsid w:val="00EA33A6"/>
    <w:rsid w:val="00EA3D63"/>
    <w:rsid w:val="00EA41D4"/>
    <w:rsid w:val="00EA48B1"/>
    <w:rsid w:val="00EA52AB"/>
    <w:rsid w:val="00EA770B"/>
    <w:rsid w:val="00EA7E97"/>
    <w:rsid w:val="00EB073A"/>
    <w:rsid w:val="00EB1BA9"/>
    <w:rsid w:val="00EB2612"/>
    <w:rsid w:val="00EB34FD"/>
    <w:rsid w:val="00EB6691"/>
    <w:rsid w:val="00EB7708"/>
    <w:rsid w:val="00EC224D"/>
    <w:rsid w:val="00EC276B"/>
    <w:rsid w:val="00EC491F"/>
    <w:rsid w:val="00EC5902"/>
    <w:rsid w:val="00EC5C84"/>
    <w:rsid w:val="00EC5D3C"/>
    <w:rsid w:val="00ED0206"/>
    <w:rsid w:val="00ED0329"/>
    <w:rsid w:val="00ED286F"/>
    <w:rsid w:val="00ED437A"/>
    <w:rsid w:val="00ED59A5"/>
    <w:rsid w:val="00ED7436"/>
    <w:rsid w:val="00ED7FC7"/>
    <w:rsid w:val="00EE01FF"/>
    <w:rsid w:val="00EE05ED"/>
    <w:rsid w:val="00EE1F14"/>
    <w:rsid w:val="00EE218B"/>
    <w:rsid w:val="00EE3E78"/>
    <w:rsid w:val="00EE504E"/>
    <w:rsid w:val="00EE5179"/>
    <w:rsid w:val="00EE6118"/>
    <w:rsid w:val="00EE6D0D"/>
    <w:rsid w:val="00EE7439"/>
    <w:rsid w:val="00EE7545"/>
    <w:rsid w:val="00EF1538"/>
    <w:rsid w:val="00EF194E"/>
    <w:rsid w:val="00EF1F5A"/>
    <w:rsid w:val="00EF2525"/>
    <w:rsid w:val="00EF3614"/>
    <w:rsid w:val="00EF4907"/>
    <w:rsid w:val="00EF4D97"/>
    <w:rsid w:val="00EF57CC"/>
    <w:rsid w:val="00EF63C7"/>
    <w:rsid w:val="00EF65C3"/>
    <w:rsid w:val="00EF6A33"/>
    <w:rsid w:val="00F00EA9"/>
    <w:rsid w:val="00F013B6"/>
    <w:rsid w:val="00F02FF2"/>
    <w:rsid w:val="00F04811"/>
    <w:rsid w:val="00F0488C"/>
    <w:rsid w:val="00F05C31"/>
    <w:rsid w:val="00F06DC6"/>
    <w:rsid w:val="00F07CC0"/>
    <w:rsid w:val="00F100E0"/>
    <w:rsid w:val="00F102BF"/>
    <w:rsid w:val="00F112D6"/>
    <w:rsid w:val="00F12145"/>
    <w:rsid w:val="00F12C10"/>
    <w:rsid w:val="00F12C35"/>
    <w:rsid w:val="00F12DB1"/>
    <w:rsid w:val="00F13916"/>
    <w:rsid w:val="00F143DB"/>
    <w:rsid w:val="00F15804"/>
    <w:rsid w:val="00F15BEF"/>
    <w:rsid w:val="00F1651D"/>
    <w:rsid w:val="00F17103"/>
    <w:rsid w:val="00F176FF"/>
    <w:rsid w:val="00F2260E"/>
    <w:rsid w:val="00F24FAA"/>
    <w:rsid w:val="00F26813"/>
    <w:rsid w:val="00F2719E"/>
    <w:rsid w:val="00F2751B"/>
    <w:rsid w:val="00F27845"/>
    <w:rsid w:val="00F301BC"/>
    <w:rsid w:val="00F33376"/>
    <w:rsid w:val="00F3364D"/>
    <w:rsid w:val="00F33984"/>
    <w:rsid w:val="00F33E22"/>
    <w:rsid w:val="00F33F97"/>
    <w:rsid w:val="00F34DDA"/>
    <w:rsid w:val="00F35286"/>
    <w:rsid w:val="00F35F23"/>
    <w:rsid w:val="00F3608B"/>
    <w:rsid w:val="00F375DA"/>
    <w:rsid w:val="00F37CFB"/>
    <w:rsid w:val="00F40373"/>
    <w:rsid w:val="00F40F10"/>
    <w:rsid w:val="00F419C2"/>
    <w:rsid w:val="00F41DE4"/>
    <w:rsid w:val="00F42ADE"/>
    <w:rsid w:val="00F4368B"/>
    <w:rsid w:val="00F4638E"/>
    <w:rsid w:val="00F4721B"/>
    <w:rsid w:val="00F543ED"/>
    <w:rsid w:val="00F57A82"/>
    <w:rsid w:val="00F61C33"/>
    <w:rsid w:val="00F632B0"/>
    <w:rsid w:val="00F63DDE"/>
    <w:rsid w:val="00F63FB7"/>
    <w:rsid w:val="00F64052"/>
    <w:rsid w:val="00F64AB5"/>
    <w:rsid w:val="00F64B5F"/>
    <w:rsid w:val="00F65272"/>
    <w:rsid w:val="00F6775F"/>
    <w:rsid w:val="00F72FAA"/>
    <w:rsid w:val="00F73A0C"/>
    <w:rsid w:val="00F75378"/>
    <w:rsid w:val="00F766F2"/>
    <w:rsid w:val="00F76D39"/>
    <w:rsid w:val="00F76EFC"/>
    <w:rsid w:val="00F77FD7"/>
    <w:rsid w:val="00F823B2"/>
    <w:rsid w:val="00F824F1"/>
    <w:rsid w:val="00F82744"/>
    <w:rsid w:val="00F85F9A"/>
    <w:rsid w:val="00F912EF"/>
    <w:rsid w:val="00F93608"/>
    <w:rsid w:val="00F95D6D"/>
    <w:rsid w:val="00F96C39"/>
    <w:rsid w:val="00F972A8"/>
    <w:rsid w:val="00FA118E"/>
    <w:rsid w:val="00FA3917"/>
    <w:rsid w:val="00FA57C0"/>
    <w:rsid w:val="00FA6A70"/>
    <w:rsid w:val="00FA7C55"/>
    <w:rsid w:val="00FA7D92"/>
    <w:rsid w:val="00FB03D2"/>
    <w:rsid w:val="00FB1A38"/>
    <w:rsid w:val="00FB2130"/>
    <w:rsid w:val="00FB5108"/>
    <w:rsid w:val="00FB512A"/>
    <w:rsid w:val="00FB51BC"/>
    <w:rsid w:val="00FB5428"/>
    <w:rsid w:val="00FB5667"/>
    <w:rsid w:val="00FB5FB6"/>
    <w:rsid w:val="00FB6DE3"/>
    <w:rsid w:val="00FC0E5F"/>
    <w:rsid w:val="00FC1908"/>
    <w:rsid w:val="00FC1FBC"/>
    <w:rsid w:val="00FC208C"/>
    <w:rsid w:val="00FC2A28"/>
    <w:rsid w:val="00FC30EF"/>
    <w:rsid w:val="00FC4669"/>
    <w:rsid w:val="00FC56DE"/>
    <w:rsid w:val="00FC68DB"/>
    <w:rsid w:val="00FC6F82"/>
    <w:rsid w:val="00FC7ECC"/>
    <w:rsid w:val="00FD1391"/>
    <w:rsid w:val="00FD15DF"/>
    <w:rsid w:val="00FD3B1F"/>
    <w:rsid w:val="00FD4C7D"/>
    <w:rsid w:val="00FD5FAC"/>
    <w:rsid w:val="00FD67BE"/>
    <w:rsid w:val="00FD6A7D"/>
    <w:rsid w:val="00FD7C5C"/>
    <w:rsid w:val="00FE02E9"/>
    <w:rsid w:val="00FE09B6"/>
    <w:rsid w:val="00FE1C5D"/>
    <w:rsid w:val="00FE1FC6"/>
    <w:rsid w:val="00FE26AC"/>
    <w:rsid w:val="00FE27EE"/>
    <w:rsid w:val="00FE2F78"/>
    <w:rsid w:val="00FE35E6"/>
    <w:rsid w:val="00FE5705"/>
    <w:rsid w:val="00FF0E01"/>
    <w:rsid w:val="00FF0F49"/>
    <w:rsid w:val="00FF3DCC"/>
    <w:rsid w:val="00FF475F"/>
    <w:rsid w:val="00FF5022"/>
    <w:rsid w:val="00FF5039"/>
    <w:rsid w:val="00FF526E"/>
    <w:rsid w:val="00FF5771"/>
    <w:rsid w:val="00FF66DD"/>
    <w:rsid w:val="00FF7012"/>
    <w:rsid w:val="00FF77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57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B414F8"/>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semiHidden/>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vraznn">
    <w:name w:val="Emphasis"/>
    <w:basedOn w:val="Standardnpsmoodstavce"/>
    <w:uiPriority w:val="20"/>
    <w:qFormat/>
    <w:rsid w:val="00FA6A70"/>
    <w:rPr>
      <w:i/>
      <w:iCs/>
    </w:rPr>
  </w:style>
  <w:style w:type="character" w:customStyle="1" w:styleId="textexposedshow">
    <w:name w:val="text_exposed_show"/>
    <w:basedOn w:val="Standardnpsmoodstavce"/>
    <w:rsid w:val="007358EB"/>
  </w:style>
  <w:style w:type="paragraph" w:styleId="Obsah3">
    <w:name w:val="toc 3"/>
    <w:basedOn w:val="Normln"/>
    <w:next w:val="Normln"/>
    <w:autoRedefine/>
    <w:uiPriority w:val="39"/>
    <w:unhideWhenUsed/>
    <w:rsid w:val="000443B0"/>
    <w:pPr>
      <w:spacing w:after="100"/>
      <w:ind w:left="400"/>
    </w:pPr>
  </w:style>
  <w:style w:type="paragraph" w:styleId="Seznamobrzk">
    <w:name w:val="table of figures"/>
    <w:basedOn w:val="Normln"/>
    <w:next w:val="Normln"/>
    <w:uiPriority w:val="99"/>
    <w:unhideWhenUsed/>
    <w:rsid w:val="00750D87"/>
    <w:pPr>
      <w:spacing w:after="0"/>
    </w:pPr>
  </w:style>
  <w:style w:type="character" w:customStyle="1" w:styleId="gmail-apple-tab-span">
    <w:name w:val="gmail-apple-tab-span"/>
    <w:basedOn w:val="Standardnpsmoodstavce"/>
    <w:rsid w:val="00993F83"/>
  </w:style>
  <w:style w:type="character" w:styleId="Odkaznakoment">
    <w:name w:val="annotation reference"/>
    <w:basedOn w:val="Standardnpsmoodstavce"/>
    <w:uiPriority w:val="99"/>
    <w:semiHidden/>
    <w:unhideWhenUsed/>
    <w:rsid w:val="008D5856"/>
    <w:rPr>
      <w:sz w:val="16"/>
      <w:szCs w:val="16"/>
    </w:rPr>
  </w:style>
  <w:style w:type="paragraph" w:styleId="Textkomente">
    <w:name w:val="annotation text"/>
    <w:basedOn w:val="Normln"/>
    <w:link w:val="TextkomenteChar"/>
    <w:uiPriority w:val="99"/>
    <w:semiHidden/>
    <w:unhideWhenUsed/>
    <w:rsid w:val="008D5856"/>
    <w:pPr>
      <w:spacing w:line="240" w:lineRule="auto"/>
    </w:pPr>
    <w:rPr>
      <w:szCs w:val="20"/>
    </w:rPr>
  </w:style>
  <w:style w:type="character" w:customStyle="1" w:styleId="TextkomenteChar">
    <w:name w:val="Text komentáře Char"/>
    <w:basedOn w:val="Standardnpsmoodstavce"/>
    <w:link w:val="Textkomente"/>
    <w:uiPriority w:val="99"/>
    <w:semiHidden/>
    <w:rsid w:val="008D5856"/>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D5856"/>
    <w:rPr>
      <w:b/>
      <w:bCs/>
    </w:rPr>
  </w:style>
  <w:style w:type="character" w:customStyle="1" w:styleId="PedmtkomenteChar">
    <w:name w:val="Předmět komentáře Char"/>
    <w:basedOn w:val="TextkomenteChar"/>
    <w:link w:val="Pedmtkomente"/>
    <w:uiPriority w:val="99"/>
    <w:semiHidden/>
    <w:rsid w:val="008D5856"/>
    <w:rPr>
      <w:rFonts w:ascii="Arial" w:eastAsia="Times New Roman" w:hAnsi="Arial"/>
      <w:b/>
      <w:bCs/>
    </w:rPr>
  </w:style>
  <w:style w:type="paragraph" w:styleId="Textvysvtlivek">
    <w:name w:val="endnote text"/>
    <w:basedOn w:val="Normln"/>
    <w:link w:val="TextvysvtlivekChar"/>
    <w:uiPriority w:val="99"/>
    <w:semiHidden/>
    <w:unhideWhenUsed/>
    <w:rsid w:val="00A63BAB"/>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A63BAB"/>
    <w:rPr>
      <w:rFonts w:ascii="Arial" w:eastAsia="Times New Roman" w:hAnsi="Arial"/>
    </w:rPr>
  </w:style>
  <w:style w:type="character" w:styleId="Odkaznavysvtlivky">
    <w:name w:val="endnote reference"/>
    <w:basedOn w:val="Standardnpsmoodstavce"/>
    <w:uiPriority w:val="99"/>
    <w:semiHidden/>
    <w:unhideWhenUsed/>
    <w:rsid w:val="00A63BAB"/>
    <w:rPr>
      <w:vertAlign w:val="superscript"/>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47317">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11486392">
      <w:bodyDiv w:val="1"/>
      <w:marLeft w:val="0"/>
      <w:marRight w:val="0"/>
      <w:marTop w:val="0"/>
      <w:marBottom w:val="0"/>
      <w:divBdr>
        <w:top w:val="none" w:sz="0" w:space="0" w:color="auto"/>
        <w:left w:val="none" w:sz="0" w:space="0" w:color="auto"/>
        <w:bottom w:val="none" w:sz="0" w:space="0" w:color="auto"/>
        <w:right w:val="none" w:sz="0" w:space="0" w:color="auto"/>
      </w:divBdr>
    </w:div>
    <w:div w:id="191312120">
      <w:bodyDiv w:val="1"/>
      <w:marLeft w:val="0"/>
      <w:marRight w:val="0"/>
      <w:marTop w:val="0"/>
      <w:marBottom w:val="0"/>
      <w:divBdr>
        <w:top w:val="none" w:sz="0" w:space="0" w:color="auto"/>
        <w:left w:val="none" w:sz="0" w:space="0" w:color="auto"/>
        <w:bottom w:val="none" w:sz="0" w:space="0" w:color="auto"/>
        <w:right w:val="none" w:sz="0" w:space="0" w:color="auto"/>
      </w:divBdr>
    </w:div>
    <w:div w:id="204681006">
      <w:bodyDiv w:val="1"/>
      <w:marLeft w:val="0"/>
      <w:marRight w:val="0"/>
      <w:marTop w:val="0"/>
      <w:marBottom w:val="0"/>
      <w:divBdr>
        <w:top w:val="none" w:sz="0" w:space="0" w:color="auto"/>
        <w:left w:val="none" w:sz="0" w:space="0" w:color="auto"/>
        <w:bottom w:val="none" w:sz="0" w:space="0" w:color="auto"/>
        <w:right w:val="none" w:sz="0" w:space="0" w:color="auto"/>
      </w:divBdr>
    </w:div>
    <w:div w:id="232476326">
      <w:bodyDiv w:val="1"/>
      <w:marLeft w:val="0"/>
      <w:marRight w:val="0"/>
      <w:marTop w:val="0"/>
      <w:marBottom w:val="0"/>
      <w:divBdr>
        <w:top w:val="none" w:sz="0" w:space="0" w:color="auto"/>
        <w:left w:val="none" w:sz="0" w:space="0" w:color="auto"/>
        <w:bottom w:val="none" w:sz="0" w:space="0" w:color="auto"/>
        <w:right w:val="none" w:sz="0" w:space="0" w:color="auto"/>
      </w:divBdr>
    </w:div>
    <w:div w:id="288630929">
      <w:bodyDiv w:val="1"/>
      <w:marLeft w:val="0"/>
      <w:marRight w:val="0"/>
      <w:marTop w:val="0"/>
      <w:marBottom w:val="0"/>
      <w:divBdr>
        <w:top w:val="none" w:sz="0" w:space="0" w:color="auto"/>
        <w:left w:val="none" w:sz="0" w:space="0" w:color="auto"/>
        <w:bottom w:val="none" w:sz="0" w:space="0" w:color="auto"/>
        <w:right w:val="none" w:sz="0" w:space="0" w:color="auto"/>
      </w:divBdr>
    </w:div>
    <w:div w:id="339771137">
      <w:bodyDiv w:val="1"/>
      <w:marLeft w:val="0"/>
      <w:marRight w:val="0"/>
      <w:marTop w:val="0"/>
      <w:marBottom w:val="0"/>
      <w:divBdr>
        <w:top w:val="none" w:sz="0" w:space="0" w:color="auto"/>
        <w:left w:val="none" w:sz="0" w:space="0" w:color="auto"/>
        <w:bottom w:val="none" w:sz="0" w:space="0" w:color="auto"/>
        <w:right w:val="none" w:sz="0" w:space="0" w:color="auto"/>
      </w:divBdr>
    </w:div>
    <w:div w:id="42048654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48108732">
      <w:bodyDiv w:val="1"/>
      <w:marLeft w:val="0"/>
      <w:marRight w:val="0"/>
      <w:marTop w:val="0"/>
      <w:marBottom w:val="0"/>
      <w:divBdr>
        <w:top w:val="none" w:sz="0" w:space="0" w:color="auto"/>
        <w:left w:val="none" w:sz="0" w:space="0" w:color="auto"/>
        <w:bottom w:val="none" w:sz="0" w:space="0" w:color="auto"/>
        <w:right w:val="none" w:sz="0" w:space="0" w:color="auto"/>
      </w:divBdr>
    </w:div>
    <w:div w:id="556815814">
      <w:bodyDiv w:val="1"/>
      <w:marLeft w:val="0"/>
      <w:marRight w:val="0"/>
      <w:marTop w:val="0"/>
      <w:marBottom w:val="0"/>
      <w:divBdr>
        <w:top w:val="none" w:sz="0" w:space="0" w:color="auto"/>
        <w:left w:val="none" w:sz="0" w:space="0" w:color="auto"/>
        <w:bottom w:val="none" w:sz="0" w:space="0" w:color="auto"/>
        <w:right w:val="none" w:sz="0" w:space="0" w:color="auto"/>
      </w:divBdr>
    </w:div>
    <w:div w:id="625548481">
      <w:bodyDiv w:val="1"/>
      <w:marLeft w:val="0"/>
      <w:marRight w:val="0"/>
      <w:marTop w:val="0"/>
      <w:marBottom w:val="0"/>
      <w:divBdr>
        <w:top w:val="none" w:sz="0" w:space="0" w:color="auto"/>
        <w:left w:val="none" w:sz="0" w:space="0" w:color="auto"/>
        <w:bottom w:val="none" w:sz="0" w:space="0" w:color="auto"/>
        <w:right w:val="none" w:sz="0" w:space="0" w:color="auto"/>
      </w:divBdr>
    </w:div>
    <w:div w:id="668874330">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8632495">
      <w:bodyDiv w:val="1"/>
      <w:marLeft w:val="0"/>
      <w:marRight w:val="0"/>
      <w:marTop w:val="0"/>
      <w:marBottom w:val="0"/>
      <w:divBdr>
        <w:top w:val="none" w:sz="0" w:space="0" w:color="auto"/>
        <w:left w:val="none" w:sz="0" w:space="0" w:color="auto"/>
        <w:bottom w:val="none" w:sz="0" w:space="0" w:color="auto"/>
        <w:right w:val="none" w:sz="0" w:space="0" w:color="auto"/>
      </w:divBdr>
    </w:div>
    <w:div w:id="725303222">
      <w:bodyDiv w:val="1"/>
      <w:marLeft w:val="0"/>
      <w:marRight w:val="0"/>
      <w:marTop w:val="0"/>
      <w:marBottom w:val="0"/>
      <w:divBdr>
        <w:top w:val="none" w:sz="0" w:space="0" w:color="auto"/>
        <w:left w:val="none" w:sz="0" w:space="0" w:color="auto"/>
        <w:bottom w:val="none" w:sz="0" w:space="0" w:color="auto"/>
        <w:right w:val="none" w:sz="0" w:space="0" w:color="auto"/>
      </w:divBdr>
    </w:div>
    <w:div w:id="768045233">
      <w:bodyDiv w:val="1"/>
      <w:marLeft w:val="0"/>
      <w:marRight w:val="0"/>
      <w:marTop w:val="0"/>
      <w:marBottom w:val="0"/>
      <w:divBdr>
        <w:top w:val="none" w:sz="0" w:space="0" w:color="auto"/>
        <w:left w:val="none" w:sz="0" w:space="0" w:color="auto"/>
        <w:bottom w:val="none" w:sz="0" w:space="0" w:color="auto"/>
        <w:right w:val="none" w:sz="0" w:space="0" w:color="auto"/>
      </w:divBdr>
    </w:div>
    <w:div w:id="889463709">
      <w:bodyDiv w:val="1"/>
      <w:marLeft w:val="0"/>
      <w:marRight w:val="0"/>
      <w:marTop w:val="0"/>
      <w:marBottom w:val="0"/>
      <w:divBdr>
        <w:top w:val="none" w:sz="0" w:space="0" w:color="auto"/>
        <w:left w:val="none" w:sz="0" w:space="0" w:color="auto"/>
        <w:bottom w:val="none" w:sz="0" w:space="0" w:color="auto"/>
        <w:right w:val="none" w:sz="0" w:space="0" w:color="auto"/>
      </w:divBdr>
    </w:div>
    <w:div w:id="896747550">
      <w:bodyDiv w:val="1"/>
      <w:marLeft w:val="0"/>
      <w:marRight w:val="0"/>
      <w:marTop w:val="0"/>
      <w:marBottom w:val="0"/>
      <w:divBdr>
        <w:top w:val="none" w:sz="0" w:space="0" w:color="auto"/>
        <w:left w:val="none" w:sz="0" w:space="0" w:color="auto"/>
        <w:bottom w:val="none" w:sz="0" w:space="0" w:color="auto"/>
        <w:right w:val="none" w:sz="0" w:space="0" w:color="auto"/>
      </w:divBdr>
    </w:div>
    <w:div w:id="906764325">
      <w:bodyDiv w:val="1"/>
      <w:marLeft w:val="0"/>
      <w:marRight w:val="0"/>
      <w:marTop w:val="0"/>
      <w:marBottom w:val="0"/>
      <w:divBdr>
        <w:top w:val="none" w:sz="0" w:space="0" w:color="auto"/>
        <w:left w:val="none" w:sz="0" w:space="0" w:color="auto"/>
        <w:bottom w:val="none" w:sz="0" w:space="0" w:color="auto"/>
        <w:right w:val="none" w:sz="0" w:space="0" w:color="auto"/>
      </w:divBdr>
    </w:div>
    <w:div w:id="921721908">
      <w:bodyDiv w:val="1"/>
      <w:marLeft w:val="0"/>
      <w:marRight w:val="0"/>
      <w:marTop w:val="0"/>
      <w:marBottom w:val="0"/>
      <w:divBdr>
        <w:top w:val="none" w:sz="0" w:space="0" w:color="auto"/>
        <w:left w:val="none" w:sz="0" w:space="0" w:color="auto"/>
        <w:bottom w:val="none" w:sz="0" w:space="0" w:color="auto"/>
        <w:right w:val="none" w:sz="0" w:space="0" w:color="auto"/>
      </w:divBdr>
    </w:div>
    <w:div w:id="957031559">
      <w:bodyDiv w:val="1"/>
      <w:marLeft w:val="0"/>
      <w:marRight w:val="0"/>
      <w:marTop w:val="0"/>
      <w:marBottom w:val="0"/>
      <w:divBdr>
        <w:top w:val="none" w:sz="0" w:space="0" w:color="auto"/>
        <w:left w:val="none" w:sz="0" w:space="0" w:color="auto"/>
        <w:bottom w:val="none" w:sz="0" w:space="0" w:color="auto"/>
        <w:right w:val="none" w:sz="0" w:space="0" w:color="auto"/>
      </w:divBdr>
    </w:div>
    <w:div w:id="1004630222">
      <w:bodyDiv w:val="1"/>
      <w:marLeft w:val="0"/>
      <w:marRight w:val="0"/>
      <w:marTop w:val="0"/>
      <w:marBottom w:val="0"/>
      <w:divBdr>
        <w:top w:val="none" w:sz="0" w:space="0" w:color="auto"/>
        <w:left w:val="none" w:sz="0" w:space="0" w:color="auto"/>
        <w:bottom w:val="none" w:sz="0" w:space="0" w:color="auto"/>
        <w:right w:val="none" w:sz="0" w:space="0" w:color="auto"/>
      </w:divBdr>
    </w:div>
    <w:div w:id="1010332726">
      <w:bodyDiv w:val="1"/>
      <w:marLeft w:val="0"/>
      <w:marRight w:val="0"/>
      <w:marTop w:val="0"/>
      <w:marBottom w:val="0"/>
      <w:divBdr>
        <w:top w:val="none" w:sz="0" w:space="0" w:color="auto"/>
        <w:left w:val="none" w:sz="0" w:space="0" w:color="auto"/>
        <w:bottom w:val="none" w:sz="0" w:space="0" w:color="auto"/>
        <w:right w:val="none" w:sz="0" w:space="0" w:color="auto"/>
      </w:divBdr>
    </w:div>
    <w:div w:id="1069763369">
      <w:bodyDiv w:val="1"/>
      <w:marLeft w:val="0"/>
      <w:marRight w:val="0"/>
      <w:marTop w:val="0"/>
      <w:marBottom w:val="0"/>
      <w:divBdr>
        <w:top w:val="none" w:sz="0" w:space="0" w:color="auto"/>
        <w:left w:val="none" w:sz="0" w:space="0" w:color="auto"/>
        <w:bottom w:val="none" w:sz="0" w:space="0" w:color="auto"/>
        <w:right w:val="none" w:sz="0" w:space="0" w:color="auto"/>
      </w:divBdr>
    </w:div>
    <w:div w:id="1191257430">
      <w:bodyDiv w:val="1"/>
      <w:marLeft w:val="0"/>
      <w:marRight w:val="0"/>
      <w:marTop w:val="0"/>
      <w:marBottom w:val="0"/>
      <w:divBdr>
        <w:top w:val="none" w:sz="0" w:space="0" w:color="auto"/>
        <w:left w:val="none" w:sz="0" w:space="0" w:color="auto"/>
        <w:bottom w:val="none" w:sz="0" w:space="0" w:color="auto"/>
        <w:right w:val="none" w:sz="0" w:space="0" w:color="auto"/>
      </w:divBdr>
    </w:div>
    <w:div w:id="1212378085">
      <w:bodyDiv w:val="1"/>
      <w:marLeft w:val="0"/>
      <w:marRight w:val="0"/>
      <w:marTop w:val="0"/>
      <w:marBottom w:val="0"/>
      <w:divBdr>
        <w:top w:val="none" w:sz="0" w:space="0" w:color="auto"/>
        <w:left w:val="none" w:sz="0" w:space="0" w:color="auto"/>
        <w:bottom w:val="none" w:sz="0" w:space="0" w:color="auto"/>
        <w:right w:val="none" w:sz="0" w:space="0" w:color="auto"/>
      </w:divBdr>
    </w:div>
    <w:div w:id="1274440417">
      <w:bodyDiv w:val="1"/>
      <w:marLeft w:val="0"/>
      <w:marRight w:val="0"/>
      <w:marTop w:val="0"/>
      <w:marBottom w:val="0"/>
      <w:divBdr>
        <w:top w:val="none" w:sz="0" w:space="0" w:color="auto"/>
        <w:left w:val="none" w:sz="0" w:space="0" w:color="auto"/>
        <w:bottom w:val="none" w:sz="0" w:space="0" w:color="auto"/>
        <w:right w:val="none" w:sz="0" w:space="0" w:color="auto"/>
      </w:divBdr>
    </w:div>
    <w:div w:id="1294410675">
      <w:bodyDiv w:val="1"/>
      <w:marLeft w:val="0"/>
      <w:marRight w:val="0"/>
      <w:marTop w:val="0"/>
      <w:marBottom w:val="0"/>
      <w:divBdr>
        <w:top w:val="none" w:sz="0" w:space="0" w:color="auto"/>
        <w:left w:val="none" w:sz="0" w:space="0" w:color="auto"/>
        <w:bottom w:val="none" w:sz="0" w:space="0" w:color="auto"/>
        <w:right w:val="none" w:sz="0" w:space="0" w:color="auto"/>
      </w:divBdr>
      <w:divsChild>
        <w:div w:id="1826318505">
          <w:marLeft w:val="0"/>
          <w:marRight w:val="0"/>
          <w:marTop w:val="0"/>
          <w:marBottom w:val="0"/>
          <w:divBdr>
            <w:top w:val="none" w:sz="0" w:space="0" w:color="auto"/>
            <w:left w:val="none" w:sz="0" w:space="0" w:color="auto"/>
            <w:bottom w:val="none" w:sz="0" w:space="0" w:color="auto"/>
            <w:right w:val="none" w:sz="0" w:space="0" w:color="auto"/>
          </w:divBdr>
        </w:div>
      </w:divsChild>
    </w:div>
    <w:div w:id="1308246018">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22692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90501">
      <w:bodyDiv w:val="1"/>
      <w:marLeft w:val="0"/>
      <w:marRight w:val="0"/>
      <w:marTop w:val="0"/>
      <w:marBottom w:val="0"/>
      <w:divBdr>
        <w:top w:val="none" w:sz="0" w:space="0" w:color="auto"/>
        <w:left w:val="none" w:sz="0" w:space="0" w:color="auto"/>
        <w:bottom w:val="none" w:sz="0" w:space="0" w:color="auto"/>
        <w:right w:val="none" w:sz="0" w:space="0" w:color="auto"/>
      </w:divBdr>
    </w:div>
    <w:div w:id="1479541879">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567111057">
      <w:bodyDiv w:val="1"/>
      <w:marLeft w:val="0"/>
      <w:marRight w:val="0"/>
      <w:marTop w:val="0"/>
      <w:marBottom w:val="0"/>
      <w:divBdr>
        <w:top w:val="none" w:sz="0" w:space="0" w:color="auto"/>
        <w:left w:val="none" w:sz="0" w:space="0" w:color="auto"/>
        <w:bottom w:val="none" w:sz="0" w:space="0" w:color="auto"/>
        <w:right w:val="none" w:sz="0" w:space="0" w:color="auto"/>
      </w:divBdr>
      <w:divsChild>
        <w:div w:id="207080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327943">
      <w:bodyDiv w:val="1"/>
      <w:marLeft w:val="0"/>
      <w:marRight w:val="0"/>
      <w:marTop w:val="0"/>
      <w:marBottom w:val="0"/>
      <w:divBdr>
        <w:top w:val="none" w:sz="0" w:space="0" w:color="auto"/>
        <w:left w:val="none" w:sz="0" w:space="0" w:color="auto"/>
        <w:bottom w:val="none" w:sz="0" w:space="0" w:color="auto"/>
        <w:right w:val="none" w:sz="0" w:space="0" w:color="auto"/>
      </w:divBdr>
    </w:div>
    <w:div w:id="1623731711">
      <w:bodyDiv w:val="1"/>
      <w:marLeft w:val="0"/>
      <w:marRight w:val="0"/>
      <w:marTop w:val="0"/>
      <w:marBottom w:val="0"/>
      <w:divBdr>
        <w:top w:val="none" w:sz="0" w:space="0" w:color="auto"/>
        <w:left w:val="none" w:sz="0" w:space="0" w:color="auto"/>
        <w:bottom w:val="none" w:sz="0" w:space="0" w:color="auto"/>
        <w:right w:val="none" w:sz="0" w:space="0" w:color="auto"/>
      </w:divBdr>
    </w:div>
    <w:div w:id="1771125893">
      <w:bodyDiv w:val="1"/>
      <w:marLeft w:val="0"/>
      <w:marRight w:val="0"/>
      <w:marTop w:val="0"/>
      <w:marBottom w:val="0"/>
      <w:divBdr>
        <w:top w:val="none" w:sz="0" w:space="0" w:color="auto"/>
        <w:left w:val="none" w:sz="0" w:space="0" w:color="auto"/>
        <w:bottom w:val="none" w:sz="0" w:space="0" w:color="auto"/>
        <w:right w:val="none" w:sz="0" w:space="0" w:color="auto"/>
      </w:divBdr>
    </w:div>
    <w:div w:id="1816481998">
      <w:bodyDiv w:val="1"/>
      <w:marLeft w:val="0"/>
      <w:marRight w:val="0"/>
      <w:marTop w:val="0"/>
      <w:marBottom w:val="0"/>
      <w:divBdr>
        <w:top w:val="none" w:sz="0" w:space="0" w:color="auto"/>
        <w:left w:val="none" w:sz="0" w:space="0" w:color="auto"/>
        <w:bottom w:val="none" w:sz="0" w:space="0" w:color="auto"/>
        <w:right w:val="none" w:sz="0" w:space="0" w:color="auto"/>
      </w:divBdr>
    </w:div>
    <w:div w:id="1826166792">
      <w:bodyDiv w:val="1"/>
      <w:marLeft w:val="0"/>
      <w:marRight w:val="0"/>
      <w:marTop w:val="0"/>
      <w:marBottom w:val="0"/>
      <w:divBdr>
        <w:top w:val="none" w:sz="0" w:space="0" w:color="auto"/>
        <w:left w:val="none" w:sz="0" w:space="0" w:color="auto"/>
        <w:bottom w:val="none" w:sz="0" w:space="0" w:color="auto"/>
        <w:right w:val="none" w:sz="0" w:space="0" w:color="auto"/>
      </w:divBdr>
    </w:div>
    <w:div w:id="1856336846">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1919289985">
      <w:bodyDiv w:val="1"/>
      <w:marLeft w:val="0"/>
      <w:marRight w:val="0"/>
      <w:marTop w:val="0"/>
      <w:marBottom w:val="0"/>
      <w:divBdr>
        <w:top w:val="none" w:sz="0" w:space="0" w:color="auto"/>
        <w:left w:val="none" w:sz="0" w:space="0" w:color="auto"/>
        <w:bottom w:val="none" w:sz="0" w:space="0" w:color="auto"/>
        <w:right w:val="none" w:sz="0" w:space="0" w:color="auto"/>
      </w:divBdr>
    </w:div>
    <w:div w:id="1921020038">
      <w:bodyDiv w:val="1"/>
      <w:marLeft w:val="0"/>
      <w:marRight w:val="0"/>
      <w:marTop w:val="0"/>
      <w:marBottom w:val="0"/>
      <w:divBdr>
        <w:top w:val="none" w:sz="0" w:space="0" w:color="auto"/>
        <w:left w:val="none" w:sz="0" w:space="0" w:color="auto"/>
        <w:bottom w:val="none" w:sz="0" w:space="0" w:color="auto"/>
        <w:right w:val="none" w:sz="0" w:space="0" w:color="auto"/>
      </w:divBdr>
    </w:div>
    <w:div w:id="2022967438">
      <w:bodyDiv w:val="1"/>
      <w:marLeft w:val="0"/>
      <w:marRight w:val="0"/>
      <w:marTop w:val="0"/>
      <w:marBottom w:val="0"/>
      <w:divBdr>
        <w:top w:val="none" w:sz="0" w:space="0" w:color="auto"/>
        <w:left w:val="none" w:sz="0" w:space="0" w:color="auto"/>
        <w:bottom w:val="none" w:sz="0" w:space="0" w:color="auto"/>
        <w:right w:val="none" w:sz="0" w:space="0" w:color="auto"/>
      </w:divBdr>
    </w:div>
    <w:div w:id="2075421020">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25%20-%20vsit%20film+hudba%20uvo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dera1350\AppData\Local\Temp\0620041910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Se&#353;it2"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kumenty\GroupWise\Silk%20-%20r&#367;zne%20ukazatele_OK.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dera1350\AppData\Local\Temp\ilc_scp03-2.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38%20-%20prijmy%20ifp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37%20-%20ifpi%20podle%20nosice.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39-%20hudba%20zamestnanost%20sb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40%20-%20zamestnanost%20v%20hudbe%20vsp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40%20-%20zamestnanost%20v%20hudbe%20vsp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41%20+%2042%20-%20IFPI%20spotrebite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26%20-%20vsit%20film+hudba%20-%20vekove%20kategorie.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41%20+%2042%20-%20IFPI%20spotrebitel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dera1350\AppData\Local\Temp\Pro%20Milana_23.0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y%2028-30%20Film%20SBS%20a%20AP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y%2028-30%20Film%20SBS%20a%20AP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y%2028-30%20Film%20SBS%20a%20AP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31%20-%20vsps%20fil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31%20-%20vsps%20fil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31%20-%20kina%20n&#225;v&#353;t&#283;vnost%20UF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dera1350\AppData\Local\Temp\mesicnivysledk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List1!$B$5</c:f>
              <c:strCache>
                <c:ptCount val="1"/>
                <c:pt idx="0">
                  <c:v>muži</c:v>
                </c:pt>
              </c:strCache>
            </c:strRef>
          </c:tx>
          <c:dLbls>
            <c:numFmt formatCode="0%" sourceLinked="0"/>
            <c:showVal val="1"/>
          </c:dLbls>
          <c:cat>
            <c:strRef>
              <c:f>List1!$C$4:$D$4</c:f>
              <c:strCache>
                <c:ptCount val="2"/>
                <c:pt idx="0">
                  <c:v>sledování filmů či videa</c:v>
                </c:pt>
                <c:pt idx="1">
                  <c:v>poslech hudby</c:v>
                </c:pt>
              </c:strCache>
            </c:strRef>
          </c:cat>
          <c:val>
            <c:numRef>
              <c:f>List1!$C$5:$D$5</c:f>
              <c:numCache>
                <c:formatCode>#,##0.0__</c:formatCode>
                <c:ptCount val="2"/>
                <c:pt idx="0" formatCode="General">
                  <c:v>0.53800000000000003</c:v>
                </c:pt>
                <c:pt idx="1">
                  <c:v>0.49200000000000038</c:v>
                </c:pt>
              </c:numCache>
            </c:numRef>
          </c:val>
        </c:ser>
        <c:ser>
          <c:idx val="1"/>
          <c:order val="1"/>
          <c:tx>
            <c:strRef>
              <c:f>List1!$B$6</c:f>
              <c:strCache>
                <c:ptCount val="1"/>
                <c:pt idx="0">
                  <c:v>ženy</c:v>
                </c:pt>
              </c:strCache>
            </c:strRef>
          </c:tx>
          <c:dLbls>
            <c:numFmt formatCode="0%" sourceLinked="0"/>
            <c:showVal val="1"/>
          </c:dLbls>
          <c:cat>
            <c:strRef>
              <c:f>List1!$C$4:$D$4</c:f>
              <c:strCache>
                <c:ptCount val="2"/>
                <c:pt idx="0">
                  <c:v>sledování filmů či videa</c:v>
                </c:pt>
                <c:pt idx="1">
                  <c:v>poslech hudby</c:v>
                </c:pt>
              </c:strCache>
            </c:strRef>
          </c:cat>
          <c:val>
            <c:numRef>
              <c:f>List1!$C$6:$D$6</c:f>
              <c:numCache>
                <c:formatCode>#,##0.0__</c:formatCode>
                <c:ptCount val="2"/>
                <c:pt idx="0" formatCode="General">
                  <c:v>0.47500000000000031</c:v>
                </c:pt>
                <c:pt idx="1">
                  <c:v>0.43600000000000216</c:v>
                </c:pt>
              </c:numCache>
            </c:numRef>
          </c:val>
        </c:ser>
        <c:axId val="149196160"/>
        <c:axId val="150946176"/>
      </c:barChart>
      <c:catAx>
        <c:axId val="149196160"/>
        <c:scaling>
          <c:orientation val="minMax"/>
        </c:scaling>
        <c:axPos val="b"/>
        <c:tickLblPos val="nextTo"/>
        <c:crossAx val="150946176"/>
        <c:crosses val="autoZero"/>
        <c:auto val="1"/>
        <c:lblAlgn val="ctr"/>
        <c:lblOffset val="100"/>
      </c:catAx>
      <c:valAx>
        <c:axId val="150946176"/>
        <c:scaling>
          <c:orientation val="minMax"/>
        </c:scaling>
        <c:delete val="1"/>
        <c:axPos val="l"/>
        <c:numFmt formatCode="General" sourceLinked="1"/>
        <c:tickLblPos val="none"/>
        <c:crossAx val="149196160"/>
        <c:crosses val="autoZero"/>
        <c:crossBetween val="between"/>
      </c:valAx>
    </c:plotArea>
    <c:legend>
      <c:legendPos val="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1.0400416016640665E-2"/>
          <c:y val="0.13053368328958867"/>
          <c:w val="0.97936279025964157"/>
          <c:h val="0.55556324690182957"/>
        </c:manualLayout>
      </c:layout>
      <c:barChart>
        <c:barDir val="col"/>
        <c:grouping val="clustered"/>
        <c:ser>
          <c:idx val="0"/>
          <c:order val="0"/>
          <c:tx>
            <c:strRef>
              <c:f>'10.2,,3'!$N$5</c:f>
              <c:strCache>
                <c:ptCount val="1"/>
                <c:pt idx="0">
                  <c:v> Celkem (16–74 let)</c:v>
                </c:pt>
              </c:strCache>
            </c:strRef>
          </c:tx>
          <c:dPt>
            <c:idx val="9"/>
            <c:spPr>
              <a:solidFill>
                <a:srgbClr val="F79646">
                  <a:lumMod val="60000"/>
                  <a:lumOff val="40000"/>
                </a:srgbClr>
              </a:solidFill>
            </c:spPr>
            <c:extLst xmlns:c16r2="http://schemas.microsoft.com/office/drawing/2015/06/chart">
              <c:ext xmlns:c16="http://schemas.microsoft.com/office/drawing/2014/chart" uri="{C3380CC4-5D6E-409C-BE32-E72D297353CC}">
                <c16:uniqueId val="{00000001-472E-48C0-980F-CFFA01DB8831}"/>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E-472E-48C0-980F-CFFA01DB8831}"/>
              </c:ext>
            </c:extLst>
          </c:dPt>
          <c:dLbls>
            <c:numFmt formatCode="#,##0" sourceLinked="0"/>
            <c:showVal val="1"/>
          </c:dLbls>
          <c:cat>
            <c:strRef>
              <c:f>'10.2,,3'!$M$6:$M$34</c:f>
              <c:strCache>
                <c:ptCount val="29"/>
                <c:pt idx="0">
                  <c:v>Švédsko</c:v>
                </c:pt>
                <c:pt idx="1">
                  <c:v>Nizozemsko</c:v>
                </c:pt>
                <c:pt idx="2">
                  <c:v>Dánsko</c:v>
                </c:pt>
                <c:pt idx="3">
                  <c:v>Velká Británie</c:v>
                </c:pt>
                <c:pt idx="4">
                  <c:v>Finsko</c:v>
                </c:pt>
                <c:pt idx="5">
                  <c:v>Irsko</c:v>
                </c:pt>
                <c:pt idx="6">
                  <c:v>Malta</c:v>
                </c:pt>
                <c:pt idx="7">
                  <c:v>Španělsko</c:v>
                </c:pt>
                <c:pt idx="8">
                  <c:v>Německo</c:v>
                </c:pt>
                <c:pt idx="9">
                  <c:v>EU28 průměr</c:v>
                </c:pt>
                <c:pt idx="10">
                  <c:v>Rakousko</c:v>
                </c:pt>
                <c:pt idx="11">
                  <c:v>Estonsko</c:v>
                </c:pt>
                <c:pt idx="12">
                  <c:v>Lucembursko</c:v>
                </c:pt>
                <c:pt idx="13">
                  <c:v>Belgie</c:v>
                </c:pt>
                <c:pt idx="14">
                  <c:v>Francie</c:v>
                </c:pt>
                <c:pt idx="15">
                  <c:v>Chorvatsko</c:v>
                </c:pt>
                <c:pt idx="16">
                  <c:v>Itálie</c:v>
                </c:pt>
                <c:pt idx="17">
                  <c:v>Slovensko</c:v>
                </c:pt>
                <c:pt idx="18">
                  <c:v>Slovinsko</c:v>
                </c:pt>
                <c:pt idx="19">
                  <c:v>Lotyšsko</c:v>
                </c:pt>
                <c:pt idx="20">
                  <c:v>Litva</c:v>
                </c:pt>
                <c:pt idx="21">
                  <c:v>Polsko</c:v>
                </c:pt>
                <c:pt idx="22">
                  <c:v>Portugalsko</c:v>
                </c:pt>
                <c:pt idx="23">
                  <c:v>Kypr</c:v>
                </c:pt>
                <c:pt idx="24">
                  <c:v>Maďarsko</c:v>
                </c:pt>
                <c:pt idx="25">
                  <c:v>Řecko</c:v>
                </c:pt>
                <c:pt idx="26">
                  <c:v>Rumunsko</c:v>
                </c:pt>
                <c:pt idx="27">
                  <c:v>Bulharsko</c:v>
                </c:pt>
                <c:pt idx="28">
                  <c:v>Česko</c:v>
                </c:pt>
              </c:strCache>
            </c:strRef>
          </c:cat>
          <c:val>
            <c:numRef>
              <c:f>'10.2,,3'!$N$6:$N$34</c:f>
              <c:numCache>
                <c:formatCode>General</c:formatCode>
                <c:ptCount val="29"/>
                <c:pt idx="0">
                  <c:v>55.852200000000003</c:v>
                </c:pt>
                <c:pt idx="1">
                  <c:v>54.605100000000213</c:v>
                </c:pt>
                <c:pt idx="2">
                  <c:v>54.304699999999997</c:v>
                </c:pt>
                <c:pt idx="3">
                  <c:v>50.328400000000009</c:v>
                </c:pt>
                <c:pt idx="4">
                  <c:v>47.141500000000001</c:v>
                </c:pt>
                <c:pt idx="5">
                  <c:v>39.147300000000001</c:v>
                </c:pt>
                <c:pt idx="6">
                  <c:v>38.5137</c:v>
                </c:pt>
                <c:pt idx="7">
                  <c:v>33.895300000000013</c:v>
                </c:pt>
                <c:pt idx="8">
                  <c:v>28.357300000000031</c:v>
                </c:pt>
                <c:pt idx="9">
                  <c:v>26.487899999999989</c:v>
                </c:pt>
                <c:pt idx="10">
                  <c:v>24.5002</c:v>
                </c:pt>
                <c:pt idx="11">
                  <c:v>23.744799999999781</c:v>
                </c:pt>
                <c:pt idx="12">
                  <c:v>23.490099999999792</c:v>
                </c:pt>
                <c:pt idx="13">
                  <c:v>21.0124</c:v>
                </c:pt>
                <c:pt idx="14">
                  <c:v>19.8858</c:v>
                </c:pt>
                <c:pt idx="15">
                  <c:v>19.7639</c:v>
                </c:pt>
                <c:pt idx="16">
                  <c:v>17.386499999999788</c:v>
                </c:pt>
                <c:pt idx="17">
                  <c:v>13.2821</c:v>
                </c:pt>
                <c:pt idx="18">
                  <c:v>12.879700000000026</c:v>
                </c:pt>
                <c:pt idx="19">
                  <c:v>12.736600000000001</c:v>
                </c:pt>
                <c:pt idx="20">
                  <c:v>11.995400000000076</c:v>
                </c:pt>
                <c:pt idx="21">
                  <c:v>11.886400000000076</c:v>
                </c:pt>
                <c:pt idx="22">
                  <c:v>10.366100000000024</c:v>
                </c:pt>
                <c:pt idx="23">
                  <c:v>9.1688999999999989</c:v>
                </c:pt>
                <c:pt idx="24">
                  <c:v>8.3765000000000267</c:v>
                </c:pt>
                <c:pt idx="25">
                  <c:v>7.6540999999999855</c:v>
                </c:pt>
                <c:pt idx="26">
                  <c:v>7.2168999999999999</c:v>
                </c:pt>
                <c:pt idx="27">
                  <c:v>6.0815000000000001</c:v>
                </c:pt>
                <c:pt idx="28">
                  <c:v>4.3784000000000001</c:v>
                </c:pt>
              </c:numCache>
            </c:numRef>
          </c:val>
          <c:extLst xmlns:c16r2="http://schemas.microsoft.com/office/drawing/2015/06/chart">
            <c:ext xmlns:c16="http://schemas.microsoft.com/office/drawing/2014/chart" uri="{C3380CC4-5D6E-409C-BE32-E72D297353CC}">
              <c16:uniqueId val="{0000000F-472E-48C0-980F-CFFA01DB8831}"/>
            </c:ext>
          </c:extLst>
        </c:ser>
        <c:gapWidth val="75"/>
        <c:axId val="184858112"/>
        <c:axId val="184859648"/>
      </c:barChart>
      <c:scatterChart>
        <c:scatterStyle val="lineMarker"/>
        <c:ser>
          <c:idx val="1"/>
          <c:order val="1"/>
          <c:tx>
            <c:strRef>
              <c:f>'10.2,,3'!$O$5</c:f>
              <c:strCache>
                <c:ptCount val="1"/>
                <c:pt idx="0">
                  <c:v> 55–74 let</c:v>
                </c:pt>
              </c:strCache>
            </c:strRef>
          </c:tx>
          <c:spPr>
            <a:ln w="28575">
              <a:noFill/>
            </a:ln>
          </c:spPr>
          <c:marker>
            <c:symbol val="diamond"/>
            <c:size val="7"/>
            <c:spPr>
              <a:solidFill>
                <a:schemeClr val="accent6">
                  <a:lumMod val="60000"/>
                  <a:lumOff val="40000"/>
                </a:schemeClr>
              </a:solidFill>
            </c:spPr>
          </c:marker>
          <c:dPt>
            <c:idx val="9"/>
            <c:marker>
              <c:spPr>
                <a:solidFill>
                  <a:schemeClr val="accent1">
                    <a:lumMod val="75000"/>
                  </a:schemeClr>
                </a:solidFill>
              </c:spPr>
            </c:marker>
          </c:dPt>
          <c:dPt>
            <c:idx val="28"/>
            <c:marker>
              <c:spPr>
                <a:solidFill>
                  <a:schemeClr val="accent1">
                    <a:lumMod val="75000"/>
                  </a:schemeClr>
                </a:solidFill>
              </c:spPr>
            </c:marker>
          </c:dPt>
          <c:xVal>
            <c:strRef>
              <c:f>'10.2,,3'!$M$6:$M$34</c:f>
              <c:strCache>
                <c:ptCount val="29"/>
                <c:pt idx="0">
                  <c:v>Švédsko</c:v>
                </c:pt>
                <c:pt idx="1">
                  <c:v>Nizozemsko</c:v>
                </c:pt>
                <c:pt idx="2">
                  <c:v>Dánsko</c:v>
                </c:pt>
                <c:pt idx="3">
                  <c:v>Velká Británie</c:v>
                </c:pt>
                <c:pt idx="4">
                  <c:v>Finsko</c:v>
                </c:pt>
                <c:pt idx="5">
                  <c:v>Irsko</c:v>
                </c:pt>
                <c:pt idx="6">
                  <c:v>Malta</c:v>
                </c:pt>
                <c:pt idx="7">
                  <c:v>Španělsko</c:v>
                </c:pt>
                <c:pt idx="8">
                  <c:v>Německo</c:v>
                </c:pt>
                <c:pt idx="9">
                  <c:v>EU28 průměr</c:v>
                </c:pt>
                <c:pt idx="10">
                  <c:v>Rakousko</c:v>
                </c:pt>
                <c:pt idx="11">
                  <c:v>Estonsko</c:v>
                </c:pt>
                <c:pt idx="12">
                  <c:v>Lucembursko</c:v>
                </c:pt>
                <c:pt idx="13">
                  <c:v>Belgie</c:v>
                </c:pt>
                <c:pt idx="14">
                  <c:v>Francie</c:v>
                </c:pt>
                <c:pt idx="15">
                  <c:v>Chorvatsko</c:v>
                </c:pt>
                <c:pt idx="16">
                  <c:v>Itálie</c:v>
                </c:pt>
                <c:pt idx="17">
                  <c:v>Slovensko</c:v>
                </c:pt>
                <c:pt idx="18">
                  <c:v>Slovinsko</c:v>
                </c:pt>
                <c:pt idx="19">
                  <c:v>Lotyšsko</c:v>
                </c:pt>
                <c:pt idx="20">
                  <c:v>Litva</c:v>
                </c:pt>
                <c:pt idx="21">
                  <c:v>Polsko</c:v>
                </c:pt>
                <c:pt idx="22">
                  <c:v>Portugalsko</c:v>
                </c:pt>
                <c:pt idx="23">
                  <c:v>Kypr</c:v>
                </c:pt>
                <c:pt idx="24">
                  <c:v>Maďarsko</c:v>
                </c:pt>
                <c:pt idx="25">
                  <c:v>Řecko</c:v>
                </c:pt>
                <c:pt idx="26">
                  <c:v>Rumunsko</c:v>
                </c:pt>
                <c:pt idx="27">
                  <c:v>Bulharsko</c:v>
                </c:pt>
                <c:pt idx="28">
                  <c:v>Česko</c:v>
                </c:pt>
              </c:strCache>
            </c:strRef>
          </c:xVal>
          <c:yVal>
            <c:numRef>
              <c:f>'10.2,,3'!$O$6:$O$34</c:f>
              <c:numCache>
                <c:formatCode>General</c:formatCode>
                <c:ptCount val="29"/>
                <c:pt idx="0">
                  <c:v>32.725000000000371</c:v>
                </c:pt>
                <c:pt idx="1">
                  <c:v>28.64</c:v>
                </c:pt>
                <c:pt idx="2">
                  <c:v>21.609400000000001</c:v>
                </c:pt>
                <c:pt idx="3">
                  <c:v>24.1401</c:v>
                </c:pt>
                <c:pt idx="4">
                  <c:v>15.071200000000001</c:v>
                </c:pt>
                <c:pt idx="5">
                  <c:v>10.510300000000001</c:v>
                </c:pt>
                <c:pt idx="6">
                  <c:v>17.156600000000001</c:v>
                </c:pt>
                <c:pt idx="7">
                  <c:v>16.147200000000005</c:v>
                </c:pt>
                <c:pt idx="8">
                  <c:v>6.9875999999999996</c:v>
                </c:pt>
                <c:pt idx="9">
                  <c:v>9.8808000000000007</c:v>
                </c:pt>
                <c:pt idx="10">
                  <c:v>4.5303999999999993</c:v>
                </c:pt>
                <c:pt idx="11">
                  <c:v>8.588000000000001</c:v>
                </c:pt>
                <c:pt idx="12">
                  <c:v>11.616900000000001</c:v>
                </c:pt>
                <c:pt idx="13">
                  <c:v>5.0143999999999975</c:v>
                </c:pt>
                <c:pt idx="14">
                  <c:v>5.3422000000000001</c:v>
                </c:pt>
                <c:pt idx="15">
                  <c:v>7.9220999999999995</c:v>
                </c:pt>
                <c:pt idx="16">
                  <c:v>5.6939999999999955</c:v>
                </c:pt>
                <c:pt idx="17">
                  <c:v>3.4899999999999998</c:v>
                </c:pt>
                <c:pt idx="18">
                  <c:v>3.6745000000000001</c:v>
                </c:pt>
                <c:pt idx="19">
                  <c:v>4.4169</c:v>
                </c:pt>
                <c:pt idx="20">
                  <c:v>2.5324999999999767</c:v>
                </c:pt>
                <c:pt idx="21">
                  <c:v>2.6482000000000001</c:v>
                </c:pt>
                <c:pt idx="22">
                  <c:v>2.4091999999999998</c:v>
                </c:pt>
                <c:pt idx="23">
                  <c:v>3.0152999999999968</c:v>
                </c:pt>
                <c:pt idx="24">
                  <c:v>2.0369999999999977</c:v>
                </c:pt>
                <c:pt idx="25">
                  <c:v>2.8670999999999998</c:v>
                </c:pt>
                <c:pt idx="26">
                  <c:v>2.2169000000000003</c:v>
                </c:pt>
                <c:pt idx="27">
                  <c:v>1.1485000000000001</c:v>
                </c:pt>
                <c:pt idx="28">
                  <c:v>1.3097999999999865</c:v>
                </c:pt>
              </c:numCache>
            </c:numRef>
          </c:yVal>
          <c:extLst xmlns:c16r2="http://schemas.microsoft.com/office/drawing/2015/06/chart">
            <c:ext xmlns:c16="http://schemas.microsoft.com/office/drawing/2014/chart" uri="{C3380CC4-5D6E-409C-BE32-E72D297353CC}">
              <c16:uniqueId val="{00000010-472E-48C0-980F-CFFA01DB8831}"/>
            </c:ext>
          </c:extLst>
        </c:ser>
        <c:axId val="184858112"/>
        <c:axId val="184859648"/>
      </c:scatterChart>
      <c:catAx>
        <c:axId val="184858112"/>
        <c:scaling>
          <c:orientation val="minMax"/>
        </c:scaling>
        <c:axPos val="b"/>
        <c:numFmt formatCode="General" sourceLinked="0"/>
        <c:majorTickMark val="none"/>
        <c:tickLblPos val="nextTo"/>
        <c:txPr>
          <a:bodyPr rot="-5400000" vert="horz"/>
          <a:lstStyle/>
          <a:p>
            <a:pPr>
              <a:defRPr/>
            </a:pPr>
            <a:endParaRPr lang="cs-CZ"/>
          </a:p>
        </c:txPr>
        <c:crossAx val="184859648"/>
        <c:crosses val="autoZero"/>
        <c:auto val="1"/>
        <c:lblAlgn val="ctr"/>
        <c:lblOffset val="100"/>
      </c:catAx>
      <c:valAx>
        <c:axId val="184859648"/>
        <c:scaling>
          <c:orientation val="minMax"/>
          <c:max val="60"/>
        </c:scaling>
        <c:delete val="1"/>
        <c:axPos val="l"/>
        <c:numFmt formatCode="#,##0" sourceLinked="0"/>
        <c:tickLblPos val="none"/>
        <c:crossAx val="184858112"/>
        <c:crosses val="autoZero"/>
        <c:crossBetween val="between"/>
        <c:majorUnit val="10"/>
      </c:valAx>
    </c:plotArea>
    <c:legend>
      <c:legendPos val="t"/>
      <c:layout>
        <c:manualLayout>
          <c:xMode val="edge"/>
          <c:yMode val="edge"/>
          <c:x val="0.26708661417322832"/>
          <c:y val="5.4929672252506924E-2"/>
          <c:w val="0.31038844799189108"/>
          <c:h val="7.2679647354969526E-2"/>
        </c:manualLayout>
      </c:layout>
    </c:legend>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List1!$K$1</c:f>
              <c:strCache>
                <c:ptCount val="1"/>
                <c:pt idx="0">
                  <c:v>muži</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List1!$J$2:$J$8</c:f>
              <c:strCache>
                <c:ptCount val="7"/>
                <c:pt idx="0">
                  <c:v>ano, 1-3 krát</c:v>
                </c:pt>
                <c:pt idx="1">
                  <c:v>ano, více než 3krát</c:v>
                </c:pt>
                <c:pt idx="2">
                  <c:v>ne, nemohl(a) jsem si to dovolit</c:v>
                </c:pt>
                <c:pt idx="3">
                  <c:v>ne, neměl(a) jsem zájem</c:v>
                </c:pt>
                <c:pt idx="4">
                  <c:v>ne, neměl(a) jsem čas</c:v>
                </c:pt>
                <c:pt idx="5">
                  <c:v>ne, nebyly v dostupné vzdálenosti</c:v>
                </c:pt>
                <c:pt idx="6">
                  <c:v>ne, z jiného důvodu</c:v>
                </c:pt>
              </c:strCache>
            </c:strRef>
          </c:cat>
          <c:val>
            <c:numRef>
              <c:f>List1!$K$2:$K$8</c:f>
              <c:numCache>
                <c:formatCode>General</c:formatCode>
                <c:ptCount val="7"/>
                <c:pt idx="0">
                  <c:v>0.31093211324476766</c:v>
                </c:pt>
                <c:pt idx="1">
                  <c:v>0.16395454552089544</c:v>
                </c:pt>
                <c:pt idx="2">
                  <c:v>3.9616448572692142E-2</c:v>
                </c:pt>
                <c:pt idx="3">
                  <c:v>0.25161023702669061</c:v>
                </c:pt>
                <c:pt idx="4">
                  <c:v>7.352815472933838E-2</c:v>
                </c:pt>
                <c:pt idx="5">
                  <c:v>1.7515716944383936E-2</c:v>
                </c:pt>
                <c:pt idx="6">
                  <c:v>0.14284278396125891</c:v>
                </c:pt>
              </c:numCache>
            </c:numRef>
          </c:val>
          <c:extLst xmlns:c16r2="http://schemas.microsoft.com/office/drawing/2015/06/chart">
            <c:ext xmlns:c16="http://schemas.microsoft.com/office/drawing/2014/chart" uri="{C3380CC4-5D6E-409C-BE32-E72D297353CC}">
              <c16:uniqueId val="{00000000-F217-41AB-95E2-9E9D710BBFDB}"/>
            </c:ext>
          </c:extLst>
        </c:ser>
        <c:ser>
          <c:idx val="1"/>
          <c:order val="1"/>
          <c:tx>
            <c:strRef>
              <c:f>List1!$L$1</c:f>
              <c:strCache>
                <c:ptCount val="1"/>
                <c:pt idx="0">
                  <c:v>ženy</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List1!$J$2:$J$8</c:f>
              <c:strCache>
                <c:ptCount val="7"/>
                <c:pt idx="0">
                  <c:v>ano, 1-3 krát</c:v>
                </c:pt>
                <c:pt idx="1">
                  <c:v>ano, více než 3krát</c:v>
                </c:pt>
                <c:pt idx="2">
                  <c:v>ne, nemohl(a) jsem si to dovolit</c:v>
                </c:pt>
                <c:pt idx="3">
                  <c:v>ne, neměl(a) jsem zájem</c:v>
                </c:pt>
                <c:pt idx="4">
                  <c:v>ne, neměl(a) jsem čas</c:v>
                </c:pt>
                <c:pt idx="5">
                  <c:v>ne, nebyly v dostupné vzdálenosti</c:v>
                </c:pt>
                <c:pt idx="6">
                  <c:v>ne, z jiného důvodu</c:v>
                </c:pt>
              </c:strCache>
            </c:strRef>
          </c:cat>
          <c:val>
            <c:numRef>
              <c:f>List1!$L$2:$L$8</c:f>
              <c:numCache>
                <c:formatCode>General</c:formatCode>
                <c:ptCount val="7"/>
                <c:pt idx="0">
                  <c:v>0.31334521356217881</c:v>
                </c:pt>
                <c:pt idx="1">
                  <c:v>0.16718445595547171</c:v>
                </c:pt>
                <c:pt idx="2">
                  <c:v>5.776863792774551E-2</c:v>
                </c:pt>
                <c:pt idx="3">
                  <c:v>0.20340135010500227</c:v>
                </c:pt>
                <c:pt idx="4">
                  <c:v>5.7305443397430184E-2</c:v>
                </c:pt>
                <c:pt idx="5">
                  <c:v>2.5937476899520882E-2</c:v>
                </c:pt>
                <c:pt idx="6">
                  <c:v>0.175057422152676</c:v>
                </c:pt>
              </c:numCache>
            </c:numRef>
          </c:val>
          <c:extLst xmlns:c16r2="http://schemas.microsoft.com/office/drawing/2015/06/chart">
            <c:ext xmlns:c16="http://schemas.microsoft.com/office/drawing/2014/chart" uri="{C3380CC4-5D6E-409C-BE32-E72D297353CC}">
              <c16:uniqueId val="{00000001-F217-41AB-95E2-9E9D710BBFDB}"/>
            </c:ext>
          </c:extLst>
        </c:ser>
        <c:axId val="184953472"/>
        <c:axId val="184979840"/>
      </c:barChart>
      <c:catAx>
        <c:axId val="184953472"/>
        <c:scaling>
          <c:orientation val="minMax"/>
        </c:scaling>
        <c:axPos val="b"/>
        <c:numFmt formatCode="General" sourceLinked="0"/>
        <c:tickLblPos val="nextTo"/>
        <c:crossAx val="184979840"/>
        <c:crosses val="autoZero"/>
        <c:auto val="1"/>
        <c:lblAlgn val="ctr"/>
        <c:lblOffset val="100"/>
      </c:catAx>
      <c:valAx>
        <c:axId val="184979840"/>
        <c:scaling>
          <c:orientation val="minMax"/>
        </c:scaling>
        <c:delete val="1"/>
        <c:axPos val="l"/>
        <c:numFmt formatCode="0%" sourceLinked="0"/>
        <c:tickLblPos val="none"/>
        <c:crossAx val="184953472"/>
        <c:crosses val="autoZero"/>
        <c:crossBetween val="between"/>
      </c:valAx>
    </c:plotArea>
    <c:legend>
      <c:legendPos val="t"/>
    </c:legend>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bar"/>
        <c:grouping val="clustered"/>
        <c:ser>
          <c:idx val="0"/>
          <c:order val="0"/>
          <c:tx>
            <c:strRef>
              <c:f>List2!$C$18</c:f>
              <c:strCache>
                <c:ptCount val="1"/>
                <c:pt idx="0">
                  <c:v>navštívil</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List2!$D$17:$I$17</c:f>
              <c:strCache>
                <c:ptCount val="6"/>
                <c:pt idx="0">
                  <c:v>75+</c:v>
                </c:pt>
                <c:pt idx="1">
                  <c:v>65-74</c:v>
                </c:pt>
                <c:pt idx="2">
                  <c:v>50-64</c:v>
                </c:pt>
                <c:pt idx="3">
                  <c:v>35-49</c:v>
                </c:pt>
                <c:pt idx="4">
                  <c:v>25-34</c:v>
                </c:pt>
                <c:pt idx="5">
                  <c:v>16-24</c:v>
                </c:pt>
              </c:strCache>
            </c:strRef>
          </c:cat>
          <c:val>
            <c:numRef>
              <c:f>List2!$D$18:$I$18</c:f>
              <c:numCache>
                <c:formatCode>General</c:formatCode>
                <c:ptCount val="6"/>
                <c:pt idx="0">
                  <c:v>8.1067828611560727E-2</c:v>
                </c:pt>
                <c:pt idx="1">
                  <c:v>0.19292157702833837</c:v>
                </c:pt>
                <c:pt idx="2">
                  <c:v>0.31753597483072282</c:v>
                </c:pt>
                <c:pt idx="3">
                  <c:v>0.57328727189219852</c:v>
                </c:pt>
                <c:pt idx="4">
                  <c:v>0.71393476551168578</c:v>
                </c:pt>
                <c:pt idx="5">
                  <c:v>0.85495654572932656</c:v>
                </c:pt>
              </c:numCache>
            </c:numRef>
          </c:val>
          <c:extLst xmlns:c16r2="http://schemas.microsoft.com/office/drawing/2015/06/chart">
            <c:ext xmlns:c16="http://schemas.microsoft.com/office/drawing/2014/chart" uri="{C3380CC4-5D6E-409C-BE32-E72D297353CC}">
              <c16:uniqueId val="{00000000-E5F4-4D4F-A7BA-B9BBB599983F}"/>
            </c:ext>
          </c:extLst>
        </c:ser>
        <c:axId val="184988032"/>
        <c:axId val="184989568"/>
      </c:barChart>
      <c:catAx>
        <c:axId val="184988032"/>
        <c:scaling>
          <c:orientation val="minMax"/>
        </c:scaling>
        <c:axPos val="l"/>
        <c:numFmt formatCode="General" sourceLinked="0"/>
        <c:tickLblPos val="nextTo"/>
        <c:crossAx val="184989568"/>
        <c:crosses val="autoZero"/>
        <c:auto val="1"/>
        <c:lblAlgn val="ctr"/>
        <c:lblOffset val="100"/>
      </c:catAx>
      <c:valAx>
        <c:axId val="184989568"/>
        <c:scaling>
          <c:orientation val="minMax"/>
        </c:scaling>
        <c:delete val="1"/>
        <c:axPos val="b"/>
        <c:numFmt formatCode="General" sourceLinked="1"/>
        <c:tickLblPos val="none"/>
        <c:crossAx val="184988032"/>
        <c:crosses val="autoZero"/>
        <c:crossBetween val="between"/>
      </c:valAx>
    </c:plotArea>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alespoň jednou</c:v>
                </c:pt>
              </c:strCache>
            </c:strRef>
          </c:tx>
          <c:dPt>
            <c:idx val="10"/>
            <c:spPr>
              <a:solidFill>
                <a:schemeClr val="accent6">
                  <a:lumMod val="60000"/>
                  <a:lumOff val="40000"/>
                </a:schemeClr>
              </a:solidFill>
            </c:spPr>
          </c:dPt>
          <c:dLbls>
            <c:numFmt formatCode="#,##0" sourceLinked="0"/>
            <c:showVal val="1"/>
          </c:dLbls>
          <c:cat>
            <c:strRef>
              <c:f>List1!$A$2:$A$30</c:f>
              <c:strCache>
                <c:ptCount val="29"/>
                <c:pt idx="0">
                  <c:v>Dánsko</c:v>
                </c:pt>
                <c:pt idx="1">
                  <c:v>Švédsko</c:v>
                </c:pt>
                <c:pt idx="2">
                  <c:v>Nizozemsko</c:v>
                </c:pt>
                <c:pt idx="3">
                  <c:v>Francie</c:v>
                </c:pt>
                <c:pt idx="4">
                  <c:v>Lucembursko</c:v>
                </c:pt>
                <c:pt idx="5">
                  <c:v>Finsko</c:v>
                </c:pt>
                <c:pt idx="6">
                  <c:v>Spojené království</c:v>
                </c:pt>
                <c:pt idx="7">
                  <c:v>Belgie</c:v>
                </c:pt>
                <c:pt idx="8">
                  <c:v>Irsko</c:v>
                </c:pt>
                <c:pt idx="9">
                  <c:v>Estonsko</c:v>
                </c:pt>
                <c:pt idx="10">
                  <c:v>Česká republika</c:v>
                </c:pt>
                <c:pt idx="11">
                  <c:v>Rakousko</c:v>
                </c:pt>
                <c:pt idx="12">
                  <c:v>Německo</c:v>
                </c:pt>
                <c:pt idx="13">
                  <c:v>EU 28</c:v>
                </c:pt>
                <c:pt idx="14">
                  <c:v>Španělsko</c:v>
                </c:pt>
                <c:pt idx="15">
                  <c:v>Polsko</c:v>
                </c:pt>
                <c:pt idx="16">
                  <c:v>Itálie</c:v>
                </c:pt>
                <c:pt idx="17">
                  <c:v>Slovinsko</c:v>
                </c:pt>
                <c:pt idx="18">
                  <c:v>Slovensko</c:v>
                </c:pt>
                <c:pt idx="19">
                  <c:v>Litva</c:v>
                </c:pt>
                <c:pt idx="20">
                  <c:v>Malta</c:v>
                </c:pt>
                <c:pt idx="21">
                  <c:v>Řecko</c:v>
                </c:pt>
                <c:pt idx="22">
                  <c:v>Lotyšsko</c:v>
                </c:pt>
                <c:pt idx="23">
                  <c:v>Portugalsko</c:v>
                </c:pt>
                <c:pt idx="24">
                  <c:v>Maďarsko</c:v>
                </c:pt>
                <c:pt idx="25">
                  <c:v>Kypr</c:v>
                </c:pt>
                <c:pt idx="26">
                  <c:v>Chorvatsko</c:v>
                </c:pt>
                <c:pt idx="27">
                  <c:v>Bulharsko</c:v>
                </c:pt>
                <c:pt idx="28">
                  <c:v>Rumunsko</c:v>
                </c:pt>
              </c:strCache>
            </c:strRef>
          </c:cat>
          <c:val>
            <c:numRef>
              <c:f>List1!$B$2:$B$30</c:f>
              <c:numCache>
                <c:formatCode>General</c:formatCode>
                <c:ptCount val="29"/>
                <c:pt idx="0">
                  <c:v>66.5</c:v>
                </c:pt>
                <c:pt idx="1">
                  <c:v>61.1</c:v>
                </c:pt>
                <c:pt idx="2">
                  <c:v>59</c:v>
                </c:pt>
                <c:pt idx="3">
                  <c:v>58</c:v>
                </c:pt>
                <c:pt idx="4">
                  <c:v>55.500000000000007</c:v>
                </c:pt>
                <c:pt idx="5">
                  <c:v>55.2</c:v>
                </c:pt>
                <c:pt idx="6">
                  <c:v>52.5</c:v>
                </c:pt>
                <c:pt idx="7">
                  <c:v>50.3</c:v>
                </c:pt>
                <c:pt idx="8">
                  <c:v>49</c:v>
                </c:pt>
                <c:pt idx="9">
                  <c:v>48.2</c:v>
                </c:pt>
                <c:pt idx="10">
                  <c:v>47.8</c:v>
                </c:pt>
                <c:pt idx="11">
                  <c:v>47.6</c:v>
                </c:pt>
                <c:pt idx="12">
                  <c:v>46.6</c:v>
                </c:pt>
                <c:pt idx="13">
                  <c:v>45.9</c:v>
                </c:pt>
                <c:pt idx="14">
                  <c:v>45.9</c:v>
                </c:pt>
                <c:pt idx="15">
                  <c:v>41.1</c:v>
                </c:pt>
                <c:pt idx="16">
                  <c:v>37.5</c:v>
                </c:pt>
                <c:pt idx="17">
                  <c:v>36.700000000000003</c:v>
                </c:pt>
                <c:pt idx="18">
                  <c:v>35.1</c:v>
                </c:pt>
                <c:pt idx="19">
                  <c:v>34.9</c:v>
                </c:pt>
                <c:pt idx="20">
                  <c:v>33.9</c:v>
                </c:pt>
                <c:pt idx="21">
                  <c:v>32.800000000000004</c:v>
                </c:pt>
                <c:pt idx="22">
                  <c:v>31.8</c:v>
                </c:pt>
                <c:pt idx="23">
                  <c:v>31.8</c:v>
                </c:pt>
                <c:pt idx="24">
                  <c:v>30.8</c:v>
                </c:pt>
                <c:pt idx="25">
                  <c:v>30.5</c:v>
                </c:pt>
                <c:pt idx="26">
                  <c:v>24.9</c:v>
                </c:pt>
                <c:pt idx="27">
                  <c:v>21.7</c:v>
                </c:pt>
                <c:pt idx="28">
                  <c:v>19.3</c:v>
                </c:pt>
              </c:numCache>
            </c:numRef>
          </c:val>
        </c:ser>
        <c:gapWidth val="101"/>
        <c:axId val="185552896"/>
        <c:axId val="185554432"/>
      </c:barChart>
      <c:lineChart>
        <c:grouping val="standard"/>
        <c:ser>
          <c:idx val="1"/>
          <c:order val="1"/>
          <c:tx>
            <c:strRef>
              <c:f>List1!$C$1</c:f>
              <c:strCache>
                <c:ptCount val="1"/>
                <c:pt idx="0">
                  <c:v>čtyřikrát a více</c:v>
                </c:pt>
              </c:strCache>
            </c:strRef>
          </c:tx>
          <c:spPr>
            <a:ln>
              <a:noFill/>
            </a:ln>
          </c:spPr>
          <c:marker>
            <c:symbol val="diamond"/>
            <c:size val="7"/>
            <c:spPr>
              <a:solidFill>
                <a:schemeClr val="accent6">
                  <a:lumMod val="60000"/>
                  <a:lumOff val="40000"/>
                </a:schemeClr>
              </a:solidFill>
              <a:ln>
                <a:noFill/>
              </a:ln>
            </c:spPr>
          </c:marker>
          <c:dPt>
            <c:idx val="10"/>
            <c:marker>
              <c:spPr>
                <a:solidFill>
                  <a:schemeClr val="accent1">
                    <a:lumMod val="75000"/>
                  </a:schemeClr>
                </a:solidFill>
                <a:ln>
                  <a:noFill/>
                </a:ln>
              </c:spPr>
            </c:marker>
          </c:dPt>
          <c:cat>
            <c:strRef>
              <c:f>List1!$A$2:$A$30</c:f>
              <c:strCache>
                <c:ptCount val="29"/>
                <c:pt idx="0">
                  <c:v>Dánsko</c:v>
                </c:pt>
                <c:pt idx="1">
                  <c:v>Švédsko</c:v>
                </c:pt>
                <c:pt idx="2">
                  <c:v>Nizozemsko</c:v>
                </c:pt>
                <c:pt idx="3">
                  <c:v>Francie</c:v>
                </c:pt>
                <c:pt idx="4">
                  <c:v>Lucembursko</c:v>
                </c:pt>
                <c:pt idx="5">
                  <c:v>Finsko</c:v>
                </c:pt>
                <c:pt idx="6">
                  <c:v>Spojené království</c:v>
                </c:pt>
                <c:pt idx="7">
                  <c:v>Belgie</c:v>
                </c:pt>
                <c:pt idx="8">
                  <c:v>Irsko</c:v>
                </c:pt>
                <c:pt idx="9">
                  <c:v>Estonsko</c:v>
                </c:pt>
                <c:pt idx="10">
                  <c:v>Česká republika</c:v>
                </c:pt>
                <c:pt idx="11">
                  <c:v>Rakousko</c:v>
                </c:pt>
                <c:pt idx="12">
                  <c:v>Německo</c:v>
                </c:pt>
                <c:pt idx="13">
                  <c:v>EU 28</c:v>
                </c:pt>
                <c:pt idx="14">
                  <c:v>Španělsko</c:v>
                </c:pt>
                <c:pt idx="15">
                  <c:v>Polsko</c:v>
                </c:pt>
                <c:pt idx="16">
                  <c:v>Itálie</c:v>
                </c:pt>
                <c:pt idx="17">
                  <c:v>Slovinsko</c:v>
                </c:pt>
                <c:pt idx="18">
                  <c:v>Slovensko</c:v>
                </c:pt>
                <c:pt idx="19">
                  <c:v>Litva</c:v>
                </c:pt>
                <c:pt idx="20">
                  <c:v>Malta</c:v>
                </c:pt>
                <c:pt idx="21">
                  <c:v>Řecko</c:v>
                </c:pt>
                <c:pt idx="22">
                  <c:v>Lotyšsko</c:v>
                </c:pt>
                <c:pt idx="23">
                  <c:v>Portugalsko</c:v>
                </c:pt>
                <c:pt idx="24">
                  <c:v>Maďarsko</c:v>
                </c:pt>
                <c:pt idx="25">
                  <c:v>Kypr</c:v>
                </c:pt>
                <c:pt idx="26">
                  <c:v>Chorvatsko</c:v>
                </c:pt>
                <c:pt idx="27">
                  <c:v>Bulharsko</c:v>
                </c:pt>
                <c:pt idx="28">
                  <c:v>Rumunsko</c:v>
                </c:pt>
              </c:strCache>
            </c:strRef>
          </c:cat>
          <c:val>
            <c:numRef>
              <c:f>List1!$C$2:$C$30</c:f>
              <c:numCache>
                <c:formatCode>General</c:formatCode>
                <c:ptCount val="29"/>
                <c:pt idx="0">
                  <c:v>21.5</c:v>
                </c:pt>
                <c:pt idx="1">
                  <c:v>20.8</c:v>
                </c:pt>
                <c:pt idx="2">
                  <c:v>22.2</c:v>
                </c:pt>
                <c:pt idx="3">
                  <c:v>29.300000000000004</c:v>
                </c:pt>
                <c:pt idx="4">
                  <c:v>26.400000000000002</c:v>
                </c:pt>
                <c:pt idx="5">
                  <c:v>18.100000000000001</c:v>
                </c:pt>
                <c:pt idx="6">
                  <c:v>20.3</c:v>
                </c:pt>
                <c:pt idx="7">
                  <c:v>22.7</c:v>
                </c:pt>
                <c:pt idx="8">
                  <c:v>20</c:v>
                </c:pt>
                <c:pt idx="9">
                  <c:v>20.9</c:v>
                </c:pt>
                <c:pt idx="10">
                  <c:v>16.600000000000001</c:v>
                </c:pt>
                <c:pt idx="11">
                  <c:v>19.3</c:v>
                </c:pt>
                <c:pt idx="12">
                  <c:v>15.8</c:v>
                </c:pt>
                <c:pt idx="13">
                  <c:v>17.8</c:v>
                </c:pt>
                <c:pt idx="14">
                  <c:v>20.100000000000001</c:v>
                </c:pt>
                <c:pt idx="15">
                  <c:v>9.7000000000000011</c:v>
                </c:pt>
                <c:pt idx="16">
                  <c:v>15.3</c:v>
                </c:pt>
                <c:pt idx="17">
                  <c:v>11.9</c:v>
                </c:pt>
                <c:pt idx="18">
                  <c:v>12.5</c:v>
                </c:pt>
                <c:pt idx="19">
                  <c:v>9.6</c:v>
                </c:pt>
                <c:pt idx="20">
                  <c:v>14.100000000000001</c:v>
                </c:pt>
                <c:pt idx="21">
                  <c:v>6.2000000000000011</c:v>
                </c:pt>
                <c:pt idx="22">
                  <c:v>10.9</c:v>
                </c:pt>
                <c:pt idx="23">
                  <c:v>12.7</c:v>
                </c:pt>
                <c:pt idx="24">
                  <c:v>10.8</c:v>
                </c:pt>
                <c:pt idx="25">
                  <c:v>7.9</c:v>
                </c:pt>
                <c:pt idx="26">
                  <c:v>9.2000000000000011</c:v>
                </c:pt>
                <c:pt idx="27">
                  <c:v>8.6</c:v>
                </c:pt>
                <c:pt idx="28">
                  <c:v>7.1</c:v>
                </c:pt>
              </c:numCache>
            </c:numRef>
          </c:val>
        </c:ser>
        <c:marker val="1"/>
        <c:axId val="185552896"/>
        <c:axId val="185554432"/>
      </c:lineChart>
      <c:catAx>
        <c:axId val="185552896"/>
        <c:scaling>
          <c:orientation val="minMax"/>
        </c:scaling>
        <c:axPos val="b"/>
        <c:tickLblPos val="nextTo"/>
        <c:crossAx val="185554432"/>
        <c:crosses val="autoZero"/>
        <c:auto val="1"/>
        <c:lblAlgn val="ctr"/>
        <c:lblOffset val="100"/>
      </c:catAx>
      <c:valAx>
        <c:axId val="185554432"/>
        <c:scaling>
          <c:orientation val="minMax"/>
        </c:scaling>
        <c:delete val="1"/>
        <c:axPos val="l"/>
        <c:numFmt formatCode="General" sourceLinked="1"/>
        <c:tickLblPos val="none"/>
        <c:crossAx val="185552896"/>
        <c:crosses val="autoZero"/>
        <c:crossBetween val="between"/>
      </c:valAx>
    </c:plotArea>
    <c:legend>
      <c:legendPos val="t"/>
    </c:legend>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List1!$B$1</c:f>
              <c:strCache>
                <c:ptCount val="1"/>
                <c:pt idx="0">
                  <c:v>CZ IFPI</c:v>
                </c:pt>
              </c:strCache>
            </c:strRef>
          </c:tx>
          <c:dLbls>
            <c:dLblPos val="t"/>
            <c:showVal val="1"/>
          </c:dLbls>
          <c:cat>
            <c:numRef>
              <c:f>List1!$A$2:$A$16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List1!$B$2:$B$16</c:f>
              <c:numCache>
                <c:formatCode>General</c:formatCode>
                <c:ptCount val="15"/>
                <c:pt idx="0">
                  <c:v>576</c:v>
                </c:pt>
                <c:pt idx="1">
                  <c:v>527</c:v>
                </c:pt>
                <c:pt idx="2">
                  <c:v>506</c:v>
                </c:pt>
                <c:pt idx="3">
                  <c:v>556</c:v>
                </c:pt>
                <c:pt idx="4">
                  <c:v>491</c:v>
                </c:pt>
                <c:pt idx="5">
                  <c:v>358</c:v>
                </c:pt>
                <c:pt idx="6">
                  <c:v>300</c:v>
                </c:pt>
                <c:pt idx="7">
                  <c:v>281</c:v>
                </c:pt>
                <c:pt idx="8">
                  <c:v>264</c:v>
                </c:pt>
                <c:pt idx="9">
                  <c:v>283</c:v>
                </c:pt>
                <c:pt idx="10">
                  <c:v>327</c:v>
                </c:pt>
                <c:pt idx="11">
                  <c:v>331</c:v>
                </c:pt>
                <c:pt idx="12">
                  <c:v>371</c:v>
                </c:pt>
                <c:pt idx="13">
                  <c:v>410</c:v>
                </c:pt>
                <c:pt idx="14">
                  <c:v>492</c:v>
                </c:pt>
              </c:numCache>
            </c:numRef>
          </c:val>
        </c:ser>
        <c:marker val="1"/>
        <c:axId val="186204544"/>
        <c:axId val="186206080"/>
      </c:lineChart>
      <c:catAx>
        <c:axId val="186204544"/>
        <c:scaling>
          <c:orientation val="minMax"/>
        </c:scaling>
        <c:axPos val="b"/>
        <c:numFmt formatCode="General" sourceLinked="1"/>
        <c:tickLblPos val="nextTo"/>
        <c:crossAx val="186206080"/>
        <c:crosses val="autoZero"/>
        <c:auto val="1"/>
        <c:lblAlgn val="ctr"/>
        <c:lblOffset val="100"/>
      </c:catAx>
      <c:valAx>
        <c:axId val="186206080"/>
        <c:scaling>
          <c:orientation val="minMax"/>
        </c:scaling>
        <c:delete val="1"/>
        <c:axPos val="l"/>
        <c:numFmt formatCode="General" sourceLinked="1"/>
        <c:tickLblPos val="none"/>
        <c:crossAx val="186204544"/>
        <c:crosses val="autoZero"/>
        <c:crossBetween val="between"/>
      </c:valAx>
    </c:plotArea>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List1!$C$8</c:f>
              <c:strCache>
                <c:ptCount val="1"/>
                <c:pt idx="0">
                  <c:v>digitální služby</c:v>
                </c:pt>
              </c:strCache>
            </c:strRef>
          </c:tx>
          <c:dLbls>
            <c:dLbl>
              <c:idx val="5"/>
              <c:layout>
                <c:manualLayout>
                  <c:x val="-3.4244183223641804E-2"/>
                  <c:y val="7.0171274836564906E-2"/>
                </c:manualLayout>
              </c:layout>
              <c:dLblPos val="r"/>
              <c:showVal val="1"/>
            </c:dLbl>
            <c:dLbl>
              <c:idx val="6"/>
              <c:layout>
                <c:manualLayout>
                  <c:x val="-3.4244183223641735E-2"/>
                  <c:y val="7.0171274836564906E-2"/>
                </c:manualLayout>
              </c:layout>
              <c:dLblPos val="r"/>
              <c:showVal val="1"/>
            </c:dLbl>
            <c:dLbl>
              <c:idx val="7"/>
              <c:layout>
                <c:manualLayout>
                  <c:x val="-3.6370485583837431E-2"/>
                  <c:y val="5.9289882018284147E-2"/>
                </c:manualLayout>
              </c:layout>
              <c:dLblPos val="r"/>
              <c:showVal val="1"/>
            </c:dLbl>
            <c:numFmt formatCode="#,##0" sourceLinked="0"/>
            <c:dLblPos val="t"/>
            <c:showVal val="1"/>
          </c:dLbls>
          <c:cat>
            <c:numRef>
              <c:f>List1!$D$7:$M$7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List1!$D$8:$M$8</c:f>
              <c:numCache>
                <c:formatCode>General</c:formatCode>
                <c:ptCount val="10"/>
                <c:pt idx="0">
                  <c:v>25.11500000000002</c:v>
                </c:pt>
                <c:pt idx="1">
                  <c:v>35.655000000000001</c:v>
                </c:pt>
                <c:pt idx="2">
                  <c:v>57.980000000000004</c:v>
                </c:pt>
                <c:pt idx="3">
                  <c:v>70.579000000000008</c:v>
                </c:pt>
                <c:pt idx="4">
                  <c:v>102.727</c:v>
                </c:pt>
                <c:pt idx="5">
                  <c:v>132</c:v>
                </c:pt>
                <c:pt idx="6">
                  <c:v>136</c:v>
                </c:pt>
                <c:pt idx="7">
                  <c:v>176</c:v>
                </c:pt>
                <c:pt idx="8">
                  <c:v>238</c:v>
                </c:pt>
                <c:pt idx="9">
                  <c:v>307</c:v>
                </c:pt>
              </c:numCache>
            </c:numRef>
          </c:val>
        </c:ser>
        <c:ser>
          <c:idx val="1"/>
          <c:order val="1"/>
          <c:tx>
            <c:strRef>
              <c:f>List1!$C$9</c:f>
              <c:strCache>
                <c:ptCount val="1"/>
                <c:pt idx="0">
                  <c:v>fyzické nosiče</c:v>
                </c:pt>
              </c:strCache>
            </c:strRef>
          </c:tx>
          <c:dLbls>
            <c:numFmt formatCode="#,##0" sourceLinked="0"/>
            <c:dLblPos val="t"/>
            <c:showVal val="1"/>
          </c:dLbls>
          <c:cat>
            <c:numRef>
              <c:f>List1!$D$7:$M$7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List1!$D$9:$M$9</c:f>
              <c:numCache>
                <c:formatCode>General</c:formatCode>
                <c:ptCount val="10"/>
                <c:pt idx="0">
                  <c:v>332.392</c:v>
                </c:pt>
                <c:pt idx="1">
                  <c:v>264.14000000000027</c:v>
                </c:pt>
                <c:pt idx="2">
                  <c:v>222.97800000000001</c:v>
                </c:pt>
                <c:pt idx="3">
                  <c:v>193.56300000000002</c:v>
                </c:pt>
                <c:pt idx="4">
                  <c:v>180.15700000000001</c:v>
                </c:pt>
                <c:pt idx="5">
                  <c:v>194</c:v>
                </c:pt>
                <c:pt idx="6">
                  <c:v>194</c:v>
                </c:pt>
                <c:pt idx="7">
                  <c:v>195</c:v>
                </c:pt>
                <c:pt idx="8">
                  <c:v>171</c:v>
                </c:pt>
                <c:pt idx="9">
                  <c:v>185</c:v>
                </c:pt>
              </c:numCache>
            </c:numRef>
          </c:val>
        </c:ser>
        <c:marker val="1"/>
        <c:axId val="186289536"/>
        <c:axId val="186315904"/>
      </c:lineChart>
      <c:catAx>
        <c:axId val="186289536"/>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cs-CZ"/>
          </a:p>
        </c:txPr>
        <c:crossAx val="186315904"/>
        <c:crosses val="autoZero"/>
        <c:auto val="1"/>
        <c:lblAlgn val="ctr"/>
        <c:lblOffset val="100"/>
      </c:catAx>
      <c:valAx>
        <c:axId val="186315904"/>
        <c:scaling>
          <c:orientation val="minMax"/>
        </c:scaling>
        <c:delete val="1"/>
        <c:axPos val="l"/>
        <c:numFmt formatCode="General" sourceLinked="1"/>
        <c:tickLblPos val="none"/>
        <c:crossAx val="186289536"/>
        <c:crosses val="autoZero"/>
        <c:crossBetween val="between"/>
      </c:valAx>
    </c:plotArea>
    <c:legend>
      <c:legendPos val="t"/>
      <c:txPr>
        <a:bodyPr/>
        <a:lstStyle/>
        <a:p>
          <a:pPr>
            <a:defRPr sz="920" b="0" i="0" u="none" strike="noStrike" baseline="0">
              <a:solidFill>
                <a:srgbClr val="000000"/>
              </a:solidFill>
              <a:latin typeface="Calibri"/>
              <a:ea typeface="Calibri"/>
              <a:cs typeface="Calibri"/>
            </a:defRPr>
          </a:pPr>
          <a:endParaRPr lang="cs-CZ"/>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cs-CZ"/>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List1!$A$15</c:f>
              <c:strCache>
                <c:ptCount val="1"/>
                <c:pt idx="0">
                  <c:v>zaměstnanost</c:v>
                </c:pt>
              </c:strCache>
            </c:strRef>
          </c:tx>
          <c:dLbls>
            <c:dLblPos val="t"/>
            <c:showVal val="1"/>
          </c:dLbls>
          <c:cat>
            <c:numRef>
              <c:f>List1!$C$14:$O$14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List1!$C$15:$O$15</c:f>
              <c:numCache>
                <c:formatCode>#,##0</c:formatCode>
                <c:ptCount val="13"/>
                <c:pt idx="0">
                  <c:v>520.81408287999989</c:v>
                </c:pt>
                <c:pt idx="1">
                  <c:v>479.64032595000003</c:v>
                </c:pt>
                <c:pt idx="2">
                  <c:v>439.42171474939653</c:v>
                </c:pt>
                <c:pt idx="3">
                  <c:v>398.01461901614999</c:v>
                </c:pt>
                <c:pt idx="4">
                  <c:v>350.73371014029635</c:v>
                </c:pt>
                <c:pt idx="5">
                  <c:v>314.92005491384964</c:v>
                </c:pt>
                <c:pt idx="6">
                  <c:v>306.53098498354996</c:v>
                </c:pt>
                <c:pt idx="7">
                  <c:v>307.83508622009964</c:v>
                </c:pt>
                <c:pt idx="8">
                  <c:v>267.47978638295001</c:v>
                </c:pt>
                <c:pt idx="9">
                  <c:v>248.3750753004</c:v>
                </c:pt>
                <c:pt idx="10">
                  <c:v>253.21482760230001</c:v>
                </c:pt>
                <c:pt idx="11" formatCode="General">
                  <c:v>224</c:v>
                </c:pt>
                <c:pt idx="12" formatCode="General">
                  <c:v>261</c:v>
                </c:pt>
              </c:numCache>
            </c:numRef>
          </c:val>
        </c:ser>
        <c:marker val="1"/>
        <c:axId val="186412416"/>
        <c:axId val="186414208"/>
      </c:lineChart>
      <c:catAx>
        <c:axId val="186412416"/>
        <c:scaling>
          <c:orientation val="minMax"/>
        </c:scaling>
        <c:axPos val="b"/>
        <c:numFmt formatCode="General" sourceLinked="1"/>
        <c:tickLblPos val="nextTo"/>
        <c:crossAx val="186414208"/>
        <c:crosses val="autoZero"/>
        <c:auto val="1"/>
        <c:lblAlgn val="ctr"/>
        <c:lblOffset val="100"/>
      </c:catAx>
      <c:valAx>
        <c:axId val="186414208"/>
        <c:scaling>
          <c:orientation val="minMax"/>
        </c:scaling>
        <c:delete val="1"/>
        <c:axPos val="l"/>
        <c:numFmt formatCode="#,##0" sourceLinked="1"/>
        <c:tickLblPos val="none"/>
        <c:crossAx val="186412416"/>
        <c:crosses val="autoZero"/>
        <c:crossBetween val="between"/>
      </c:valAx>
    </c:plotArea>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sz="1200" b="1"/>
            </a:pPr>
            <a:r>
              <a:rPr lang="cs-CZ" sz="1200" b="1"/>
              <a:t>Osoby zaměstnané v oblasti hudby</a:t>
            </a:r>
          </a:p>
        </c:rich>
      </c:tx>
      <c:layout>
        <c:manualLayout>
          <c:xMode val="edge"/>
          <c:yMode val="edge"/>
          <c:x val="0.15239044099079596"/>
          <c:y val="2.0434227330779056E-2"/>
        </c:manualLayout>
      </c:layout>
    </c:title>
    <c:plotArea>
      <c:layout>
        <c:manualLayout>
          <c:layoutTarget val="inner"/>
          <c:xMode val="edge"/>
          <c:yMode val="edge"/>
          <c:x val="0.31923203477116374"/>
          <c:y val="0.34498285415472707"/>
          <c:w val="0.49759004614219143"/>
          <c:h val="0.65392101849338902"/>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dLbl>
            <c:dLbl>
              <c:idx val="1"/>
              <c:layout>
                <c:manualLayout>
                  <c:x val="-3.8872691933916422E-3"/>
                  <c:y val="-0.13282247765006386"/>
                </c:manualLayout>
              </c:layout>
              <c:showVal val="1"/>
            </c:dLbl>
            <c:numFmt formatCode="#,##0.0&quot; tis.&quot;" sourceLinked="0"/>
            <c:showVal val="1"/>
            <c:showLeaderLines val="1"/>
          </c:dLbls>
          <c:cat>
            <c:strRef>
              <c:f>List1!$A$6:$A$7</c:f>
              <c:strCache>
                <c:ptCount val="2"/>
                <c:pt idx="0">
                  <c:v>povolání kult. charakteru</c:v>
                </c:pt>
                <c:pt idx="1">
                  <c:v>povolání nekult. charakteru</c:v>
                </c:pt>
              </c:strCache>
            </c:strRef>
          </c:cat>
          <c:val>
            <c:numRef>
              <c:f>List1!$B$6:$B$7</c:f>
              <c:numCache>
                <c:formatCode>General</c:formatCode>
                <c:ptCount val="2"/>
                <c:pt idx="0">
                  <c:v>1</c:v>
                </c:pt>
                <c:pt idx="1">
                  <c:v>0.1</c:v>
                </c:pt>
              </c:numCache>
            </c:numRef>
          </c:val>
        </c:ser>
        <c:firstSliceAng val="0"/>
        <c:holeSize val="50"/>
      </c:doughnutChart>
      <c:spPr>
        <a:noFill/>
        <a:ln w="25400">
          <a:noFill/>
        </a:ln>
      </c:spPr>
    </c:plotArea>
    <c:legend>
      <c:legendPos val="t"/>
      <c:layout>
        <c:manualLayout>
          <c:xMode val="edge"/>
          <c:yMode val="edge"/>
          <c:x val="6.5257148978826703E-4"/>
          <c:y val="0.1123882503192848"/>
          <c:w val="0.92839313453165251"/>
          <c:h val="0.16176667571725947"/>
        </c:manualLayout>
      </c:layout>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Hudebníci,</a:t>
            </a:r>
            <a:r>
              <a:rPr lang="cs-CZ" sz="1200" baseline="0"/>
              <a:t> zpěváci a skladatelé</a:t>
            </a:r>
            <a:endParaRPr lang="cs-CZ" sz="1200"/>
          </a:p>
        </c:rich>
      </c:tx>
      <c:layout>
        <c:manualLayout>
          <c:xMode val="edge"/>
          <c:yMode val="edge"/>
          <c:x val="0.12140096618357489"/>
          <c:y val="0"/>
        </c:manualLayout>
      </c:layout>
    </c:title>
    <c:plotArea>
      <c:layout>
        <c:manualLayout>
          <c:layoutTarget val="inner"/>
          <c:xMode val="edge"/>
          <c:yMode val="edge"/>
          <c:x val="0.24822777587584174"/>
          <c:y val="0.35286253280839897"/>
          <c:w val="0.60016280573623437"/>
          <c:h val="0.64705052493438364"/>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dLbl>
            <c:numFmt formatCode="#,##0.0&quot; tis.&quot;" sourceLinked="0"/>
            <c:showVal val="1"/>
            <c:showLeaderLines val="1"/>
          </c:dLbls>
          <c:cat>
            <c:strRef>
              <c:f>List1!$A$3:$A$4</c:f>
              <c:strCache>
                <c:ptCount val="2"/>
                <c:pt idx="0">
                  <c:v>v kult. organizaci</c:v>
                </c:pt>
                <c:pt idx="1">
                  <c:v>v ne-kult. organizaci</c:v>
                </c:pt>
              </c:strCache>
            </c:strRef>
          </c:cat>
          <c:val>
            <c:numRef>
              <c:f>List1!$B$3:$B$4</c:f>
              <c:numCache>
                <c:formatCode>General</c:formatCode>
                <c:ptCount val="2"/>
                <c:pt idx="0">
                  <c:v>5.7</c:v>
                </c:pt>
                <c:pt idx="1">
                  <c:v>0.60000000000000064</c:v>
                </c:pt>
              </c:numCache>
            </c:numRef>
          </c:val>
        </c:ser>
        <c:firstSliceAng val="0"/>
        <c:holeSize val="50"/>
      </c:doughnutChart>
    </c:plotArea>
    <c:legend>
      <c:legendPos val="t"/>
      <c:layout>
        <c:manualLayout>
          <c:xMode val="edge"/>
          <c:yMode val="edge"/>
          <c:x val="0.05"/>
          <c:y val="0.13359375000000001"/>
          <c:w val="0.9"/>
          <c:h val="9.4181840551181228E-2"/>
        </c:manualLayout>
      </c:layout>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27001031767581035"/>
          <c:y val="7.407407407407407E-2"/>
          <c:w val="0.66159133556581884"/>
          <c:h val="0.83309419655876871"/>
        </c:manualLayout>
      </c:layout>
      <c:barChart>
        <c:barDir val="bar"/>
        <c:grouping val="clustered"/>
        <c:ser>
          <c:idx val="0"/>
          <c:order val="0"/>
          <c:dLbls>
            <c:numFmt formatCode="0.0%" sourceLinked="0"/>
            <c:showVal val="1"/>
          </c:dLbls>
          <c:cat>
            <c:strRef>
              <c:f>List1!$A$2:$F$2</c:f>
              <c:strCache>
                <c:ptCount val="6"/>
                <c:pt idx="0">
                  <c:v>práva k nahrávkám</c:v>
                </c:pt>
                <c:pt idx="1">
                  <c:v>vinyl</c:v>
                </c:pt>
                <c:pt idx="2">
                  <c:v>cd/dvd</c:v>
                </c:pt>
                <c:pt idx="3">
                  <c:v>download</c:v>
                </c:pt>
                <c:pt idx="4">
                  <c:v>streaming</c:v>
                </c:pt>
                <c:pt idx="5">
                  <c:v>ostatní</c:v>
                </c:pt>
              </c:strCache>
            </c:strRef>
          </c:cat>
          <c:val>
            <c:numRef>
              <c:f>List1!$A$3:$F$3</c:f>
              <c:numCache>
                <c:formatCode>General</c:formatCode>
                <c:ptCount val="6"/>
                <c:pt idx="0">
                  <c:v>0.39500000000000041</c:v>
                </c:pt>
                <c:pt idx="1">
                  <c:v>6.0000000000000032E-2</c:v>
                </c:pt>
                <c:pt idx="2">
                  <c:v>0.14500000000000013</c:v>
                </c:pt>
                <c:pt idx="3">
                  <c:v>2.5000000000000001E-2</c:v>
                </c:pt>
                <c:pt idx="4">
                  <c:v>0.35500000000000026</c:v>
                </c:pt>
                <c:pt idx="5">
                  <c:v>2.0000000000000011E-2</c:v>
                </c:pt>
              </c:numCache>
            </c:numRef>
          </c:val>
        </c:ser>
        <c:axId val="186539392"/>
        <c:axId val="186537856"/>
      </c:barChart>
      <c:valAx>
        <c:axId val="186537856"/>
        <c:scaling>
          <c:orientation val="minMax"/>
        </c:scaling>
        <c:delete val="1"/>
        <c:axPos val="b"/>
        <c:numFmt formatCode="General" sourceLinked="1"/>
        <c:tickLblPos val="none"/>
        <c:crossAx val="186539392"/>
        <c:crosses val="autoZero"/>
        <c:crossBetween val="between"/>
      </c:valAx>
      <c:catAx>
        <c:axId val="186539392"/>
        <c:scaling>
          <c:orientation val="minMax"/>
        </c:scaling>
        <c:axPos val="l"/>
        <c:tickLblPos val="nextTo"/>
        <c:crossAx val="186537856"/>
        <c:crosses val="autoZero"/>
        <c:auto val="1"/>
        <c:lblAlgn val="ctr"/>
        <c:lblOffset val="100"/>
      </c:cat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List1!$D$17</c:f>
              <c:strCache>
                <c:ptCount val="1"/>
                <c:pt idx="0">
                  <c:v>sledování filmů či videa</c:v>
                </c:pt>
              </c:strCache>
            </c:strRef>
          </c:tx>
          <c:dLbls>
            <c:dLbl>
              <c:idx val="0"/>
              <c:layout>
                <c:manualLayout>
                  <c:x val="-3.7106419979711182E-2"/>
                  <c:y val="6.0765513851405231E-2"/>
                </c:manualLayout>
              </c:layout>
              <c:dLblPos val="r"/>
              <c:showVal val="1"/>
            </c:dLbl>
            <c:dLbl>
              <c:idx val="1"/>
              <c:layout>
                <c:manualLayout>
                  <c:x val="-4.1196399529813424E-2"/>
                  <c:y val="7.0188364263654365E-2"/>
                </c:manualLayout>
              </c:layout>
              <c:dLblPos val="r"/>
              <c:showVal val="1"/>
            </c:dLbl>
            <c:numFmt formatCode="0%" sourceLinked="0"/>
            <c:dLblPos val="t"/>
            <c:showVal val="1"/>
          </c:dLbls>
          <c:cat>
            <c:strRef>
              <c:f>List1!$C$18:$C$24</c:f>
              <c:strCache>
                <c:ptCount val="7"/>
                <c:pt idx="0">
                  <c:v>16–24 let</c:v>
                </c:pt>
                <c:pt idx="1">
                  <c:v>25–34 let</c:v>
                </c:pt>
                <c:pt idx="2">
                  <c:v>35–44 let</c:v>
                </c:pt>
                <c:pt idx="3">
                  <c:v>45–54 let</c:v>
                </c:pt>
                <c:pt idx="4">
                  <c:v>55–64 let</c:v>
                </c:pt>
                <c:pt idx="5">
                  <c:v>65–74 let</c:v>
                </c:pt>
                <c:pt idx="6">
                  <c:v>75 a více let</c:v>
                </c:pt>
              </c:strCache>
            </c:strRef>
          </c:cat>
          <c:val>
            <c:numRef>
              <c:f>List1!$D$18:$D$24</c:f>
              <c:numCache>
                <c:formatCode>General</c:formatCode>
                <c:ptCount val="7"/>
                <c:pt idx="0">
                  <c:v>0.83600000000000063</c:v>
                </c:pt>
                <c:pt idx="1">
                  <c:v>0.759000000000005</c:v>
                </c:pt>
                <c:pt idx="2">
                  <c:v>0.65700000000000558</c:v>
                </c:pt>
                <c:pt idx="3">
                  <c:v>0.52800000000000002</c:v>
                </c:pt>
                <c:pt idx="4">
                  <c:v>0.37500000000000216</c:v>
                </c:pt>
                <c:pt idx="5">
                  <c:v>0.19</c:v>
                </c:pt>
                <c:pt idx="6">
                  <c:v>5.3000000000000012E-2</c:v>
                </c:pt>
              </c:numCache>
            </c:numRef>
          </c:val>
        </c:ser>
        <c:ser>
          <c:idx val="1"/>
          <c:order val="1"/>
          <c:tx>
            <c:strRef>
              <c:f>List1!$E$17</c:f>
              <c:strCache>
                <c:ptCount val="1"/>
                <c:pt idx="0">
                  <c:v>poslech hudby</c:v>
                </c:pt>
              </c:strCache>
            </c:strRef>
          </c:tx>
          <c:dLbls>
            <c:dLbl>
              <c:idx val="0"/>
              <c:layout>
                <c:manualLayout>
                  <c:x val="-3.7106419979711182E-2"/>
                  <c:y val="-7.4899789469779168E-2"/>
                </c:manualLayout>
              </c:layout>
              <c:dLblPos val="r"/>
              <c:showVal val="1"/>
            </c:dLbl>
            <c:dLbl>
              <c:idx val="1"/>
              <c:layout>
                <c:manualLayout>
                  <c:x val="-3.3016440429608884E-2"/>
                  <c:y val="-7.4899789469779168E-2"/>
                </c:manualLayout>
              </c:layout>
              <c:dLblPos val="r"/>
              <c:showVal val="1"/>
            </c:dLbl>
            <c:dLbl>
              <c:idx val="5"/>
              <c:layout>
                <c:manualLayout>
                  <c:x val="-3.7106419979711182E-2"/>
                  <c:y val="5.7020116301716724E-2"/>
                </c:manualLayout>
              </c:layout>
              <c:dLblPos val="r"/>
              <c:showVal val="1"/>
            </c:dLbl>
            <c:dLbl>
              <c:idx val="6"/>
              <c:layout>
                <c:manualLayout>
                  <c:x val="-3.2924335378323533E-3"/>
                  <c:y val="-1.8362686996280943E-2"/>
                </c:manualLayout>
              </c:layout>
              <c:dLblPos val="r"/>
              <c:showVal val="1"/>
            </c:dLbl>
            <c:numFmt formatCode="0%" sourceLinked="0"/>
            <c:dLblPos val="b"/>
            <c:showVal val="1"/>
          </c:dLbls>
          <c:cat>
            <c:strRef>
              <c:f>List1!$C$18:$C$24</c:f>
              <c:strCache>
                <c:ptCount val="7"/>
                <c:pt idx="0">
                  <c:v>16–24 let</c:v>
                </c:pt>
                <c:pt idx="1">
                  <c:v>25–34 let</c:v>
                </c:pt>
                <c:pt idx="2">
                  <c:v>35–44 let</c:v>
                </c:pt>
                <c:pt idx="3">
                  <c:v>45–54 let</c:v>
                </c:pt>
                <c:pt idx="4">
                  <c:v>55–64 let</c:v>
                </c:pt>
                <c:pt idx="5">
                  <c:v>65–74 let</c:v>
                </c:pt>
                <c:pt idx="6">
                  <c:v>75 a více let</c:v>
                </c:pt>
              </c:strCache>
            </c:strRef>
          </c:cat>
          <c:val>
            <c:numRef>
              <c:f>List1!$E$18:$E$24</c:f>
              <c:numCache>
                <c:formatCode>General</c:formatCode>
                <c:ptCount val="7"/>
                <c:pt idx="0">
                  <c:v>0.90600000000000014</c:v>
                </c:pt>
                <c:pt idx="1">
                  <c:v>0.78300000000000003</c:v>
                </c:pt>
                <c:pt idx="2">
                  <c:v>0.63100000000000489</c:v>
                </c:pt>
                <c:pt idx="3">
                  <c:v>0.42000000000000032</c:v>
                </c:pt>
                <c:pt idx="4">
                  <c:v>0.252</c:v>
                </c:pt>
                <c:pt idx="5">
                  <c:v>0.12100000000000002</c:v>
                </c:pt>
                <c:pt idx="6">
                  <c:v>4.0000000000000022E-2</c:v>
                </c:pt>
              </c:numCache>
            </c:numRef>
          </c:val>
        </c:ser>
        <c:marker val="1"/>
        <c:axId val="158155520"/>
        <c:axId val="158157440"/>
      </c:lineChart>
      <c:catAx>
        <c:axId val="158155520"/>
        <c:scaling>
          <c:orientation val="minMax"/>
        </c:scaling>
        <c:axPos val="b"/>
        <c:tickLblPos val="nextTo"/>
        <c:crossAx val="158157440"/>
        <c:crosses val="autoZero"/>
        <c:auto val="1"/>
        <c:lblAlgn val="ctr"/>
        <c:lblOffset val="100"/>
      </c:catAx>
      <c:valAx>
        <c:axId val="158157440"/>
        <c:scaling>
          <c:orientation val="minMax"/>
        </c:scaling>
        <c:delete val="1"/>
        <c:axPos val="l"/>
        <c:numFmt formatCode="General" sourceLinked="1"/>
        <c:tickLblPos val="none"/>
        <c:crossAx val="158155520"/>
        <c:crosses val="autoZero"/>
        <c:crossBetween val="between"/>
      </c:valAx>
    </c:plotArea>
    <c:legend>
      <c:legendPos val="t"/>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5507246376811652E-2"/>
          <c:y val="0.2136719004798957"/>
          <c:w val="0.95362318840579763"/>
          <c:h val="0.58868191771886502"/>
        </c:manualLayout>
      </c:layout>
      <c:barChart>
        <c:barDir val="col"/>
        <c:grouping val="percentStacked"/>
        <c:ser>
          <c:idx val="0"/>
          <c:order val="0"/>
          <c:tx>
            <c:strRef>
              <c:f>List1!$A$6</c:f>
              <c:strCache>
                <c:ptCount val="1"/>
                <c:pt idx="0">
                  <c:v>digitální</c:v>
                </c:pt>
              </c:strCache>
            </c:strRef>
          </c:tx>
          <c:dLbls>
            <c:numFmt formatCode="0%" sourceLinked="0"/>
            <c:txPr>
              <a:bodyPr/>
              <a:lstStyle/>
              <a:p>
                <a:pPr>
                  <a:defRPr>
                    <a:solidFill>
                      <a:schemeClr val="accent6">
                        <a:lumMod val="60000"/>
                        <a:lumOff val="40000"/>
                      </a:schemeClr>
                    </a:solidFill>
                  </a:defRPr>
                </a:pPr>
                <a:endParaRPr lang="cs-CZ"/>
              </a:p>
            </c:txPr>
            <c:showVal val="1"/>
          </c:dLbls>
          <c:cat>
            <c:numRef>
              <c:f>List1!$B$5:$H$5</c:f>
              <c:numCache>
                <c:formatCode>General</c:formatCode>
                <c:ptCount val="7"/>
                <c:pt idx="0">
                  <c:v>2013</c:v>
                </c:pt>
                <c:pt idx="1">
                  <c:v>2014</c:v>
                </c:pt>
                <c:pt idx="2">
                  <c:v>2015</c:v>
                </c:pt>
                <c:pt idx="3">
                  <c:v>2016</c:v>
                </c:pt>
                <c:pt idx="4">
                  <c:v>2017</c:v>
                </c:pt>
                <c:pt idx="5">
                  <c:v>2018</c:v>
                </c:pt>
                <c:pt idx="6">
                  <c:v>2019</c:v>
                </c:pt>
              </c:numCache>
            </c:numRef>
          </c:cat>
          <c:val>
            <c:numRef>
              <c:f>List1!$B$6:$H$6</c:f>
              <c:numCache>
                <c:formatCode>General</c:formatCode>
                <c:ptCount val="7"/>
                <c:pt idx="0">
                  <c:v>0.27</c:v>
                </c:pt>
                <c:pt idx="1">
                  <c:v>0.36000000000000032</c:v>
                </c:pt>
                <c:pt idx="2">
                  <c:v>0.4</c:v>
                </c:pt>
                <c:pt idx="3">
                  <c:v>0.44</c:v>
                </c:pt>
                <c:pt idx="4">
                  <c:v>0.51</c:v>
                </c:pt>
                <c:pt idx="5">
                  <c:v>0.61000000000000065</c:v>
                </c:pt>
                <c:pt idx="6">
                  <c:v>0.66000000000000436</c:v>
                </c:pt>
              </c:numCache>
            </c:numRef>
          </c:val>
        </c:ser>
        <c:ser>
          <c:idx val="1"/>
          <c:order val="1"/>
          <c:tx>
            <c:strRef>
              <c:f>List1!$A$7</c:f>
              <c:strCache>
                <c:ptCount val="1"/>
                <c:pt idx="0">
                  <c:v>fyzické</c:v>
                </c:pt>
              </c:strCache>
            </c:strRef>
          </c:tx>
          <c:dLbls>
            <c:numFmt formatCode="0%" sourceLinked="0"/>
            <c:showVal val="1"/>
          </c:dLbls>
          <c:cat>
            <c:numRef>
              <c:f>List1!$B$5:$H$5</c:f>
              <c:numCache>
                <c:formatCode>General</c:formatCode>
                <c:ptCount val="7"/>
                <c:pt idx="0">
                  <c:v>2013</c:v>
                </c:pt>
                <c:pt idx="1">
                  <c:v>2014</c:v>
                </c:pt>
                <c:pt idx="2">
                  <c:v>2015</c:v>
                </c:pt>
                <c:pt idx="3">
                  <c:v>2016</c:v>
                </c:pt>
                <c:pt idx="4">
                  <c:v>2017</c:v>
                </c:pt>
                <c:pt idx="5">
                  <c:v>2018</c:v>
                </c:pt>
                <c:pt idx="6">
                  <c:v>2019</c:v>
                </c:pt>
              </c:numCache>
            </c:numRef>
          </c:cat>
          <c:val>
            <c:numRef>
              <c:f>List1!$B$7:$H$7</c:f>
              <c:numCache>
                <c:formatCode>General</c:formatCode>
                <c:ptCount val="7"/>
                <c:pt idx="0">
                  <c:v>0.73000000000000065</c:v>
                </c:pt>
                <c:pt idx="1">
                  <c:v>0.6400000000000039</c:v>
                </c:pt>
                <c:pt idx="2">
                  <c:v>0.60000000000000064</c:v>
                </c:pt>
                <c:pt idx="3">
                  <c:v>0.56000000000000005</c:v>
                </c:pt>
                <c:pt idx="4">
                  <c:v>0.49000000000000032</c:v>
                </c:pt>
                <c:pt idx="5">
                  <c:v>0.39000000000000196</c:v>
                </c:pt>
                <c:pt idx="6">
                  <c:v>0.34</c:v>
                </c:pt>
              </c:numCache>
            </c:numRef>
          </c:val>
        </c:ser>
        <c:overlap val="100"/>
        <c:axId val="186569856"/>
        <c:axId val="186571392"/>
      </c:barChart>
      <c:catAx>
        <c:axId val="186569856"/>
        <c:scaling>
          <c:orientation val="minMax"/>
        </c:scaling>
        <c:axPos val="b"/>
        <c:numFmt formatCode="General" sourceLinked="1"/>
        <c:tickLblPos val="nextTo"/>
        <c:crossAx val="186571392"/>
        <c:crosses val="autoZero"/>
        <c:auto val="1"/>
        <c:lblAlgn val="ctr"/>
        <c:lblOffset val="100"/>
      </c:catAx>
      <c:valAx>
        <c:axId val="186571392"/>
        <c:scaling>
          <c:orientation val="minMax"/>
        </c:scaling>
        <c:delete val="1"/>
        <c:axPos val="l"/>
        <c:numFmt formatCode="0%" sourceLinked="1"/>
        <c:tickLblPos val="none"/>
        <c:crossAx val="186569856"/>
        <c:crosses val="autoZero"/>
        <c:crossBetween val="between"/>
      </c:valAx>
    </c:plotArea>
    <c:legend>
      <c:legendPos val="t"/>
      <c:layout>
        <c:manualLayout>
          <c:xMode val="edge"/>
          <c:yMode val="edge"/>
          <c:x val="0.38580997375328469"/>
          <c:y val="0"/>
          <c:w val="0.22837986990756587"/>
          <c:h val="0.14266598332013244"/>
        </c:manualLayout>
      </c:layout>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2.5000000000000001E-2"/>
          <c:y val="0.124372080608568"/>
          <c:w val="0.9538918210651397"/>
          <c:h val="0.72574936607500851"/>
        </c:manualLayout>
      </c:layout>
      <c:barChart>
        <c:barDir val="col"/>
        <c:grouping val="clustered"/>
        <c:ser>
          <c:idx val="0"/>
          <c:order val="0"/>
          <c:tx>
            <c:strRef>
              <c:f>List1!$S$4</c:f>
              <c:strCache>
                <c:ptCount val="1"/>
                <c:pt idx="0">
                  <c:v>poslech hudby</c:v>
                </c:pt>
              </c:strCache>
            </c:strRef>
          </c:tx>
          <c:dLbls>
            <c:numFmt formatCode="0%" sourceLinked="0"/>
            <c:showVal val="1"/>
          </c:dLbls>
          <c:cat>
            <c:strRef>
              <c:f>List1!$R$5:$R$10</c:f>
              <c:strCache>
                <c:ptCount val="6"/>
                <c:pt idx="0">
                  <c:v>16-24</c:v>
                </c:pt>
                <c:pt idx="1">
                  <c:v>25-34</c:v>
                </c:pt>
                <c:pt idx="2">
                  <c:v>35-44</c:v>
                </c:pt>
                <c:pt idx="3">
                  <c:v>45-54</c:v>
                </c:pt>
                <c:pt idx="4">
                  <c:v>55-64</c:v>
                </c:pt>
                <c:pt idx="5">
                  <c:v>65+</c:v>
                </c:pt>
              </c:strCache>
            </c:strRef>
          </c:cat>
          <c:val>
            <c:numRef>
              <c:f>List1!$S$5:$S$10</c:f>
              <c:numCache>
                <c:formatCode>General</c:formatCode>
                <c:ptCount val="6"/>
                <c:pt idx="0">
                  <c:v>0.89400000000000013</c:v>
                </c:pt>
                <c:pt idx="1">
                  <c:v>0.77400000000000391</c:v>
                </c:pt>
                <c:pt idx="2">
                  <c:v>0.59299999999999997</c:v>
                </c:pt>
                <c:pt idx="3">
                  <c:v>0.37700000000000178</c:v>
                </c:pt>
                <c:pt idx="4">
                  <c:v>0.23100000000000001</c:v>
                </c:pt>
                <c:pt idx="5">
                  <c:v>0.13000000000000003</c:v>
                </c:pt>
              </c:numCache>
            </c:numRef>
          </c:val>
        </c:ser>
        <c:axId val="198393856"/>
        <c:axId val="198395392"/>
      </c:barChart>
      <c:lineChart>
        <c:grouping val="standard"/>
        <c:ser>
          <c:idx val="1"/>
          <c:order val="1"/>
          <c:tx>
            <c:strRef>
              <c:f>List1!$T$4</c:f>
              <c:strCache>
                <c:ptCount val="1"/>
                <c:pt idx="0">
                  <c:v>poslech hudby přes placené stránky či aplikace</c:v>
                </c:pt>
              </c:strCache>
            </c:strRef>
          </c:tx>
          <c:spPr>
            <a:ln>
              <a:noFill/>
            </a:ln>
          </c:spPr>
          <c:marker>
            <c:symbol val="diamond"/>
            <c:size val="7"/>
            <c:spPr>
              <a:solidFill>
                <a:schemeClr val="accent6">
                  <a:lumMod val="60000"/>
                  <a:lumOff val="40000"/>
                </a:schemeClr>
              </a:solidFill>
              <a:ln>
                <a:noFill/>
              </a:ln>
            </c:spPr>
          </c:marker>
          <c:dLbls>
            <c:numFmt formatCode="0%" sourceLinked="0"/>
            <c:txPr>
              <a:bodyPr/>
              <a:lstStyle/>
              <a:p>
                <a:pPr>
                  <a:defRPr>
                    <a:solidFill>
                      <a:schemeClr val="accent6">
                        <a:lumMod val="60000"/>
                        <a:lumOff val="40000"/>
                      </a:schemeClr>
                    </a:solidFill>
                  </a:defRPr>
                </a:pPr>
                <a:endParaRPr lang="cs-CZ"/>
              </a:p>
            </c:txPr>
            <c:dLblPos val="t"/>
            <c:showVal val="1"/>
          </c:dLbls>
          <c:cat>
            <c:strRef>
              <c:f>List1!$R$5:$R$10</c:f>
              <c:strCache>
                <c:ptCount val="6"/>
                <c:pt idx="0">
                  <c:v>16-24</c:v>
                </c:pt>
                <c:pt idx="1">
                  <c:v>25-34</c:v>
                </c:pt>
                <c:pt idx="2">
                  <c:v>35-44</c:v>
                </c:pt>
                <c:pt idx="3">
                  <c:v>45-54</c:v>
                </c:pt>
                <c:pt idx="4">
                  <c:v>55-64</c:v>
                </c:pt>
                <c:pt idx="5">
                  <c:v>65+</c:v>
                </c:pt>
              </c:strCache>
            </c:strRef>
          </c:cat>
          <c:val>
            <c:numRef>
              <c:f>List1!$T$5:$T$10</c:f>
              <c:numCache>
                <c:formatCode>General</c:formatCode>
                <c:ptCount val="6"/>
                <c:pt idx="0">
                  <c:v>6.2000000000000034E-2</c:v>
                </c:pt>
                <c:pt idx="1">
                  <c:v>8.6000000000000021E-2</c:v>
                </c:pt>
                <c:pt idx="2">
                  <c:v>3.3000000000000002E-2</c:v>
                </c:pt>
                <c:pt idx="3">
                  <c:v>1.3700000000000091E-2</c:v>
                </c:pt>
                <c:pt idx="4">
                  <c:v>8.7000000000000046E-3</c:v>
                </c:pt>
                <c:pt idx="5">
                  <c:v>1.0000000000000041E-3</c:v>
                </c:pt>
              </c:numCache>
            </c:numRef>
          </c:val>
        </c:ser>
        <c:marker val="1"/>
        <c:axId val="198393856"/>
        <c:axId val="198395392"/>
      </c:lineChart>
      <c:catAx>
        <c:axId val="198393856"/>
        <c:scaling>
          <c:orientation val="minMax"/>
        </c:scaling>
        <c:axPos val="b"/>
        <c:tickLblPos val="nextTo"/>
        <c:crossAx val="198395392"/>
        <c:crosses val="autoZero"/>
        <c:auto val="1"/>
        <c:lblAlgn val="ctr"/>
        <c:lblOffset val="100"/>
      </c:catAx>
      <c:valAx>
        <c:axId val="198395392"/>
        <c:scaling>
          <c:orientation val="minMax"/>
        </c:scaling>
        <c:delete val="1"/>
        <c:axPos val="l"/>
        <c:numFmt formatCode="General" sourceLinked="1"/>
        <c:tickLblPos val="none"/>
        <c:crossAx val="198393856"/>
        <c:crosses val="autoZero"/>
        <c:crossBetween val="between"/>
      </c:valAx>
    </c:plotArea>
    <c:legend>
      <c:legendPos val="t"/>
      <c:layout>
        <c:manualLayout>
          <c:xMode val="edge"/>
          <c:yMode val="edge"/>
          <c:x val="0.15756897417371821"/>
          <c:y val="0"/>
          <c:w val="0.67242037202581928"/>
          <c:h val="0.10216335246229867"/>
        </c:manualLayout>
      </c:layou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SBS!$A$18</c:f>
              <c:strCache>
                <c:ptCount val="1"/>
                <c:pt idx="0">
                  <c:v>příjmy</c:v>
                </c:pt>
              </c:strCache>
            </c:strRef>
          </c:tx>
          <c:dLbls>
            <c:numFmt formatCode="#,##0.0" sourceLinked="0"/>
            <c:dLblPos val="t"/>
            <c:showVal val="1"/>
          </c:dLbls>
          <c:cat>
            <c:numRef>
              <c:f>SBS!$B$17:$M$17</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SBS!$B$18:$M$18</c:f>
              <c:numCache>
                <c:formatCode>General</c:formatCode>
                <c:ptCount val="12"/>
                <c:pt idx="0">
                  <c:v>16.618863650600673</c:v>
                </c:pt>
                <c:pt idx="1">
                  <c:v>15.783563310042569</c:v>
                </c:pt>
                <c:pt idx="2">
                  <c:v>12.601540739307772</c:v>
                </c:pt>
                <c:pt idx="3">
                  <c:v>14.497927875117153</c:v>
                </c:pt>
                <c:pt idx="4">
                  <c:v>14.891281261624815</c:v>
                </c:pt>
                <c:pt idx="5">
                  <c:v>14.568424879414426</c:v>
                </c:pt>
                <c:pt idx="6">
                  <c:v>15.478267106374098</c:v>
                </c:pt>
                <c:pt idx="7">
                  <c:v>15.001318895832798</c:v>
                </c:pt>
                <c:pt idx="8">
                  <c:v>16.335483267101626</c:v>
                </c:pt>
                <c:pt idx="9">
                  <c:v>18.179810478815895</c:v>
                </c:pt>
                <c:pt idx="10">
                  <c:v>18.692706633419512</c:v>
                </c:pt>
                <c:pt idx="11">
                  <c:v>19.340550825628117</c:v>
                </c:pt>
              </c:numCache>
            </c:numRef>
          </c:val>
        </c:ser>
        <c:marker val="1"/>
        <c:axId val="158219648"/>
        <c:axId val="158221824"/>
      </c:lineChart>
      <c:catAx>
        <c:axId val="158219648"/>
        <c:scaling>
          <c:orientation val="minMax"/>
        </c:scaling>
        <c:axPos val="b"/>
        <c:numFmt formatCode="General" sourceLinked="1"/>
        <c:tickLblPos val="nextTo"/>
        <c:crossAx val="158221824"/>
        <c:crosses val="autoZero"/>
        <c:auto val="1"/>
        <c:lblAlgn val="ctr"/>
        <c:lblOffset val="100"/>
      </c:catAx>
      <c:valAx>
        <c:axId val="158221824"/>
        <c:scaling>
          <c:orientation val="minMax"/>
        </c:scaling>
        <c:delete val="1"/>
        <c:axPos val="l"/>
        <c:numFmt formatCode="General" sourceLinked="1"/>
        <c:tickLblPos val="none"/>
        <c:crossAx val="158219648"/>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2289766970618092E-2"/>
          <c:y val="0.14430380849696794"/>
          <c:w val="0.95542046605876463"/>
          <c:h val="0.71709783165071994"/>
        </c:manualLayout>
      </c:layout>
      <c:lineChart>
        <c:grouping val="standard"/>
        <c:ser>
          <c:idx val="0"/>
          <c:order val="0"/>
          <c:tx>
            <c:strRef>
              <c:f>APA!$B$4</c:f>
              <c:strCache>
                <c:ptCount val="1"/>
                <c:pt idx="0">
                  <c:v>česká produkce</c:v>
                </c:pt>
              </c:strCache>
            </c:strRef>
          </c:tx>
          <c:dLbls>
            <c:dLbl>
              <c:idx val="1"/>
              <c:layout>
                <c:manualLayout>
                  <c:x val="-3.4657352529542856E-2"/>
                  <c:y val="5.6030183727034118E-2"/>
                </c:manualLayout>
              </c:layout>
              <c:dLblPos val="r"/>
              <c:showVal val="1"/>
            </c:dLbl>
            <c:dLbl>
              <c:idx val="2"/>
              <c:layout>
                <c:manualLayout>
                  <c:x val="-3.2596559124081666E-2"/>
                  <c:y val="3.7511665208515642E-2"/>
                </c:manualLayout>
              </c:layout>
              <c:dLblPos val="r"/>
              <c:showVal val="1"/>
            </c:dLbl>
            <c:dLbl>
              <c:idx val="3"/>
              <c:layout>
                <c:manualLayout>
                  <c:x val="-3.0535765718621037E-2"/>
                  <c:y val="2.8252405949256338E-2"/>
                </c:manualLayout>
              </c:layout>
              <c:dLblPos val="r"/>
              <c:showVal val="1"/>
            </c:dLbl>
            <c:dLbl>
              <c:idx val="4"/>
              <c:layout>
                <c:manualLayout>
                  <c:x val="-3.2596559124081666E-2"/>
                  <c:y val="5.1400554097404488E-2"/>
                </c:manualLayout>
              </c:layout>
              <c:dLblPos val="r"/>
              <c:showVal val="1"/>
            </c:dLbl>
            <c:dLbl>
              <c:idx val="5"/>
              <c:layout>
                <c:manualLayout>
                  <c:x val="-3.2596559124081666E-2"/>
                  <c:y val="5.1400554097404488E-2"/>
                </c:manualLayout>
              </c:layout>
              <c:dLblPos val="r"/>
              <c:showVal val="1"/>
            </c:dLbl>
            <c:dLbl>
              <c:idx val="6"/>
              <c:layout>
                <c:manualLayout>
                  <c:x val="-3.2596559124081666E-2"/>
                  <c:y val="3.7511665208515642E-2"/>
                </c:manualLayout>
              </c:layout>
              <c:dLblPos val="r"/>
              <c:showVal val="1"/>
            </c:dLbl>
            <c:dLbl>
              <c:idx val="7"/>
              <c:layout>
                <c:manualLayout>
                  <c:x val="-3.2596559124081666E-2"/>
                  <c:y val="5.6030183727034118E-2"/>
                </c:manualLayout>
              </c:layout>
              <c:dLblPos val="r"/>
              <c:showVal val="1"/>
            </c:dLbl>
            <c:numFmt formatCode="#,##0.0" sourceLinked="0"/>
            <c:dLblPos val="b"/>
            <c:showVal val="1"/>
          </c:dLbls>
          <c:cat>
            <c:numRef>
              <c:f>APA!$C$3:$N$3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APA!$C$4:$N$4</c:f>
              <c:numCache>
                <c:formatCode>General</c:formatCode>
                <c:ptCount val="12"/>
                <c:pt idx="0">
                  <c:v>0.88</c:v>
                </c:pt>
                <c:pt idx="1">
                  <c:v>0.8</c:v>
                </c:pt>
                <c:pt idx="2">
                  <c:v>0.57700000000000062</c:v>
                </c:pt>
                <c:pt idx="3">
                  <c:v>0.62100000000000588</c:v>
                </c:pt>
                <c:pt idx="4">
                  <c:v>0.73900000000000265</c:v>
                </c:pt>
                <c:pt idx="5">
                  <c:v>0.79500000000000004</c:v>
                </c:pt>
                <c:pt idx="6">
                  <c:v>0.64600000000000668</c:v>
                </c:pt>
                <c:pt idx="7">
                  <c:v>0.85200000000000065</c:v>
                </c:pt>
                <c:pt idx="8">
                  <c:v>0.92100000000000004</c:v>
                </c:pt>
                <c:pt idx="9">
                  <c:v>1.04</c:v>
                </c:pt>
                <c:pt idx="10">
                  <c:v>1.522</c:v>
                </c:pt>
                <c:pt idx="11">
                  <c:v>1.2409999999999868</c:v>
                </c:pt>
              </c:numCache>
            </c:numRef>
          </c:val>
        </c:ser>
        <c:ser>
          <c:idx val="1"/>
          <c:order val="1"/>
          <c:tx>
            <c:strRef>
              <c:f>APA!$B$5</c:f>
              <c:strCache>
                <c:ptCount val="1"/>
                <c:pt idx="0">
                  <c:v>zahraniční produkce</c:v>
                </c:pt>
              </c:strCache>
            </c:strRef>
          </c:tx>
          <c:dLbls>
            <c:numFmt formatCode="#,##0.0" sourceLinked="0"/>
            <c:dLblPos val="t"/>
            <c:showVal val="1"/>
          </c:dLbls>
          <c:cat>
            <c:numRef>
              <c:f>APA!$C$3:$N$3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APA!$C$5:$N$5</c:f>
              <c:numCache>
                <c:formatCode>General</c:formatCode>
                <c:ptCount val="12"/>
                <c:pt idx="0">
                  <c:v>0.70500000000000063</c:v>
                </c:pt>
                <c:pt idx="1">
                  <c:v>0.74400000000000588</c:v>
                </c:pt>
                <c:pt idx="2">
                  <c:v>0.94299999999999995</c:v>
                </c:pt>
                <c:pt idx="3">
                  <c:v>1.036</c:v>
                </c:pt>
                <c:pt idx="4">
                  <c:v>1.5640000000000001</c:v>
                </c:pt>
                <c:pt idx="5">
                  <c:v>2.84</c:v>
                </c:pt>
                <c:pt idx="6">
                  <c:v>3.3539999999999988</c:v>
                </c:pt>
                <c:pt idx="7">
                  <c:v>3.7040000000000002</c:v>
                </c:pt>
                <c:pt idx="8">
                  <c:v>3.5749999999999997</c:v>
                </c:pt>
                <c:pt idx="9">
                  <c:v>3.1579999999999999</c:v>
                </c:pt>
                <c:pt idx="10">
                  <c:v>4.9260000000000002</c:v>
                </c:pt>
                <c:pt idx="11">
                  <c:v>6.3369999999999997</c:v>
                </c:pt>
              </c:numCache>
            </c:numRef>
          </c:val>
        </c:ser>
        <c:ser>
          <c:idx val="2"/>
          <c:order val="2"/>
          <c:tx>
            <c:strRef>
              <c:f>APA!$B$6</c:f>
              <c:strCache>
                <c:ptCount val="1"/>
                <c:pt idx="0">
                  <c:v>reklamní produkce</c:v>
                </c:pt>
              </c:strCache>
            </c:strRef>
          </c:tx>
          <c:dLbls>
            <c:dLbl>
              <c:idx val="4"/>
              <c:layout>
                <c:manualLayout>
                  <c:x val="-2.0231798691315438E-2"/>
                  <c:y val="5.5080927384076994E-2"/>
                </c:manualLayout>
              </c:layout>
              <c:dLblPos val="r"/>
              <c:showVal val="1"/>
            </c:dLbl>
            <c:dLbl>
              <c:idx val="9"/>
              <c:layout>
                <c:manualLayout>
                  <c:x val="-3.2596559124081666E-2"/>
                  <c:y val="-5.1400554097404488E-2"/>
                </c:manualLayout>
              </c:layout>
              <c:dLblPos val="r"/>
              <c:showVal val="1"/>
            </c:dLbl>
            <c:numFmt formatCode="#,##0.0" sourceLinked="0"/>
            <c:dLblPos val="t"/>
            <c:showVal val="1"/>
          </c:dLbls>
          <c:cat>
            <c:numRef>
              <c:f>APA!$C$3:$N$3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APA!$C$6:$N$6</c:f>
              <c:numCache>
                <c:formatCode>General</c:formatCode>
                <c:ptCount val="12"/>
                <c:pt idx="0">
                  <c:v>1.9370000000000001</c:v>
                </c:pt>
                <c:pt idx="1">
                  <c:v>1.4889999999999866</c:v>
                </c:pt>
                <c:pt idx="2">
                  <c:v>2.06</c:v>
                </c:pt>
                <c:pt idx="3">
                  <c:v>2.1619999999999999</c:v>
                </c:pt>
                <c:pt idx="4">
                  <c:v>1.772</c:v>
                </c:pt>
                <c:pt idx="5">
                  <c:v>1.3919999999999868</c:v>
                </c:pt>
                <c:pt idx="6">
                  <c:v>1.9600000000000117</c:v>
                </c:pt>
                <c:pt idx="7">
                  <c:v>2.2029999999999998</c:v>
                </c:pt>
                <c:pt idx="8">
                  <c:v>2.0270000000000001</c:v>
                </c:pt>
                <c:pt idx="9">
                  <c:v>2.2130999999999998</c:v>
                </c:pt>
                <c:pt idx="10">
                  <c:v>1.7529999999999868</c:v>
                </c:pt>
                <c:pt idx="11">
                  <c:v>1.8859999999999868</c:v>
                </c:pt>
              </c:numCache>
            </c:numRef>
          </c:val>
        </c:ser>
        <c:marker val="1"/>
        <c:axId val="158451968"/>
        <c:axId val="158471680"/>
      </c:lineChart>
      <c:catAx>
        <c:axId val="158451968"/>
        <c:scaling>
          <c:orientation val="minMax"/>
        </c:scaling>
        <c:axPos val="b"/>
        <c:numFmt formatCode="General" sourceLinked="1"/>
        <c:tickLblPos val="nextTo"/>
        <c:crossAx val="158471680"/>
        <c:crosses val="autoZero"/>
        <c:auto val="1"/>
        <c:lblAlgn val="ctr"/>
        <c:lblOffset val="100"/>
      </c:catAx>
      <c:valAx>
        <c:axId val="158471680"/>
        <c:scaling>
          <c:orientation val="minMax"/>
        </c:scaling>
        <c:delete val="1"/>
        <c:axPos val="l"/>
        <c:numFmt formatCode="General" sourceLinked="1"/>
        <c:tickLblPos val="none"/>
        <c:crossAx val="158451968"/>
        <c:crosses val="autoZero"/>
        <c:crossBetween val="between"/>
      </c:valAx>
    </c:plotArea>
    <c:legend>
      <c:legendPos val="t"/>
      <c:layout>
        <c:manualLayout>
          <c:xMode val="edge"/>
          <c:yMode val="edge"/>
          <c:x val="0"/>
          <c:y val="0"/>
          <c:w val="0.9"/>
          <c:h val="8.3717191601050026E-2"/>
        </c:manualLayou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SBS!$A$21</c:f>
              <c:strCache>
                <c:ptCount val="1"/>
                <c:pt idx="0">
                  <c:v>zaměstnanci</c:v>
                </c:pt>
              </c:strCache>
            </c:strRef>
          </c:tx>
          <c:dLbls>
            <c:numFmt formatCode="#,##0.0" sourceLinked="0"/>
            <c:dLblPos val="t"/>
            <c:showVal val="1"/>
          </c:dLbls>
          <c:cat>
            <c:numRef>
              <c:f>SBS!$B$20:$M$20</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SBS!$B$21:$M$21</c:f>
              <c:numCache>
                <c:formatCode>General</c:formatCode>
                <c:ptCount val="12"/>
                <c:pt idx="0">
                  <c:v>2.19767252793</c:v>
                </c:pt>
                <c:pt idx="1">
                  <c:v>2.162131028151042</c:v>
                </c:pt>
                <c:pt idx="2">
                  <c:v>2.0672210797485602</c:v>
                </c:pt>
                <c:pt idx="3">
                  <c:v>1.8584250111419003</c:v>
                </c:pt>
                <c:pt idx="4">
                  <c:v>1.59822837569325</c:v>
                </c:pt>
                <c:pt idx="5">
                  <c:v>1.5263756700859499</c:v>
                </c:pt>
                <c:pt idx="6">
                  <c:v>1.4642395122324829</c:v>
                </c:pt>
                <c:pt idx="7">
                  <c:v>1.4659473572345334</c:v>
                </c:pt>
                <c:pt idx="8">
                  <c:v>1.4430868561725998</c:v>
                </c:pt>
                <c:pt idx="9">
                  <c:v>1.4376777109483998</c:v>
                </c:pt>
                <c:pt idx="10">
                  <c:v>1.4611518413342499</c:v>
                </c:pt>
                <c:pt idx="11">
                  <c:v>1.5571416945172998</c:v>
                </c:pt>
              </c:numCache>
            </c:numRef>
          </c:val>
        </c:ser>
        <c:marker val="1"/>
        <c:axId val="159959296"/>
        <c:axId val="159994240"/>
      </c:lineChart>
      <c:catAx>
        <c:axId val="159959296"/>
        <c:scaling>
          <c:orientation val="minMax"/>
        </c:scaling>
        <c:axPos val="b"/>
        <c:numFmt formatCode="General" sourceLinked="1"/>
        <c:tickLblPos val="nextTo"/>
        <c:crossAx val="159994240"/>
        <c:crosses val="autoZero"/>
        <c:auto val="1"/>
        <c:lblAlgn val="ctr"/>
        <c:lblOffset val="100"/>
      </c:catAx>
      <c:valAx>
        <c:axId val="159994240"/>
        <c:scaling>
          <c:orientation val="minMax"/>
        </c:scaling>
        <c:delete val="1"/>
        <c:axPos val="l"/>
        <c:numFmt formatCode="General" sourceLinked="1"/>
        <c:tickLblPos val="none"/>
        <c:crossAx val="159959296"/>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sz="1200"/>
            </a:pPr>
            <a:r>
              <a:rPr lang="cs-CZ" sz="1200"/>
              <a:t>Osoby</a:t>
            </a:r>
            <a:r>
              <a:rPr lang="cs-CZ" sz="1200" baseline="0"/>
              <a:t> zaměstnané v oblasti filmu a videa</a:t>
            </a:r>
            <a:endParaRPr lang="cs-CZ" sz="1200"/>
          </a:p>
        </c:rich>
      </c:tx>
      <c:layout>
        <c:manualLayout>
          <c:xMode val="edge"/>
          <c:yMode val="edge"/>
          <c:x val="0.10639132918302567"/>
          <c:y val="4.2232277526395523E-2"/>
        </c:manualLayout>
      </c:layout>
    </c:title>
    <c:plotArea>
      <c:layout>
        <c:manualLayout>
          <c:layoutTarget val="inner"/>
          <c:xMode val="edge"/>
          <c:yMode val="edge"/>
          <c:x val="0.26474084356476718"/>
          <c:y val="0.36013016472488735"/>
          <c:w val="0.38956262698568123"/>
          <c:h val="0.63986983527512342"/>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dLbl>
            <c:numFmt formatCode="#,##0.0&quot; tis.&quot;" sourceLinked="0"/>
            <c:showVal val="1"/>
            <c:showLeaderLines val="1"/>
          </c:dLbls>
          <c:cat>
            <c:strRef>
              <c:f>List1!$B$2:$C$2</c:f>
              <c:strCache>
                <c:ptCount val="2"/>
                <c:pt idx="0">
                  <c:v>povolání kult. charakteru</c:v>
                </c:pt>
                <c:pt idx="1">
                  <c:v>povolání ne-kult. charakteru</c:v>
                </c:pt>
              </c:strCache>
            </c:strRef>
          </c:cat>
          <c:val>
            <c:numRef>
              <c:f>List1!$B$3:$C$3</c:f>
              <c:numCache>
                <c:formatCode>General</c:formatCode>
                <c:ptCount val="2"/>
                <c:pt idx="0">
                  <c:v>4.4000000000000004</c:v>
                </c:pt>
                <c:pt idx="1">
                  <c:v>3.7</c:v>
                </c:pt>
              </c:numCache>
            </c:numRef>
          </c:val>
        </c:ser>
        <c:firstSliceAng val="0"/>
        <c:holeSize val="50"/>
      </c:doughnutChart>
    </c:plotArea>
    <c:legend>
      <c:legendPos val="t"/>
      <c:layout>
        <c:manualLayout>
          <c:xMode val="edge"/>
          <c:yMode val="edge"/>
          <c:x val="0"/>
          <c:y val="0.20573627391598678"/>
          <c:w val="0.98103130755064449"/>
          <c:h val="0.10347876043391629"/>
        </c:manualLayout>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sz="1200"/>
            </a:pPr>
            <a:r>
              <a:rPr lang="cs-CZ" sz="1200"/>
              <a:t>Technici</a:t>
            </a:r>
            <a:r>
              <a:rPr lang="cs-CZ" sz="1200" baseline="0"/>
              <a:t> v oblasti </a:t>
            </a:r>
            <a:r>
              <a:rPr lang="cs-CZ" sz="1200" b="1" i="0" u="none" strike="noStrike" baseline="0"/>
              <a:t>vysílání a audiovizuálních záznamů</a:t>
            </a:r>
            <a:endParaRPr lang="cs-CZ" sz="1200"/>
          </a:p>
        </c:rich>
      </c:tx>
      <c:layout>
        <c:manualLayout>
          <c:xMode val="edge"/>
          <c:yMode val="edge"/>
          <c:x val="0.15006269499331451"/>
          <c:y val="0"/>
        </c:manualLayout>
      </c:layout>
    </c:title>
    <c:plotArea>
      <c:layout>
        <c:manualLayout>
          <c:layoutTarget val="inner"/>
          <c:xMode val="edge"/>
          <c:yMode val="edge"/>
          <c:x val="0.2726612192343883"/>
          <c:y val="0.34711406487033158"/>
          <c:w val="0.50306312430370659"/>
          <c:h val="0.64152086493775429"/>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dLbl>
            <c:numFmt formatCode="#,##0.0&quot; tis.&quot;" sourceLinked="0"/>
            <c:showVal val="1"/>
            <c:showLeaderLines val="1"/>
          </c:dLbls>
          <c:cat>
            <c:strRef>
              <c:f>List1!$J$1:$J$2</c:f>
              <c:strCache>
                <c:ptCount val="2"/>
                <c:pt idx="0">
                  <c:v>v kult. organizaci</c:v>
                </c:pt>
                <c:pt idx="1">
                  <c:v>mimo kult. organizaci</c:v>
                </c:pt>
              </c:strCache>
            </c:strRef>
          </c:cat>
          <c:val>
            <c:numRef>
              <c:f>List1!$K$1:$K$2</c:f>
              <c:numCache>
                <c:formatCode>General</c:formatCode>
                <c:ptCount val="2"/>
                <c:pt idx="0">
                  <c:v>5.6</c:v>
                </c:pt>
                <c:pt idx="1">
                  <c:v>0.60000000000000064</c:v>
                </c:pt>
              </c:numCache>
            </c:numRef>
          </c:val>
        </c:ser>
        <c:firstSliceAng val="0"/>
        <c:holeSize val="50"/>
      </c:doughnutChart>
    </c:plotArea>
    <c:legend>
      <c:legendPos val="t"/>
      <c:layout>
        <c:manualLayout>
          <c:xMode val="edge"/>
          <c:yMode val="edge"/>
          <c:x val="5.3902639528549998E-2"/>
          <c:y val="0.1945636623748212"/>
          <c:w val="0.9"/>
          <c:h val="0.11059885862890992"/>
        </c:manualLayou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List1!$C$1</c:f>
              <c:strCache>
                <c:ptCount val="1"/>
                <c:pt idx="0">
                  <c:v>návštěvnost</c:v>
                </c:pt>
              </c:strCache>
            </c:strRef>
          </c:tx>
          <c:cat>
            <c:numRef>
              <c:f>List1!$B$2:$B$21</c:f>
              <c:numCache>
                <c:formatCode>General</c:formatCode>
                <c:ptCount val="20"/>
                <c:pt idx="0">
                  <c:v>1989</c:v>
                </c:pt>
                <c:pt idx="1">
                  <c:v>1991</c:v>
                </c:pt>
                <c:pt idx="2">
                  <c:v>1993</c:v>
                </c:pt>
                <c:pt idx="3">
                  <c:v>1995</c:v>
                </c:pt>
                <c:pt idx="4">
                  <c:v>1997</c:v>
                </c:pt>
                <c:pt idx="5">
                  <c:v>1999</c:v>
                </c:pt>
                <c:pt idx="6">
                  <c:v>2001</c:v>
                </c:pt>
                <c:pt idx="7">
                  <c:v>2003</c:v>
                </c:pt>
                <c:pt idx="8">
                  <c:v>2005</c:v>
                </c:pt>
                <c:pt idx="9">
                  <c:v>2007</c:v>
                </c:pt>
                <c:pt idx="10">
                  <c:v>2009</c:v>
                </c:pt>
                <c:pt idx="11">
                  <c:v>2011</c:v>
                </c:pt>
                <c:pt idx="12">
                  <c:v>2012</c:v>
                </c:pt>
                <c:pt idx="13">
                  <c:v>2013</c:v>
                </c:pt>
                <c:pt idx="14">
                  <c:v>2014</c:v>
                </c:pt>
                <c:pt idx="15">
                  <c:v>2015</c:v>
                </c:pt>
                <c:pt idx="16">
                  <c:v>2016</c:v>
                </c:pt>
                <c:pt idx="17">
                  <c:v>2017</c:v>
                </c:pt>
                <c:pt idx="18">
                  <c:v>2018</c:v>
                </c:pt>
                <c:pt idx="19">
                  <c:v>2019</c:v>
                </c:pt>
              </c:numCache>
            </c:numRef>
          </c:cat>
          <c:val>
            <c:numRef>
              <c:f>List1!$C$2:$C$21</c:f>
              <c:numCache>
                <c:formatCode>0.000</c:formatCode>
                <c:ptCount val="20"/>
                <c:pt idx="0">
                  <c:v>51.45252</c:v>
                </c:pt>
                <c:pt idx="1">
                  <c:v>29.897814000000135</c:v>
                </c:pt>
                <c:pt idx="2">
                  <c:v>21.898199999999989</c:v>
                </c:pt>
                <c:pt idx="3">
                  <c:v>9.2532139999999998</c:v>
                </c:pt>
                <c:pt idx="4">
                  <c:v>9.8150240000000046</c:v>
                </c:pt>
                <c:pt idx="5">
                  <c:v>8.370825</c:v>
                </c:pt>
                <c:pt idx="6">
                  <c:v>10.363336000000087</c:v>
                </c:pt>
                <c:pt idx="7">
                  <c:v>12.139638</c:v>
                </c:pt>
                <c:pt idx="8">
                  <c:v>9.4786320000000028</c:v>
                </c:pt>
                <c:pt idx="9">
                  <c:v>12.829513</c:v>
                </c:pt>
                <c:pt idx="10">
                  <c:v>12.469365</c:v>
                </c:pt>
                <c:pt idx="11">
                  <c:v>10.789760000000001</c:v>
                </c:pt>
                <c:pt idx="12">
                  <c:v>11.181850999999998</c:v>
                </c:pt>
                <c:pt idx="13">
                  <c:v>11.057559000000024</c:v>
                </c:pt>
                <c:pt idx="14">
                  <c:v>11.558586000000076</c:v>
                </c:pt>
                <c:pt idx="15">
                  <c:v>12.958099000000002</c:v>
                </c:pt>
                <c:pt idx="16">
                  <c:v>15.621922999999999</c:v>
                </c:pt>
                <c:pt idx="17">
                  <c:v>15.233432000000002</c:v>
                </c:pt>
                <c:pt idx="18">
                  <c:v>16.344483</c:v>
                </c:pt>
                <c:pt idx="19">
                  <c:v>18.319471000000135</c:v>
                </c:pt>
              </c:numCache>
            </c:numRef>
          </c:val>
        </c:ser>
        <c:marker val="1"/>
        <c:axId val="163205120"/>
        <c:axId val="163207040"/>
      </c:lineChart>
      <c:lineChart>
        <c:grouping val="standard"/>
        <c:ser>
          <c:idx val="1"/>
          <c:order val="1"/>
          <c:tx>
            <c:strRef>
              <c:f>List1!$D$1</c:f>
              <c:strCache>
                <c:ptCount val="1"/>
                <c:pt idx="0">
                  <c:v>tržby</c:v>
                </c:pt>
              </c:strCache>
            </c:strRef>
          </c:tx>
          <c:cat>
            <c:numRef>
              <c:f>List1!$B$2:$B$21</c:f>
              <c:numCache>
                <c:formatCode>General</c:formatCode>
                <c:ptCount val="20"/>
                <c:pt idx="0">
                  <c:v>1989</c:v>
                </c:pt>
                <c:pt idx="1">
                  <c:v>1991</c:v>
                </c:pt>
                <c:pt idx="2">
                  <c:v>1993</c:v>
                </c:pt>
                <c:pt idx="3">
                  <c:v>1995</c:v>
                </c:pt>
                <c:pt idx="4">
                  <c:v>1997</c:v>
                </c:pt>
                <c:pt idx="5">
                  <c:v>1999</c:v>
                </c:pt>
                <c:pt idx="6">
                  <c:v>2001</c:v>
                </c:pt>
                <c:pt idx="7">
                  <c:v>2003</c:v>
                </c:pt>
                <c:pt idx="8">
                  <c:v>2005</c:v>
                </c:pt>
                <c:pt idx="9">
                  <c:v>2007</c:v>
                </c:pt>
                <c:pt idx="10">
                  <c:v>2009</c:v>
                </c:pt>
                <c:pt idx="11">
                  <c:v>2011</c:v>
                </c:pt>
                <c:pt idx="12">
                  <c:v>2012</c:v>
                </c:pt>
                <c:pt idx="13">
                  <c:v>2013</c:v>
                </c:pt>
                <c:pt idx="14">
                  <c:v>2014</c:v>
                </c:pt>
                <c:pt idx="15">
                  <c:v>2015</c:v>
                </c:pt>
                <c:pt idx="16">
                  <c:v>2016</c:v>
                </c:pt>
                <c:pt idx="17">
                  <c:v>2017</c:v>
                </c:pt>
                <c:pt idx="18">
                  <c:v>2018</c:v>
                </c:pt>
                <c:pt idx="19">
                  <c:v>2019</c:v>
                </c:pt>
              </c:numCache>
            </c:numRef>
          </c:cat>
          <c:val>
            <c:numRef>
              <c:f>List1!$D$2:$D$21</c:f>
              <c:numCache>
                <c:formatCode>0.000</c:formatCode>
                <c:ptCount val="20"/>
                <c:pt idx="0">
                  <c:v>354.40432599999963</c:v>
                </c:pt>
                <c:pt idx="1">
                  <c:v>323.18650999999869</c:v>
                </c:pt>
                <c:pt idx="2">
                  <c:v>432.90459399999969</c:v>
                </c:pt>
                <c:pt idx="3">
                  <c:v>254.206096</c:v>
                </c:pt>
                <c:pt idx="4">
                  <c:v>436.96089000000001</c:v>
                </c:pt>
                <c:pt idx="5">
                  <c:v>496.06289299999997</c:v>
                </c:pt>
                <c:pt idx="6">
                  <c:v>817.68152499999997</c:v>
                </c:pt>
                <c:pt idx="7">
                  <c:v>1084.0099550000011</c:v>
                </c:pt>
                <c:pt idx="8">
                  <c:v>854.48562399999946</c:v>
                </c:pt>
                <c:pt idx="9">
                  <c:v>1200.0042249999881</c:v>
                </c:pt>
                <c:pt idx="10">
                  <c:v>1251.0653749999999</c:v>
                </c:pt>
                <c:pt idx="11">
                  <c:v>1209.8740869999892</c:v>
                </c:pt>
                <c:pt idx="12">
                  <c:v>1275.596489</c:v>
                </c:pt>
                <c:pt idx="13">
                  <c:v>1424.2456470000011</c:v>
                </c:pt>
                <c:pt idx="14">
                  <c:v>1462.6702329999848</c:v>
                </c:pt>
                <c:pt idx="15">
                  <c:v>1669.1765809999999</c:v>
                </c:pt>
                <c:pt idx="16">
                  <c:v>2011.0441979999998</c:v>
                </c:pt>
                <c:pt idx="17">
                  <c:v>2004.2451309999999</c:v>
                </c:pt>
                <c:pt idx="18">
                  <c:v>2268.9426229999999</c:v>
                </c:pt>
                <c:pt idx="19">
                  <c:v>2616.6036389999999</c:v>
                </c:pt>
              </c:numCache>
            </c:numRef>
          </c:val>
        </c:ser>
        <c:marker val="1"/>
        <c:axId val="163244288"/>
        <c:axId val="163241984"/>
      </c:lineChart>
      <c:catAx>
        <c:axId val="163205120"/>
        <c:scaling>
          <c:orientation val="minMax"/>
        </c:scaling>
        <c:axPos val="b"/>
        <c:numFmt formatCode="General" sourceLinked="1"/>
        <c:tickLblPos val="nextTo"/>
        <c:crossAx val="163207040"/>
        <c:crosses val="autoZero"/>
        <c:auto val="1"/>
        <c:lblAlgn val="ctr"/>
        <c:lblOffset val="100"/>
      </c:catAx>
      <c:valAx>
        <c:axId val="163207040"/>
        <c:scaling>
          <c:orientation val="minMax"/>
        </c:scaling>
        <c:axPos val="l"/>
        <c:majorGridlines/>
        <c:title>
          <c:tx>
            <c:rich>
              <a:bodyPr rot="-5400000" vert="horz"/>
              <a:lstStyle/>
              <a:p>
                <a:pPr>
                  <a:defRPr/>
                </a:pPr>
                <a:r>
                  <a:rPr lang="cs-CZ"/>
                  <a:t>Návštěvnost (mil. návštěv)</a:t>
                </a:r>
              </a:p>
            </c:rich>
          </c:tx>
        </c:title>
        <c:numFmt formatCode="0" sourceLinked="0"/>
        <c:tickLblPos val="nextTo"/>
        <c:crossAx val="163205120"/>
        <c:crosses val="autoZero"/>
        <c:crossBetween val="between"/>
      </c:valAx>
      <c:valAx>
        <c:axId val="163241984"/>
        <c:scaling>
          <c:orientation val="minMax"/>
        </c:scaling>
        <c:axPos val="r"/>
        <c:title>
          <c:tx>
            <c:rich>
              <a:bodyPr rot="-5400000" vert="horz"/>
              <a:lstStyle/>
              <a:p>
                <a:pPr>
                  <a:defRPr/>
                </a:pPr>
                <a:r>
                  <a:rPr lang="cs-CZ"/>
                  <a:t>Tržby (mil. Kč)</a:t>
                </a:r>
              </a:p>
            </c:rich>
          </c:tx>
        </c:title>
        <c:numFmt formatCode="0" sourceLinked="0"/>
        <c:tickLblPos val="nextTo"/>
        <c:crossAx val="163244288"/>
        <c:crosses val="max"/>
        <c:crossBetween val="between"/>
      </c:valAx>
      <c:catAx>
        <c:axId val="163244288"/>
        <c:scaling>
          <c:orientation val="minMax"/>
        </c:scaling>
        <c:delete val="1"/>
        <c:axPos val="b"/>
        <c:numFmt formatCode="General" sourceLinked="1"/>
        <c:tickLblPos val="none"/>
        <c:crossAx val="163241984"/>
        <c:crosses val="autoZero"/>
        <c:auto val="1"/>
        <c:lblAlgn val="ctr"/>
        <c:lblOffset val="100"/>
      </c:catAx>
    </c:plotArea>
    <c:legend>
      <c:legendPos val="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List2!$B$11:$B$12</c:f>
              <c:strCache>
                <c:ptCount val="1"/>
                <c:pt idx="0">
                  <c:v>2019 návštěvnost</c:v>
                </c:pt>
              </c:strCache>
            </c:strRef>
          </c:tx>
          <c:cat>
            <c:strRef>
              <c:f>List2!$A$13:$A$20</c:f>
              <c:strCache>
                <c:ptCount val="8"/>
                <c:pt idx="0">
                  <c:v>leden</c:v>
                </c:pt>
                <c:pt idx="1">
                  <c:v>únor</c:v>
                </c:pt>
                <c:pt idx="2">
                  <c:v>březen</c:v>
                </c:pt>
                <c:pt idx="3">
                  <c:v>duben</c:v>
                </c:pt>
                <c:pt idx="4">
                  <c:v>květen</c:v>
                </c:pt>
                <c:pt idx="5">
                  <c:v>červen</c:v>
                </c:pt>
                <c:pt idx="6">
                  <c:v>červenec</c:v>
                </c:pt>
                <c:pt idx="7">
                  <c:v>srpen</c:v>
                </c:pt>
              </c:strCache>
            </c:strRef>
          </c:cat>
          <c:val>
            <c:numRef>
              <c:f>List2!$B$13:$B$20</c:f>
              <c:numCache>
                <c:formatCode>General</c:formatCode>
                <c:ptCount val="8"/>
                <c:pt idx="0">
                  <c:v>1.3174209999999886</c:v>
                </c:pt>
                <c:pt idx="1">
                  <c:v>1.957276</c:v>
                </c:pt>
                <c:pt idx="2">
                  <c:v>1.7972949999999854</c:v>
                </c:pt>
                <c:pt idx="3">
                  <c:v>1.520181</c:v>
                </c:pt>
                <c:pt idx="4">
                  <c:v>1.2770569999999999</c:v>
                </c:pt>
                <c:pt idx="5">
                  <c:v>0.91557899999999959</c:v>
                </c:pt>
                <c:pt idx="6">
                  <c:v>1.4269179999999999</c:v>
                </c:pt>
                <c:pt idx="7">
                  <c:v>1.6388580000000001</c:v>
                </c:pt>
              </c:numCache>
            </c:numRef>
          </c:val>
        </c:ser>
        <c:ser>
          <c:idx val="2"/>
          <c:order val="1"/>
          <c:tx>
            <c:strRef>
              <c:f>List2!$D$11:$D$12</c:f>
              <c:strCache>
                <c:ptCount val="1"/>
                <c:pt idx="0">
                  <c:v>2020 návštěvnost</c:v>
                </c:pt>
              </c:strCache>
            </c:strRef>
          </c:tx>
          <c:cat>
            <c:strRef>
              <c:f>List2!$A$13:$A$20</c:f>
              <c:strCache>
                <c:ptCount val="8"/>
                <c:pt idx="0">
                  <c:v>leden</c:v>
                </c:pt>
                <c:pt idx="1">
                  <c:v>únor</c:v>
                </c:pt>
                <c:pt idx="2">
                  <c:v>březen</c:v>
                </c:pt>
                <c:pt idx="3">
                  <c:v>duben</c:v>
                </c:pt>
                <c:pt idx="4">
                  <c:v>květen</c:v>
                </c:pt>
                <c:pt idx="5">
                  <c:v>červen</c:v>
                </c:pt>
                <c:pt idx="6">
                  <c:v>červenec</c:v>
                </c:pt>
                <c:pt idx="7">
                  <c:v>srpen</c:v>
                </c:pt>
              </c:strCache>
            </c:strRef>
          </c:cat>
          <c:val>
            <c:numRef>
              <c:f>List2!$D$13:$D$20</c:f>
              <c:numCache>
                <c:formatCode>General</c:formatCode>
                <c:ptCount val="8"/>
                <c:pt idx="0">
                  <c:v>1.4418939999999814</c:v>
                </c:pt>
                <c:pt idx="1">
                  <c:v>1.42615</c:v>
                </c:pt>
                <c:pt idx="2">
                  <c:v>0.52429099999999951</c:v>
                </c:pt>
                <c:pt idx="3">
                  <c:v>3.016E-3</c:v>
                </c:pt>
                <c:pt idx="4">
                  <c:v>0.12235699999999998</c:v>
                </c:pt>
                <c:pt idx="5">
                  <c:v>0.29875000000000002</c:v>
                </c:pt>
                <c:pt idx="6">
                  <c:v>0.70922499999999999</c:v>
                </c:pt>
                <c:pt idx="7">
                  <c:v>0.95116899999999949</c:v>
                </c:pt>
              </c:numCache>
            </c:numRef>
          </c:val>
        </c:ser>
        <c:axId val="184637312"/>
        <c:axId val="184638848"/>
      </c:barChart>
      <c:lineChart>
        <c:grouping val="standard"/>
        <c:ser>
          <c:idx val="3"/>
          <c:order val="2"/>
          <c:tx>
            <c:strRef>
              <c:f>List2!$E$11:$E$12</c:f>
              <c:strCache>
                <c:ptCount val="1"/>
                <c:pt idx="0">
                  <c:v>2020 tržby</c:v>
                </c:pt>
              </c:strCache>
            </c:strRef>
          </c:tx>
          <c:spPr>
            <a:ln>
              <a:solidFill>
                <a:schemeClr val="accent6">
                  <a:lumMod val="60000"/>
                  <a:lumOff val="40000"/>
                </a:schemeClr>
              </a:solidFill>
            </a:ln>
          </c:spPr>
          <c:marker>
            <c:symbol val="none"/>
          </c:marker>
          <c:cat>
            <c:strRef>
              <c:f>List2!$A$13:$A$20</c:f>
              <c:strCache>
                <c:ptCount val="8"/>
                <c:pt idx="0">
                  <c:v>leden</c:v>
                </c:pt>
                <c:pt idx="1">
                  <c:v>únor</c:v>
                </c:pt>
                <c:pt idx="2">
                  <c:v>březen</c:v>
                </c:pt>
                <c:pt idx="3">
                  <c:v>duben</c:v>
                </c:pt>
                <c:pt idx="4">
                  <c:v>květen</c:v>
                </c:pt>
                <c:pt idx="5">
                  <c:v>červen</c:v>
                </c:pt>
                <c:pt idx="6">
                  <c:v>červenec</c:v>
                </c:pt>
                <c:pt idx="7">
                  <c:v>srpen</c:v>
                </c:pt>
              </c:strCache>
            </c:strRef>
          </c:cat>
          <c:val>
            <c:numRef>
              <c:f>List2!$E$13:$E$20</c:f>
              <c:numCache>
                <c:formatCode>General</c:formatCode>
                <c:ptCount val="8"/>
                <c:pt idx="0">
                  <c:v>210.24377899999809</c:v>
                </c:pt>
                <c:pt idx="1">
                  <c:v>211.28528900000001</c:v>
                </c:pt>
                <c:pt idx="2">
                  <c:v>75.682058999999072</c:v>
                </c:pt>
                <c:pt idx="3">
                  <c:v>0.26863600000000004</c:v>
                </c:pt>
                <c:pt idx="4">
                  <c:v>16.375664999999987</c:v>
                </c:pt>
                <c:pt idx="5">
                  <c:v>40.952905000000001</c:v>
                </c:pt>
                <c:pt idx="6">
                  <c:v>92.837199999999996</c:v>
                </c:pt>
                <c:pt idx="7">
                  <c:v>125.56381499999999</c:v>
                </c:pt>
              </c:numCache>
            </c:numRef>
          </c:val>
        </c:ser>
        <c:marker val="1"/>
        <c:axId val="184663424"/>
        <c:axId val="184661504"/>
      </c:lineChart>
      <c:catAx>
        <c:axId val="184637312"/>
        <c:scaling>
          <c:orientation val="minMax"/>
        </c:scaling>
        <c:axPos val="b"/>
        <c:tickLblPos val="nextTo"/>
        <c:crossAx val="184638848"/>
        <c:crosses val="autoZero"/>
        <c:auto val="1"/>
        <c:lblAlgn val="ctr"/>
        <c:lblOffset val="100"/>
      </c:catAx>
      <c:valAx>
        <c:axId val="184638848"/>
        <c:scaling>
          <c:orientation val="minMax"/>
        </c:scaling>
        <c:axPos val="l"/>
        <c:title>
          <c:tx>
            <c:rich>
              <a:bodyPr rot="-5400000" vert="horz"/>
              <a:lstStyle/>
              <a:p>
                <a:pPr>
                  <a:defRPr/>
                </a:pPr>
                <a:r>
                  <a:rPr lang="cs-CZ" b="0"/>
                  <a:t>Návštěvnost (mil. návštěv)</a:t>
                </a:r>
              </a:p>
            </c:rich>
          </c:tx>
        </c:title>
        <c:numFmt formatCode="General" sourceLinked="1"/>
        <c:tickLblPos val="nextTo"/>
        <c:crossAx val="184637312"/>
        <c:crosses val="autoZero"/>
        <c:crossBetween val="between"/>
      </c:valAx>
      <c:valAx>
        <c:axId val="184661504"/>
        <c:scaling>
          <c:orientation val="minMax"/>
        </c:scaling>
        <c:axPos val="r"/>
        <c:title>
          <c:tx>
            <c:rich>
              <a:bodyPr rot="-5400000" vert="horz"/>
              <a:lstStyle/>
              <a:p>
                <a:pPr>
                  <a:defRPr/>
                </a:pPr>
                <a:r>
                  <a:rPr lang="cs-CZ" b="0"/>
                  <a:t>Tržby (mil. Kč)</a:t>
                </a:r>
              </a:p>
            </c:rich>
          </c:tx>
        </c:title>
        <c:numFmt formatCode="General" sourceLinked="1"/>
        <c:tickLblPos val="nextTo"/>
        <c:crossAx val="184663424"/>
        <c:crosses val="max"/>
        <c:crossBetween val="between"/>
      </c:valAx>
      <c:catAx>
        <c:axId val="184663424"/>
        <c:scaling>
          <c:orientation val="minMax"/>
        </c:scaling>
        <c:delete val="1"/>
        <c:axPos val="b"/>
        <c:tickLblPos val="none"/>
        <c:crossAx val="184661504"/>
        <c:crosses val="autoZero"/>
        <c:auto val="1"/>
        <c:lblAlgn val="ctr"/>
        <c:lblOffset val="100"/>
      </c:catAx>
    </c:plotArea>
    <c:legend>
      <c:legendPos val="t"/>
    </c:legend>
    <c:plotVisOnly val="1"/>
    <c:dispBlanksAs val="gap"/>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B624-80AE-4891-A781-23117FEB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spolecnost-1.dot</Template>
  <TotalTime>0</TotalTime>
  <Pages>13</Pages>
  <Words>3573</Words>
  <Characters>21086</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2</cp:revision>
  <cp:lastPrinted>2020-10-29T09:09:00Z</cp:lastPrinted>
  <dcterms:created xsi:type="dcterms:W3CDTF">2020-11-02T10:16:00Z</dcterms:created>
  <dcterms:modified xsi:type="dcterms:W3CDTF">2020-11-02T10:16:00Z</dcterms:modified>
</cp:coreProperties>
</file>