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9" w:type="dxa"/>
        <w:tblInd w:w="-20" w:type="dxa"/>
        <w:tblCellMar>
          <w:left w:w="0" w:type="dxa"/>
          <w:right w:w="0" w:type="dxa"/>
        </w:tblCellMar>
        <w:tblLook w:val="00A0" w:firstRow="1" w:lastRow="0" w:firstColumn="1" w:lastColumn="0" w:noHBand="0" w:noVBand="0"/>
      </w:tblPr>
      <w:tblGrid>
        <w:gridCol w:w="1738"/>
        <w:gridCol w:w="223"/>
        <w:gridCol w:w="7695"/>
        <w:gridCol w:w="6"/>
        <w:gridCol w:w="7"/>
      </w:tblGrid>
      <w:tr w:rsidR="0002669F" w:rsidRPr="0085334C" w14:paraId="4A1707A4" w14:textId="77777777" w:rsidTr="00CB6766">
        <w:trPr>
          <w:trHeight w:val="866"/>
        </w:trPr>
        <w:tc>
          <w:tcPr>
            <w:tcW w:w="9641" w:type="dxa"/>
            <w:gridSpan w:val="3"/>
            <w:shd w:val="clear" w:color="auto" w:fill="auto"/>
            <w:tcMar>
              <w:left w:w="0" w:type="dxa"/>
            </w:tcMar>
          </w:tcPr>
          <w:tbl>
            <w:tblPr>
              <w:tblW w:w="9653" w:type="dxa"/>
              <w:tblCellMar>
                <w:left w:w="0" w:type="dxa"/>
                <w:right w:w="0" w:type="dxa"/>
              </w:tblCellMar>
              <w:tblLook w:val="00A0" w:firstRow="1" w:lastRow="0" w:firstColumn="1" w:lastColumn="0" w:noHBand="0" w:noVBand="0"/>
            </w:tblPr>
            <w:tblGrid>
              <w:gridCol w:w="9644"/>
              <w:gridCol w:w="6"/>
              <w:gridCol w:w="6"/>
            </w:tblGrid>
            <w:tr w:rsidR="004A0D0E" w:rsidRPr="0085334C" w14:paraId="16B2F609" w14:textId="77777777" w:rsidTr="0026300B">
              <w:trPr>
                <w:trHeight w:val="866"/>
              </w:trPr>
              <w:tc>
                <w:tcPr>
                  <w:tcW w:w="9641" w:type="dxa"/>
                  <w:shd w:val="clear" w:color="auto" w:fill="auto"/>
                  <w:tcMar>
                    <w:left w:w="0" w:type="dxa"/>
                  </w:tcMar>
                </w:tcPr>
                <w:p w14:paraId="420E6275" w14:textId="77777777" w:rsidR="004A0D0E" w:rsidRDefault="004A0D0E" w:rsidP="004A0D0E">
                  <w:pPr>
                    <w:pStyle w:val="Nadpis11"/>
                  </w:pPr>
                  <w:bookmarkStart w:id="0" w:name="_Toc19090676"/>
                  <w:bookmarkStart w:id="1" w:name="_Toc37403642"/>
                  <w:bookmarkStart w:id="2" w:name="_Toc50712127"/>
                  <w:r w:rsidRPr="009F2921">
                    <w:t>3. </w:t>
                  </w:r>
                  <w:bookmarkStart w:id="3" w:name="_Toc454185150"/>
                  <w:bookmarkStart w:id="4" w:name="_Toc493683635"/>
                  <w:r w:rsidRPr="009F2921">
                    <w:t>Výkonnost odvětví</w:t>
                  </w:r>
                  <w:bookmarkEnd w:id="1"/>
                  <w:bookmarkEnd w:id="2"/>
                  <w:bookmarkEnd w:id="3"/>
                  <w:bookmarkEnd w:id="4"/>
                </w:p>
                <w:tbl>
                  <w:tblPr>
                    <w:tblW w:w="9644" w:type="dxa"/>
                    <w:tblCellMar>
                      <w:left w:w="0" w:type="dxa"/>
                      <w:right w:w="0" w:type="dxa"/>
                    </w:tblCellMar>
                    <w:tblLook w:val="00A0" w:firstRow="1" w:lastRow="0" w:firstColumn="1" w:lastColumn="0" w:noHBand="0" w:noVBand="0"/>
                  </w:tblPr>
                  <w:tblGrid>
                    <w:gridCol w:w="1723"/>
                    <w:gridCol w:w="191"/>
                    <w:gridCol w:w="7730"/>
                  </w:tblGrid>
                  <w:tr w:rsidR="004A0D0E" w:rsidRPr="00DF6A33" w14:paraId="6547585E" w14:textId="77777777" w:rsidTr="0026300B">
                    <w:trPr>
                      <w:trHeight w:val="145"/>
                    </w:trPr>
                    <w:tc>
                      <w:tcPr>
                        <w:tcW w:w="1723" w:type="dxa"/>
                        <w:shd w:val="clear" w:color="auto" w:fill="auto"/>
                        <w:tcMar>
                          <w:left w:w="0" w:type="dxa"/>
                        </w:tcMar>
                      </w:tcPr>
                      <w:p w14:paraId="3CE3F78C" w14:textId="77777777" w:rsidR="004A0D0E" w:rsidRDefault="004A0D0E" w:rsidP="004A0D0E">
                        <w:pPr>
                          <w:pStyle w:val="Marginlie"/>
                        </w:pPr>
                        <w:r>
                          <w:t>Mezikvartální pokles HPH v celé ekonomice se ve 2. čtvrtletí prohloubil až na 9,4 %.</w:t>
                        </w:r>
                      </w:p>
                      <w:p w14:paraId="109C95EC" w14:textId="77777777" w:rsidR="004A0D0E" w:rsidRDefault="004A0D0E" w:rsidP="004A0D0E">
                        <w:pPr>
                          <w:pStyle w:val="Marginlie"/>
                        </w:pPr>
                      </w:p>
                      <w:p w14:paraId="62302CF7" w14:textId="77777777" w:rsidR="004A0D0E" w:rsidRDefault="004A0D0E" w:rsidP="004A0D0E">
                        <w:pPr>
                          <w:pStyle w:val="Marginlie"/>
                        </w:pPr>
                      </w:p>
                      <w:p w14:paraId="6D39DC57" w14:textId="77777777" w:rsidR="004A0D0E" w:rsidRDefault="004A0D0E" w:rsidP="004A0D0E">
                        <w:pPr>
                          <w:pStyle w:val="Marginlie"/>
                        </w:pPr>
                      </w:p>
                      <w:p w14:paraId="5FC6E2ED" w14:textId="77777777" w:rsidR="004A0D0E" w:rsidRDefault="004A0D0E" w:rsidP="004A0D0E">
                        <w:pPr>
                          <w:pStyle w:val="Marginlie"/>
                        </w:pPr>
                      </w:p>
                      <w:p w14:paraId="6BFC7889" w14:textId="77777777" w:rsidR="004A0D0E" w:rsidRDefault="004A0D0E" w:rsidP="004A0D0E">
                        <w:pPr>
                          <w:pStyle w:val="Marginlie"/>
                        </w:pPr>
                      </w:p>
                      <w:p w14:paraId="4FA902D3" w14:textId="77777777" w:rsidR="004A0D0E" w:rsidRDefault="004A0D0E" w:rsidP="004A0D0E">
                        <w:pPr>
                          <w:pStyle w:val="Marginlie"/>
                        </w:pPr>
                        <w:r>
                          <w:t>Největší meziroční útlum výkonu ekonomiky postihl v 1. pololetí hlavně státy jižního křídla eurozóny. Česko patří spíše k průměru.</w:t>
                        </w:r>
                      </w:p>
                    </w:tc>
                    <w:tc>
                      <w:tcPr>
                        <w:tcW w:w="191" w:type="dxa"/>
                        <w:shd w:val="clear" w:color="auto" w:fill="auto"/>
                        <w:tcMar>
                          <w:left w:w="0" w:type="dxa"/>
                        </w:tcMar>
                      </w:tcPr>
                      <w:p w14:paraId="21DE3797" w14:textId="77777777" w:rsidR="004A0D0E" w:rsidRDefault="004A0D0E" w:rsidP="004A0D0E">
                        <w:pPr>
                          <w:pStyle w:val="Textpoznpodarou"/>
                          <w:jc w:val="both"/>
                          <w:rPr>
                            <w:spacing w:val="-4"/>
                          </w:rPr>
                        </w:pPr>
                      </w:p>
                    </w:tc>
                    <w:tc>
                      <w:tcPr>
                        <w:tcW w:w="7730" w:type="dxa"/>
                        <w:shd w:val="clear" w:color="auto" w:fill="auto"/>
                        <w:tcMar>
                          <w:left w:w="0" w:type="dxa"/>
                        </w:tcMar>
                      </w:tcPr>
                      <w:p w14:paraId="650754A6" w14:textId="77777777" w:rsidR="004A0D0E" w:rsidRPr="007D0EE4" w:rsidRDefault="004A0D0E" w:rsidP="004A0D0E">
                        <w:pPr>
                          <w:spacing w:after="220"/>
                          <w:rPr>
                            <w:spacing w:val="-3"/>
                          </w:rPr>
                        </w:pPr>
                        <w:r w:rsidRPr="007D0EE4">
                          <w:rPr>
                            <w:spacing w:val="-3"/>
                          </w:rPr>
                          <w:t>Jestliže restriktivní protipandemická opatření tvrdě dopadla v 1.</w:t>
                        </w:r>
                        <w:r>
                          <w:rPr>
                            <w:spacing w:val="-3"/>
                          </w:rPr>
                          <w:t> čtvrtlet</w:t>
                        </w:r>
                        <w:r w:rsidRPr="007D0EE4">
                          <w:rPr>
                            <w:spacing w:val="-3"/>
                          </w:rPr>
                          <w:t xml:space="preserve">í 2020 primárně na odvětví těsně navázaná na cestovní ruch, během následujícího kvartálu již </w:t>
                        </w:r>
                        <w:r>
                          <w:rPr>
                            <w:spacing w:val="-3"/>
                          </w:rPr>
                          <w:t>dokázala</w:t>
                        </w:r>
                        <w:r w:rsidRPr="007D0EE4">
                          <w:rPr>
                            <w:spacing w:val="-3"/>
                          </w:rPr>
                          <w:t xml:space="preserve"> na několik týdnů fakticky paralyzovat velkou část ekonomiky. Hrubá přidaná hodnota (HPH)</w:t>
                        </w:r>
                        <w:r w:rsidRPr="007D0EE4">
                          <w:rPr>
                            <w:rStyle w:val="Znakapoznpodarou"/>
                            <w:spacing w:val="-3"/>
                          </w:rPr>
                          <w:footnoteReference w:id="1"/>
                        </w:r>
                        <w:r w:rsidRPr="007D0EE4">
                          <w:rPr>
                            <w:spacing w:val="-3"/>
                          </w:rPr>
                          <w:t xml:space="preserve"> tak mezikvartálně propadla o</w:t>
                        </w:r>
                        <w:r>
                          <w:rPr>
                            <w:spacing w:val="-3"/>
                          </w:rPr>
                          <w:t> </w:t>
                        </w:r>
                        <w:r w:rsidRPr="007D0EE4">
                          <w:rPr>
                            <w:spacing w:val="-3"/>
                          </w:rPr>
                          <w:t>rekordních 9,4</w:t>
                        </w:r>
                        <w:r>
                          <w:rPr>
                            <w:spacing w:val="-3"/>
                          </w:rPr>
                          <w:t> %</w:t>
                        </w:r>
                        <w:r w:rsidRPr="007D0EE4">
                          <w:rPr>
                            <w:spacing w:val="-3"/>
                          </w:rPr>
                          <w:t xml:space="preserve"> a</w:t>
                        </w:r>
                        <w:r>
                          <w:rPr>
                            <w:spacing w:val="-3"/>
                          </w:rPr>
                          <w:t> </w:t>
                        </w:r>
                        <w:r w:rsidRPr="007D0EE4">
                          <w:rPr>
                            <w:spacing w:val="-3"/>
                          </w:rPr>
                          <w:t>citelně prohloubila svůj pokles z 1.</w:t>
                        </w:r>
                        <w:r>
                          <w:rPr>
                            <w:spacing w:val="-3"/>
                          </w:rPr>
                          <w:t> čtvrtlet</w:t>
                        </w:r>
                        <w:r w:rsidRPr="007D0EE4">
                          <w:rPr>
                            <w:spacing w:val="-3"/>
                          </w:rPr>
                          <w:t>í (</w:t>
                        </w:r>
                        <w:r w:rsidRPr="007D0EE4">
                          <w:rPr>
                            <w:color w:val="000000" w:themeColor="text1"/>
                            <w:spacing w:val="-3"/>
                          </w:rPr>
                          <w:t>–</w:t>
                        </w:r>
                        <w:r w:rsidRPr="007D0EE4">
                          <w:rPr>
                            <w:spacing w:val="-3"/>
                          </w:rPr>
                          <w:t>2,4</w:t>
                        </w:r>
                        <w:r>
                          <w:rPr>
                            <w:spacing w:val="-3"/>
                          </w:rPr>
                          <w:t> %</w:t>
                        </w:r>
                        <w:r w:rsidRPr="007D0EE4">
                          <w:rPr>
                            <w:spacing w:val="-3"/>
                          </w:rPr>
                          <w:t>). V</w:t>
                        </w:r>
                        <w:r>
                          <w:rPr>
                            <w:spacing w:val="-3"/>
                          </w:rPr>
                          <w:t> </w:t>
                        </w:r>
                        <w:r w:rsidRPr="007D0EE4">
                          <w:rPr>
                            <w:spacing w:val="-3"/>
                          </w:rPr>
                          <w:t>meziročním vyjádření se HPH v</w:t>
                        </w:r>
                        <w:r>
                          <w:rPr>
                            <w:spacing w:val="-3"/>
                          </w:rPr>
                          <w:t> </w:t>
                        </w:r>
                        <w:r w:rsidRPr="007D0EE4">
                          <w:rPr>
                            <w:spacing w:val="-3"/>
                          </w:rPr>
                          <w:t>celém 1.</w:t>
                        </w:r>
                        <w:r>
                          <w:rPr>
                            <w:spacing w:val="-3"/>
                          </w:rPr>
                          <w:t> pololet</w:t>
                        </w:r>
                        <w:r w:rsidRPr="007D0EE4">
                          <w:rPr>
                            <w:spacing w:val="-3"/>
                          </w:rPr>
                          <w:t>í snížila o</w:t>
                        </w:r>
                        <w:r>
                          <w:rPr>
                            <w:spacing w:val="-3"/>
                          </w:rPr>
                          <w:t> </w:t>
                        </w:r>
                        <w:r w:rsidRPr="007D0EE4">
                          <w:rPr>
                            <w:spacing w:val="-3"/>
                          </w:rPr>
                          <w:t>6,1 % a</w:t>
                        </w:r>
                        <w:r>
                          <w:rPr>
                            <w:spacing w:val="-3"/>
                          </w:rPr>
                          <w:t> </w:t>
                        </w:r>
                        <w:r w:rsidRPr="007D0EE4">
                          <w:rPr>
                            <w:spacing w:val="-3"/>
                          </w:rPr>
                          <w:t>mírně překonala intenzitu obdobného útlumu z</w:t>
                        </w:r>
                        <w:r>
                          <w:rPr>
                            <w:spacing w:val="-3"/>
                          </w:rPr>
                          <w:t> </w:t>
                        </w:r>
                        <w:r w:rsidRPr="007D0EE4">
                          <w:rPr>
                            <w:spacing w:val="-3"/>
                          </w:rPr>
                          <w:t>první půle krizového roku 2009. Pololetní výkon řadil Česko v rámci států EU spíše k průměrným (na 12</w:t>
                        </w:r>
                        <w:r>
                          <w:rPr>
                            <w:spacing w:val="-3"/>
                          </w:rPr>
                          <w:t>. </w:t>
                        </w:r>
                        <w:r w:rsidRPr="007D0EE4">
                          <w:rPr>
                            <w:spacing w:val="-3"/>
                          </w:rPr>
                          <w:t>místo ze 23</w:t>
                        </w:r>
                        <w:r>
                          <w:rPr>
                            <w:spacing w:val="-3"/>
                          </w:rPr>
                          <w:t> </w:t>
                        </w:r>
                        <w:r w:rsidRPr="007D0EE4">
                          <w:rPr>
                            <w:spacing w:val="-3"/>
                          </w:rPr>
                          <w:t>států s dostupnými údaji</w:t>
                        </w:r>
                        <w:r w:rsidRPr="007D0EE4">
                          <w:rPr>
                            <w:rStyle w:val="Znakapoznpodarou"/>
                            <w:spacing w:val="-3"/>
                          </w:rPr>
                          <w:footnoteReference w:id="2"/>
                        </w:r>
                        <w:r w:rsidRPr="007D0EE4">
                          <w:rPr>
                            <w:spacing w:val="-3"/>
                          </w:rPr>
                          <w:t xml:space="preserve">). Nejhlubší útlum registrovaly především státy jižního křídla </w:t>
                        </w:r>
                        <w:r>
                          <w:rPr>
                            <w:spacing w:val="-3"/>
                          </w:rPr>
                          <w:t>e</w:t>
                        </w:r>
                        <w:r w:rsidRPr="007D0EE4">
                          <w:rPr>
                            <w:spacing w:val="-3"/>
                          </w:rPr>
                          <w:t>urozóny (např</w:t>
                        </w:r>
                        <w:r>
                          <w:rPr>
                            <w:spacing w:val="-3"/>
                          </w:rPr>
                          <w:t>íklad</w:t>
                        </w:r>
                        <w:r w:rsidRPr="007D0EE4">
                          <w:rPr>
                            <w:spacing w:val="-3"/>
                          </w:rPr>
                          <w:t xml:space="preserve"> Španělsko 12,9</w:t>
                        </w:r>
                        <w:r>
                          <w:rPr>
                            <w:spacing w:val="-3"/>
                          </w:rPr>
                          <w:t> %</w:t>
                        </w:r>
                        <w:r w:rsidRPr="007D0EE4">
                          <w:rPr>
                            <w:spacing w:val="-3"/>
                          </w:rPr>
                          <w:t>, Itálie</w:t>
                        </w:r>
                        <w:r>
                          <w:rPr>
                            <w:spacing w:val="-3"/>
                          </w:rPr>
                          <w:t xml:space="preserve"> </w:t>
                        </w:r>
                        <w:r w:rsidRPr="007D0EE4">
                          <w:rPr>
                            <w:spacing w:val="-3"/>
                          </w:rPr>
                          <w:t>11,8</w:t>
                        </w:r>
                        <w:r>
                          <w:rPr>
                            <w:spacing w:val="-3"/>
                          </w:rPr>
                          <w:t> %</w:t>
                        </w:r>
                        <w:r w:rsidRPr="007D0EE4">
                          <w:rPr>
                            <w:spacing w:val="-3"/>
                          </w:rPr>
                          <w:t>, Portugalsko 8,7</w:t>
                        </w:r>
                        <w:r>
                          <w:rPr>
                            <w:spacing w:val="-3"/>
                          </w:rPr>
                          <w:t> %) a také Francie</w:t>
                        </w:r>
                        <w:r w:rsidRPr="007D0EE4">
                          <w:rPr>
                            <w:spacing w:val="-3"/>
                          </w:rPr>
                          <w:t xml:space="preserve"> (12,1</w:t>
                        </w:r>
                        <w:r>
                          <w:rPr>
                            <w:spacing w:val="-3"/>
                          </w:rPr>
                          <w:t> %</w:t>
                        </w:r>
                        <w:r w:rsidRPr="007D0EE4">
                          <w:rPr>
                            <w:spacing w:val="-3"/>
                          </w:rPr>
                          <w:t>). Naopak relativn</w:t>
                        </w:r>
                        <w:r>
                          <w:rPr>
                            <w:spacing w:val="-3"/>
                          </w:rPr>
                          <w:t>ě</w:t>
                        </w:r>
                        <w:r w:rsidRPr="007D0EE4">
                          <w:rPr>
                            <w:spacing w:val="-3"/>
                          </w:rPr>
                          <w:t xml:space="preserve"> příznivé pozici se dosud těšily hlavně s</w:t>
                        </w:r>
                        <w:r>
                          <w:rPr>
                            <w:spacing w:val="-3"/>
                          </w:rPr>
                          <w:t>everské státy a rovněž většina</w:t>
                        </w:r>
                        <w:r w:rsidRPr="007D0EE4">
                          <w:rPr>
                            <w:spacing w:val="-3"/>
                          </w:rPr>
                          <w:t xml:space="preserve"> novějších </w:t>
                        </w:r>
                        <w:r w:rsidRPr="007D0EE4">
                          <w:t>členů EU (se vstupem po roce 2000), např</w:t>
                        </w:r>
                        <w:r>
                          <w:t>íklad</w:t>
                        </w:r>
                        <w:r w:rsidRPr="007D0EE4">
                          <w:t xml:space="preserve"> Litva (</w:t>
                        </w:r>
                        <w:r w:rsidRPr="007D0EE4">
                          <w:rPr>
                            <w:color w:val="000000" w:themeColor="text1"/>
                          </w:rPr>
                          <w:t>–</w:t>
                        </w:r>
                        <w:r w:rsidRPr="007D0EE4">
                          <w:t>0,8</w:t>
                        </w:r>
                        <w:r>
                          <w:t> %</w:t>
                        </w:r>
                        <w:r w:rsidRPr="007D0EE4">
                          <w:t>), Bulharsko (</w:t>
                        </w:r>
                        <w:r w:rsidRPr="007D0EE4">
                          <w:rPr>
                            <w:color w:val="000000" w:themeColor="text1"/>
                          </w:rPr>
                          <w:t>–</w:t>
                        </w:r>
                        <w:r w:rsidRPr="007D0EE4">
                          <w:t>2,7</w:t>
                        </w:r>
                        <w:r>
                          <w:t> %</w:t>
                        </w:r>
                        <w:r w:rsidRPr="007D0EE4">
                          <w:t>), Polsko (</w:t>
                        </w:r>
                        <w:r w:rsidRPr="007D0EE4">
                          <w:rPr>
                            <w:color w:val="000000" w:themeColor="text1"/>
                          </w:rPr>
                          <w:t>–</w:t>
                        </w:r>
                        <w:r w:rsidRPr="007D0EE4">
                          <w:t>3,5</w:t>
                        </w:r>
                        <w:r>
                          <w:t> %</w:t>
                        </w:r>
                        <w:r w:rsidRPr="007D0EE4">
                          <w:t>).</w:t>
                        </w:r>
                        <w:r w:rsidRPr="007D0EE4">
                          <w:rPr>
                            <w:spacing w:val="-3"/>
                          </w:rPr>
                          <w:t xml:space="preserve"> Rozdíly mezi státy vypovídají primárně o</w:t>
                        </w:r>
                        <w:r>
                          <w:rPr>
                            <w:spacing w:val="-3"/>
                          </w:rPr>
                          <w:t> </w:t>
                        </w:r>
                        <w:r w:rsidRPr="007D0EE4">
                          <w:rPr>
                            <w:spacing w:val="-3"/>
                          </w:rPr>
                          <w:t>náběhu koronavirové nákazy napříč EU, rychlosti a</w:t>
                        </w:r>
                        <w:r>
                          <w:rPr>
                            <w:spacing w:val="-3"/>
                          </w:rPr>
                          <w:t> </w:t>
                        </w:r>
                        <w:r w:rsidRPr="007D0EE4">
                          <w:rPr>
                            <w:spacing w:val="-3"/>
                          </w:rPr>
                          <w:t>intenzitě vládních restriktivních opatření a</w:t>
                        </w:r>
                        <w:r>
                          <w:rPr>
                            <w:spacing w:val="-3"/>
                          </w:rPr>
                          <w:t> </w:t>
                        </w:r>
                        <w:r w:rsidRPr="007D0EE4">
                          <w:rPr>
                            <w:spacing w:val="-3"/>
                          </w:rPr>
                          <w:t>zčásti také o odlišné odvětvové skladbě ekonomik (negativně se projevilo vyšší zastoupení odvětví s vazbou na cestovní ruch, pozitivně pak např</w:t>
                        </w:r>
                        <w:r>
                          <w:rPr>
                            <w:spacing w:val="-3"/>
                          </w:rPr>
                          <w:t>íklad</w:t>
                        </w:r>
                        <w:r w:rsidRPr="007D0EE4">
                          <w:rPr>
                            <w:spacing w:val="-3"/>
                          </w:rPr>
                          <w:t xml:space="preserve"> role veřejných služeb).</w:t>
                        </w:r>
                      </w:p>
                    </w:tc>
                  </w:tr>
                  <w:tr w:rsidR="004A0D0E" w:rsidRPr="00DF6A33" w14:paraId="5587AE4F" w14:textId="77777777" w:rsidTr="0026300B">
                    <w:trPr>
                      <w:trHeight w:val="145"/>
                    </w:trPr>
                    <w:tc>
                      <w:tcPr>
                        <w:tcW w:w="1723" w:type="dxa"/>
                        <w:shd w:val="clear" w:color="auto" w:fill="auto"/>
                        <w:tcMar>
                          <w:left w:w="0" w:type="dxa"/>
                        </w:tcMar>
                      </w:tcPr>
                      <w:p w14:paraId="7D15F5D9" w14:textId="77777777" w:rsidR="004A0D0E" w:rsidRDefault="004A0D0E" w:rsidP="004A0D0E">
                        <w:pPr>
                          <w:pStyle w:val="Marginlie"/>
                        </w:pPr>
                        <w:r>
                          <w:t>Výkon ekonomiky táhl dolů nejvíce zpracovatelský průmysl.</w:t>
                        </w:r>
                      </w:p>
                      <w:p w14:paraId="4E856EA8" w14:textId="77777777" w:rsidR="004A0D0E" w:rsidRDefault="004A0D0E" w:rsidP="004A0D0E">
                        <w:pPr>
                          <w:pStyle w:val="Marginlie"/>
                        </w:pPr>
                      </w:p>
                      <w:p w14:paraId="6FF3015D" w14:textId="77777777" w:rsidR="004A0D0E" w:rsidRDefault="004A0D0E" w:rsidP="004A0D0E">
                        <w:pPr>
                          <w:pStyle w:val="Marginlie"/>
                        </w:pPr>
                      </w:p>
                      <w:p w14:paraId="588840EC" w14:textId="77777777" w:rsidR="004A0D0E" w:rsidRDefault="004A0D0E" w:rsidP="004A0D0E">
                        <w:pPr>
                          <w:pStyle w:val="Marginlie"/>
                        </w:pPr>
                      </w:p>
                      <w:p w14:paraId="7E2F8C8D" w14:textId="77777777" w:rsidR="004A0D0E" w:rsidRDefault="004A0D0E" w:rsidP="004A0D0E">
                        <w:pPr>
                          <w:pStyle w:val="Marginlie"/>
                        </w:pPr>
                      </w:p>
                      <w:p w14:paraId="012FEFDE" w14:textId="77777777" w:rsidR="004A0D0E" w:rsidRDefault="004A0D0E" w:rsidP="004A0D0E">
                        <w:pPr>
                          <w:pStyle w:val="Marginlie"/>
                        </w:pPr>
                        <w:r>
                          <w:t>Ve stavebnictví se negativní dopady začaly projevovat s mírným zpožděním.</w:t>
                        </w:r>
                      </w:p>
                      <w:p w14:paraId="2711C7D4" w14:textId="77777777" w:rsidR="004A0D0E" w:rsidRDefault="004A0D0E" w:rsidP="004A0D0E">
                        <w:pPr>
                          <w:pStyle w:val="Marginlie"/>
                        </w:pPr>
                      </w:p>
                      <w:p w14:paraId="702BE1FC" w14:textId="77777777" w:rsidR="004A0D0E" w:rsidRDefault="004A0D0E" w:rsidP="004A0D0E">
                        <w:pPr>
                          <w:pStyle w:val="Marginlie"/>
                        </w:pPr>
                      </w:p>
                      <w:p w14:paraId="5E89814F" w14:textId="77777777" w:rsidR="004A0D0E" w:rsidRDefault="004A0D0E" w:rsidP="004A0D0E">
                        <w:pPr>
                          <w:pStyle w:val="Marginlie"/>
                        </w:pPr>
                      </w:p>
                      <w:p w14:paraId="5C32A690" w14:textId="77777777" w:rsidR="004A0D0E" w:rsidRDefault="004A0D0E" w:rsidP="004A0D0E">
                        <w:pPr>
                          <w:pStyle w:val="Marginlie"/>
                        </w:pPr>
                      </w:p>
                      <w:p w14:paraId="1E2CCD9D" w14:textId="77777777" w:rsidR="004A0D0E" w:rsidRDefault="004A0D0E" w:rsidP="004A0D0E">
                        <w:pPr>
                          <w:pStyle w:val="Marginlie"/>
                        </w:pPr>
                      </w:p>
                      <w:p w14:paraId="37D8B7B5" w14:textId="77777777" w:rsidR="004A0D0E" w:rsidRDefault="004A0D0E" w:rsidP="004A0D0E">
                        <w:pPr>
                          <w:pStyle w:val="Marginlie"/>
                        </w:pPr>
                        <w:r>
                          <w:t>K růstu výkonu v primárním sektoru pomáhala živočišná výroba i těžba dřeva.</w:t>
                        </w:r>
                      </w:p>
                      <w:p w14:paraId="100C7306" w14:textId="77777777" w:rsidR="004A0D0E" w:rsidRDefault="004A0D0E" w:rsidP="004A0D0E">
                        <w:pPr>
                          <w:pStyle w:val="Marginlie"/>
                        </w:pPr>
                      </w:p>
                    </w:tc>
                    <w:tc>
                      <w:tcPr>
                        <w:tcW w:w="191" w:type="dxa"/>
                        <w:shd w:val="clear" w:color="auto" w:fill="auto"/>
                        <w:tcMar>
                          <w:left w:w="0" w:type="dxa"/>
                        </w:tcMar>
                      </w:tcPr>
                      <w:p w14:paraId="48A55F9B" w14:textId="77777777" w:rsidR="004A0D0E" w:rsidRDefault="004A0D0E" w:rsidP="004A0D0E">
                        <w:pPr>
                          <w:pStyle w:val="Textpoznpodarou"/>
                          <w:jc w:val="both"/>
                          <w:rPr>
                            <w:spacing w:val="-4"/>
                          </w:rPr>
                        </w:pPr>
                      </w:p>
                    </w:tc>
                    <w:tc>
                      <w:tcPr>
                        <w:tcW w:w="7730" w:type="dxa"/>
                        <w:shd w:val="clear" w:color="auto" w:fill="auto"/>
                        <w:tcMar>
                          <w:left w:w="0" w:type="dxa"/>
                        </w:tcMar>
                      </w:tcPr>
                      <w:p w14:paraId="0B51A084" w14:textId="77777777" w:rsidR="004A0D0E" w:rsidRPr="0095470B" w:rsidRDefault="004A0D0E" w:rsidP="004A0D0E">
                        <w:pPr>
                          <w:spacing w:after="220"/>
                          <w:rPr>
                            <w:spacing w:val="-4"/>
                          </w:rPr>
                        </w:pPr>
                        <w:r>
                          <w:rPr>
                            <w:spacing w:val="-4"/>
                          </w:rPr>
                          <w:t>Meziroční</w:t>
                        </w:r>
                        <w:r w:rsidRPr="0012427B">
                          <w:rPr>
                            <w:spacing w:val="-4"/>
                          </w:rPr>
                          <w:t xml:space="preserve"> pokles přidané hodnoty v tuzemské ekonomice</w:t>
                        </w:r>
                        <w:r>
                          <w:rPr>
                            <w:spacing w:val="-4"/>
                          </w:rPr>
                          <w:t xml:space="preserve"> byl v 1. pololetí 2020 bezmála z poloviny výsledkem citelného propadu zpracovatelského průmyslu (příspěvek 2,7 p. b., pokles samotného odvětví o 10,6 %). Toto odvětví přitom vlivem své váhy táhlo dolů celou ekonomiku nejvíce jak v 1., tak i ve 2. letošním čtvrtletí. Více než o desetinu slabší výkon zaznamenala v 1. pololetí také nezpracovatelská průmyslová odvětví. I zde se projevil vliv několikatýdenního přerušení výroby motivovaného hygienickými opatřeními, ale i sníženou poptávkou</w:t>
                        </w:r>
                        <w:r w:rsidRPr="007D0EE4">
                          <w:rPr>
                            <w:rStyle w:val="Znakapoznpodarou"/>
                            <w:spacing w:val="-3"/>
                          </w:rPr>
                          <w:footnoteReference w:id="3"/>
                        </w:r>
                        <w:r>
                          <w:rPr>
                            <w:spacing w:val="-4"/>
                          </w:rPr>
                          <w:t>. Podstatně lépe se vyvíjelo stavebnictví, v němž zpočátku nebyly dopady nastupující hospodářské recese patrné. V 1. čtvrtletí se dokonce jeho výkon díky vysoké zásobě zakázek i příznivému počasí mírně zvýšil. Ve 2. čtvrtletí již HPH klesla (o 6,2 %). Již tak náročný administrativní proces přípravy staveb se vlivem vyhlášeného nouzového stavu dále komplikoval, řada projektů byla pozastavena. Odvětví bylo limitováno nedostatkem pracovních sil, řada pracovníků se po znovuotevření hranic vracela do Česka pomalu. Tento faktor platil i pro odvětví primárního sektoru, což se projevilo poklesem odpracovaných hodin (o více než 5 % v 1. pololetí). Navzdory tomu zde HPH rostla již třetím rokem v řadě (+4,1 %, nejvíce z 11 hlavních odvětví). Přispěla k tomu stabilizovaná situace v zemědělské prvovýrobě, jež nebyla vyjma zpřísněných hygienických opatření regulačními vlivy negativně dotčena. Výroba masa v 1. pololetí stagnovala, tuzemští producenti prodali naturálně o 5 % mléka více. Růst celého primárního sektoru podpořila i pokračující živelní těžba dřeva.</w:t>
                        </w:r>
                      </w:p>
                    </w:tc>
                  </w:tr>
                  <w:tr w:rsidR="004A0D0E" w:rsidRPr="00DF6A33" w14:paraId="6BBE239E" w14:textId="77777777" w:rsidTr="0026300B">
                    <w:trPr>
                      <w:trHeight w:val="145"/>
                    </w:trPr>
                    <w:tc>
                      <w:tcPr>
                        <w:tcW w:w="1723" w:type="dxa"/>
                        <w:shd w:val="clear" w:color="auto" w:fill="auto"/>
                        <w:tcMar>
                          <w:left w:w="0" w:type="dxa"/>
                        </w:tcMar>
                      </w:tcPr>
                      <w:p w14:paraId="5136FC0B" w14:textId="77777777" w:rsidR="004A0D0E" w:rsidRDefault="004A0D0E" w:rsidP="004A0D0E">
                        <w:pPr>
                          <w:pStyle w:val="Marginlie"/>
                          <w:rPr>
                            <w:spacing w:val="-4"/>
                          </w:rPr>
                        </w:pPr>
                        <w:r>
                          <w:t xml:space="preserve">Přidaná hodnota se nejvíce snižovala v odvětví </w:t>
                        </w:r>
                        <w:r>
                          <w:rPr>
                            <w:spacing w:val="-4"/>
                          </w:rPr>
                          <w:t>obchod, doprava, ubytování a</w:t>
                        </w:r>
                        <w:r>
                          <w:t> </w:t>
                        </w:r>
                        <w:r w:rsidRPr="0012427B">
                          <w:rPr>
                            <w:spacing w:val="-4"/>
                          </w:rPr>
                          <w:t>pohostinství</w:t>
                        </w:r>
                        <w:r>
                          <w:rPr>
                            <w:spacing w:val="-4"/>
                          </w:rPr>
                          <w:t>.</w:t>
                        </w:r>
                      </w:p>
                      <w:p w14:paraId="457008B0" w14:textId="77777777" w:rsidR="004A0D0E" w:rsidRDefault="004A0D0E" w:rsidP="004A0D0E">
                        <w:pPr>
                          <w:pStyle w:val="Marginlie"/>
                          <w:rPr>
                            <w:spacing w:val="-4"/>
                          </w:rPr>
                        </w:pPr>
                      </w:p>
                      <w:p w14:paraId="760A27D8" w14:textId="77777777" w:rsidR="004A0D0E" w:rsidRDefault="004A0D0E" w:rsidP="004A0D0E">
                        <w:pPr>
                          <w:pStyle w:val="Marginlie"/>
                          <w:rPr>
                            <w:spacing w:val="-4"/>
                          </w:rPr>
                        </w:pPr>
                      </w:p>
                      <w:p w14:paraId="7EA7767C" w14:textId="77777777" w:rsidR="004A0D0E" w:rsidRDefault="004A0D0E" w:rsidP="004A0D0E">
                        <w:pPr>
                          <w:pStyle w:val="Marginlie"/>
                          <w:rPr>
                            <w:spacing w:val="-4"/>
                          </w:rPr>
                        </w:pPr>
                        <w:r>
                          <w:rPr>
                            <w:spacing w:val="-4"/>
                          </w:rPr>
                          <w:t>Protipandemická opatření posílila roli veřejných služeb a</w:t>
                        </w:r>
                        <w:r>
                          <w:t> </w:t>
                        </w:r>
                        <w:r>
                          <w:rPr>
                            <w:spacing w:val="-4"/>
                          </w:rPr>
                          <w:t>informačních a komunikačních činností.</w:t>
                        </w:r>
                      </w:p>
                      <w:p w14:paraId="79797E56" w14:textId="77777777" w:rsidR="004A0D0E" w:rsidRDefault="004A0D0E" w:rsidP="004A0D0E">
                        <w:pPr>
                          <w:pStyle w:val="Marginlie"/>
                        </w:pPr>
                      </w:p>
                    </w:tc>
                    <w:tc>
                      <w:tcPr>
                        <w:tcW w:w="191" w:type="dxa"/>
                        <w:shd w:val="clear" w:color="auto" w:fill="auto"/>
                        <w:tcMar>
                          <w:left w:w="0" w:type="dxa"/>
                        </w:tcMar>
                      </w:tcPr>
                      <w:p w14:paraId="44F09CDB" w14:textId="77777777" w:rsidR="004A0D0E" w:rsidRDefault="004A0D0E" w:rsidP="004A0D0E">
                        <w:pPr>
                          <w:pStyle w:val="Textpoznpodarou"/>
                          <w:jc w:val="both"/>
                          <w:rPr>
                            <w:spacing w:val="-4"/>
                          </w:rPr>
                        </w:pPr>
                      </w:p>
                    </w:tc>
                    <w:tc>
                      <w:tcPr>
                        <w:tcW w:w="7730" w:type="dxa"/>
                        <w:shd w:val="clear" w:color="auto" w:fill="auto"/>
                        <w:tcMar>
                          <w:left w:w="0" w:type="dxa"/>
                        </w:tcMar>
                      </w:tcPr>
                      <w:p w14:paraId="5DBE61E3" w14:textId="77777777" w:rsidR="004A0D0E" w:rsidRDefault="004A0D0E" w:rsidP="004A0D0E">
                        <w:pPr>
                          <w:spacing w:after="0"/>
                        </w:pPr>
                        <w:r>
                          <w:rPr>
                            <w:spacing w:val="-4"/>
                          </w:rPr>
                          <w:t>Silný makroekonomický dopad pocítil rovněž segment</w:t>
                        </w:r>
                        <w:r w:rsidRPr="0012427B">
                          <w:rPr>
                            <w:spacing w:val="-4"/>
                          </w:rPr>
                          <w:t xml:space="preserve"> obchod, doprava, ubytování a</w:t>
                        </w:r>
                        <w:r>
                          <w:rPr>
                            <w:spacing w:val="-4"/>
                          </w:rPr>
                          <w:t> </w:t>
                        </w:r>
                        <w:r w:rsidRPr="0012427B">
                          <w:rPr>
                            <w:spacing w:val="-4"/>
                          </w:rPr>
                          <w:t>pohostinství</w:t>
                        </w:r>
                        <w:r>
                          <w:rPr>
                            <w:spacing w:val="-4"/>
                          </w:rPr>
                          <w:t xml:space="preserve"> (příspěvek </w:t>
                        </w:r>
                        <w:r w:rsidRPr="007D0EE4">
                          <w:rPr>
                            <w:color w:val="000000" w:themeColor="text1"/>
                          </w:rPr>
                          <w:t>–</w:t>
                        </w:r>
                        <w:r>
                          <w:rPr>
                            <w:spacing w:val="-4"/>
                          </w:rPr>
                          <w:t>2,2 p. b.). HPH zde mimo jiné vlivem zásadního omezení mezinárodního pohybu osob</w:t>
                        </w:r>
                        <w:r w:rsidRPr="007D0EE4">
                          <w:rPr>
                            <w:rStyle w:val="Znakapoznpodarou"/>
                            <w:spacing w:val="-3"/>
                          </w:rPr>
                          <w:footnoteReference w:id="4"/>
                        </w:r>
                        <w:r>
                          <w:rPr>
                            <w:spacing w:val="-4"/>
                          </w:rPr>
                          <w:t xml:space="preserve"> propadla o osminu – tedy nejvíce z hlavních odvětví. Vliv ostatních odvětví terciární sféry byl řádově nižší. I tak byla některá z nich silně zasažena – zejména tzv. ostatní služby</w:t>
                        </w:r>
                        <w:r w:rsidRPr="007D0EE4">
                          <w:rPr>
                            <w:rStyle w:val="Znakapoznpodarou"/>
                            <w:spacing w:val="-3"/>
                          </w:rPr>
                          <w:footnoteReference w:id="5"/>
                        </w:r>
                        <w:r>
                          <w:rPr>
                            <w:spacing w:val="-4"/>
                          </w:rPr>
                          <w:t>, kde HPH klesla o desetinu (z toho ve 2. čtvrtletí o více než pětinu). Menší pokles ve výši 2 až 3 % byl shodně patrný v profesních, vědeckých a technických činnostech, dále ve finančnictví nebo činnostech v oblasti nemovitostí. Naopak ve veřejných službách</w:t>
                        </w:r>
                        <w:r w:rsidRPr="007D0EE4">
                          <w:rPr>
                            <w:rStyle w:val="Znakapoznpodarou"/>
                            <w:spacing w:val="-3"/>
                          </w:rPr>
                          <w:footnoteReference w:id="6"/>
                        </w:r>
                        <w:r>
                          <w:rPr>
                            <w:spacing w:val="-4"/>
                          </w:rPr>
                          <w:t xml:space="preserve"> zajišťujících základní chod společnosti HPH stagnovala. Rovněž role informačních a komunikačních činností v pandemickém období nabírala na významu. I tak se přidaná hodnota v tomto dynamickém odvětví letos zvýšila nejméně za posledních osm let (+1,3 %).</w:t>
                        </w:r>
                      </w:p>
                    </w:tc>
                  </w:tr>
                  <w:tr w:rsidR="004A0D0E" w:rsidRPr="00DF6A33" w14:paraId="3820BC68" w14:textId="77777777" w:rsidTr="0026300B">
                    <w:trPr>
                      <w:trHeight w:val="145"/>
                    </w:trPr>
                    <w:tc>
                      <w:tcPr>
                        <w:tcW w:w="1723" w:type="dxa"/>
                        <w:shd w:val="clear" w:color="auto" w:fill="auto"/>
                        <w:tcMar>
                          <w:left w:w="0" w:type="dxa"/>
                        </w:tcMar>
                      </w:tcPr>
                      <w:p w14:paraId="786962A6" w14:textId="77777777" w:rsidR="004A0D0E" w:rsidRDefault="004A0D0E" w:rsidP="004A0D0E">
                        <w:pPr>
                          <w:pStyle w:val="Marginlie"/>
                        </w:pPr>
                        <w:r>
                          <w:t>Březnové a dubnové zmrazení činnosti klíčových exportních podniků vyústilo v rekordní propad průmyslové produkce.</w:t>
                        </w:r>
                      </w:p>
                      <w:p w14:paraId="7DFA7D0D" w14:textId="77777777" w:rsidR="004A0D0E" w:rsidRDefault="004A0D0E" w:rsidP="004A0D0E">
                        <w:pPr>
                          <w:pStyle w:val="Marginlie"/>
                        </w:pPr>
                      </w:p>
                      <w:p w14:paraId="0D9C5A94" w14:textId="77777777" w:rsidR="004A0D0E" w:rsidRDefault="004A0D0E" w:rsidP="004A0D0E">
                        <w:pPr>
                          <w:pStyle w:val="Marginlie"/>
                        </w:pPr>
                      </w:p>
                      <w:p w14:paraId="424BA72C" w14:textId="77777777" w:rsidR="004A0D0E" w:rsidRDefault="004A0D0E" w:rsidP="004A0D0E">
                        <w:pPr>
                          <w:pStyle w:val="Marginlie"/>
                        </w:pPr>
                      </w:p>
                      <w:p w14:paraId="6B5920CB" w14:textId="77777777" w:rsidR="004A0D0E" w:rsidRDefault="004A0D0E" w:rsidP="004A0D0E">
                        <w:pPr>
                          <w:pStyle w:val="Marginlie"/>
                        </w:pPr>
                      </w:p>
                      <w:p w14:paraId="554BF578" w14:textId="77777777" w:rsidR="004A0D0E" w:rsidRDefault="004A0D0E" w:rsidP="004A0D0E">
                        <w:pPr>
                          <w:pStyle w:val="Marginlie"/>
                        </w:pPr>
                        <w:r w:rsidRPr="00D4412F">
                          <w:rPr>
                            <w:spacing w:val="-4"/>
                          </w:rPr>
                          <w:t xml:space="preserve">Červencová produkce stále za </w:t>
                        </w:r>
                        <w:r>
                          <w:rPr>
                            <w:spacing w:val="-4"/>
                          </w:rPr>
                          <w:t>úrovní z doby před pandemií</w:t>
                        </w:r>
                        <w:r w:rsidRPr="00D4412F">
                          <w:rPr>
                            <w:spacing w:val="-4"/>
                          </w:rPr>
                          <w:t xml:space="preserve"> mírně zaostávala</w:t>
                        </w:r>
                        <w:r>
                          <w:t>.</w:t>
                        </w:r>
                      </w:p>
                    </w:tc>
                    <w:tc>
                      <w:tcPr>
                        <w:tcW w:w="191" w:type="dxa"/>
                        <w:shd w:val="clear" w:color="auto" w:fill="auto"/>
                        <w:tcMar>
                          <w:left w:w="0" w:type="dxa"/>
                        </w:tcMar>
                      </w:tcPr>
                      <w:p w14:paraId="5E14E1D2" w14:textId="77777777" w:rsidR="004A0D0E" w:rsidRDefault="004A0D0E" w:rsidP="004A0D0E">
                        <w:pPr>
                          <w:pStyle w:val="Textpoznpodarou"/>
                          <w:jc w:val="both"/>
                          <w:rPr>
                            <w:spacing w:val="-4"/>
                          </w:rPr>
                        </w:pPr>
                      </w:p>
                    </w:tc>
                    <w:tc>
                      <w:tcPr>
                        <w:tcW w:w="7730" w:type="dxa"/>
                        <w:shd w:val="clear" w:color="auto" w:fill="auto"/>
                        <w:tcMar>
                          <w:left w:w="0" w:type="dxa"/>
                        </w:tcMar>
                      </w:tcPr>
                      <w:p w14:paraId="62281E56" w14:textId="77777777" w:rsidR="004A0D0E" w:rsidRDefault="004A0D0E" w:rsidP="004A0D0E">
                        <w:pPr>
                          <w:spacing w:after="220"/>
                        </w:pPr>
                        <w:r>
                          <w:t xml:space="preserve">Nebývale silný a rychlý dopad protipandemických opatření na výkony tuzemského průmyslu </w:t>
                        </w:r>
                        <w:r w:rsidRPr="00DB613B">
                          <w:t>dokládají i</w:t>
                        </w:r>
                        <w:r>
                          <w:t> </w:t>
                        </w:r>
                        <w:r w:rsidRPr="00DB613B">
                          <w:t>podrobnější údaje z podnikových statistik.</w:t>
                        </w:r>
                        <w:r>
                          <w:t xml:space="preserve"> Jestliže v první čtvrtině letošního roku </w:t>
                        </w:r>
                        <w:r>
                          <w:rPr>
                            <w:color w:val="000000" w:themeColor="text1"/>
                          </w:rPr>
                          <w:t>průmyslová</w:t>
                        </w:r>
                        <w:r w:rsidRPr="00DB613B">
                          <w:rPr>
                            <w:color w:val="000000" w:themeColor="text1"/>
                          </w:rPr>
                          <w:t xml:space="preserve"> produkce</w:t>
                        </w:r>
                        <w:r w:rsidRPr="00DB613B">
                          <w:rPr>
                            <w:color w:val="000000" w:themeColor="text1"/>
                            <w:vertAlign w:val="superscript"/>
                          </w:rPr>
                          <w:footnoteReference w:id="7"/>
                        </w:r>
                        <w:r>
                          <w:rPr>
                            <w:color w:val="000000" w:themeColor="text1"/>
                          </w:rPr>
                          <w:t xml:space="preserve"> mezikvartálně klesla „jen“ o 3,7 %, ve 2. čtvrtletí došlo k prohloubení na dosud nevídaných 18,3 %. Rekordní letošní propad byl zásadně ovlivněn vývojem na přelomu obou čtvrtletí – v březnu se produkce meziměsíčně snížila o více než desetinu, v dubnu téměř o čtvrtinu. </w:t>
                        </w:r>
                        <w:r w:rsidRPr="00B97785">
                          <w:t xml:space="preserve">Opatření proti šíření koronaviru vedla </w:t>
                        </w:r>
                        <w:r w:rsidRPr="00B97785">
                          <w:lastRenderedPageBreak/>
                          <w:t xml:space="preserve">postupně k narušení či k úplnému zpřetrhání dodavatelských řetězců. Během druhé poloviny března </w:t>
                        </w:r>
                        <w:r>
                          <w:t>začala</w:t>
                        </w:r>
                        <w:r w:rsidRPr="00B97785">
                          <w:t xml:space="preserve"> řada podniků </w:t>
                        </w:r>
                        <w:r>
                          <w:t>omezovat výrobu, mnohé</w:t>
                        </w:r>
                        <w:r w:rsidRPr="00B97785">
                          <w:t xml:space="preserve"> ji prak</w:t>
                        </w:r>
                        <w:r>
                          <w:t>ticky zastavily (to se týkalo zejména klíčových firem automobilového průmyslu a jejich tuzemských subdodavatelů). V následujících měsících sice došlo v mnohých pozastavených oborech k poměrně rychlému oživení, navzdory tomu však i letošní červencová produkce v celém průmyslu za „předpandemickou“ (únorovou) úrovní stále mírně zaostávala (o 4 %).</w:t>
                        </w:r>
                      </w:p>
                    </w:tc>
                  </w:tr>
                  <w:tr w:rsidR="004A0D0E" w:rsidRPr="00DF6A33" w14:paraId="3A134090" w14:textId="77777777" w:rsidTr="0026300B">
                    <w:trPr>
                      <w:trHeight w:val="145"/>
                    </w:trPr>
                    <w:tc>
                      <w:tcPr>
                        <w:tcW w:w="1723" w:type="dxa"/>
                        <w:shd w:val="clear" w:color="auto" w:fill="auto"/>
                        <w:tcMar>
                          <w:left w:w="0" w:type="dxa"/>
                        </w:tcMar>
                      </w:tcPr>
                      <w:p w14:paraId="5AE8C296" w14:textId="77777777" w:rsidR="004A0D0E" w:rsidRDefault="004A0D0E" w:rsidP="004A0D0E">
                        <w:pPr>
                          <w:pStyle w:val="Marginlie"/>
                        </w:pPr>
                        <w:r>
                          <w:t>Více než polovina meziročního poklesu průmyslu v 1. pololetí šla na vrub automobilového průmyslu a jeho nejbližších subdodavatelů.</w:t>
                        </w:r>
                      </w:p>
                    </w:tc>
                    <w:tc>
                      <w:tcPr>
                        <w:tcW w:w="191" w:type="dxa"/>
                        <w:shd w:val="clear" w:color="auto" w:fill="auto"/>
                        <w:tcMar>
                          <w:left w:w="0" w:type="dxa"/>
                        </w:tcMar>
                      </w:tcPr>
                      <w:p w14:paraId="2E7DE868" w14:textId="77777777" w:rsidR="004A0D0E" w:rsidRDefault="004A0D0E" w:rsidP="004A0D0E">
                        <w:pPr>
                          <w:pStyle w:val="Textpoznpodarou"/>
                          <w:jc w:val="both"/>
                          <w:rPr>
                            <w:spacing w:val="-4"/>
                          </w:rPr>
                        </w:pPr>
                      </w:p>
                    </w:tc>
                    <w:tc>
                      <w:tcPr>
                        <w:tcW w:w="7730" w:type="dxa"/>
                        <w:shd w:val="clear" w:color="auto" w:fill="auto"/>
                        <w:tcMar>
                          <w:left w:w="0" w:type="dxa"/>
                        </w:tcMar>
                      </w:tcPr>
                      <w:p w14:paraId="2F49B78C" w14:textId="77777777" w:rsidR="004A0D0E" w:rsidRPr="00DB613B" w:rsidRDefault="004A0D0E" w:rsidP="004A0D0E">
                        <w:pPr>
                          <w:spacing w:after="220"/>
                        </w:pPr>
                        <w:r>
                          <w:t>Průmyslová produkce se ve 2. čtvrtletí 2020 meziročně propadla o 23,6 %. Kromě pandemického nabídkového šoku se zčásti nasčítal také efekt předchozího cyklického zpomalování průmyslu (</w:t>
                        </w:r>
                        <w:r>
                          <w:rPr>
                            <w:rFonts w:cstheme="minorHAnsi"/>
                          </w:rPr>
                          <w:t>ve vazbě na dřívější pokles v eurozóně)</w:t>
                        </w:r>
                        <w:r>
                          <w:t>, patrného již po většinu loňského roku</w:t>
                        </w:r>
                        <w:r w:rsidRPr="00DB613B">
                          <w:rPr>
                            <w:color w:val="000000" w:themeColor="text1"/>
                            <w:vertAlign w:val="superscript"/>
                          </w:rPr>
                          <w:footnoteReference w:id="8"/>
                        </w:r>
                        <w:r>
                          <w:t>. Za celé 1. pololetí činil pokles 14,4 %. Více než třetinou se na tom podílela výroba motorových vozidel, spolu s nejbližšími návaznými obory (elektrická zařízení, gumárenství, plastikářství) pak více než polovinou. Zhruba desetinou následně shodně přispěly jak strojírenský, tak kovodělný průmysl.</w:t>
                        </w:r>
                      </w:p>
                    </w:tc>
                  </w:tr>
                  <w:tr w:rsidR="004A0D0E" w:rsidRPr="0041745D" w14:paraId="2C1F744D" w14:textId="77777777" w:rsidTr="0026300B">
                    <w:trPr>
                      <w:trHeight w:val="170"/>
                    </w:trPr>
                    <w:tc>
                      <w:tcPr>
                        <w:tcW w:w="1723" w:type="dxa"/>
                        <w:vMerge w:val="restart"/>
                        <w:shd w:val="clear" w:color="auto" w:fill="auto"/>
                        <w:tcMar>
                          <w:left w:w="0" w:type="dxa"/>
                        </w:tcMar>
                      </w:tcPr>
                      <w:p w14:paraId="0FA0B1D4" w14:textId="77777777" w:rsidR="004A0D0E" w:rsidRDefault="004A0D0E" w:rsidP="004A0D0E">
                        <w:pPr>
                          <w:pStyle w:val="Marginlie"/>
                        </w:pPr>
                      </w:p>
                    </w:tc>
                    <w:tc>
                      <w:tcPr>
                        <w:tcW w:w="191" w:type="dxa"/>
                        <w:vMerge w:val="restart"/>
                        <w:shd w:val="clear" w:color="auto" w:fill="auto"/>
                        <w:tcMar>
                          <w:left w:w="0" w:type="dxa"/>
                        </w:tcMar>
                      </w:tcPr>
                      <w:p w14:paraId="22D2B981" w14:textId="77777777" w:rsidR="004A0D0E" w:rsidRDefault="004A0D0E" w:rsidP="004A0D0E">
                        <w:pPr>
                          <w:pStyle w:val="Textpoznpodarou"/>
                          <w:jc w:val="both"/>
                          <w:rPr>
                            <w:spacing w:val="-4"/>
                          </w:rPr>
                        </w:pPr>
                      </w:p>
                    </w:tc>
                    <w:tc>
                      <w:tcPr>
                        <w:tcW w:w="7730" w:type="dxa"/>
                        <w:shd w:val="clear" w:color="auto" w:fill="auto"/>
                        <w:tcMar>
                          <w:left w:w="0" w:type="dxa"/>
                        </w:tcMar>
                      </w:tcPr>
                      <w:p w14:paraId="09235924" w14:textId="77777777" w:rsidR="004A0D0E" w:rsidRPr="00DB613B" w:rsidRDefault="004A0D0E" w:rsidP="004A0D0E">
                        <w:pPr>
                          <w:spacing w:after="0"/>
                          <w:rPr>
                            <w:b/>
                          </w:rPr>
                        </w:pPr>
                        <w:r w:rsidRPr="00DB613B">
                          <w:rPr>
                            <w:rFonts w:cs="Arial"/>
                            <w:b/>
                            <w:bCs/>
                            <w:color w:val="000000"/>
                            <w:szCs w:val="20"/>
                          </w:rPr>
                          <w:t>Graf č. 4</w:t>
                        </w:r>
                        <w:r>
                          <w:rPr>
                            <w:rFonts w:cs="Arial"/>
                            <w:b/>
                            <w:bCs/>
                            <w:color w:val="000000"/>
                            <w:szCs w:val="20"/>
                          </w:rPr>
                          <w:t xml:space="preserve"> </w:t>
                        </w:r>
                        <w:r w:rsidRPr="00DB613B">
                          <w:rPr>
                            <w:rFonts w:cs="Arial"/>
                            <w:b/>
                            <w:bCs/>
                            <w:color w:val="000000"/>
                            <w:szCs w:val="20"/>
                          </w:rPr>
                          <w:t xml:space="preserve"> </w:t>
                        </w:r>
                        <w:r w:rsidRPr="00DB613B">
                          <w:rPr>
                            <w:b/>
                          </w:rPr>
                          <w:t>Příspěvky dílčích odvětví k meziroční změně průmyslové produkce</w:t>
                        </w:r>
                        <w:r>
                          <w:rPr>
                            <w:b/>
                          </w:rPr>
                          <w:br/>
                        </w:r>
                        <w:r>
                          <w:t>(v p. b., očištěno o kal.</w:t>
                        </w:r>
                        <w:r w:rsidRPr="00DB613B">
                          <w:t xml:space="preserve"> vlivy)</w:t>
                        </w:r>
                        <w:r w:rsidRPr="006D0A2D">
                          <w:rPr>
                            <w:b/>
                            <w:bCs/>
                          </w:rPr>
                          <w:t xml:space="preserve">, </w:t>
                        </w:r>
                        <w:r w:rsidRPr="00DB613B">
                          <w:rPr>
                            <w:b/>
                          </w:rPr>
                          <w:t xml:space="preserve">saldo indikátoru důvěry v průmyslu* </w:t>
                        </w:r>
                        <w:r w:rsidRPr="00DB613B">
                          <w:t>(v p. b.</w:t>
                        </w:r>
                        <w:r>
                          <w:t>, pr. </w:t>
                        </w:r>
                        <w:r w:rsidRPr="00DB613B">
                          <w:t>osa)</w:t>
                        </w:r>
                      </w:p>
                    </w:tc>
                  </w:tr>
                  <w:tr w:rsidR="004A0D0E" w14:paraId="685C98FC" w14:textId="77777777" w:rsidTr="0026300B">
                    <w:tblPrEx>
                      <w:tblCellMar>
                        <w:left w:w="70" w:type="dxa"/>
                        <w:right w:w="70" w:type="dxa"/>
                      </w:tblCellMar>
                    </w:tblPrEx>
                    <w:trPr>
                      <w:trHeight w:val="170"/>
                    </w:trPr>
                    <w:tc>
                      <w:tcPr>
                        <w:tcW w:w="1723" w:type="dxa"/>
                        <w:vMerge/>
                        <w:shd w:val="clear" w:color="auto" w:fill="auto"/>
                      </w:tcPr>
                      <w:p w14:paraId="4DBD669E" w14:textId="77777777" w:rsidR="004A0D0E" w:rsidRPr="009110F7" w:rsidRDefault="004A0D0E" w:rsidP="004A0D0E">
                        <w:pPr>
                          <w:pStyle w:val="Marginlie"/>
                        </w:pPr>
                      </w:p>
                    </w:tc>
                    <w:tc>
                      <w:tcPr>
                        <w:tcW w:w="191" w:type="dxa"/>
                        <w:vMerge/>
                        <w:shd w:val="clear" w:color="auto" w:fill="auto"/>
                      </w:tcPr>
                      <w:p w14:paraId="7616A186" w14:textId="77777777" w:rsidR="004A0D0E" w:rsidRPr="009110F7" w:rsidRDefault="004A0D0E" w:rsidP="004A0D0E">
                        <w:pPr>
                          <w:pStyle w:val="Textpoznpodarou"/>
                          <w:jc w:val="both"/>
                          <w:rPr>
                            <w:spacing w:val="-4"/>
                          </w:rPr>
                        </w:pPr>
                      </w:p>
                    </w:tc>
                    <w:tc>
                      <w:tcPr>
                        <w:tcW w:w="7730" w:type="dxa"/>
                        <w:shd w:val="clear" w:color="auto" w:fill="auto"/>
                      </w:tcPr>
                      <w:p w14:paraId="5D3F819F" w14:textId="77777777" w:rsidR="004A0D0E" w:rsidRPr="00DB613B" w:rsidRDefault="004A0D0E" w:rsidP="004A0D0E">
                        <w:pPr>
                          <w:spacing w:after="0"/>
                          <w:rPr>
                            <w:color w:val="000000" w:themeColor="text1"/>
                          </w:rPr>
                        </w:pPr>
                        <w:r>
                          <w:rPr>
                            <w:noProof/>
                          </w:rPr>
                          <w:drawing>
                            <wp:inline distT="0" distB="0" distL="0" distR="0" wp14:anchorId="0EDD1558" wp14:editId="52889CCC">
                              <wp:extent cx="4817745" cy="3598127"/>
                              <wp:effectExtent l="0" t="0" r="1905" b="25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4A0D0E" w14:paraId="0C2F8B9D" w14:textId="77777777" w:rsidTr="0026300B">
                    <w:trPr>
                      <w:trHeight w:val="170"/>
                    </w:trPr>
                    <w:tc>
                      <w:tcPr>
                        <w:tcW w:w="1723" w:type="dxa"/>
                        <w:vMerge/>
                        <w:shd w:val="clear" w:color="auto" w:fill="auto"/>
                        <w:tcMar>
                          <w:left w:w="0" w:type="dxa"/>
                        </w:tcMar>
                      </w:tcPr>
                      <w:p w14:paraId="4365EEC9" w14:textId="77777777" w:rsidR="004A0D0E" w:rsidRPr="009110F7" w:rsidRDefault="004A0D0E" w:rsidP="004A0D0E">
                        <w:pPr>
                          <w:pStyle w:val="Marginlie"/>
                        </w:pPr>
                      </w:p>
                    </w:tc>
                    <w:tc>
                      <w:tcPr>
                        <w:tcW w:w="191" w:type="dxa"/>
                        <w:vMerge/>
                        <w:shd w:val="clear" w:color="auto" w:fill="auto"/>
                        <w:tcMar>
                          <w:left w:w="0" w:type="dxa"/>
                        </w:tcMar>
                      </w:tcPr>
                      <w:p w14:paraId="38867CCC"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1A6E678B" w14:textId="77777777" w:rsidR="004A0D0E" w:rsidRDefault="004A0D0E" w:rsidP="004A0D0E">
                        <w:pPr>
                          <w:spacing w:after="0"/>
                          <w:rPr>
                            <w:rFonts w:cs="Arial"/>
                            <w:sz w:val="14"/>
                            <w:szCs w:val="14"/>
                          </w:rPr>
                        </w:pPr>
                        <w:r>
                          <w:rPr>
                            <w:rFonts w:cs="Arial"/>
                            <w:sz w:val="14"/>
                            <w:szCs w:val="14"/>
                          </w:rPr>
                          <w:t>*Saldo důvěry je</w:t>
                        </w:r>
                        <w:r w:rsidRPr="00DB613B">
                          <w:rPr>
                            <w:rFonts w:cs="Arial"/>
                            <w:sz w:val="14"/>
                            <w:szCs w:val="14"/>
                          </w:rPr>
                          <w:t xml:space="preserve"> sezónně očišt</w:t>
                        </w:r>
                        <w:r>
                          <w:rPr>
                            <w:rFonts w:cs="Arial"/>
                            <w:sz w:val="14"/>
                            <w:szCs w:val="14"/>
                          </w:rPr>
                          <w:t>ěno a vyjadřuje stav v prvním měsíci daného čtvrtletí.</w:t>
                        </w:r>
                      </w:p>
                      <w:p w14:paraId="1886F346" w14:textId="77777777" w:rsidR="004A0D0E" w:rsidRPr="00DB613B" w:rsidRDefault="004A0D0E" w:rsidP="004A0D0E">
                        <w:pPr>
                          <w:spacing w:after="120"/>
                          <w:rPr>
                            <w:color w:val="000000" w:themeColor="text1"/>
                          </w:rPr>
                        </w:pPr>
                        <w:r w:rsidRPr="00DB613B">
                          <w:rPr>
                            <w:rFonts w:cs="Arial"/>
                            <w:sz w:val="14"/>
                            <w:szCs w:val="14"/>
                          </w:rPr>
                          <w:t>Zdroj: ČSÚ</w:t>
                        </w:r>
                      </w:p>
                    </w:tc>
                  </w:tr>
                  <w:tr w:rsidR="004A0D0E" w:rsidRPr="00B01C55" w14:paraId="07B20A33" w14:textId="77777777" w:rsidTr="0026300B">
                    <w:trPr>
                      <w:trHeight w:val="145"/>
                    </w:trPr>
                    <w:tc>
                      <w:tcPr>
                        <w:tcW w:w="1723" w:type="dxa"/>
                        <w:shd w:val="clear" w:color="auto" w:fill="auto"/>
                        <w:tcMar>
                          <w:left w:w="0" w:type="dxa"/>
                        </w:tcMar>
                      </w:tcPr>
                      <w:p w14:paraId="170BCEF1" w14:textId="77777777" w:rsidR="004A0D0E" w:rsidRDefault="004A0D0E" w:rsidP="004A0D0E">
                        <w:pPr>
                          <w:pStyle w:val="Marginlie"/>
                        </w:pPr>
                        <w:r>
                          <w:t xml:space="preserve">Průmyslová produkce klesla v 1. pololetí meziročně o více než </w:t>
                        </w:r>
                        <w:r>
                          <w:lastRenderedPageBreak/>
                          <w:t>pětinu v automobilovém, těžebním a kožedělném průmyslu. Významný byl propad strojírenství.</w:t>
                        </w:r>
                      </w:p>
                      <w:p w14:paraId="3B0EC346" w14:textId="77777777" w:rsidR="004A0D0E" w:rsidRDefault="004A0D0E" w:rsidP="004A0D0E">
                        <w:pPr>
                          <w:pStyle w:val="Marginlie"/>
                        </w:pPr>
                      </w:p>
                      <w:p w14:paraId="40663876" w14:textId="77777777" w:rsidR="004A0D0E" w:rsidRDefault="004A0D0E" w:rsidP="004A0D0E">
                        <w:pPr>
                          <w:pStyle w:val="Marginlie"/>
                        </w:pPr>
                      </w:p>
                      <w:p w14:paraId="2C90CD27" w14:textId="77777777" w:rsidR="004A0D0E" w:rsidRDefault="004A0D0E" w:rsidP="004A0D0E">
                        <w:pPr>
                          <w:pStyle w:val="Marginlie"/>
                        </w:pPr>
                      </w:p>
                      <w:p w14:paraId="4A1B132E" w14:textId="77777777" w:rsidR="004A0D0E" w:rsidRDefault="004A0D0E" w:rsidP="004A0D0E">
                        <w:pPr>
                          <w:pStyle w:val="Marginlie"/>
                        </w:pPr>
                      </w:p>
                      <w:p w14:paraId="0BBBA687" w14:textId="77777777" w:rsidR="004A0D0E" w:rsidRDefault="004A0D0E" w:rsidP="004A0D0E">
                        <w:pPr>
                          <w:pStyle w:val="Marginlie"/>
                        </w:pPr>
                      </w:p>
                      <w:p w14:paraId="38F04237" w14:textId="77777777" w:rsidR="004A0D0E" w:rsidRDefault="004A0D0E" w:rsidP="004A0D0E">
                        <w:pPr>
                          <w:pStyle w:val="Marginlie"/>
                        </w:pPr>
                        <w:r>
                          <w:t xml:space="preserve">Některým zejména menším oborům naopak </w:t>
                        </w:r>
                        <w:r>
                          <w:rPr>
                            <w:color w:val="000000" w:themeColor="text1"/>
                            <w:spacing w:val="-3"/>
                          </w:rPr>
                          <w:t>specifická skladba</w:t>
                        </w:r>
                        <w:r w:rsidRPr="00344DAD">
                          <w:rPr>
                            <w:color w:val="000000" w:themeColor="text1"/>
                            <w:spacing w:val="-3"/>
                          </w:rPr>
                          <w:t xml:space="preserve"> poptávky během koronavirové krize</w:t>
                        </w:r>
                        <w:r>
                          <w:rPr>
                            <w:color w:val="000000" w:themeColor="text1"/>
                            <w:spacing w:val="-3"/>
                          </w:rPr>
                          <w:t xml:space="preserve"> pomáhala.</w:t>
                        </w:r>
                      </w:p>
                      <w:p w14:paraId="74290228" w14:textId="77777777" w:rsidR="004A0D0E" w:rsidRDefault="004A0D0E" w:rsidP="004A0D0E">
                        <w:pPr>
                          <w:pStyle w:val="Marginlie"/>
                        </w:pPr>
                      </w:p>
                    </w:tc>
                    <w:tc>
                      <w:tcPr>
                        <w:tcW w:w="191" w:type="dxa"/>
                        <w:shd w:val="clear" w:color="auto" w:fill="auto"/>
                        <w:tcMar>
                          <w:left w:w="0" w:type="dxa"/>
                        </w:tcMar>
                      </w:tcPr>
                      <w:p w14:paraId="6444B1FD" w14:textId="77777777" w:rsidR="004A0D0E" w:rsidRDefault="004A0D0E" w:rsidP="004A0D0E">
                        <w:pPr>
                          <w:pStyle w:val="Textpoznpodarou"/>
                          <w:jc w:val="both"/>
                          <w:rPr>
                            <w:spacing w:val="-4"/>
                          </w:rPr>
                        </w:pPr>
                      </w:p>
                    </w:tc>
                    <w:tc>
                      <w:tcPr>
                        <w:tcW w:w="7730" w:type="dxa"/>
                        <w:shd w:val="clear" w:color="auto" w:fill="auto"/>
                        <w:tcMar>
                          <w:left w:w="0" w:type="dxa"/>
                        </w:tcMar>
                      </w:tcPr>
                      <w:p w14:paraId="3A6D21AF" w14:textId="77777777" w:rsidR="004A0D0E" w:rsidRPr="00D0649C" w:rsidRDefault="004A0D0E" w:rsidP="004A0D0E">
                        <w:pPr>
                          <w:spacing w:after="200"/>
                          <w:rPr>
                            <w:color w:val="0D0D0D" w:themeColor="text1" w:themeTint="F2"/>
                            <w:spacing w:val="-4"/>
                          </w:rPr>
                        </w:pPr>
                        <w:r w:rsidRPr="00D0649C">
                          <w:rPr>
                            <w:color w:val="0D0D0D" w:themeColor="text1" w:themeTint="F2"/>
                            <w:spacing w:val="-4"/>
                          </w:rPr>
                          <w:t>Není překvapivé, že nejhlubší útlum produkce postihl v 1.</w:t>
                        </w:r>
                        <w:r>
                          <w:rPr>
                            <w:color w:val="0D0D0D" w:themeColor="text1" w:themeTint="F2"/>
                            <w:spacing w:val="-4"/>
                          </w:rPr>
                          <w:t> pololet</w:t>
                        </w:r>
                        <w:r w:rsidRPr="00D0649C">
                          <w:rPr>
                            <w:color w:val="0D0D0D" w:themeColor="text1" w:themeTint="F2"/>
                            <w:spacing w:val="-4"/>
                          </w:rPr>
                          <w:t>í výrobu motorových vozidel (</w:t>
                        </w:r>
                        <w:r w:rsidRPr="00D0649C">
                          <w:rPr>
                            <w:color w:val="000000" w:themeColor="text1"/>
                            <w:spacing w:val="-4"/>
                          </w:rPr>
                          <w:t>–</w:t>
                        </w:r>
                        <w:r w:rsidRPr="00D0649C">
                          <w:rPr>
                            <w:color w:val="0D0D0D" w:themeColor="text1" w:themeTint="F2"/>
                            <w:spacing w:val="-4"/>
                          </w:rPr>
                          <w:t>27,8</w:t>
                        </w:r>
                        <w:r>
                          <w:rPr>
                            <w:color w:val="0D0D0D" w:themeColor="text1" w:themeTint="F2"/>
                            <w:spacing w:val="-4"/>
                          </w:rPr>
                          <w:t> %</w:t>
                        </w:r>
                        <w:r w:rsidRPr="00D0649C">
                          <w:rPr>
                            <w:color w:val="0D0D0D" w:themeColor="text1" w:themeTint="F2"/>
                            <w:spacing w:val="-4"/>
                          </w:rPr>
                          <w:t xml:space="preserve"> meziročně), neboť na počátku 2.</w:t>
                        </w:r>
                        <w:r>
                          <w:rPr>
                            <w:color w:val="0D0D0D" w:themeColor="text1" w:themeTint="F2"/>
                            <w:spacing w:val="-4"/>
                          </w:rPr>
                          <w:t> čtvrtlet</w:t>
                        </w:r>
                        <w:r w:rsidRPr="00D0649C">
                          <w:rPr>
                            <w:color w:val="0D0D0D" w:themeColor="text1" w:themeTint="F2"/>
                            <w:spacing w:val="-4"/>
                          </w:rPr>
                          <w:t>í činilo využití výrobních kapacit v tomto odvětví jen 50</w:t>
                        </w:r>
                        <w:r>
                          <w:rPr>
                            <w:color w:val="0D0D0D" w:themeColor="text1" w:themeTint="F2"/>
                            <w:spacing w:val="-4"/>
                          </w:rPr>
                          <w:t> %</w:t>
                        </w:r>
                        <w:r w:rsidRPr="00D0649C">
                          <w:rPr>
                            <w:color w:val="0D0D0D" w:themeColor="text1" w:themeTint="F2"/>
                            <w:spacing w:val="-4"/>
                          </w:rPr>
                          <w:t>. Zhruba o</w:t>
                        </w:r>
                        <w:r>
                          <w:rPr>
                            <w:color w:val="0D0D0D" w:themeColor="text1" w:themeTint="F2"/>
                            <w:spacing w:val="-4"/>
                          </w:rPr>
                          <w:t> </w:t>
                        </w:r>
                        <w:r w:rsidRPr="00D0649C">
                          <w:rPr>
                            <w:color w:val="0D0D0D" w:themeColor="text1" w:themeTint="F2"/>
                            <w:spacing w:val="-4"/>
                          </w:rPr>
                          <w:t>čtvrtinu propadl i</w:t>
                        </w:r>
                        <w:r>
                          <w:rPr>
                            <w:color w:val="0D0D0D" w:themeColor="text1" w:themeTint="F2"/>
                            <w:spacing w:val="-4"/>
                          </w:rPr>
                          <w:t> </w:t>
                        </w:r>
                        <w:r w:rsidRPr="00D0649C">
                          <w:rPr>
                            <w:color w:val="0D0D0D" w:themeColor="text1" w:themeTint="F2"/>
                            <w:spacing w:val="-4"/>
                          </w:rPr>
                          <w:t>výkon v těžbě uhlí a</w:t>
                        </w:r>
                        <w:r>
                          <w:rPr>
                            <w:color w:val="0D0D0D" w:themeColor="text1" w:themeTint="F2"/>
                            <w:spacing w:val="-4"/>
                          </w:rPr>
                          <w:t> </w:t>
                        </w:r>
                        <w:r w:rsidRPr="00D0649C">
                          <w:rPr>
                            <w:color w:val="0D0D0D" w:themeColor="text1" w:themeTint="F2"/>
                            <w:spacing w:val="-4"/>
                          </w:rPr>
                          <w:t xml:space="preserve">kožedělném průmyslu, kde </w:t>
                        </w:r>
                        <w:r w:rsidRPr="00D0649C">
                          <w:rPr>
                            <w:color w:val="0D0D0D" w:themeColor="text1" w:themeTint="F2"/>
                            <w:spacing w:val="-4"/>
                          </w:rPr>
                          <w:lastRenderedPageBreak/>
                          <w:t>ale šlo o</w:t>
                        </w:r>
                        <w:r>
                          <w:rPr>
                            <w:color w:val="0D0D0D" w:themeColor="text1" w:themeTint="F2"/>
                            <w:spacing w:val="-4"/>
                          </w:rPr>
                          <w:t> </w:t>
                        </w:r>
                        <w:r w:rsidRPr="00D0649C">
                          <w:rPr>
                            <w:color w:val="0D0D0D" w:themeColor="text1" w:themeTint="F2"/>
                            <w:spacing w:val="-4"/>
                          </w:rPr>
                          <w:t>dlouhodobý trend. Mnohem významnější byl více než 17% pokles produkce strojírenství, jenž odrážel výrazný propad soukromých investic v celé ekonomice</w:t>
                        </w:r>
                        <w:r>
                          <w:rPr>
                            <w:color w:val="0D0D0D" w:themeColor="text1" w:themeTint="F2"/>
                            <w:spacing w:val="-4"/>
                          </w:rPr>
                          <w:t>.</w:t>
                        </w:r>
                        <w:r w:rsidRPr="00D0649C">
                          <w:rPr>
                            <w:rStyle w:val="Znakapoznpodarou"/>
                            <w:spacing w:val="-4"/>
                          </w:rPr>
                          <w:footnoteReference w:id="9"/>
                        </w:r>
                        <w:r w:rsidRPr="00D0649C">
                          <w:rPr>
                            <w:color w:val="0D0D0D" w:themeColor="text1" w:themeTint="F2"/>
                            <w:spacing w:val="-4"/>
                          </w:rPr>
                          <w:t xml:space="preserve"> O</w:t>
                        </w:r>
                        <w:r>
                          <w:rPr>
                            <w:color w:val="0D0D0D" w:themeColor="text1" w:themeTint="F2"/>
                            <w:spacing w:val="-4"/>
                          </w:rPr>
                          <w:t> </w:t>
                        </w:r>
                        <w:r w:rsidRPr="00D0649C">
                          <w:rPr>
                            <w:color w:val="0D0D0D" w:themeColor="text1" w:themeTint="F2"/>
                            <w:spacing w:val="-4"/>
                          </w:rPr>
                          <w:t>sedminu snížily svou produkci váhově významný kovodělný průmysl, hutnictví, ale také např. výroba nápojů. Naproti tomu potravinářský průmysl docílil jen mírného poklesu</w:t>
                        </w:r>
                        <w:r>
                          <w:rPr>
                            <w:color w:val="0D0D0D" w:themeColor="text1" w:themeTint="F2"/>
                            <w:spacing w:val="-4"/>
                          </w:rPr>
                          <w:br/>
                        </w:r>
                        <w:r w:rsidRPr="00D0649C">
                          <w:rPr>
                            <w:color w:val="0D0D0D" w:themeColor="text1" w:themeTint="F2"/>
                            <w:spacing w:val="-4"/>
                          </w:rPr>
                          <w:t>(</w:t>
                        </w:r>
                        <w:r w:rsidRPr="00D0649C">
                          <w:rPr>
                            <w:color w:val="000000" w:themeColor="text1"/>
                            <w:spacing w:val="-4"/>
                          </w:rPr>
                          <w:t>–2,4 %), nebo</w:t>
                        </w:r>
                        <w:r>
                          <w:rPr>
                            <w:color w:val="000000" w:themeColor="text1"/>
                            <w:spacing w:val="-4"/>
                          </w:rPr>
                          <w:t>ť</w:t>
                        </w:r>
                        <w:r w:rsidRPr="00D0649C">
                          <w:rPr>
                            <w:color w:val="000000" w:themeColor="text1"/>
                            <w:spacing w:val="-4"/>
                          </w:rPr>
                          <w:t xml:space="preserve"> objem výdajů domácností na předměty krátkodobé spotřeby byl v 1.</w:t>
                        </w:r>
                        <w:r>
                          <w:rPr>
                            <w:color w:val="000000" w:themeColor="text1"/>
                            <w:spacing w:val="-4"/>
                          </w:rPr>
                          <w:t> pololet</w:t>
                        </w:r>
                        <w:r w:rsidRPr="00D0649C">
                          <w:rPr>
                            <w:color w:val="000000" w:themeColor="text1"/>
                            <w:spacing w:val="-4"/>
                          </w:rPr>
                          <w:t>í restriktivními opatřeními dotčen spíše okrajově (–0,5</w:t>
                        </w:r>
                        <w:r>
                          <w:rPr>
                            <w:color w:val="000000" w:themeColor="text1"/>
                            <w:spacing w:val="-4"/>
                          </w:rPr>
                          <w:t> %</w:t>
                        </w:r>
                        <w:r w:rsidRPr="00D0649C">
                          <w:rPr>
                            <w:color w:val="000000" w:themeColor="text1"/>
                            <w:spacing w:val="-4"/>
                          </w:rPr>
                          <w:t>). Podobně na tom bylo i</w:t>
                        </w:r>
                        <w:r>
                          <w:rPr>
                            <w:color w:val="000000" w:themeColor="text1"/>
                            <w:spacing w:val="-4"/>
                          </w:rPr>
                          <w:t> </w:t>
                        </w:r>
                        <w:r w:rsidRPr="00D0649C">
                          <w:rPr>
                            <w:color w:val="000000" w:themeColor="text1"/>
                            <w:spacing w:val="-4"/>
                          </w:rPr>
                          <w:t>poměrně diverzifikované odvětví ostatního zpracovatelského průmyslu, které podporovala sílící poptávka po zdravotnických potřebách. S tím zčásti souvisela také vyšší produkce farmaceutického průmyslu (+4,9</w:t>
                        </w:r>
                        <w:r>
                          <w:rPr>
                            <w:color w:val="000000" w:themeColor="text1"/>
                            <w:spacing w:val="-4"/>
                          </w:rPr>
                          <w:t> %</w:t>
                        </w:r>
                        <w:r w:rsidRPr="00D0649C">
                          <w:rPr>
                            <w:color w:val="000000" w:themeColor="text1"/>
                            <w:spacing w:val="-4"/>
                          </w:rPr>
                          <w:t>), kde je však růst výkonů dlouhodobějším jevem. Mírně rostoucími obory byly letos také dřevozpracující a</w:t>
                        </w:r>
                        <w:r>
                          <w:rPr>
                            <w:color w:val="000000" w:themeColor="text1"/>
                            <w:spacing w:val="-4"/>
                          </w:rPr>
                          <w:t> </w:t>
                        </w:r>
                        <w:r w:rsidRPr="00D0649C">
                          <w:rPr>
                            <w:color w:val="000000" w:themeColor="text1"/>
                            <w:spacing w:val="-4"/>
                          </w:rPr>
                          <w:t>papírenský průmysl, kde jde patrně o důsledek v posledních letech sílící živelní těžby dřeva. Tři výše uvedené rostoucí obory však v</w:t>
                        </w:r>
                        <w:r>
                          <w:rPr>
                            <w:color w:val="000000" w:themeColor="text1"/>
                            <w:spacing w:val="-4"/>
                          </w:rPr>
                          <w:t> </w:t>
                        </w:r>
                        <w:r w:rsidRPr="00D0649C">
                          <w:rPr>
                            <w:color w:val="000000" w:themeColor="text1"/>
                            <w:spacing w:val="-4"/>
                          </w:rPr>
                          <w:t>1.</w:t>
                        </w:r>
                        <w:r>
                          <w:rPr>
                            <w:color w:val="000000" w:themeColor="text1"/>
                            <w:spacing w:val="-4"/>
                          </w:rPr>
                          <w:t> pololet</w:t>
                        </w:r>
                        <w:r w:rsidRPr="00D0649C">
                          <w:rPr>
                            <w:color w:val="000000" w:themeColor="text1"/>
                            <w:spacing w:val="-4"/>
                          </w:rPr>
                          <w:t>í působily ve směru růstu celkové průmyslové produkce pouhými 0,2</w:t>
                        </w:r>
                        <w:r>
                          <w:rPr>
                            <w:color w:val="000000" w:themeColor="text1"/>
                            <w:spacing w:val="-4"/>
                          </w:rPr>
                          <w:t> p. b.</w:t>
                        </w:r>
                      </w:p>
                    </w:tc>
                  </w:tr>
                  <w:tr w:rsidR="004A0D0E" w:rsidRPr="00B01C55" w14:paraId="2799FCFA" w14:textId="77777777" w:rsidTr="0026300B">
                    <w:trPr>
                      <w:trHeight w:val="145"/>
                    </w:trPr>
                    <w:tc>
                      <w:tcPr>
                        <w:tcW w:w="1723" w:type="dxa"/>
                        <w:shd w:val="clear" w:color="auto" w:fill="auto"/>
                        <w:tcMar>
                          <w:left w:w="0" w:type="dxa"/>
                        </w:tcMar>
                      </w:tcPr>
                      <w:p w14:paraId="543DEEEA" w14:textId="77777777" w:rsidR="004A0D0E" w:rsidRDefault="004A0D0E" w:rsidP="004A0D0E">
                        <w:pPr>
                          <w:pStyle w:val="Marginlie"/>
                        </w:pPr>
                        <w:r>
                          <w:t>Tržby z průmyslové činnosti meziročně posílily jen v energetice, farmacii a potravinářství.</w:t>
                        </w:r>
                      </w:p>
                      <w:p w14:paraId="67035D2C" w14:textId="77777777" w:rsidR="004A0D0E" w:rsidRDefault="004A0D0E" w:rsidP="004A0D0E">
                        <w:pPr>
                          <w:pStyle w:val="Marginlie"/>
                        </w:pPr>
                      </w:p>
                      <w:p w14:paraId="071A5CD8" w14:textId="77777777" w:rsidR="004A0D0E" w:rsidRDefault="004A0D0E" w:rsidP="004A0D0E">
                        <w:pPr>
                          <w:pStyle w:val="Marginlie"/>
                        </w:pPr>
                      </w:p>
                      <w:p w14:paraId="1968879D" w14:textId="77777777" w:rsidR="004A0D0E" w:rsidRDefault="004A0D0E" w:rsidP="004A0D0E">
                        <w:pPr>
                          <w:pStyle w:val="Marginlie"/>
                        </w:pPr>
                      </w:p>
                      <w:p w14:paraId="5A274DE7" w14:textId="77777777" w:rsidR="004A0D0E" w:rsidRDefault="004A0D0E" w:rsidP="004A0D0E">
                        <w:pPr>
                          <w:pStyle w:val="Marginlie"/>
                        </w:pPr>
                      </w:p>
                      <w:p w14:paraId="30E475C7" w14:textId="77777777" w:rsidR="004A0D0E" w:rsidRDefault="004A0D0E" w:rsidP="004A0D0E">
                        <w:pPr>
                          <w:pStyle w:val="Marginlie"/>
                        </w:pPr>
                        <w:r>
                          <w:t>Domácí tržby vykazovaly nadále vyšší tempa než tržby z přímého vývozu.</w:t>
                        </w:r>
                      </w:p>
                    </w:tc>
                    <w:tc>
                      <w:tcPr>
                        <w:tcW w:w="191" w:type="dxa"/>
                        <w:shd w:val="clear" w:color="auto" w:fill="auto"/>
                        <w:tcMar>
                          <w:left w:w="0" w:type="dxa"/>
                        </w:tcMar>
                      </w:tcPr>
                      <w:p w14:paraId="47872B7C" w14:textId="77777777" w:rsidR="004A0D0E" w:rsidRDefault="004A0D0E" w:rsidP="004A0D0E">
                        <w:pPr>
                          <w:pStyle w:val="Textpoznpodarou"/>
                          <w:jc w:val="both"/>
                          <w:rPr>
                            <w:spacing w:val="-4"/>
                          </w:rPr>
                        </w:pPr>
                      </w:p>
                    </w:tc>
                    <w:tc>
                      <w:tcPr>
                        <w:tcW w:w="7730" w:type="dxa"/>
                        <w:shd w:val="clear" w:color="auto" w:fill="auto"/>
                        <w:tcMar>
                          <w:left w:w="0" w:type="dxa"/>
                        </w:tcMar>
                      </w:tcPr>
                      <w:p w14:paraId="279C05DF" w14:textId="77777777" w:rsidR="004A0D0E" w:rsidRPr="00B31CBF" w:rsidRDefault="004A0D0E" w:rsidP="004A0D0E">
                        <w:pPr>
                          <w:spacing w:after="200"/>
                          <w:rPr>
                            <w:color w:val="000000" w:themeColor="text1"/>
                            <w:spacing w:val="-4"/>
                          </w:rPr>
                        </w:pPr>
                        <w:r w:rsidRPr="00B31CBF">
                          <w:rPr>
                            <w:spacing w:val="-4"/>
                          </w:rPr>
                          <w:t>Nominální tržby podniků z</w:t>
                        </w:r>
                        <w:r>
                          <w:rPr>
                            <w:spacing w:val="-4"/>
                          </w:rPr>
                          <w:t> </w:t>
                        </w:r>
                        <w:r w:rsidRPr="00B31CBF">
                          <w:rPr>
                            <w:spacing w:val="-4"/>
                          </w:rPr>
                          <w:t xml:space="preserve">průmyslové činnosti zaznamenaly letos obdobný vývoj jako průmyslová produkce. Po mírném </w:t>
                        </w:r>
                        <w:r>
                          <w:rPr>
                            <w:spacing w:val="-4"/>
                          </w:rPr>
                          <w:t xml:space="preserve">meziročním </w:t>
                        </w:r>
                        <w:r w:rsidRPr="00B31CBF">
                          <w:rPr>
                            <w:spacing w:val="-4"/>
                          </w:rPr>
                          <w:t>poklesu v 1.</w:t>
                        </w:r>
                        <w:r>
                          <w:rPr>
                            <w:spacing w:val="-4"/>
                          </w:rPr>
                          <w:t> čtvrtlet</w:t>
                        </w:r>
                        <w:r w:rsidRPr="00B31CBF">
                          <w:rPr>
                            <w:spacing w:val="-4"/>
                          </w:rPr>
                          <w:t>í (</w:t>
                        </w:r>
                        <w:r w:rsidRPr="00B31CBF">
                          <w:rPr>
                            <w:color w:val="000000" w:themeColor="text1"/>
                            <w:spacing w:val="-4"/>
                          </w:rPr>
                          <w:t>–</w:t>
                        </w:r>
                        <w:r w:rsidRPr="00B31CBF">
                          <w:rPr>
                            <w:spacing w:val="-4"/>
                          </w:rPr>
                          <w:t>3,1</w:t>
                        </w:r>
                        <w:r>
                          <w:rPr>
                            <w:spacing w:val="-4"/>
                          </w:rPr>
                          <w:t> %</w:t>
                        </w:r>
                        <w:r w:rsidRPr="00B31CBF">
                          <w:rPr>
                            <w:spacing w:val="-4"/>
                          </w:rPr>
                          <w:t xml:space="preserve">) se </w:t>
                        </w:r>
                        <w:r>
                          <w:rPr>
                            <w:spacing w:val="-4"/>
                          </w:rPr>
                          <w:t>v </w:t>
                        </w:r>
                        <w:r w:rsidRPr="00B31CBF">
                          <w:rPr>
                            <w:spacing w:val="-4"/>
                          </w:rPr>
                          <w:t>následujícím kvartále propadly (</w:t>
                        </w:r>
                        <w:r w:rsidRPr="00B31CBF">
                          <w:rPr>
                            <w:color w:val="000000" w:themeColor="text1"/>
                            <w:spacing w:val="-4"/>
                          </w:rPr>
                          <w:t>–</w:t>
                        </w:r>
                        <w:r w:rsidRPr="00B31CBF">
                          <w:rPr>
                            <w:spacing w:val="-4"/>
                          </w:rPr>
                          <w:t>2</w:t>
                        </w:r>
                        <w:r w:rsidRPr="00B31CBF">
                          <w:rPr>
                            <w:color w:val="000000" w:themeColor="text1"/>
                            <w:spacing w:val="-4"/>
                          </w:rPr>
                          <w:t>3</w:t>
                        </w:r>
                        <w:r w:rsidRPr="00B31CBF">
                          <w:rPr>
                            <w:spacing w:val="-4"/>
                          </w:rPr>
                          <w:t>,8</w:t>
                        </w:r>
                        <w:r>
                          <w:rPr>
                            <w:spacing w:val="-4"/>
                          </w:rPr>
                          <w:t> %</w:t>
                        </w:r>
                        <w:r w:rsidRPr="00B31CBF">
                          <w:rPr>
                            <w:spacing w:val="-4"/>
                          </w:rPr>
                          <w:t>). Za celé 1.</w:t>
                        </w:r>
                        <w:r>
                          <w:rPr>
                            <w:spacing w:val="-4"/>
                          </w:rPr>
                          <w:t> pololet</w:t>
                        </w:r>
                        <w:r w:rsidRPr="00B31CBF">
                          <w:rPr>
                            <w:spacing w:val="-4"/>
                          </w:rPr>
                          <w:t xml:space="preserve">í </w:t>
                        </w:r>
                        <w:r>
                          <w:rPr>
                            <w:spacing w:val="-4"/>
                          </w:rPr>
                          <w:t>více stržily</w:t>
                        </w:r>
                        <w:r w:rsidRPr="00B31CBF">
                          <w:rPr>
                            <w:spacing w:val="-4"/>
                          </w:rPr>
                          <w:t xml:space="preserve"> </w:t>
                        </w:r>
                        <w:r>
                          <w:rPr>
                            <w:spacing w:val="-4"/>
                          </w:rPr>
                          <w:t xml:space="preserve">jen </w:t>
                        </w:r>
                        <w:r w:rsidRPr="00B31CBF">
                          <w:rPr>
                            <w:spacing w:val="-4"/>
                          </w:rPr>
                          <w:t>podniky v energetice (+6</w:t>
                        </w:r>
                        <w:r>
                          <w:rPr>
                            <w:spacing w:val="-4"/>
                          </w:rPr>
                          <w:t> %</w:t>
                        </w:r>
                        <w:r w:rsidRPr="00B31CBF">
                          <w:rPr>
                            <w:spacing w:val="-4"/>
                          </w:rPr>
                          <w:t>), farmacii (</w:t>
                        </w:r>
                        <w:r>
                          <w:rPr>
                            <w:spacing w:val="-4"/>
                          </w:rPr>
                          <w:t>+</w:t>
                        </w:r>
                        <w:r w:rsidRPr="00B31CBF">
                          <w:rPr>
                            <w:spacing w:val="-4"/>
                          </w:rPr>
                          <w:t>6</w:t>
                        </w:r>
                        <w:r>
                          <w:rPr>
                            <w:spacing w:val="-4"/>
                          </w:rPr>
                          <w:t> </w:t>
                        </w:r>
                        <w:r w:rsidRPr="00B31CBF">
                          <w:rPr>
                            <w:spacing w:val="-4"/>
                          </w:rPr>
                          <w:t>%)</w:t>
                        </w:r>
                        <w:r>
                          <w:rPr>
                            <w:spacing w:val="-4"/>
                          </w:rPr>
                          <w:t xml:space="preserve"> a v </w:t>
                        </w:r>
                        <w:r w:rsidRPr="00B31CBF">
                          <w:rPr>
                            <w:spacing w:val="-4"/>
                          </w:rPr>
                          <w:t>potravinářství (+2</w:t>
                        </w:r>
                        <w:r>
                          <w:rPr>
                            <w:spacing w:val="-4"/>
                          </w:rPr>
                          <w:t> %</w:t>
                        </w:r>
                        <w:r w:rsidRPr="00B31CBF">
                          <w:rPr>
                            <w:spacing w:val="-4"/>
                          </w:rPr>
                          <w:t xml:space="preserve">). </w:t>
                        </w:r>
                        <w:r>
                          <w:rPr>
                            <w:spacing w:val="-4"/>
                          </w:rPr>
                          <w:t>Cenový růst pomohl částečně kompenzovat pokles reálné produkce výrobcům oděvů či usní, naopak mírný růst produkce nebyl zárukou posílení tržeb v dřevozpracujícím či papírenském průmyslu. Významnější</w:t>
                        </w:r>
                        <w:r>
                          <w:rPr>
                            <w:rFonts w:cstheme="minorHAnsi"/>
                            <w:spacing w:val="-3"/>
                          </w:rPr>
                          <w:t xml:space="preserve"> cenový pokles v</w:t>
                        </w:r>
                        <w:r w:rsidRPr="00D0649C">
                          <w:rPr>
                            <w:color w:val="000000" w:themeColor="text1"/>
                            <w:spacing w:val="-4"/>
                          </w:rPr>
                          <w:t> </w:t>
                        </w:r>
                        <w:r>
                          <w:rPr>
                            <w:rFonts w:cstheme="minorHAnsi"/>
                            <w:spacing w:val="-3"/>
                          </w:rPr>
                          <w:t>chemickém průmyslu</w:t>
                        </w:r>
                        <w:r w:rsidRPr="00E8182E">
                          <w:rPr>
                            <w:rFonts w:cstheme="minorHAnsi"/>
                            <w:spacing w:val="-3"/>
                          </w:rPr>
                          <w:t xml:space="preserve"> </w:t>
                        </w:r>
                        <w:r>
                          <w:rPr>
                            <w:rFonts w:cstheme="minorHAnsi"/>
                            <w:spacing w:val="-3"/>
                          </w:rPr>
                          <w:t xml:space="preserve">či </w:t>
                        </w:r>
                        <w:r w:rsidRPr="00E8182E">
                          <w:rPr>
                            <w:rFonts w:cstheme="minorHAnsi"/>
                            <w:spacing w:val="-3"/>
                          </w:rPr>
                          <w:t>hutni</w:t>
                        </w:r>
                        <w:r>
                          <w:rPr>
                            <w:rFonts w:cstheme="minorHAnsi"/>
                            <w:spacing w:val="-3"/>
                          </w:rPr>
                          <w:t>ctví se negativně podepsal na tržbách podniků a nepříznivý vývoj produkce v těchto odvětvích ještě umocnil. Celkové tržby průmyslových podniků z přímého vývozu klesly oproti 1. pololetí loňského roku o 15 %, tržby z tuzemska jen o</w:t>
                        </w:r>
                        <w:r w:rsidRPr="00B31CBF">
                          <w:rPr>
                            <w:spacing w:val="-4"/>
                          </w:rPr>
                          <w:t> </w:t>
                        </w:r>
                        <w:r>
                          <w:rPr>
                            <w:rFonts w:cstheme="minorHAnsi"/>
                            <w:spacing w:val="-3"/>
                          </w:rPr>
                          <w:t>10</w:t>
                        </w:r>
                        <w:r w:rsidRPr="00B31CBF">
                          <w:rPr>
                            <w:spacing w:val="-4"/>
                          </w:rPr>
                          <w:t> </w:t>
                        </w:r>
                        <w:r>
                          <w:rPr>
                            <w:rFonts w:cstheme="minorHAnsi"/>
                            <w:spacing w:val="-3"/>
                          </w:rPr>
                          <w:t xml:space="preserve">%. </w:t>
                        </w:r>
                        <w:r w:rsidRPr="00E8182E">
                          <w:rPr>
                            <w:rFonts w:cstheme="minorHAnsi"/>
                            <w:spacing w:val="-3"/>
                          </w:rPr>
                          <w:t>Vyšší tempa domácích tržeb oproti zahraničním přetrvával</w:t>
                        </w:r>
                        <w:r>
                          <w:rPr>
                            <w:rFonts w:cstheme="minorHAnsi"/>
                            <w:spacing w:val="-3"/>
                          </w:rPr>
                          <w:t>a</w:t>
                        </w:r>
                        <w:r w:rsidRPr="00E8182E">
                          <w:rPr>
                            <w:rFonts w:cstheme="minorHAnsi"/>
                            <w:spacing w:val="-3"/>
                          </w:rPr>
                          <w:t xml:space="preserve"> v zásadě i</w:t>
                        </w:r>
                        <w:r>
                          <w:rPr>
                            <w:rFonts w:cstheme="minorHAnsi"/>
                            <w:spacing w:val="-3"/>
                          </w:rPr>
                          <w:t> </w:t>
                        </w:r>
                        <w:r w:rsidRPr="00E8182E">
                          <w:rPr>
                            <w:rFonts w:cstheme="minorHAnsi"/>
                            <w:spacing w:val="-3"/>
                          </w:rPr>
                          <w:t>v období 2</w:t>
                        </w:r>
                        <w:r>
                          <w:rPr>
                            <w:rFonts w:cstheme="minorHAnsi"/>
                            <w:spacing w:val="-3"/>
                          </w:rPr>
                          <w:t xml:space="preserve">017 až </w:t>
                        </w:r>
                        <w:r w:rsidRPr="00E8182E">
                          <w:rPr>
                            <w:rFonts w:cstheme="minorHAnsi"/>
                            <w:spacing w:val="-3"/>
                          </w:rPr>
                          <w:t>2019.</w:t>
                        </w:r>
                      </w:p>
                    </w:tc>
                  </w:tr>
                  <w:tr w:rsidR="004A0D0E" w:rsidRPr="00B01C55" w14:paraId="4CEC85B0" w14:textId="77777777" w:rsidTr="0026300B">
                    <w:trPr>
                      <w:trHeight w:val="145"/>
                    </w:trPr>
                    <w:tc>
                      <w:tcPr>
                        <w:tcW w:w="1723" w:type="dxa"/>
                        <w:shd w:val="clear" w:color="auto" w:fill="auto"/>
                        <w:tcMar>
                          <w:left w:w="0" w:type="dxa"/>
                        </w:tcMar>
                      </w:tcPr>
                      <w:p w14:paraId="598AC8CD" w14:textId="77777777" w:rsidR="004A0D0E" w:rsidRDefault="004A0D0E" w:rsidP="004A0D0E">
                        <w:pPr>
                          <w:pStyle w:val="Marginlie"/>
                        </w:pPr>
                        <w:r>
                          <w:t>Pokles nových zakázek se v letním období zmírnil. Využití výrobních kapacit stále nedosáhlo úrovně před pandemií.</w:t>
                        </w:r>
                      </w:p>
                      <w:p w14:paraId="3C465357" w14:textId="77777777" w:rsidR="004A0D0E" w:rsidRDefault="004A0D0E" w:rsidP="004A0D0E">
                        <w:pPr>
                          <w:pStyle w:val="Marginlie"/>
                        </w:pPr>
                      </w:p>
                      <w:p w14:paraId="70F7F589" w14:textId="77777777" w:rsidR="004A0D0E" w:rsidRDefault="004A0D0E" w:rsidP="004A0D0E">
                        <w:pPr>
                          <w:pStyle w:val="Marginlie"/>
                        </w:pPr>
                      </w:p>
                      <w:p w14:paraId="73938D2A" w14:textId="77777777" w:rsidR="004A0D0E" w:rsidRDefault="004A0D0E" w:rsidP="004A0D0E">
                        <w:pPr>
                          <w:pStyle w:val="Marginlie"/>
                        </w:pPr>
                      </w:p>
                      <w:p w14:paraId="7E9B82F5" w14:textId="77777777" w:rsidR="004A0D0E" w:rsidRDefault="004A0D0E" w:rsidP="004A0D0E">
                        <w:pPr>
                          <w:pStyle w:val="Marginlie"/>
                        </w:pPr>
                      </w:p>
                      <w:p w14:paraId="2EFBF734" w14:textId="77777777" w:rsidR="004A0D0E" w:rsidRDefault="004A0D0E" w:rsidP="004A0D0E">
                        <w:pPr>
                          <w:pStyle w:val="Marginlie"/>
                        </w:pPr>
                      </w:p>
                      <w:p w14:paraId="134745A8" w14:textId="77777777" w:rsidR="004A0D0E" w:rsidRDefault="004A0D0E" w:rsidP="004A0D0E">
                        <w:pPr>
                          <w:pStyle w:val="Marginlie"/>
                        </w:pPr>
                        <w:r>
                          <w:t>Nedostatečná poptávka sužovala takřka dvě třetiny průmyslových podniků.</w:t>
                        </w:r>
                      </w:p>
                      <w:p w14:paraId="3048079D" w14:textId="77777777" w:rsidR="004A0D0E" w:rsidRDefault="004A0D0E" w:rsidP="004A0D0E">
                        <w:pPr>
                          <w:pStyle w:val="Marginlie"/>
                        </w:pPr>
                      </w:p>
                      <w:p w14:paraId="5658D3BF" w14:textId="77777777" w:rsidR="004A0D0E" w:rsidRDefault="004A0D0E" w:rsidP="004A0D0E">
                        <w:pPr>
                          <w:pStyle w:val="Marginlie"/>
                        </w:pPr>
                      </w:p>
                      <w:p w14:paraId="28C02BB1" w14:textId="77777777" w:rsidR="004A0D0E" w:rsidRDefault="004A0D0E" w:rsidP="004A0D0E">
                        <w:pPr>
                          <w:pStyle w:val="Marginlie"/>
                        </w:pPr>
                      </w:p>
                      <w:p w14:paraId="6F58EEF4" w14:textId="77777777" w:rsidR="004A0D0E" w:rsidRDefault="004A0D0E" w:rsidP="004A0D0E">
                        <w:pPr>
                          <w:pStyle w:val="Marginlie"/>
                        </w:pPr>
                      </w:p>
                      <w:p w14:paraId="41D3F5AF" w14:textId="77777777" w:rsidR="004A0D0E" w:rsidRDefault="004A0D0E" w:rsidP="004A0D0E">
                        <w:pPr>
                          <w:pStyle w:val="Marginlie"/>
                        </w:pPr>
                        <w:r>
                          <w:t>Výrazně negativní saldo důvěry přetrvávalo ve strojírenství.</w:t>
                        </w:r>
                      </w:p>
                      <w:p w14:paraId="7B851BE7" w14:textId="77777777" w:rsidR="004A0D0E" w:rsidRDefault="004A0D0E" w:rsidP="004A0D0E">
                        <w:pPr>
                          <w:pStyle w:val="Marginlie"/>
                        </w:pPr>
                      </w:p>
                    </w:tc>
                    <w:tc>
                      <w:tcPr>
                        <w:tcW w:w="191" w:type="dxa"/>
                        <w:shd w:val="clear" w:color="auto" w:fill="auto"/>
                        <w:tcMar>
                          <w:left w:w="0" w:type="dxa"/>
                        </w:tcMar>
                      </w:tcPr>
                      <w:p w14:paraId="3C8C6B3F" w14:textId="77777777" w:rsidR="004A0D0E" w:rsidRDefault="004A0D0E" w:rsidP="004A0D0E">
                        <w:pPr>
                          <w:pStyle w:val="Textpoznpodarou"/>
                          <w:jc w:val="both"/>
                          <w:rPr>
                            <w:spacing w:val="-4"/>
                          </w:rPr>
                        </w:pPr>
                      </w:p>
                    </w:tc>
                    <w:tc>
                      <w:tcPr>
                        <w:tcW w:w="7730" w:type="dxa"/>
                        <w:shd w:val="clear" w:color="auto" w:fill="auto"/>
                        <w:tcMar>
                          <w:left w:w="0" w:type="dxa"/>
                        </w:tcMar>
                      </w:tcPr>
                      <w:p w14:paraId="71FB3350" w14:textId="77777777" w:rsidR="004A0D0E" w:rsidRPr="00460505" w:rsidRDefault="004A0D0E" w:rsidP="004A0D0E">
                        <w:pPr>
                          <w:spacing w:after="200"/>
                          <w:rPr>
                            <w:color w:val="000000" w:themeColor="text1"/>
                            <w:spacing w:val="-3"/>
                          </w:rPr>
                        </w:pPr>
                        <w:r>
                          <w:rPr>
                            <w:color w:val="000000" w:themeColor="text1"/>
                            <w:spacing w:val="-3"/>
                          </w:rPr>
                          <w:t xml:space="preserve">Krátkodobé vyhlídky průmyslu zůstávaly v letním období nadále nepříznivé. </w:t>
                        </w:r>
                        <w:r w:rsidRPr="002E3E92">
                          <w:rPr>
                            <w:color w:val="0D0D0D" w:themeColor="text1" w:themeTint="F2"/>
                            <w:spacing w:val="-4"/>
                          </w:rPr>
                          <w:t>Hodnota průmyslových zakázek</w:t>
                        </w:r>
                        <w:r w:rsidRPr="002E3E92">
                          <w:rPr>
                            <w:rStyle w:val="Znakapoznpodarou"/>
                            <w:spacing w:val="-4"/>
                          </w:rPr>
                          <w:footnoteReference w:id="10"/>
                        </w:r>
                        <w:r>
                          <w:rPr>
                            <w:color w:val="0D0D0D" w:themeColor="text1" w:themeTint="F2"/>
                            <w:spacing w:val="-4"/>
                          </w:rPr>
                          <w:t xml:space="preserve"> byla ve 2</w:t>
                        </w:r>
                        <w:r w:rsidRPr="002E3E92">
                          <w:rPr>
                            <w:color w:val="0D0D0D" w:themeColor="text1" w:themeTint="F2"/>
                            <w:spacing w:val="-4"/>
                          </w:rPr>
                          <w:t>.</w:t>
                        </w:r>
                        <w:r>
                          <w:rPr>
                            <w:color w:val="0D0D0D" w:themeColor="text1" w:themeTint="F2"/>
                            <w:spacing w:val="-4"/>
                          </w:rPr>
                          <w:t> čtvrtlet</w:t>
                        </w:r>
                        <w:r w:rsidRPr="002E3E92">
                          <w:rPr>
                            <w:color w:val="0D0D0D" w:themeColor="text1" w:themeTint="F2"/>
                            <w:spacing w:val="-4"/>
                          </w:rPr>
                          <w:t xml:space="preserve">í </w:t>
                        </w:r>
                        <w:r>
                          <w:rPr>
                            <w:color w:val="0D0D0D" w:themeColor="text1" w:themeTint="F2"/>
                            <w:spacing w:val="-4"/>
                          </w:rPr>
                          <w:t xml:space="preserve">2020 </w:t>
                        </w:r>
                        <w:r w:rsidRPr="002E3E92">
                          <w:rPr>
                            <w:color w:val="0D0D0D" w:themeColor="text1" w:themeTint="F2"/>
                            <w:spacing w:val="-4"/>
                          </w:rPr>
                          <w:t>meziroč</w:t>
                        </w:r>
                        <w:r>
                          <w:rPr>
                            <w:color w:val="0D0D0D" w:themeColor="text1" w:themeTint="F2"/>
                            <w:spacing w:val="-4"/>
                          </w:rPr>
                          <w:t xml:space="preserve">ně o více než čtvrtinu nižší (bez významnějších rozdílů v tempech mezi </w:t>
                        </w:r>
                        <w:r w:rsidRPr="002E3E92">
                          <w:rPr>
                            <w:color w:val="0D0D0D" w:themeColor="text1" w:themeTint="F2"/>
                            <w:spacing w:val="-4"/>
                          </w:rPr>
                          <w:t>domácí a</w:t>
                        </w:r>
                        <w:r>
                          <w:rPr>
                            <w:color w:val="0D0D0D" w:themeColor="text1" w:themeTint="F2"/>
                            <w:spacing w:val="-4"/>
                          </w:rPr>
                          <w:t> </w:t>
                        </w:r>
                        <w:r w:rsidRPr="002E3E92">
                          <w:rPr>
                            <w:color w:val="0D0D0D" w:themeColor="text1" w:themeTint="F2"/>
                            <w:spacing w:val="-4"/>
                          </w:rPr>
                          <w:t>zahraniční poptávkou</w:t>
                        </w:r>
                        <w:r>
                          <w:rPr>
                            <w:color w:val="0D0D0D" w:themeColor="text1" w:themeTint="F2"/>
                            <w:spacing w:val="-4"/>
                          </w:rPr>
                          <w:t xml:space="preserve">). Mírný růst signalizovala pouze malá odvětví – farmacie a také výroba ostatních (zejména kolejových) dopravních prostředků, </w:t>
                        </w:r>
                        <w:r>
                          <w:rPr>
                            <w:color w:val="000000" w:themeColor="text1"/>
                            <w:spacing w:val="-3"/>
                          </w:rPr>
                          <w:t>kde je ale vývoj tradičně silně volatilní. Ve výrobě motorových vozidel byly zakázky nižší o 44 %, což lze chápat jako dozvuk dubnového zastavení výroby. Příznivější náznaky přinesly červencové údaje, když zakázky rostly o desetinu (v automobilovém průmyslu), resp. zmírnily pokles na 4 % (v celém průmyslu). O tom, že situace v průmyslu nebyla po jarním šoku ještě zdaleka stabilizovaná, svědčilo stále podprůměrné využití výrobních kapacit (v celém průmyslu i automobilovém segmentu). Nepříznivý byl i vysoký podíl podniků považujících nedostatečnou poptávku za růstovou bariéru</w:t>
                        </w:r>
                        <w:r w:rsidRPr="002E3E92">
                          <w:rPr>
                            <w:rStyle w:val="Znakapoznpodarou"/>
                            <w:spacing w:val="-4"/>
                          </w:rPr>
                          <w:footnoteReference w:id="11"/>
                        </w:r>
                        <w:r>
                          <w:rPr>
                            <w:color w:val="000000" w:themeColor="text1"/>
                            <w:spacing w:val="-3"/>
                          </w:rPr>
                          <w:t xml:space="preserve"> (na počátku 3. čtvrtletí 63 %, nejvíce za posledních sedm let). Citelné zchlazení trhu práce naznačuje pouze 15% váha nedostatku pracovníků (nejméně od konce roku 2015). Rovněž očekávání podniků v oblasti zaměstnanosti zůstávalo negativní (na úrovni roku recese – 2012). </w:t>
                        </w:r>
                        <w:r>
                          <w:rPr>
                            <w:color w:val="0D0D0D" w:themeColor="text1" w:themeTint="F2"/>
                            <w:spacing w:val="-4"/>
                          </w:rPr>
                          <w:t>S</w:t>
                        </w:r>
                        <w:r w:rsidRPr="002E3E92">
                          <w:rPr>
                            <w:color w:val="0D0D0D" w:themeColor="text1" w:themeTint="F2"/>
                            <w:spacing w:val="-4"/>
                          </w:rPr>
                          <w:t xml:space="preserve">aldo </w:t>
                        </w:r>
                        <w:r w:rsidRPr="002E3E92">
                          <w:rPr>
                            <w:rFonts w:cs="Arial"/>
                            <w:color w:val="0D0D0D" w:themeColor="text1" w:themeTint="F2"/>
                            <w:spacing w:val="-4"/>
                          </w:rPr>
                          <w:t>indikát</w:t>
                        </w:r>
                        <w:r>
                          <w:rPr>
                            <w:rFonts w:cs="Arial"/>
                            <w:color w:val="0D0D0D" w:themeColor="text1" w:themeTint="F2"/>
                            <w:spacing w:val="-4"/>
                          </w:rPr>
                          <w:t xml:space="preserve">oru důvěry podnikatelů v průmyslu se během léta zlepšilo, v srpnu skončilo na </w:t>
                        </w:r>
                        <w:r w:rsidRPr="002E3E92">
                          <w:rPr>
                            <w:color w:val="000000" w:themeColor="text1"/>
                            <w:spacing w:val="-4"/>
                          </w:rPr>
                          <w:t>–</w:t>
                        </w:r>
                        <w:r>
                          <w:rPr>
                            <w:rFonts w:cs="Arial"/>
                            <w:color w:val="0D0D0D" w:themeColor="text1" w:themeTint="F2"/>
                            <w:spacing w:val="-4"/>
                          </w:rPr>
                          <w:t>6 bodech a dostalo se tak na úroveň z počátku letošního roku. Z jednotlivých oborů přetrvával největší pesimismus ve strojírenství (</w:t>
                        </w:r>
                        <w:r w:rsidRPr="002E3E92">
                          <w:rPr>
                            <w:color w:val="000000" w:themeColor="text1"/>
                            <w:spacing w:val="-4"/>
                          </w:rPr>
                          <w:t>–</w:t>
                        </w:r>
                        <w:r>
                          <w:rPr>
                            <w:rFonts w:cs="Arial"/>
                            <w:color w:val="0D0D0D" w:themeColor="text1" w:themeTint="F2"/>
                            <w:spacing w:val="-4"/>
                          </w:rPr>
                          <w:t>31 bodů), nábytkářském (</w:t>
                        </w:r>
                        <w:r w:rsidRPr="002E3E92">
                          <w:rPr>
                            <w:color w:val="000000" w:themeColor="text1"/>
                            <w:spacing w:val="-4"/>
                          </w:rPr>
                          <w:t>–</w:t>
                        </w:r>
                        <w:r>
                          <w:rPr>
                            <w:rFonts w:cs="Arial"/>
                            <w:color w:val="0D0D0D" w:themeColor="text1" w:themeTint="F2"/>
                            <w:spacing w:val="-4"/>
                          </w:rPr>
                          <w:t>27) a</w:t>
                        </w:r>
                        <w:r>
                          <w:rPr>
                            <w:color w:val="000000" w:themeColor="text1"/>
                            <w:spacing w:val="-3"/>
                          </w:rPr>
                          <w:t> </w:t>
                        </w:r>
                        <w:r>
                          <w:rPr>
                            <w:rFonts w:cs="Arial"/>
                            <w:color w:val="0D0D0D" w:themeColor="text1" w:themeTint="F2"/>
                            <w:spacing w:val="-4"/>
                          </w:rPr>
                          <w:t>oděvním průmyslu (</w:t>
                        </w:r>
                        <w:r w:rsidRPr="002E3E92">
                          <w:rPr>
                            <w:color w:val="000000" w:themeColor="text1"/>
                            <w:spacing w:val="-4"/>
                          </w:rPr>
                          <w:t>–</w:t>
                        </w:r>
                        <w:r>
                          <w:rPr>
                            <w:rFonts w:cs="Arial"/>
                            <w:color w:val="0D0D0D" w:themeColor="text1" w:themeTint="F2"/>
                            <w:spacing w:val="-4"/>
                          </w:rPr>
                          <w:t>26). Ve výrobě motorových vozidel byl sentiment příznivější a dosáhl stejné hodnoty jako na konci loňského roku (</w:t>
                        </w:r>
                        <w:r w:rsidRPr="002E3E92">
                          <w:rPr>
                            <w:color w:val="000000" w:themeColor="text1"/>
                            <w:spacing w:val="-4"/>
                          </w:rPr>
                          <w:t>–</w:t>
                        </w:r>
                        <w:r>
                          <w:rPr>
                            <w:rFonts w:cs="Arial"/>
                            <w:color w:val="0D0D0D" w:themeColor="text1" w:themeTint="F2"/>
                            <w:spacing w:val="-4"/>
                          </w:rPr>
                          <w:t>2 body).</w:t>
                        </w:r>
                      </w:p>
                    </w:tc>
                  </w:tr>
                  <w:tr w:rsidR="004A0D0E" w:rsidRPr="00B01C55" w14:paraId="25AC42A2" w14:textId="77777777" w:rsidTr="0026300B">
                    <w:trPr>
                      <w:trHeight w:val="145"/>
                    </w:trPr>
                    <w:tc>
                      <w:tcPr>
                        <w:tcW w:w="1723" w:type="dxa"/>
                        <w:shd w:val="clear" w:color="auto" w:fill="auto"/>
                        <w:tcMar>
                          <w:left w:w="0" w:type="dxa"/>
                        </w:tcMar>
                      </w:tcPr>
                      <w:p w14:paraId="28D19412" w14:textId="77777777" w:rsidR="004A0D0E" w:rsidRDefault="004A0D0E" w:rsidP="004A0D0E">
                        <w:pPr>
                          <w:pStyle w:val="Marginlie"/>
                        </w:pPr>
                        <w:r>
                          <w:t>Meziroční propad průmyslové produkce v 1. pololetí byl v ČR mezi státy EU osmý největší.</w:t>
                        </w:r>
                      </w:p>
                    </w:tc>
                    <w:tc>
                      <w:tcPr>
                        <w:tcW w:w="191" w:type="dxa"/>
                        <w:shd w:val="clear" w:color="auto" w:fill="auto"/>
                        <w:tcMar>
                          <w:left w:w="0" w:type="dxa"/>
                        </w:tcMar>
                      </w:tcPr>
                      <w:p w14:paraId="0B2A35EF" w14:textId="77777777" w:rsidR="004A0D0E" w:rsidRDefault="004A0D0E" w:rsidP="004A0D0E">
                        <w:pPr>
                          <w:pStyle w:val="Textpoznpodarou"/>
                          <w:jc w:val="both"/>
                          <w:rPr>
                            <w:spacing w:val="-4"/>
                          </w:rPr>
                        </w:pPr>
                      </w:p>
                    </w:tc>
                    <w:tc>
                      <w:tcPr>
                        <w:tcW w:w="7730" w:type="dxa"/>
                        <w:shd w:val="clear" w:color="auto" w:fill="auto"/>
                        <w:tcMar>
                          <w:left w:w="0" w:type="dxa"/>
                        </w:tcMar>
                      </w:tcPr>
                      <w:p w14:paraId="6D63B88F" w14:textId="77777777" w:rsidR="004A0D0E" w:rsidRPr="00301AAB" w:rsidRDefault="004A0D0E" w:rsidP="004A0D0E">
                        <w:pPr>
                          <w:spacing w:after="200"/>
                          <w:rPr>
                            <w:spacing w:val="-4"/>
                          </w:rPr>
                        </w:pPr>
                        <w:r w:rsidRPr="00F40458">
                          <w:rPr>
                            <w:spacing w:val="-4"/>
                          </w:rPr>
                          <w:t>Zatímco v 1. čtvrtletí se průmyslová produkce v EU meziročně snížila srovnatelným tempem jako v Česku (</w:t>
                        </w:r>
                        <w:r w:rsidRPr="00F40458">
                          <w:rPr>
                            <w:color w:val="000000" w:themeColor="text1"/>
                            <w:spacing w:val="-4"/>
                          </w:rPr>
                          <w:t>–</w:t>
                        </w:r>
                        <w:r w:rsidRPr="00F40458">
                          <w:rPr>
                            <w:spacing w:val="-4"/>
                          </w:rPr>
                          <w:t>5,3 %), ve 2. čtvrtletí byl unijní propad mírnější (</w:t>
                        </w:r>
                        <w:r w:rsidRPr="00F40458">
                          <w:rPr>
                            <w:color w:val="000000" w:themeColor="text1"/>
                            <w:spacing w:val="-4"/>
                          </w:rPr>
                          <w:t>–</w:t>
                        </w:r>
                        <w:r w:rsidRPr="00F40458">
                          <w:rPr>
                            <w:spacing w:val="-4"/>
                          </w:rPr>
                          <w:t>19,2 %). V</w:t>
                        </w:r>
                        <w:r w:rsidRPr="00301AAB">
                          <w:rPr>
                            <w:spacing w:val="-4"/>
                          </w:rPr>
                          <w:t> celém</w:t>
                        </w:r>
                        <w:r>
                          <w:rPr>
                            <w:spacing w:val="-4"/>
                          </w:rPr>
                          <w:t xml:space="preserve"> 1.</w:t>
                        </w:r>
                        <w:r w:rsidRPr="00301AAB">
                          <w:rPr>
                            <w:spacing w:val="-4"/>
                          </w:rPr>
                          <w:t xml:space="preserve"> pololetí </w:t>
                        </w:r>
                        <w:r>
                          <w:rPr>
                            <w:spacing w:val="-4"/>
                          </w:rPr>
                          <w:t>registrovaly největší útlum</w:t>
                        </w:r>
                        <w:r w:rsidRPr="00301AAB">
                          <w:rPr>
                            <w:spacing w:val="-4"/>
                          </w:rPr>
                          <w:t xml:space="preserve"> Lucembursko a</w:t>
                        </w:r>
                        <w:r>
                          <w:rPr>
                            <w:spacing w:val="-4"/>
                          </w:rPr>
                          <w:t> </w:t>
                        </w:r>
                        <w:r w:rsidRPr="00301AAB">
                          <w:rPr>
                            <w:spacing w:val="-4"/>
                          </w:rPr>
                          <w:t xml:space="preserve">Itálie (shodně </w:t>
                        </w:r>
                        <w:r w:rsidRPr="00301AAB">
                          <w:rPr>
                            <w:color w:val="000000" w:themeColor="text1"/>
                            <w:spacing w:val="-4"/>
                          </w:rPr>
                          <w:t>–</w:t>
                        </w:r>
                        <w:r w:rsidRPr="00301AAB">
                          <w:rPr>
                            <w:spacing w:val="-4"/>
                          </w:rPr>
                          <w:t>18</w:t>
                        </w:r>
                        <w:r>
                          <w:rPr>
                            <w:spacing w:val="-4"/>
                          </w:rPr>
                          <w:t> %</w:t>
                        </w:r>
                        <w:r w:rsidRPr="00301AAB">
                          <w:rPr>
                            <w:spacing w:val="-4"/>
                          </w:rPr>
                          <w:t xml:space="preserve">), následované silně průmyslovými ekonomikami </w:t>
                        </w:r>
                        <w:r w:rsidRPr="006D294B">
                          <w:rPr>
                            <w:spacing w:val="-4"/>
                          </w:rPr>
                          <w:t>Slovenska</w:t>
                        </w:r>
                        <w:r w:rsidRPr="00301AAB">
                          <w:rPr>
                            <w:spacing w:val="-4"/>
                          </w:rPr>
                          <w:t xml:space="preserve"> (</w:t>
                        </w:r>
                        <w:r w:rsidRPr="006D294B">
                          <w:rPr>
                            <w:spacing w:val="-4"/>
                          </w:rPr>
                          <w:t>–</w:t>
                        </w:r>
                        <w:r w:rsidRPr="00301AAB">
                          <w:rPr>
                            <w:spacing w:val="-4"/>
                          </w:rPr>
                          <w:t>18</w:t>
                        </w:r>
                        <w:r>
                          <w:rPr>
                            <w:spacing w:val="-4"/>
                          </w:rPr>
                          <w:t> %</w:t>
                        </w:r>
                        <w:r w:rsidRPr="00301AAB">
                          <w:rPr>
                            <w:spacing w:val="-4"/>
                          </w:rPr>
                          <w:t>) a</w:t>
                        </w:r>
                        <w:r>
                          <w:rPr>
                            <w:spacing w:val="-4"/>
                          </w:rPr>
                          <w:t> </w:t>
                        </w:r>
                        <w:r w:rsidRPr="00301AAB">
                          <w:rPr>
                            <w:spacing w:val="-4"/>
                          </w:rPr>
                          <w:t>Rumunska (</w:t>
                        </w:r>
                        <w:r w:rsidRPr="00301AAB">
                          <w:rPr>
                            <w:color w:val="000000" w:themeColor="text1"/>
                            <w:spacing w:val="-4"/>
                          </w:rPr>
                          <w:t>–</w:t>
                        </w:r>
                        <w:r w:rsidRPr="00301AAB">
                          <w:rPr>
                            <w:spacing w:val="-4"/>
                          </w:rPr>
                          <w:t>17</w:t>
                        </w:r>
                        <w:r>
                          <w:rPr>
                            <w:spacing w:val="-4"/>
                          </w:rPr>
                          <w:t> %</w:t>
                        </w:r>
                        <w:r w:rsidRPr="00301AAB">
                          <w:rPr>
                            <w:spacing w:val="-4"/>
                          </w:rPr>
                          <w:t>). Pokles v ČR byl v rámci Unie osmý nejvyšší</w:t>
                        </w:r>
                        <w:r>
                          <w:rPr>
                            <w:spacing w:val="-4"/>
                          </w:rPr>
                          <w:t xml:space="preserve"> </w:t>
                        </w:r>
                        <w:r w:rsidRPr="00301AAB">
                          <w:rPr>
                            <w:spacing w:val="-4"/>
                          </w:rPr>
                          <w:t>(</w:t>
                        </w:r>
                        <w:r w:rsidRPr="00301AAB">
                          <w:rPr>
                            <w:color w:val="000000" w:themeColor="text1"/>
                            <w:spacing w:val="-4"/>
                          </w:rPr>
                          <w:t>–</w:t>
                        </w:r>
                        <w:r w:rsidRPr="00301AAB">
                          <w:rPr>
                            <w:spacing w:val="-4"/>
                          </w:rPr>
                          <w:t>14</w:t>
                        </w:r>
                        <w:r>
                          <w:rPr>
                            <w:spacing w:val="-4"/>
                          </w:rPr>
                          <w:t> %</w:t>
                        </w:r>
                        <w:r w:rsidRPr="00301AAB">
                          <w:rPr>
                            <w:spacing w:val="-4"/>
                          </w:rPr>
                          <w:t>), obdobné tempo zaznamenaly i</w:t>
                        </w:r>
                        <w:r>
                          <w:rPr>
                            <w:spacing w:val="-4"/>
                          </w:rPr>
                          <w:t> </w:t>
                        </w:r>
                        <w:r w:rsidRPr="00301AAB">
                          <w:rPr>
                            <w:spacing w:val="-4"/>
                          </w:rPr>
                          <w:t xml:space="preserve">Maďarsko či </w:t>
                        </w:r>
                        <w:r w:rsidRPr="006D294B">
                          <w:rPr>
                            <w:spacing w:val="-4"/>
                          </w:rPr>
                          <w:t>Německo</w:t>
                        </w:r>
                        <w:r w:rsidRPr="00301AAB">
                          <w:rPr>
                            <w:spacing w:val="-4"/>
                          </w:rPr>
                          <w:t xml:space="preserve">. </w:t>
                        </w:r>
                        <w:r w:rsidRPr="00301AAB">
                          <w:rPr>
                            <w:spacing w:val="-4"/>
                          </w:rPr>
                          <w:lastRenderedPageBreak/>
                          <w:t>Lépe si vedlo</w:t>
                        </w:r>
                        <w:r w:rsidRPr="00301AAB">
                          <w:rPr>
                            <w:color w:val="0D0D0D" w:themeColor="text1" w:themeTint="F2"/>
                            <w:spacing w:val="-4"/>
                          </w:rPr>
                          <w:t xml:space="preserve"> Polsko (</w:t>
                        </w:r>
                        <w:r w:rsidRPr="00301AAB">
                          <w:rPr>
                            <w:color w:val="000000" w:themeColor="text1"/>
                            <w:spacing w:val="-4"/>
                          </w:rPr>
                          <w:t>–</w:t>
                        </w:r>
                        <w:r w:rsidRPr="00301AAB">
                          <w:rPr>
                            <w:color w:val="0D0D0D" w:themeColor="text1" w:themeTint="F2"/>
                            <w:spacing w:val="-4"/>
                          </w:rPr>
                          <w:t>7</w:t>
                        </w:r>
                        <w:r>
                          <w:rPr>
                            <w:color w:val="0D0D0D" w:themeColor="text1" w:themeTint="F2"/>
                            <w:spacing w:val="-4"/>
                          </w:rPr>
                          <w:t> %</w:t>
                        </w:r>
                        <w:r w:rsidRPr="00301AAB">
                          <w:rPr>
                            <w:color w:val="0D0D0D" w:themeColor="text1" w:themeTint="F2"/>
                            <w:spacing w:val="-4"/>
                          </w:rPr>
                          <w:t>), kde se projevoval i</w:t>
                        </w:r>
                        <w:r>
                          <w:rPr>
                            <w:color w:val="0D0D0D" w:themeColor="text1" w:themeTint="F2"/>
                            <w:spacing w:val="-4"/>
                          </w:rPr>
                          <w:t> </w:t>
                        </w:r>
                        <w:r w:rsidRPr="00301AAB">
                          <w:rPr>
                            <w:color w:val="0D0D0D" w:themeColor="text1" w:themeTint="F2"/>
                            <w:spacing w:val="-4"/>
                          </w:rPr>
                          <w:t xml:space="preserve">vliv odlišnější skladby průmyslu (např. vyšší zastoupení odvětví navázaných na zemědělství). Výkon průmyslu rostl pouze </w:t>
                        </w:r>
                        <w:r w:rsidRPr="00301AAB">
                          <w:rPr>
                            <w:color w:val="0D0D0D" w:themeColor="text1" w:themeTint="F2"/>
                            <w:spacing w:val="-2"/>
                          </w:rPr>
                          <w:t>v Irsku (+3</w:t>
                        </w:r>
                        <w:r>
                          <w:rPr>
                            <w:color w:val="0D0D0D" w:themeColor="text1" w:themeTint="F2"/>
                            <w:spacing w:val="-2"/>
                          </w:rPr>
                          <w:t> %</w:t>
                        </w:r>
                        <w:r w:rsidRPr="00301AAB">
                          <w:rPr>
                            <w:color w:val="0D0D0D" w:themeColor="text1" w:themeTint="F2"/>
                            <w:spacing w:val="-2"/>
                          </w:rPr>
                          <w:t>)</w:t>
                        </w:r>
                        <w:r>
                          <w:rPr>
                            <w:color w:val="0D0D0D" w:themeColor="text1" w:themeTint="F2"/>
                            <w:spacing w:val="-2"/>
                          </w:rPr>
                          <w:t> </w:t>
                        </w:r>
                        <w:r w:rsidRPr="00301AAB">
                          <w:rPr>
                            <w:color w:val="0D0D0D" w:themeColor="text1" w:themeTint="F2"/>
                            <w:spacing w:val="-2"/>
                          </w:rPr>
                          <w:t>– vlivem vyššího zastoupení high</w:t>
                        </w:r>
                        <w:r>
                          <w:rPr>
                            <w:color w:val="0D0D0D" w:themeColor="text1" w:themeTint="F2"/>
                            <w:spacing w:val="-2"/>
                          </w:rPr>
                          <w:noBreakHyphen/>
                        </w:r>
                        <w:r w:rsidRPr="00301AAB">
                          <w:rPr>
                            <w:color w:val="0D0D0D" w:themeColor="text1" w:themeTint="F2"/>
                            <w:spacing w:val="-2"/>
                          </w:rPr>
                          <w:t>tech oborů</w:t>
                        </w:r>
                        <w:r>
                          <w:rPr>
                            <w:color w:val="0D0D0D" w:themeColor="text1" w:themeTint="F2"/>
                            <w:spacing w:val="-2"/>
                          </w:rPr>
                          <w:t> –</w:t>
                        </w:r>
                        <w:r w:rsidRPr="00301AAB">
                          <w:rPr>
                            <w:color w:val="0D0D0D" w:themeColor="text1" w:themeTint="F2"/>
                            <w:spacing w:val="-2"/>
                          </w:rPr>
                          <w:t xml:space="preserve"> a</w:t>
                        </w:r>
                        <w:r>
                          <w:rPr>
                            <w:color w:val="0D0D0D" w:themeColor="text1" w:themeTint="F2"/>
                            <w:spacing w:val="-2"/>
                          </w:rPr>
                          <w:t> </w:t>
                        </w:r>
                        <w:r w:rsidRPr="00301AAB">
                          <w:rPr>
                            <w:color w:val="0D0D0D" w:themeColor="text1" w:themeTint="F2"/>
                            <w:spacing w:val="-2"/>
                          </w:rPr>
                          <w:t xml:space="preserve">také </w:t>
                        </w:r>
                        <w:r>
                          <w:rPr>
                            <w:color w:val="0D0D0D" w:themeColor="text1" w:themeTint="F2"/>
                            <w:spacing w:val="-2"/>
                          </w:rPr>
                          <w:t>na Maltě</w:t>
                        </w:r>
                        <w:r w:rsidRPr="00301AAB">
                          <w:rPr>
                            <w:color w:val="0D0D0D" w:themeColor="text1" w:themeTint="F2"/>
                            <w:spacing w:val="-2"/>
                          </w:rPr>
                          <w:t xml:space="preserve"> (+2</w:t>
                        </w:r>
                        <w:r>
                          <w:rPr>
                            <w:color w:val="0D0D0D" w:themeColor="text1" w:themeTint="F2"/>
                            <w:spacing w:val="-2"/>
                          </w:rPr>
                          <w:t> %</w:t>
                        </w:r>
                        <w:r w:rsidRPr="00301AAB">
                          <w:rPr>
                            <w:color w:val="0D0D0D" w:themeColor="text1" w:themeTint="F2"/>
                            <w:spacing w:val="-2"/>
                          </w:rPr>
                          <w:t>). V</w:t>
                        </w:r>
                        <w:r>
                          <w:rPr>
                            <w:color w:val="0D0D0D" w:themeColor="text1" w:themeTint="F2"/>
                            <w:spacing w:val="-2"/>
                          </w:rPr>
                          <w:t> ČR</w:t>
                        </w:r>
                        <w:r>
                          <w:rPr>
                            <w:color w:val="0D0D0D" w:themeColor="text1" w:themeTint="F2"/>
                            <w:spacing w:val="-2"/>
                          </w:rPr>
                          <w:br/>
                        </w:r>
                        <w:r w:rsidRPr="00301AAB">
                          <w:rPr>
                            <w:color w:val="0D0D0D" w:themeColor="text1" w:themeTint="F2"/>
                            <w:spacing w:val="-2"/>
                          </w:rPr>
                          <w:t>(–20,0</w:t>
                        </w:r>
                        <w:r>
                          <w:rPr>
                            <w:color w:val="0D0D0D" w:themeColor="text1" w:themeTint="F2"/>
                            <w:spacing w:val="-2"/>
                          </w:rPr>
                          <w:t> %</w:t>
                        </w:r>
                        <w:r w:rsidRPr="00301AAB">
                          <w:rPr>
                            <w:color w:val="0D0D0D" w:themeColor="text1" w:themeTint="F2"/>
                            <w:spacing w:val="-2"/>
                          </w:rPr>
                          <w:t>)</w:t>
                        </w:r>
                        <w:r w:rsidRPr="00301AAB">
                          <w:rPr>
                            <w:color w:val="0D0D0D" w:themeColor="text1" w:themeTint="F2"/>
                            <w:spacing w:val="-4"/>
                          </w:rPr>
                          <w:t xml:space="preserve"> podobně jako v celé EU (–18,5</w:t>
                        </w:r>
                        <w:r>
                          <w:rPr>
                            <w:color w:val="0D0D0D" w:themeColor="text1" w:themeTint="F2"/>
                            <w:spacing w:val="-4"/>
                          </w:rPr>
                          <w:t> %</w:t>
                        </w:r>
                        <w:r w:rsidRPr="00301AAB">
                          <w:rPr>
                            <w:color w:val="0D0D0D" w:themeColor="text1" w:themeTint="F2"/>
                            <w:spacing w:val="-4"/>
                          </w:rPr>
                          <w:t xml:space="preserve">) klesla nejvíce </w:t>
                        </w:r>
                        <w:r>
                          <w:rPr>
                            <w:color w:val="0D0D0D" w:themeColor="text1" w:themeTint="F2"/>
                            <w:spacing w:val="-4"/>
                          </w:rPr>
                          <w:t>výroba</w:t>
                        </w:r>
                        <w:r w:rsidRPr="00301AAB">
                          <w:rPr>
                            <w:color w:val="0D0D0D" w:themeColor="text1" w:themeTint="F2"/>
                            <w:spacing w:val="-4"/>
                          </w:rPr>
                          <w:t xml:space="preserve"> v odvětvích vyrábějících produkty investiční povahy (např. stroje, dopravní prostředky).</w:t>
                        </w:r>
                      </w:p>
                    </w:tc>
                  </w:tr>
                  <w:tr w:rsidR="004A0D0E" w:rsidRPr="0041745D" w14:paraId="7B0BBB44" w14:textId="77777777" w:rsidTr="0026300B">
                    <w:trPr>
                      <w:trHeight w:val="170"/>
                    </w:trPr>
                    <w:tc>
                      <w:tcPr>
                        <w:tcW w:w="1723" w:type="dxa"/>
                        <w:vMerge w:val="restart"/>
                        <w:shd w:val="clear" w:color="auto" w:fill="auto"/>
                        <w:tcMar>
                          <w:left w:w="0" w:type="dxa"/>
                        </w:tcMar>
                      </w:tcPr>
                      <w:p w14:paraId="5C84FDEB" w14:textId="77777777" w:rsidR="004A0D0E" w:rsidRDefault="004A0D0E" w:rsidP="004A0D0E">
                        <w:pPr>
                          <w:pStyle w:val="Marginlie"/>
                        </w:pPr>
                      </w:p>
                    </w:tc>
                    <w:tc>
                      <w:tcPr>
                        <w:tcW w:w="191" w:type="dxa"/>
                        <w:vMerge w:val="restart"/>
                        <w:shd w:val="clear" w:color="auto" w:fill="auto"/>
                        <w:tcMar>
                          <w:left w:w="0" w:type="dxa"/>
                        </w:tcMar>
                      </w:tcPr>
                      <w:p w14:paraId="750DFBA1" w14:textId="77777777" w:rsidR="004A0D0E" w:rsidRDefault="004A0D0E" w:rsidP="004A0D0E">
                        <w:pPr>
                          <w:pStyle w:val="Textpoznpodarou"/>
                          <w:jc w:val="both"/>
                          <w:rPr>
                            <w:spacing w:val="-4"/>
                          </w:rPr>
                        </w:pPr>
                      </w:p>
                    </w:tc>
                    <w:tc>
                      <w:tcPr>
                        <w:tcW w:w="7730" w:type="dxa"/>
                        <w:shd w:val="clear" w:color="auto" w:fill="auto"/>
                        <w:tcMar>
                          <w:left w:w="0" w:type="dxa"/>
                        </w:tcMar>
                      </w:tcPr>
                      <w:p w14:paraId="347B58D5" w14:textId="77777777" w:rsidR="004A0D0E" w:rsidRPr="007C1C44" w:rsidRDefault="004A0D0E" w:rsidP="004A0D0E">
                        <w:pPr>
                          <w:pStyle w:val="Textpoznpodarou"/>
                          <w:spacing w:line="276" w:lineRule="auto"/>
                          <w:rPr>
                            <w:b/>
                          </w:rPr>
                        </w:pPr>
                        <w:r w:rsidRPr="00DB613B">
                          <w:rPr>
                            <w:b/>
                          </w:rPr>
                          <w:t>Graf č. 5</w:t>
                        </w:r>
                        <w:r>
                          <w:rPr>
                            <w:b/>
                          </w:rPr>
                          <w:t xml:space="preserve"> </w:t>
                        </w:r>
                        <w:r w:rsidRPr="00DB613B">
                          <w:rPr>
                            <w:b/>
                          </w:rPr>
                          <w:t xml:space="preserve"> Nové zakázky v automobilovém průmyslu, v průmyslu celkem</w:t>
                        </w:r>
                        <w:r>
                          <w:rPr>
                            <w:b/>
                          </w:rPr>
                          <w:t xml:space="preserve"> </w:t>
                        </w:r>
                        <w:r>
                          <w:rPr>
                            <w:bCs/>
                          </w:rPr>
                          <w:t>(v běžných</w:t>
                        </w:r>
                        <w:r w:rsidRPr="00DB613B">
                          <w:rPr>
                            <w:bCs/>
                          </w:rPr>
                          <w:t xml:space="preserve"> cenách, </w:t>
                        </w:r>
                        <w:r w:rsidRPr="00DB613B">
                          <w:t>meziročně</w:t>
                        </w:r>
                        <w:r w:rsidRPr="00DB613B">
                          <w:rPr>
                            <w:bCs/>
                          </w:rPr>
                          <w:t xml:space="preserve"> v %)</w:t>
                        </w:r>
                        <w:r>
                          <w:rPr>
                            <w:b/>
                          </w:rPr>
                          <w:t xml:space="preserve"> a využití výrobních kapacit v </w:t>
                        </w:r>
                        <w:r w:rsidRPr="00DB613B">
                          <w:rPr>
                            <w:b/>
                          </w:rPr>
                          <w:t>průmyslu*</w:t>
                        </w:r>
                        <w:r>
                          <w:t xml:space="preserve"> </w:t>
                        </w:r>
                        <w:r w:rsidRPr="00DB613B">
                          <w:rPr>
                            <w:b/>
                          </w:rPr>
                          <w:t>a vybrané bariéry růstu</w:t>
                        </w:r>
                        <w:r>
                          <w:t xml:space="preserve">* (v %, pravá </w:t>
                        </w:r>
                        <w:r w:rsidRPr="00DB613B">
                          <w:t>osa)</w:t>
                        </w:r>
                      </w:p>
                    </w:tc>
                  </w:tr>
                  <w:tr w:rsidR="004A0D0E" w:rsidRPr="00970E6F" w14:paraId="24B571D3" w14:textId="77777777" w:rsidTr="0026300B">
                    <w:tblPrEx>
                      <w:tblCellMar>
                        <w:left w:w="70" w:type="dxa"/>
                        <w:right w:w="70" w:type="dxa"/>
                      </w:tblCellMar>
                    </w:tblPrEx>
                    <w:trPr>
                      <w:trHeight w:val="170"/>
                    </w:trPr>
                    <w:tc>
                      <w:tcPr>
                        <w:tcW w:w="1723" w:type="dxa"/>
                        <w:vMerge/>
                        <w:shd w:val="clear" w:color="auto" w:fill="auto"/>
                      </w:tcPr>
                      <w:p w14:paraId="0C1C2262" w14:textId="77777777" w:rsidR="004A0D0E" w:rsidRPr="009110F7" w:rsidRDefault="004A0D0E" w:rsidP="004A0D0E">
                        <w:pPr>
                          <w:pStyle w:val="Marginlie"/>
                        </w:pPr>
                      </w:p>
                    </w:tc>
                    <w:tc>
                      <w:tcPr>
                        <w:tcW w:w="191" w:type="dxa"/>
                        <w:vMerge/>
                        <w:shd w:val="clear" w:color="auto" w:fill="auto"/>
                      </w:tcPr>
                      <w:p w14:paraId="2E5FB4B0" w14:textId="77777777" w:rsidR="004A0D0E" w:rsidRPr="009110F7" w:rsidRDefault="004A0D0E" w:rsidP="004A0D0E">
                        <w:pPr>
                          <w:pStyle w:val="Textpoznpodarou"/>
                          <w:jc w:val="both"/>
                          <w:rPr>
                            <w:spacing w:val="-4"/>
                          </w:rPr>
                        </w:pPr>
                      </w:p>
                    </w:tc>
                    <w:tc>
                      <w:tcPr>
                        <w:tcW w:w="7730" w:type="dxa"/>
                        <w:shd w:val="clear" w:color="auto" w:fill="auto"/>
                      </w:tcPr>
                      <w:p w14:paraId="28A3886C" w14:textId="77777777" w:rsidR="004A0D0E" w:rsidRPr="00DB613B" w:rsidRDefault="004A0D0E" w:rsidP="004A0D0E">
                        <w:pPr>
                          <w:spacing w:after="0" w:line="240" w:lineRule="auto"/>
                          <w:rPr>
                            <w:szCs w:val="20"/>
                          </w:rPr>
                        </w:pPr>
                        <w:r>
                          <w:rPr>
                            <w:noProof/>
                          </w:rPr>
                          <w:drawing>
                            <wp:inline distT="0" distB="0" distL="0" distR="0" wp14:anchorId="5DF4280E" wp14:editId="7AB19B24">
                              <wp:extent cx="4759549" cy="3553200"/>
                              <wp:effectExtent l="0" t="0" r="3175"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A0D0E" w:rsidRPr="00DE6706" w14:paraId="1A4834A9" w14:textId="77777777" w:rsidTr="0026300B">
                    <w:trPr>
                      <w:trHeight w:val="170"/>
                    </w:trPr>
                    <w:tc>
                      <w:tcPr>
                        <w:tcW w:w="1723" w:type="dxa"/>
                        <w:vMerge/>
                        <w:shd w:val="clear" w:color="auto" w:fill="auto"/>
                        <w:tcMar>
                          <w:left w:w="0" w:type="dxa"/>
                        </w:tcMar>
                      </w:tcPr>
                      <w:p w14:paraId="5FDC7648" w14:textId="77777777" w:rsidR="004A0D0E" w:rsidRPr="009110F7" w:rsidRDefault="004A0D0E" w:rsidP="004A0D0E">
                        <w:pPr>
                          <w:pStyle w:val="Marginlie"/>
                        </w:pPr>
                      </w:p>
                    </w:tc>
                    <w:tc>
                      <w:tcPr>
                        <w:tcW w:w="191" w:type="dxa"/>
                        <w:vMerge/>
                        <w:shd w:val="clear" w:color="auto" w:fill="auto"/>
                        <w:tcMar>
                          <w:left w:w="0" w:type="dxa"/>
                        </w:tcMar>
                      </w:tcPr>
                      <w:p w14:paraId="27B27EB3"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05B36B01" w14:textId="77777777" w:rsidR="004A0D0E" w:rsidRDefault="004A0D0E" w:rsidP="004A0D0E">
                        <w:pPr>
                          <w:spacing w:after="0"/>
                          <w:rPr>
                            <w:rFonts w:cs="Arial"/>
                            <w:sz w:val="14"/>
                            <w:szCs w:val="14"/>
                          </w:rPr>
                        </w:pPr>
                        <w:r>
                          <w:rPr>
                            <w:rFonts w:cs="Arial"/>
                            <w:sz w:val="14"/>
                            <w:szCs w:val="14"/>
                          </w:rPr>
                          <w:t>*Využití průmyslových kapacit i bariéry růstu jsou</w:t>
                        </w:r>
                        <w:r w:rsidRPr="00DB613B">
                          <w:rPr>
                            <w:rFonts w:cs="Arial"/>
                            <w:sz w:val="14"/>
                            <w:szCs w:val="14"/>
                          </w:rPr>
                          <w:t xml:space="preserve"> sezónně očišt</w:t>
                        </w:r>
                        <w:r>
                          <w:rPr>
                            <w:rFonts w:cs="Arial"/>
                            <w:sz w:val="14"/>
                            <w:szCs w:val="14"/>
                          </w:rPr>
                          <w:t>ěny a vyjadřují stav v prvním měsíci daného čtvrtletí.</w:t>
                        </w:r>
                      </w:p>
                      <w:p w14:paraId="4F1CADE6" w14:textId="77777777" w:rsidR="004A0D0E" w:rsidRPr="00DB613B" w:rsidRDefault="004A0D0E" w:rsidP="004A0D0E">
                        <w:pPr>
                          <w:spacing w:after="200"/>
                          <w:rPr>
                            <w:rFonts w:cs="Arial"/>
                            <w:sz w:val="14"/>
                            <w:szCs w:val="14"/>
                          </w:rPr>
                        </w:pPr>
                        <w:r w:rsidRPr="00DB613B">
                          <w:rPr>
                            <w:rFonts w:cs="Arial"/>
                            <w:sz w:val="14"/>
                            <w:szCs w:val="14"/>
                          </w:rPr>
                          <w:t>Zdroj: ČSÚ</w:t>
                        </w:r>
                      </w:p>
                    </w:tc>
                  </w:tr>
                  <w:tr w:rsidR="004A0D0E" w14:paraId="2180CFB6" w14:textId="77777777" w:rsidTr="0026300B">
                    <w:trPr>
                      <w:trHeight w:val="145"/>
                    </w:trPr>
                    <w:tc>
                      <w:tcPr>
                        <w:tcW w:w="1723" w:type="dxa"/>
                        <w:shd w:val="clear" w:color="auto" w:fill="auto"/>
                        <w:tcMar>
                          <w:left w:w="0" w:type="dxa"/>
                        </w:tcMar>
                      </w:tcPr>
                      <w:p w14:paraId="5F1904A5" w14:textId="77777777" w:rsidR="004A0D0E" w:rsidRDefault="004A0D0E" w:rsidP="004A0D0E">
                        <w:pPr>
                          <w:pStyle w:val="Marginlie"/>
                        </w:pPr>
                        <w:r>
                          <w:t>Po příznivém vývoji na počátku roku postihl ve 2. čtvrtletí stavebnictví útlum. Ten se projevil primárně v pozemním stavitelství a postihl spíše malé a střední firmy.</w:t>
                        </w:r>
                      </w:p>
                    </w:tc>
                    <w:tc>
                      <w:tcPr>
                        <w:tcW w:w="191" w:type="dxa"/>
                        <w:shd w:val="clear" w:color="auto" w:fill="auto"/>
                        <w:tcMar>
                          <w:left w:w="0" w:type="dxa"/>
                        </w:tcMar>
                      </w:tcPr>
                      <w:p w14:paraId="5DD41232" w14:textId="77777777" w:rsidR="004A0D0E" w:rsidRPr="002A4B98" w:rsidRDefault="004A0D0E" w:rsidP="004A0D0E">
                        <w:pPr>
                          <w:pStyle w:val="Textpoznpodarou"/>
                          <w:jc w:val="both"/>
                          <w:rPr>
                            <w:spacing w:val="-3"/>
                          </w:rPr>
                        </w:pPr>
                      </w:p>
                    </w:tc>
                    <w:tc>
                      <w:tcPr>
                        <w:tcW w:w="7730" w:type="dxa"/>
                        <w:shd w:val="clear" w:color="auto" w:fill="auto"/>
                        <w:tcMar>
                          <w:left w:w="0" w:type="dxa"/>
                        </w:tcMar>
                      </w:tcPr>
                      <w:p w14:paraId="2BCAE35A" w14:textId="77777777" w:rsidR="004A0D0E" w:rsidRDefault="004A0D0E" w:rsidP="004A0D0E">
                        <w:pPr>
                          <w:pStyle w:val="Textpoznpodarou"/>
                          <w:spacing w:after="200" w:line="276" w:lineRule="auto"/>
                          <w:jc w:val="both"/>
                          <w:rPr>
                            <w:color w:val="0D0D0D" w:themeColor="text1" w:themeTint="F2"/>
                          </w:rPr>
                        </w:pPr>
                        <w:r>
                          <w:rPr>
                            <w:color w:val="0D0D0D" w:themeColor="text1" w:themeTint="F2"/>
                          </w:rPr>
                          <w:t>Stavebnictví vstoupilo do roku 2020 s odhodláním. Vysoká zásoba veřejných, ale i soukromých zakázek spolu s velmi příznivým počasím se promítly do pokračujícího růstu</w:t>
                        </w:r>
                        <w:r w:rsidRPr="00D17511">
                          <w:rPr>
                            <w:color w:val="0D0D0D" w:themeColor="text1" w:themeTint="F2"/>
                            <w:spacing w:val="-2"/>
                          </w:rPr>
                          <w:t xml:space="preserve"> s</w:t>
                        </w:r>
                        <w:r w:rsidRPr="00D17511">
                          <w:rPr>
                            <w:spacing w:val="-2"/>
                          </w:rPr>
                          <w:t>tavební produkce</w:t>
                        </w:r>
                        <w:r w:rsidRPr="00D17511">
                          <w:rPr>
                            <w:rStyle w:val="Znakapoznpodarou"/>
                            <w:spacing w:val="-2"/>
                          </w:rPr>
                          <w:footnoteReference w:id="12"/>
                        </w:r>
                        <w:r>
                          <w:rPr>
                            <w:spacing w:val="-2"/>
                          </w:rPr>
                          <w:t xml:space="preserve"> Ta se v </w:t>
                        </w:r>
                        <w:r>
                          <w:rPr>
                            <w:color w:val="0D0D0D" w:themeColor="text1" w:themeTint="F2"/>
                          </w:rPr>
                          <w:t>1. čtvrtletí</w:t>
                        </w:r>
                        <w:r w:rsidRPr="00D17511">
                          <w:rPr>
                            <w:color w:val="0D0D0D" w:themeColor="text1" w:themeTint="F2"/>
                            <w:spacing w:val="-2"/>
                          </w:rPr>
                          <w:t xml:space="preserve"> </w:t>
                        </w:r>
                        <w:r>
                          <w:rPr>
                            <w:spacing w:val="-2"/>
                          </w:rPr>
                          <w:t>mezikvartálně zvýšila o 1,1 %. V následujícím období se však toto odvětví postupně začalo potýkat s problémy. Zavedená vládní restriktivní opatření ztížila administrativní proces přípravy staveb, došlo k přerušení různých výběrových řízení, čímž se narušila plynulost výstavby. Dále také prohloubila ve stavebnictví již tak palčivý problém s dostupností pracovních sil. Stavební produkce tak mezikvartálně klesla o 7,0 %, což představovalo silnější šok než krátkodobý výpadek veřejných infrastrukturních investic na počátku roku 2016 (vlivem přechodu na nové programové období EU). Meziročně klesl ve 2. čtvrtletí výkon stavebnictví o bezmála 9 %. Více než tři roky trvající růstové období tak bylo ukončeno. Na rozdíl od roku 2016, kdy celé odvětví táhlo dolů inženýrské stavitelství, působilo letos negativně pozemní stavitelství. Větší výpadek zde postihl především malé a střední firmy, u nichž lze předpokládat, že méně disponovaly dostatečným rezervoárem zakázek z období nedávné konjunktury. Naopak produkce inženýrského stavitelství i díky zrychlující fázi čerpání eurofondů v obou letošních čtvrtletích rostla (+15,5, resp. +1,7 %).</w:t>
                        </w:r>
                      </w:p>
                    </w:tc>
                  </w:tr>
                  <w:tr w:rsidR="004A0D0E" w14:paraId="5B06A03F" w14:textId="77777777" w:rsidTr="0026300B">
                    <w:trPr>
                      <w:trHeight w:val="145"/>
                    </w:trPr>
                    <w:tc>
                      <w:tcPr>
                        <w:tcW w:w="1723" w:type="dxa"/>
                        <w:shd w:val="clear" w:color="auto" w:fill="auto"/>
                        <w:tcMar>
                          <w:left w:w="0" w:type="dxa"/>
                        </w:tcMar>
                      </w:tcPr>
                      <w:p w14:paraId="65AD2EB0" w14:textId="77777777" w:rsidR="004A0D0E" w:rsidRDefault="004A0D0E" w:rsidP="004A0D0E">
                        <w:pPr>
                          <w:pStyle w:val="Marginlie"/>
                        </w:pPr>
                        <w:r>
                          <w:t>Několikaletý růst počtu zahájených i dokončených bytů se letos zastavil.</w:t>
                        </w:r>
                      </w:p>
                    </w:tc>
                    <w:tc>
                      <w:tcPr>
                        <w:tcW w:w="191" w:type="dxa"/>
                        <w:shd w:val="clear" w:color="auto" w:fill="auto"/>
                        <w:tcMar>
                          <w:left w:w="0" w:type="dxa"/>
                        </w:tcMar>
                      </w:tcPr>
                      <w:p w14:paraId="3FE51145" w14:textId="77777777" w:rsidR="004A0D0E" w:rsidRPr="002A4B98" w:rsidRDefault="004A0D0E" w:rsidP="004A0D0E">
                        <w:pPr>
                          <w:pStyle w:val="Textpoznpodarou"/>
                          <w:jc w:val="both"/>
                          <w:rPr>
                            <w:spacing w:val="-3"/>
                          </w:rPr>
                        </w:pPr>
                      </w:p>
                    </w:tc>
                    <w:tc>
                      <w:tcPr>
                        <w:tcW w:w="7730" w:type="dxa"/>
                        <w:shd w:val="clear" w:color="auto" w:fill="auto"/>
                        <w:tcMar>
                          <w:left w:w="0" w:type="dxa"/>
                        </w:tcMar>
                      </w:tcPr>
                      <w:p w14:paraId="51D45D28" w14:textId="77777777" w:rsidR="004A0D0E" w:rsidRPr="005E1137" w:rsidRDefault="004A0D0E" w:rsidP="004A0D0E">
                        <w:pPr>
                          <w:pStyle w:val="Textpoznpodarou"/>
                          <w:spacing w:after="200" w:line="276" w:lineRule="auto"/>
                          <w:jc w:val="both"/>
                          <w:rPr>
                            <w:color w:val="0D0D0D" w:themeColor="text1" w:themeTint="F2"/>
                            <w:spacing w:val="-3"/>
                          </w:rPr>
                        </w:pPr>
                        <w:r w:rsidRPr="005E1137">
                          <w:rPr>
                            <w:color w:val="0D0D0D" w:themeColor="text1" w:themeTint="F2"/>
                            <w:spacing w:val="-3"/>
                          </w:rPr>
                          <w:t>Objem bytové výstavby se v 1.</w:t>
                        </w:r>
                        <w:r>
                          <w:rPr>
                            <w:color w:val="0D0D0D" w:themeColor="text1" w:themeTint="F2"/>
                            <w:spacing w:val="-3"/>
                          </w:rPr>
                          <w:t> pololet</w:t>
                        </w:r>
                        <w:r w:rsidRPr="005E1137">
                          <w:rPr>
                            <w:color w:val="0D0D0D" w:themeColor="text1" w:themeTint="F2"/>
                            <w:spacing w:val="-3"/>
                          </w:rPr>
                          <w:t>í 2020 mírně snížil. K rychlejšímu poklesu do</w:t>
                        </w:r>
                        <w:r>
                          <w:rPr>
                            <w:color w:val="0D0D0D" w:themeColor="text1" w:themeTint="F2"/>
                            <w:spacing w:val="-3"/>
                          </w:rPr>
                          <w:t>šlo u</w:t>
                        </w:r>
                        <w:r w:rsidRPr="005E1137">
                          <w:rPr>
                            <w:color w:val="0D0D0D" w:themeColor="text1" w:themeTint="F2"/>
                            <w:spacing w:val="-3"/>
                          </w:rPr>
                          <w:t> dokončených bytů, jejich počet (15,3</w:t>
                        </w:r>
                        <w:r>
                          <w:rPr>
                            <w:color w:val="0D0D0D" w:themeColor="text1" w:themeTint="F2"/>
                            <w:spacing w:val="-3"/>
                          </w:rPr>
                          <w:t> tis.</w:t>
                        </w:r>
                        <w:r w:rsidRPr="005E1137">
                          <w:rPr>
                            <w:color w:val="0D0D0D" w:themeColor="text1" w:themeTint="F2"/>
                            <w:spacing w:val="-3"/>
                          </w:rPr>
                          <w:t>) se meziročně snížil o</w:t>
                        </w:r>
                        <w:r>
                          <w:rPr>
                            <w:color w:val="0D0D0D" w:themeColor="text1" w:themeTint="F2"/>
                            <w:spacing w:val="-3"/>
                          </w:rPr>
                          <w:t> </w:t>
                        </w:r>
                        <w:r w:rsidRPr="005E1137">
                          <w:rPr>
                            <w:color w:val="0D0D0D" w:themeColor="text1" w:themeTint="F2"/>
                            <w:spacing w:val="-3"/>
                          </w:rPr>
                          <w:t>7</w:t>
                        </w:r>
                        <w:r>
                          <w:rPr>
                            <w:color w:val="0D0D0D" w:themeColor="text1" w:themeTint="F2"/>
                            <w:spacing w:val="-3"/>
                          </w:rPr>
                          <w:t> %</w:t>
                        </w:r>
                        <w:r w:rsidRPr="005E1137">
                          <w:rPr>
                            <w:color w:val="0D0D0D" w:themeColor="text1" w:themeTint="F2"/>
                            <w:spacing w:val="-3"/>
                          </w:rPr>
                          <w:t>. Méně bytů vzniklo v nových bytových domech (</w:t>
                        </w:r>
                        <w:r w:rsidRPr="005E1137">
                          <w:rPr>
                            <w:color w:val="000000" w:themeColor="text1"/>
                            <w:spacing w:val="-3"/>
                          </w:rPr>
                          <w:t>–</w:t>
                        </w:r>
                        <w:r w:rsidRPr="005E1137">
                          <w:rPr>
                            <w:color w:val="0D0D0D" w:themeColor="text1" w:themeTint="F2"/>
                            <w:spacing w:val="-3"/>
                          </w:rPr>
                          <w:t>1,1</w:t>
                        </w:r>
                        <w:r>
                          <w:rPr>
                            <w:color w:val="0D0D0D" w:themeColor="text1" w:themeTint="F2"/>
                            <w:spacing w:val="-3"/>
                          </w:rPr>
                          <w:t> tis.</w:t>
                        </w:r>
                        <w:r w:rsidRPr="005E1137">
                          <w:rPr>
                            <w:color w:val="0D0D0D" w:themeColor="text1" w:themeTint="F2"/>
                            <w:spacing w:val="-3"/>
                          </w:rPr>
                          <w:t xml:space="preserve">), bytů v nebytových budovách či v rodinných domech </w:t>
                        </w:r>
                        <w:r w:rsidRPr="005E1137">
                          <w:rPr>
                            <w:color w:val="0D0D0D" w:themeColor="text1" w:themeTint="F2"/>
                            <w:spacing w:val="-3"/>
                          </w:rPr>
                          <w:lastRenderedPageBreak/>
                          <w:t>naopak mírně přibylo. Počet všech zahájených bytů se snížil jen nepatrně (o</w:t>
                        </w:r>
                        <w:r>
                          <w:rPr>
                            <w:color w:val="0D0D0D" w:themeColor="text1" w:themeTint="F2"/>
                            <w:spacing w:val="-3"/>
                          </w:rPr>
                          <w:t> 2,4 %</w:t>
                        </w:r>
                        <w:r w:rsidRPr="005E1137">
                          <w:rPr>
                            <w:color w:val="0D0D0D" w:themeColor="text1" w:themeTint="F2"/>
                            <w:spacing w:val="-3"/>
                          </w:rPr>
                          <w:t xml:space="preserve">), opět především vlivem nižší výstavby bytových domů. </w:t>
                        </w:r>
                        <w:r>
                          <w:rPr>
                            <w:color w:val="0D0D0D" w:themeColor="text1" w:themeTint="F2"/>
                            <w:spacing w:val="-3"/>
                          </w:rPr>
                          <w:t>Naproti tomu</w:t>
                        </w:r>
                        <w:r w:rsidRPr="005E1137">
                          <w:rPr>
                            <w:color w:val="0D0D0D" w:themeColor="text1" w:themeTint="F2"/>
                            <w:spacing w:val="-3"/>
                          </w:rPr>
                          <w:t xml:space="preserve"> četnost bytů v rodinných domech</w:t>
                        </w:r>
                        <w:r>
                          <w:rPr>
                            <w:color w:val="0D0D0D" w:themeColor="text1" w:themeTint="F2"/>
                            <w:spacing w:val="-3"/>
                          </w:rPr>
                          <w:t xml:space="preserve"> se zvyšovala již šestým rokem, když přesáhla 10 tis. a svou výší se již blížila nejvyšším pololetním úhrnům z konjunkturního období 2006 až 2008.</w:t>
                        </w:r>
                      </w:p>
                    </w:tc>
                  </w:tr>
                  <w:tr w:rsidR="004A0D0E" w14:paraId="5C05CFD6" w14:textId="77777777" w:rsidTr="0026300B">
                    <w:trPr>
                      <w:trHeight w:val="145"/>
                    </w:trPr>
                    <w:tc>
                      <w:tcPr>
                        <w:tcW w:w="1723" w:type="dxa"/>
                        <w:shd w:val="clear" w:color="auto" w:fill="auto"/>
                        <w:tcMar>
                          <w:left w:w="0" w:type="dxa"/>
                        </w:tcMar>
                      </w:tcPr>
                      <w:p w14:paraId="283E6D20" w14:textId="77777777" w:rsidR="004A0D0E" w:rsidRDefault="004A0D0E" w:rsidP="004A0D0E">
                        <w:pPr>
                          <w:pStyle w:val="Marginlie"/>
                          <w:rPr>
                            <w:rFonts w:cstheme="minorHAnsi"/>
                            <w:spacing w:val="-4"/>
                          </w:rPr>
                        </w:pPr>
                        <w:r>
                          <w:rPr>
                            <w:rFonts w:cstheme="minorHAnsi"/>
                            <w:spacing w:val="-4"/>
                          </w:rPr>
                          <w:t>O</w:t>
                        </w:r>
                        <w:r w:rsidRPr="00521C8E">
                          <w:rPr>
                            <w:rFonts w:cstheme="minorHAnsi"/>
                            <w:spacing w:val="-4"/>
                          </w:rPr>
                          <w:t>rientační hodnota stavebního povolení</w:t>
                        </w:r>
                        <w:r>
                          <w:rPr>
                            <w:rFonts w:cstheme="minorHAnsi"/>
                            <w:spacing w:val="-4"/>
                          </w:rPr>
                          <w:t xml:space="preserve"> stagnovala, nové zakázky ve 2. čtvrtletí mírně vzrostly.</w:t>
                        </w:r>
                      </w:p>
                      <w:p w14:paraId="7DED2F1A" w14:textId="77777777" w:rsidR="004A0D0E" w:rsidRDefault="004A0D0E" w:rsidP="004A0D0E">
                        <w:pPr>
                          <w:pStyle w:val="Marginlie"/>
                          <w:rPr>
                            <w:rFonts w:cstheme="minorHAnsi"/>
                            <w:spacing w:val="-4"/>
                          </w:rPr>
                        </w:pPr>
                      </w:p>
                      <w:p w14:paraId="0F34E76B" w14:textId="77777777" w:rsidR="004A0D0E" w:rsidRDefault="004A0D0E" w:rsidP="004A0D0E">
                        <w:pPr>
                          <w:pStyle w:val="Marginlie"/>
                          <w:rPr>
                            <w:rFonts w:cstheme="minorHAnsi"/>
                            <w:spacing w:val="-4"/>
                          </w:rPr>
                        </w:pPr>
                      </w:p>
                      <w:p w14:paraId="7B9EA7CB" w14:textId="77777777" w:rsidR="004A0D0E" w:rsidRDefault="004A0D0E" w:rsidP="004A0D0E">
                        <w:pPr>
                          <w:pStyle w:val="Marginlie"/>
                          <w:rPr>
                            <w:rFonts w:cstheme="minorHAnsi"/>
                            <w:spacing w:val="-4"/>
                          </w:rPr>
                        </w:pPr>
                      </w:p>
                      <w:p w14:paraId="1098123B" w14:textId="77777777" w:rsidR="004A0D0E" w:rsidRDefault="004A0D0E" w:rsidP="004A0D0E">
                        <w:pPr>
                          <w:pStyle w:val="Marginlie"/>
                          <w:rPr>
                            <w:rFonts w:cstheme="minorHAnsi"/>
                            <w:spacing w:val="-4"/>
                          </w:rPr>
                        </w:pPr>
                      </w:p>
                      <w:p w14:paraId="35002219" w14:textId="77777777" w:rsidR="004A0D0E" w:rsidRDefault="004A0D0E" w:rsidP="004A0D0E">
                        <w:pPr>
                          <w:pStyle w:val="Marginlie"/>
                        </w:pPr>
                        <w:r>
                          <w:rPr>
                            <w:rFonts w:cstheme="minorHAnsi"/>
                            <w:spacing w:val="-4"/>
                          </w:rPr>
                          <w:t>Důvěra podnikatelů ve stavebnictví sestoupila na 2,5leté minimum. Hlavní růstová bariéra odvětví se pozvolna přesouvá od nedostatku lidských zdrojů k nedostatku práce.</w:t>
                        </w:r>
                      </w:p>
                    </w:tc>
                    <w:tc>
                      <w:tcPr>
                        <w:tcW w:w="191" w:type="dxa"/>
                        <w:shd w:val="clear" w:color="auto" w:fill="auto"/>
                        <w:tcMar>
                          <w:left w:w="0" w:type="dxa"/>
                        </w:tcMar>
                      </w:tcPr>
                      <w:p w14:paraId="6128E98E" w14:textId="77777777" w:rsidR="004A0D0E" w:rsidRPr="002A4B98" w:rsidRDefault="004A0D0E" w:rsidP="004A0D0E">
                        <w:pPr>
                          <w:pStyle w:val="Textpoznpodarou"/>
                          <w:jc w:val="both"/>
                          <w:rPr>
                            <w:spacing w:val="-3"/>
                          </w:rPr>
                        </w:pPr>
                      </w:p>
                    </w:tc>
                    <w:tc>
                      <w:tcPr>
                        <w:tcW w:w="7730" w:type="dxa"/>
                        <w:shd w:val="clear" w:color="auto" w:fill="auto"/>
                        <w:tcMar>
                          <w:left w:w="0" w:type="dxa"/>
                        </w:tcMar>
                      </w:tcPr>
                      <w:p w14:paraId="7994C992" w14:textId="77777777" w:rsidR="004A0D0E" w:rsidRPr="00521C8E" w:rsidRDefault="004A0D0E" w:rsidP="004A0D0E">
                        <w:pPr>
                          <w:pStyle w:val="Textpoznpodarou"/>
                          <w:spacing w:after="200" w:line="276" w:lineRule="auto"/>
                          <w:jc w:val="both"/>
                          <w:rPr>
                            <w:color w:val="0D0D0D" w:themeColor="text1" w:themeTint="F2"/>
                            <w:spacing w:val="-4"/>
                          </w:rPr>
                        </w:pPr>
                        <w:r>
                          <w:rPr>
                            <w:rFonts w:cstheme="minorHAnsi"/>
                            <w:spacing w:val="-4"/>
                          </w:rPr>
                          <w:t>O</w:t>
                        </w:r>
                        <w:r w:rsidRPr="00521C8E">
                          <w:rPr>
                            <w:rFonts w:cstheme="minorHAnsi"/>
                            <w:spacing w:val="-4"/>
                          </w:rPr>
                          <w:t xml:space="preserve">rientační hodnota stavebního povolení </w:t>
                        </w:r>
                        <w:r>
                          <w:rPr>
                            <w:rFonts w:cstheme="minorHAnsi"/>
                            <w:spacing w:val="-4"/>
                          </w:rPr>
                          <w:t xml:space="preserve">se </w:t>
                        </w:r>
                        <w:r w:rsidRPr="00521C8E">
                          <w:rPr>
                            <w:rFonts w:cstheme="minorHAnsi"/>
                            <w:spacing w:val="-4"/>
                          </w:rPr>
                          <w:t>za prvních sedm měsíců roku 2020 proti loňské hodnotě téměř nezměnila (</w:t>
                        </w:r>
                        <w:r w:rsidRPr="00521C8E">
                          <w:rPr>
                            <w:color w:val="000000" w:themeColor="text1"/>
                            <w:spacing w:val="-4"/>
                          </w:rPr>
                          <w:t>–</w:t>
                        </w:r>
                        <w:r w:rsidRPr="00521C8E">
                          <w:rPr>
                            <w:rFonts w:cstheme="minorHAnsi"/>
                            <w:spacing w:val="-4"/>
                          </w:rPr>
                          <w:t>0,6</w:t>
                        </w:r>
                        <w:r>
                          <w:rPr>
                            <w:rFonts w:cstheme="minorHAnsi"/>
                            <w:spacing w:val="-4"/>
                          </w:rPr>
                          <w:t> %</w:t>
                        </w:r>
                        <w:r w:rsidRPr="00521C8E">
                          <w:rPr>
                            <w:rFonts w:cstheme="minorHAnsi"/>
                            <w:spacing w:val="-4"/>
                          </w:rPr>
                          <w:t>). Mírný růst u</w:t>
                        </w:r>
                        <w:r>
                          <w:rPr>
                            <w:rFonts w:cstheme="minorHAnsi"/>
                            <w:spacing w:val="-4"/>
                          </w:rPr>
                          <w:t> </w:t>
                        </w:r>
                        <w:r w:rsidRPr="00521C8E">
                          <w:rPr>
                            <w:rFonts w:cstheme="minorHAnsi"/>
                            <w:spacing w:val="-4"/>
                          </w:rPr>
                          <w:t>bytových (+4,6</w:t>
                        </w:r>
                        <w:r>
                          <w:rPr>
                            <w:rFonts w:cstheme="minorHAnsi"/>
                            <w:spacing w:val="-4"/>
                          </w:rPr>
                          <w:t> %</w:t>
                        </w:r>
                        <w:r w:rsidRPr="00521C8E">
                          <w:rPr>
                            <w:rFonts w:cstheme="minorHAnsi"/>
                            <w:spacing w:val="-4"/>
                          </w:rPr>
                          <w:t>) i</w:t>
                        </w:r>
                        <w:r>
                          <w:rPr>
                            <w:rFonts w:cstheme="minorHAnsi"/>
                            <w:spacing w:val="-4"/>
                          </w:rPr>
                          <w:t> nebytových budov (+3,9</w:t>
                        </w:r>
                        <w:r>
                          <w:rPr>
                            <w:color w:val="0D0D0D" w:themeColor="text1" w:themeTint="F2"/>
                            <w:spacing w:val="-3"/>
                          </w:rPr>
                          <w:t> </w:t>
                        </w:r>
                        <w:r w:rsidRPr="00521C8E">
                          <w:rPr>
                            <w:rFonts w:cstheme="minorHAnsi"/>
                            <w:spacing w:val="-4"/>
                          </w:rPr>
                          <w:t>%) byl kompenzován hlubším poklesem u</w:t>
                        </w:r>
                        <w:r>
                          <w:rPr>
                            <w:rFonts w:cstheme="minorHAnsi"/>
                            <w:spacing w:val="-4"/>
                          </w:rPr>
                          <w:t> </w:t>
                        </w:r>
                        <w:r w:rsidRPr="00521C8E">
                          <w:rPr>
                            <w:rFonts w:cstheme="minorHAnsi"/>
                            <w:spacing w:val="-4"/>
                          </w:rPr>
                          <w:t>inženýrských staveb (</w:t>
                        </w:r>
                        <w:r w:rsidRPr="00521C8E">
                          <w:rPr>
                            <w:color w:val="000000" w:themeColor="text1"/>
                            <w:spacing w:val="-4"/>
                          </w:rPr>
                          <w:t>–</w:t>
                        </w:r>
                        <w:r w:rsidRPr="00521C8E">
                          <w:rPr>
                            <w:rFonts w:cstheme="minorHAnsi"/>
                            <w:spacing w:val="-4"/>
                          </w:rPr>
                          <w:t>9,1</w:t>
                        </w:r>
                        <w:r>
                          <w:rPr>
                            <w:rFonts w:cstheme="minorHAnsi"/>
                            <w:spacing w:val="-4"/>
                          </w:rPr>
                          <w:t> %</w:t>
                        </w:r>
                        <w:r w:rsidRPr="00521C8E">
                          <w:rPr>
                            <w:rFonts w:cstheme="minorHAnsi"/>
                            <w:spacing w:val="-4"/>
                          </w:rPr>
                          <w:t>, zčásti vlivem vysoké loňské základny). Průměrná orientační hodnota stavebního povolení čítala ve stejném období 4,6</w:t>
                        </w:r>
                        <w:r>
                          <w:rPr>
                            <w:rFonts w:cstheme="minorHAnsi"/>
                            <w:spacing w:val="-4"/>
                          </w:rPr>
                          <w:t> mil.</w:t>
                        </w:r>
                        <w:r w:rsidRPr="00521C8E">
                          <w:rPr>
                            <w:rFonts w:cstheme="minorHAnsi"/>
                            <w:spacing w:val="-4"/>
                          </w:rPr>
                          <w:t xml:space="preserve"> korun a</w:t>
                        </w:r>
                        <w:r>
                          <w:rPr>
                            <w:rFonts w:cstheme="minorHAnsi"/>
                            <w:spacing w:val="-4"/>
                          </w:rPr>
                          <w:t> </w:t>
                        </w:r>
                        <w:r w:rsidRPr="00521C8E">
                          <w:rPr>
                            <w:rFonts w:cstheme="minorHAnsi"/>
                            <w:spacing w:val="-4"/>
                          </w:rPr>
                          <w:t xml:space="preserve">meziročně stagnovala. Příznivé bylo, že hodnota nově uzavřených tuzemských zakázek </w:t>
                        </w:r>
                        <w:r>
                          <w:rPr>
                            <w:rFonts w:cstheme="minorHAnsi"/>
                            <w:spacing w:val="-4"/>
                          </w:rPr>
                          <w:t xml:space="preserve">(v podnicích nad 50 zaměstnanců) </w:t>
                        </w:r>
                        <w:r w:rsidRPr="00521C8E">
                          <w:rPr>
                            <w:rFonts w:cstheme="minorHAnsi"/>
                            <w:spacing w:val="-4"/>
                          </w:rPr>
                          <w:t>ve 2.</w:t>
                        </w:r>
                        <w:r>
                          <w:rPr>
                            <w:rFonts w:cstheme="minorHAnsi"/>
                            <w:spacing w:val="-4"/>
                          </w:rPr>
                          <w:t> čtvrtlet</w:t>
                        </w:r>
                        <w:r w:rsidRPr="00521C8E">
                          <w:rPr>
                            <w:rFonts w:cstheme="minorHAnsi"/>
                            <w:spacing w:val="-4"/>
                          </w:rPr>
                          <w:t>í mírně vzrostla (meziročně o</w:t>
                        </w:r>
                        <w:r>
                          <w:rPr>
                            <w:rFonts w:cstheme="minorHAnsi"/>
                            <w:spacing w:val="-4"/>
                          </w:rPr>
                          <w:t> </w:t>
                        </w:r>
                        <w:r w:rsidRPr="00521C8E">
                          <w:rPr>
                            <w:rFonts w:cstheme="minorHAnsi"/>
                            <w:spacing w:val="-4"/>
                          </w:rPr>
                          <w:t>6,9</w:t>
                        </w:r>
                        <w:r>
                          <w:rPr>
                            <w:rFonts w:cstheme="minorHAnsi"/>
                            <w:spacing w:val="-4"/>
                          </w:rPr>
                          <w:t> %</w:t>
                        </w:r>
                        <w:r w:rsidRPr="00521C8E">
                          <w:rPr>
                            <w:rFonts w:cstheme="minorHAnsi"/>
                            <w:spacing w:val="-4"/>
                          </w:rPr>
                          <w:t>), a</w:t>
                        </w:r>
                        <w:r>
                          <w:rPr>
                            <w:rFonts w:cstheme="minorHAnsi"/>
                            <w:spacing w:val="-4"/>
                          </w:rPr>
                          <w:t> </w:t>
                        </w:r>
                        <w:r w:rsidRPr="00521C8E">
                          <w:rPr>
                            <w:rFonts w:cstheme="minorHAnsi"/>
                            <w:spacing w:val="-4"/>
                          </w:rPr>
                          <w:t>to zásluhou pozemního i</w:t>
                        </w:r>
                        <w:r>
                          <w:rPr>
                            <w:rFonts w:cstheme="minorHAnsi"/>
                            <w:spacing w:val="-4"/>
                          </w:rPr>
                          <w:t> </w:t>
                        </w:r>
                        <w:r w:rsidRPr="00521C8E">
                          <w:rPr>
                            <w:rFonts w:cstheme="minorHAnsi"/>
                            <w:spacing w:val="-4"/>
                          </w:rPr>
                          <w:t>inženýrského stavitelství.</w:t>
                        </w:r>
                        <w:r>
                          <w:rPr>
                            <w:rFonts w:cstheme="minorHAnsi"/>
                            <w:spacing w:val="-4"/>
                          </w:rPr>
                          <w:t xml:space="preserve"> Posilovala i celková zásoba práce ve formě dosud nerealizovaných stavebních zakázek. </w:t>
                        </w:r>
                        <w:r>
                          <w:rPr>
                            <w:rFonts w:cstheme="minorHAnsi"/>
                          </w:rPr>
                          <w:t>Na konci 2.</w:t>
                        </w:r>
                        <w:r>
                          <w:rPr>
                            <w:color w:val="0D0D0D" w:themeColor="text1" w:themeTint="F2"/>
                            <w:spacing w:val="-3"/>
                          </w:rPr>
                          <w:t> </w:t>
                        </w:r>
                        <w:r>
                          <w:rPr>
                            <w:rFonts w:cstheme="minorHAnsi"/>
                          </w:rPr>
                          <w:t>čtvrtletí byla meziročně o</w:t>
                        </w:r>
                        <w:r>
                          <w:rPr>
                            <w:color w:val="0D0D0D" w:themeColor="text1" w:themeTint="F2"/>
                            <w:spacing w:val="-3"/>
                          </w:rPr>
                          <w:t> </w:t>
                        </w:r>
                        <w:r>
                          <w:rPr>
                            <w:rFonts w:cstheme="minorHAnsi"/>
                          </w:rPr>
                          <w:t>desetinu vyšší, a to díky veřejným i soukromým objednávkám</w:t>
                        </w:r>
                        <w:r w:rsidRPr="00521C8E">
                          <w:rPr>
                            <w:rStyle w:val="Znakapoznpodarou"/>
                            <w:spacing w:val="-4"/>
                          </w:rPr>
                          <w:footnoteReference w:id="13"/>
                        </w:r>
                        <w:r>
                          <w:rPr>
                            <w:rFonts w:cstheme="minorHAnsi"/>
                          </w:rPr>
                          <w:t xml:space="preserve">. Po více než pěti letech posílil i okrajový segment zakázek v zahraničí. Více než tři pětiny zásoby práce stále připadaly na tuzemské veřejné zakázky. </w:t>
                        </w:r>
                        <w:r>
                          <w:rPr>
                            <w:color w:val="0D0D0D" w:themeColor="text1" w:themeTint="F2"/>
                            <w:spacing w:val="-4"/>
                          </w:rPr>
                          <w:t>S</w:t>
                        </w:r>
                        <w:r w:rsidRPr="002E3E92">
                          <w:rPr>
                            <w:color w:val="0D0D0D" w:themeColor="text1" w:themeTint="F2"/>
                            <w:spacing w:val="-4"/>
                          </w:rPr>
                          <w:t xml:space="preserve">aldo </w:t>
                        </w:r>
                        <w:r w:rsidRPr="002E3E92">
                          <w:rPr>
                            <w:rFonts w:cs="Arial"/>
                            <w:color w:val="0D0D0D" w:themeColor="text1" w:themeTint="F2"/>
                            <w:spacing w:val="-4"/>
                          </w:rPr>
                          <w:t>indikát</w:t>
                        </w:r>
                        <w:r>
                          <w:rPr>
                            <w:rFonts w:cs="Arial"/>
                            <w:color w:val="0D0D0D" w:themeColor="text1" w:themeTint="F2"/>
                            <w:spacing w:val="-4"/>
                          </w:rPr>
                          <w:t>oru důvěry stavebních podnikatelů se od počátku letošního roku zhoršovalo a na počátku léta kleslo na 2,5leté minimum (</w:t>
                        </w:r>
                        <w:r w:rsidRPr="00521C8E">
                          <w:rPr>
                            <w:color w:val="000000" w:themeColor="text1"/>
                            <w:spacing w:val="-4"/>
                          </w:rPr>
                          <w:t>–</w:t>
                        </w:r>
                        <w:r>
                          <w:rPr>
                            <w:rFonts w:cs="Arial"/>
                            <w:color w:val="0D0D0D" w:themeColor="text1" w:themeTint="F2"/>
                            <w:spacing w:val="-4"/>
                          </w:rPr>
                          <w:t>16 bodů). V srpnu 2020 považovalo 38 % stavebních podniků za významnou bariéru růstu nedostatečnou poptávku, stejný podíl pak i nedostatek zaměstnanců. Patrně tak skončilo dvouleté období, kdy stavebnictví limitovaly primárně lidské zdroje. Trend růstu váhy nedostatečné poptávky je od začátku letošního roku patrný.</w:t>
                        </w:r>
                      </w:p>
                    </w:tc>
                  </w:tr>
                  <w:tr w:rsidR="004A0D0E" w:rsidRPr="001A21A7" w14:paraId="19ACADFD" w14:textId="77777777" w:rsidTr="0026300B">
                    <w:trPr>
                      <w:trHeight w:val="170"/>
                    </w:trPr>
                    <w:tc>
                      <w:tcPr>
                        <w:tcW w:w="1723" w:type="dxa"/>
                        <w:vMerge w:val="restart"/>
                        <w:shd w:val="clear" w:color="auto" w:fill="auto"/>
                        <w:tcMar>
                          <w:left w:w="0" w:type="dxa"/>
                        </w:tcMar>
                      </w:tcPr>
                      <w:p w14:paraId="660330DD" w14:textId="77777777" w:rsidR="004A0D0E" w:rsidRDefault="004A0D0E" w:rsidP="004A0D0E">
                        <w:pPr>
                          <w:pStyle w:val="Marginlie"/>
                        </w:pPr>
                      </w:p>
                    </w:tc>
                    <w:tc>
                      <w:tcPr>
                        <w:tcW w:w="191" w:type="dxa"/>
                        <w:vMerge w:val="restart"/>
                        <w:shd w:val="clear" w:color="auto" w:fill="auto"/>
                        <w:tcMar>
                          <w:left w:w="0" w:type="dxa"/>
                        </w:tcMar>
                      </w:tcPr>
                      <w:p w14:paraId="23766C3F" w14:textId="77777777" w:rsidR="004A0D0E" w:rsidRDefault="004A0D0E" w:rsidP="004A0D0E">
                        <w:pPr>
                          <w:pStyle w:val="Textpoznpodarou"/>
                          <w:jc w:val="both"/>
                          <w:rPr>
                            <w:spacing w:val="-4"/>
                          </w:rPr>
                        </w:pPr>
                      </w:p>
                    </w:tc>
                    <w:tc>
                      <w:tcPr>
                        <w:tcW w:w="7730" w:type="dxa"/>
                        <w:shd w:val="clear" w:color="auto" w:fill="auto"/>
                        <w:tcMar>
                          <w:left w:w="0" w:type="dxa"/>
                        </w:tcMar>
                      </w:tcPr>
                      <w:p w14:paraId="11237E30" w14:textId="77777777" w:rsidR="004A0D0E" w:rsidRPr="00DB613B" w:rsidRDefault="004A0D0E" w:rsidP="004A0D0E">
                        <w:pPr>
                          <w:spacing w:after="0"/>
                          <w:jc w:val="left"/>
                          <w:rPr>
                            <w:b/>
                          </w:rPr>
                        </w:pPr>
                        <w:r w:rsidRPr="00DB613B">
                          <w:rPr>
                            <w:b/>
                          </w:rPr>
                          <w:t>Graf č. 6</w:t>
                        </w:r>
                        <w:r>
                          <w:rPr>
                            <w:b/>
                          </w:rPr>
                          <w:t xml:space="preserve"> </w:t>
                        </w:r>
                        <w:r w:rsidRPr="00DB613B">
                          <w:rPr>
                            <w:b/>
                          </w:rPr>
                          <w:t xml:space="preserve"> Příspěvky odvětví k meziroční změně stavební produkce </w:t>
                        </w:r>
                        <w:r w:rsidRPr="00DB613B">
                          <w:t>(v p. b.)</w:t>
                        </w:r>
                        <w:r w:rsidRPr="00DB613B">
                          <w:rPr>
                            <w:b/>
                            <w:bCs/>
                          </w:rPr>
                          <w:t>,</w:t>
                        </w:r>
                        <w:r>
                          <w:rPr>
                            <w:b/>
                            <w:bCs/>
                          </w:rPr>
                          <w:br/>
                        </w:r>
                        <w:r w:rsidRPr="00DB613B">
                          <w:rPr>
                            <w:b/>
                          </w:rPr>
                          <w:t xml:space="preserve">nové </w:t>
                        </w:r>
                        <w:r>
                          <w:rPr>
                            <w:b/>
                          </w:rPr>
                          <w:t xml:space="preserve">stavební </w:t>
                        </w:r>
                        <w:r w:rsidRPr="00DB613B">
                          <w:rPr>
                            <w:b/>
                          </w:rPr>
                          <w:t xml:space="preserve">zakázky </w:t>
                        </w:r>
                        <w:r w:rsidRPr="00DB613B">
                          <w:rPr>
                            <w:bCs/>
                          </w:rPr>
                          <w:t>(</w:t>
                        </w:r>
                        <w:r w:rsidRPr="00DB613B">
                          <w:t>meziročně</w:t>
                        </w:r>
                        <w:r w:rsidRPr="00DB613B">
                          <w:rPr>
                            <w:bCs/>
                          </w:rPr>
                          <w:t xml:space="preserve"> v %</w:t>
                        </w:r>
                        <w:r w:rsidRPr="00DB613B">
                          <w:t>, pravá osa</w:t>
                        </w:r>
                        <w:r w:rsidRPr="00DB613B">
                          <w:rPr>
                            <w:bCs/>
                          </w:rPr>
                          <w:t>)</w:t>
                        </w:r>
                        <w:r w:rsidRPr="00DB613B">
                          <w:rPr>
                            <w:b/>
                          </w:rPr>
                          <w:t>, saldo indikátoru důvěry ve</w:t>
                        </w:r>
                        <w:r>
                          <w:rPr>
                            <w:b/>
                          </w:rPr>
                          <w:t xml:space="preserve"> </w:t>
                        </w:r>
                        <w:r w:rsidRPr="00DB613B">
                          <w:rPr>
                            <w:b/>
                          </w:rPr>
                          <w:t>stavebnictví*</w:t>
                        </w:r>
                        <w:r w:rsidRPr="00DB613B">
                          <w:t xml:space="preserve"> (v p. b., pravá osa) </w:t>
                        </w:r>
                        <w:r w:rsidRPr="00DB613B">
                          <w:rPr>
                            <w:b/>
                          </w:rPr>
                          <w:t>a vybrané bariéry růstu</w:t>
                        </w:r>
                        <w:r w:rsidRPr="00DB613B">
                          <w:t>* (v %, pravá osa)</w:t>
                        </w:r>
                      </w:p>
                    </w:tc>
                  </w:tr>
                  <w:tr w:rsidR="004A0D0E" w:rsidRPr="00B4411A" w14:paraId="61127BDD" w14:textId="77777777" w:rsidTr="0026300B">
                    <w:tblPrEx>
                      <w:tblCellMar>
                        <w:left w:w="70" w:type="dxa"/>
                        <w:right w:w="70" w:type="dxa"/>
                      </w:tblCellMar>
                    </w:tblPrEx>
                    <w:trPr>
                      <w:trHeight w:val="170"/>
                    </w:trPr>
                    <w:tc>
                      <w:tcPr>
                        <w:tcW w:w="1723" w:type="dxa"/>
                        <w:vMerge/>
                        <w:shd w:val="clear" w:color="auto" w:fill="auto"/>
                      </w:tcPr>
                      <w:p w14:paraId="109B7F61" w14:textId="77777777" w:rsidR="004A0D0E" w:rsidRPr="009110F7" w:rsidRDefault="004A0D0E" w:rsidP="004A0D0E">
                        <w:pPr>
                          <w:pStyle w:val="Marginlie"/>
                        </w:pPr>
                      </w:p>
                    </w:tc>
                    <w:tc>
                      <w:tcPr>
                        <w:tcW w:w="191" w:type="dxa"/>
                        <w:vMerge/>
                        <w:shd w:val="clear" w:color="auto" w:fill="auto"/>
                      </w:tcPr>
                      <w:p w14:paraId="3872761E" w14:textId="77777777" w:rsidR="004A0D0E" w:rsidRPr="009110F7" w:rsidRDefault="004A0D0E" w:rsidP="004A0D0E">
                        <w:pPr>
                          <w:pStyle w:val="Textpoznpodarou"/>
                          <w:jc w:val="both"/>
                          <w:rPr>
                            <w:spacing w:val="-4"/>
                          </w:rPr>
                        </w:pPr>
                      </w:p>
                    </w:tc>
                    <w:tc>
                      <w:tcPr>
                        <w:tcW w:w="7730" w:type="dxa"/>
                        <w:shd w:val="clear" w:color="auto" w:fill="auto"/>
                      </w:tcPr>
                      <w:p w14:paraId="1A2A3A7D" w14:textId="77777777" w:rsidR="004A0D0E" w:rsidRPr="00DB613B" w:rsidRDefault="004A0D0E" w:rsidP="004A0D0E">
                        <w:pPr>
                          <w:spacing w:after="0"/>
                        </w:pPr>
                        <w:r>
                          <w:rPr>
                            <w:noProof/>
                          </w:rPr>
                          <w:drawing>
                            <wp:inline distT="0" distB="0" distL="0" distR="0" wp14:anchorId="0A99B02A" wp14:editId="4507E6F1">
                              <wp:extent cx="4730115" cy="3532909"/>
                              <wp:effectExtent l="0" t="0" r="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A0D0E" w:rsidRPr="004621FE" w14:paraId="41212DF5" w14:textId="77777777" w:rsidTr="0026300B">
                    <w:trPr>
                      <w:trHeight w:val="170"/>
                    </w:trPr>
                    <w:tc>
                      <w:tcPr>
                        <w:tcW w:w="1723" w:type="dxa"/>
                        <w:vMerge/>
                        <w:shd w:val="clear" w:color="auto" w:fill="auto"/>
                        <w:tcMar>
                          <w:left w:w="0" w:type="dxa"/>
                        </w:tcMar>
                      </w:tcPr>
                      <w:p w14:paraId="1D26BECE" w14:textId="77777777" w:rsidR="004A0D0E" w:rsidRPr="009110F7" w:rsidRDefault="004A0D0E" w:rsidP="004A0D0E">
                        <w:pPr>
                          <w:pStyle w:val="Marginlie"/>
                        </w:pPr>
                      </w:p>
                    </w:tc>
                    <w:tc>
                      <w:tcPr>
                        <w:tcW w:w="191" w:type="dxa"/>
                        <w:vMerge/>
                        <w:shd w:val="clear" w:color="auto" w:fill="auto"/>
                        <w:tcMar>
                          <w:left w:w="0" w:type="dxa"/>
                        </w:tcMar>
                      </w:tcPr>
                      <w:p w14:paraId="72729F6D"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325B1A73" w14:textId="77777777" w:rsidR="004A0D0E" w:rsidRPr="00DB613B" w:rsidRDefault="004A0D0E" w:rsidP="004A0D0E">
                        <w:pPr>
                          <w:spacing w:after="0"/>
                          <w:rPr>
                            <w:rFonts w:cs="Arial"/>
                            <w:sz w:val="14"/>
                            <w:szCs w:val="14"/>
                          </w:rPr>
                        </w:pPr>
                        <w:r w:rsidRPr="00DB613B">
                          <w:rPr>
                            <w:rFonts w:cs="Arial"/>
                            <w:sz w:val="14"/>
                            <w:szCs w:val="14"/>
                          </w:rPr>
                          <w:t>Údaje o stavební produkci jsou očištěny o kalendářní vlivy.</w:t>
                        </w:r>
                      </w:p>
                      <w:p w14:paraId="6C127F5F" w14:textId="77777777" w:rsidR="004A0D0E" w:rsidRDefault="004A0D0E" w:rsidP="004A0D0E">
                        <w:pPr>
                          <w:spacing w:after="0"/>
                          <w:rPr>
                            <w:rFonts w:cs="Arial"/>
                            <w:sz w:val="14"/>
                            <w:szCs w:val="14"/>
                          </w:rPr>
                        </w:pPr>
                        <w:r>
                          <w:rPr>
                            <w:rFonts w:cs="Arial"/>
                            <w:sz w:val="14"/>
                            <w:szCs w:val="14"/>
                          </w:rPr>
                          <w:t>*</w:t>
                        </w:r>
                        <w:r w:rsidRPr="00937931">
                          <w:rPr>
                            <w:rFonts w:cs="Arial"/>
                            <w:spacing w:val="-2"/>
                            <w:sz w:val="14"/>
                            <w:szCs w:val="14"/>
                          </w:rPr>
                          <w:t>Saldo důvěry i</w:t>
                        </w:r>
                        <w:r>
                          <w:rPr>
                            <w:rFonts w:cs="Arial"/>
                            <w:spacing w:val="-2"/>
                            <w:sz w:val="14"/>
                            <w:szCs w:val="14"/>
                          </w:rPr>
                          <w:t> </w:t>
                        </w:r>
                        <w:r w:rsidRPr="00937931">
                          <w:rPr>
                            <w:rFonts w:cs="Arial"/>
                            <w:spacing w:val="-2"/>
                            <w:sz w:val="14"/>
                            <w:szCs w:val="14"/>
                          </w:rPr>
                          <w:t>bariéry růstu jsou sezónně očištěny a</w:t>
                        </w:r>
                        <w:r>
                          <w:rPr>
                            <w:rFonts w:cs="Arial"/>
                            <w:spacing w:val="-2"/>
                            <w:sz w:val="14"/>
                            <w:szCs w:val="14"/>
                          </w:rPr>
                          <w:t> </w:t>
                        </w:r>
                        <w:r w:rsidRPr="00937931">
                          <w:rPr>
                            <w:rFonts w:cs="Arial"/>
                            <w:spacing w:val="-2"/>
                            <w:sz w:val="14"/>
                            <w:szCs w:val="14"/>
                          </w:rPr>
                          <w:t>vyjadřují stav v prvním měsíci daného čtvrtletí</w:t>
                        </w:r>
                        <w:r>
                          <w:rPr>
                            <w:rFonts w:cs="Arial"/>
                            <w:sz w:val="14"/>
                            <w:szCs w:val="14"/>
                          </w:rPr>
                          <w:t>.</w:t>
                        </w:r>
                      </w:p>
                      <w:p w14:paraId="1CAD584C" w14:textId="77777777" w:rsidR="004A0D0E" w:rsidRPr="00DB613B" w:rsidRDefault="004A0D0E" w:rsidP="004A0D0E">
                        <w:pPr>
                          <w:spacing w:after="200"/>
                          <w:rPr>
                            <w:rFonts w:cs="Arial"/>
                            <w:sz w:val="14"/>
                            <w:szCs w:val="14"/>
                          </w:rPr>
                        </w:pPr>
                        <w:r w:rsidRPr="00DB613B">
                          <w:rPr>
                            <w:rFonts w:cs="Arial"/>
                            <w:sz w:val="14"/>
                            <w:szCs w:val="14"/>
                          </w:rPr>
                          <w:t>Zdroj: ČSÚ</w:t>
                        </w:r>
                      </w:p>
                    </w:tc>
                  </w:tr>
                  <w:tr w:rsidR="004A0D0E" w14:paraId="41FE15AF" w14:textId="77777777" w:rsidTr="0026300B">
                    <w:trPr>
                      <w:trHeight w:val="145"/>
                    </w:trPr>
                    <w:tc>
                      <w:tcPr>
                        <w:tcW w:w="1723" w:type="dxa"/>
                        <w:shd w:val="clear" w:color="auto" w:fill="auto"/>
                        <w:tcMar>
                          <w:left w:w="0" w:type="dxa"/>
                        </w:tcMar>
                      </w:tcPr>
                      <w:p w14:paraId="30ECDB62" w14:textId="77777777" w:rsidR="004A0D0E" w:rsidRDefault="004A0D0E" w:rsidP="004A0D0E">
                        <w:pPr>
                          <w:pStyle w:val="Marginlie"/>
                        </w:pPr>
                        <w:r>
                          <w:t xml:space="preserve">Stavební produkce v Česku klesla méně </w:t>
                        </w:r>
                        <w:r>
                          <w:lastRenderedPageBreak/>
                          <w:t>než v EU, zejména díky lepšímu výkonu inženýrského stavitelství.</w:t>
                        </w:r>
                      </w:p>
                    </w:tc>
                    <w:tc>
                      <w:tcPr>
                        <w:tcW w:w="191" w:type="dxa"/>
                        <w:shd w:val="clear" w:color="auto" w:fill="auto"/>
                        <w:tcMar>
                          <w:left w:w="0" w:type="dxa"/>
                        </w:tcMar>
                      </w:tcPr>
                      <w:p w14:paraId="09A90E1B"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358ECA92" w14:textId="77777777" w:rsidR="004A0D0E" w:rsidRPr="00E051E8" w:rsidRDefault="004A0D0E" w:rsidP="004A0D0E">
                        <w:pPr>
                          <w:spacing w:after="200"/>
                          <w:rPr>
                            <w:color w:val="0D0D0D" w:themeColor="text1" w:themeTint="F2"/>
                            <w:spacing w:val="-4"/>
                          </w:rPr>
                        </w:pPr>
                        <w:r w:rsidRPr="00E051E8">
                          <w:rPr>
                            <w:color w:val="0D0D0D" w:themeColor="text1" w:themeTint="F2"/>
                            <w:spacing w:val="-4"/>
                          </w:rPr>
                          <w:t>Stavební produkce v EU klesla v 1.</w:t>
                        </w:r>
                        <w:r>
                          <w:rPr>
                            <w:color w:val="0D0D0D" w:themeColor="text1" w:themeTint="F2"/>
                            <w:spacing w:val="-4"/>
                          </w:rPr>
                          <w:t> pololet</w:t>
                        </w:r>
                        <w:r w:rsidRPr="00E051E8">
                          <w:rPr>
                            <w:color w:val="0D0D0D" w:themeColor="text1" w:themeTint="F2"/>
                            <w:spacing w:val="-4"/>
                          </w:rPr>
                          <w:t>í meziročně o</w:t>
                        </w:r>
                        <w:r>
                          <w:rPr>
                            <w:color w:val="0D0D0D" w:themeColor="text1" w:themeTint="F2"/>
                            <w:spacing w:val="-4"/>
                          </w:rPr>
                          <w:t> </w:t>
                        </w:r>
                        <w:r w:rsidRPr="00E051E8">
                          <w:rPr>
                            <w:color w:val="0D0D0D" w:themeColor="text1" w:themeTint="F2"/>
                            <w:spacing w:val="-4"/>
                          </w:rPr>
                          <w:t>7,8</w:t>
                        </w:r>
                        <w:r>
                          <w:rPr>
                            <w:color w:val="0D0D0D" w:themeColor="text1" w:themeTint="F2"/>
                            <w:spacing w:val="-4"/>
                          </w:rPr>
                          <w:t> % </w:t>
                        </w:r>
                        <w:r w:rsidRPr="00E051E8">
                          <w:rPr>
                            <w:color w:val="000000" w:themeColor="text1"/>
                            <w:spacing w:val="-4"/>
                          </w:rPr>
                          <w:t>–</w:t>
                        </w:r>
                        <w:r w:rsidRPr="00E051E8">
                          <w:rPr>
                            <w:color w:val="0D0D0D" w:themeColor="text1" w:themeTint="F2"/>
                            <w:spacing w:val="-4"/>
                          </w:rPr>
                          <w:t xml:space="preserve"> </w:t>
                        </w:r>
                        <w:r>
                          <w:rPr>
                            <w:color w:val="0D0D0D" w:themeColor="text1" w:themeTint="F2"/>
                            <w:spacing w:val="-4"/>
                          </w:rPr>
                          <w:t xml:space="preserve">tedy </w:t>
                        </w:r>
                        <w:r w:rsidRPr="00E051E8">
                          <w:rPr>
                            <w:color w:val="0D0D0D" w:themeColor="text1" w:themeTint="F2"/>
                            <w:spacing w:val="-4"/>
                          </w:rPr>
                          <w:t>téměř dvojnásobně než v </w:t>
                        </w:r>
                        <w:r>
                          <w:rPr>
                            <w:color w:val="0D0D0D" w:themeColor="text1" w:themeTint="F2"/>
                            <w:spacing w:val="-4"/>
                          </w:rPr>
                          <w:t>Česku</w:t>
                        </w:r>
                        <w:r w:rsidRPr="00E051E8">
                          <w:rPr>
                            <w:color w:val="0D0D0D" w:themeColor="text1" w:themeTint="F2"/>
                            <w:spacing w:val="-4"/>
                          </w:rPr>
                          <w:t xml:space="preserve">. </w:t>
                        </w:r>
                        <w:r>
                          <w:rPr>
                            <w:color w:val="0D0D0D" w:themeColor="text1" w:themeTint="F2"/>
                            <w:spacing w:val="-4"/>
                          </w:rPr>
                          <w:t>Největší propad ze sledovaných</w:t>
                        </w:r>
                        <w:r w:rsidRPr="00E051E8">
                          <w:rPr>
                            <w:color w:val="0D0D0D" w:themeColor="text1" w:themeTint="F2"/>
                            <w:spacing w:val="-4"/>
                          </w:rPr>
                          <w:t xml:space="preserve"> zemí</w:t>
                        </w:r>
                        <w:r w:rsidRPr="00E051E8">
                          <w:rPr>
                            <w:color w:val="0D0D0D" w:themeColor="text1" w:themeTint="F2"/>
                            <w:spacing w:val="-4"/>
                            <w:vertAlign w:val="superscript"/>
                          </w:rPr>
                          <w:footnoteReference w:id="14"/>
                        </w:r>
                        <w:r w:rsidRPr="00E051E8">
                          <w:rPr>
                            <w:color w:val="0D0D0D" w:themeColor="text1" w:themeTint="F2"/>
                            <w:spacing w:val="-4"/>
                          </w:rPr>
                          <w:t xml:space="preserve"> postihl Francii (</w:t>
                        </w:r>
                        <w:r w:rsidRPr="00E051E8">
                          <w:rPr>
                            <w:color w:val="000000" w:themeColor="text1"/>
                            <w:spacing w:val="-4"/>
                          </w:rPr>
                          <w:t>–</w:t>
                        </w:r>
                        <w:r w:rsidRPr="00E051E8">
                          <w:rPr>
                            <w:color w:val="0D0D0D" w:themeColor="text1" w:themeTint="F2"/>
                            <w:spacing w:val="-4"/>
                          </w:rPr>
                          <w:t>23,5</w:t>
                        </w:r>
                        <w:r>
                          <w:rPr>
                            <w:color w:val="0D0D0D" w:themeColor="text1" w:themeTint="F2"/>
                            <w:spacing w:val="-4"/>
                          </w:rPr>
                          <w:t> %</w:t>
                        </w:r>
                        <w:r w:rsidRPr="00E051E8">
                          <w:rPr>
                            <w:color w:val="0D0D0D" w:themeColor="text1" w:themeTint="F2"/>
                            <w:spacing w:val="-4"/>
                          </w:rPr>
                          <w:t>) a</w:t>
                        </w:r>
                        <w:r>
                          <w:rPr>
                            <w:color w:val="0D0D0D" w:themeColor="text1" w:themeTint="F2"/>
                            <w:spacing w:val="-4"/>
                          </w:rPr>
                          <w:t> </w:t>
                        </w:r>
                        <w:r w:rsidRPr="00E051E8">
                          <w:rPr>
                            <w:color w:val="0D0D0D" w:themeColor="text1" w:themeTint="F2"/>
                            <w:spacing w:val="-4"/>
                          </w:rPr>
                          <w:t>Španělsko</w:t>
                        </w:r>
                        <w:r>
                          <w:rPr>
                            <w:color w:val="0D0D0D" w:themeColor="text1" w:themeTint="F2"/>
                            <w:spacing w:val="-4"/>
                          </w:rPr>
                          <w:br/>
                        </w:r>
                        <w:r w:rsidRPr="00E051E8">
                          <w:rPr>
                            <w:color w:val="0D0D0D" w:themeColor="text1" w:themeTint="F2"/>
                            <w:spacing w:val="-4"/>
                          </w:rPr>
                          <w:lastRenderedPageBreak/>
                          <w:t>(</w:t>
                        </w:r>
                        <w:r w:rsidRPr="00E051E8">
                          <w:rPr>
                            <w:color w:val="000000" w:themeColor="text1"/>
                            <w:spacing w:val="-4"/>
                          </w:rPr>
                          <w:t>–</w:t>
                        </w:r>
                        <w:r>
                          <w:rPr>
                            <w:color w:val="000000" w:themeColor="text1"/>
                            <w:spacing w:val="-4"/>
                          </w:rPr>
                          <w:t xml:space="preserve">16,0 %). S tím kontrastoval téměř 20% nárůst v Rumunsku. K navýšení došlo v dalších osmi státech, mj. v Německu (+3,6 %) a Polsku (+0,1 %). Lepšího výsledku než EU dosáhly všechny </w:t>
                        </w:r>
                        <w:r>
                          <w:rPr>
                            <w:color w:val="0D0D0D" w:themeColor="text1" w:themeTint="F2"/>
                          </w:rPr>
                          <w:t>novější členské státy ze střední a</w:t>
                        </w:r>
                        <w:r>
                          <w:rPr>
                            <w:rFonts w:cstheme="minorHAnsi"/>
                          </w:rPr>
                          <w:t> </w:t>
                        </w:r>
                        <w:r>
                          <w:rPr>
                            <w:color w:val="0D0D0D" w:themeColor="text1" w:themeTint="F2"/>
                          </w:rPr>
                          <w:t>východní Evropy, k čemuž mnohde přispěl také svižný růst inženýrského stavitelství.</w:t>
                        </w:r>
                      </w:p>
                    </w:tc>
                  </w:tr>
                  <w:tr w:rsidR="004A0D0E" w14:paraId="66B7A5F7" w14:textId="77777777" w:rsidTr="0026300B">
                    <w:trPr>
                      <w:trHeight w:val="145"/>
                    </w:trPr>
                    <w:tc>
                      <w:tcPr>
                        <w:tcW w:w="1723" w:type="dxa"/>
                        <w:shd w:val="clear" w:color="auto" w:fill="auto"/>
                        <w:tcMar>
                          <w:left w:w="0" w:type="dxa"/>
                        </w:tcMar>
                      </w:tcPr>
                      <w:p w14:paraId="4B92C1D3" w14:textId="77777777" w:rsidR="004A0D0E" w:rsidRDefault="004A0D0E" w:rsidP="004A0D0E">
                        <w:pPr>
                          <w:pStyle w:val="Marginlie"/>
                        </w:pPr>
                        <w:r>
                          <w:t>V březnu i dubnu se tržby ve službách meziměsíčně propadly zhruba o desetinu.</w:t>
                        </w:r>
                      </w:p>
                    </w:tc>
                    <w:tc>
                      <w:tcPr>
                        <w:tcW w:w="191" w:type="dxa"/>
                        <w:shd w:val="clear" w:color="auto" w:fill="auto"/>
                        <w:tcMar>
                          <w:left w:w="0" w:type="dxa"/>
                        </w:tcMar>
                      </w:tcPr>
                      <w:p w14:paraId="5822A107"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43888087" w14:textId="77777777" w:rsidR="004A0D0E" w:rsidRPr="00281CBA" w:rsidRDefault="004A0D0E" w:rsidP="004A0D0E">
                        <w:pPr>
                          <w:spacing w:after="200"/>
                          <w:rPr>
                            <w:spacing w:val="-2"/>
                          </w:rPr>
                        </w:pPr>
                        <w:r w:rsidRPr="00281CBA">
                          <w:rPr>
                            <w:spacing w:val="-2"/>
                          </w:rPr>
                          <w:t xml:space="preserve">Tržby </w:t>
                        </w:r>
                        <w:r w:rsidRPr="00281CBA">
                          <w:rPr>
                            <w:color w:val="0D0D0D" w:themeColor="text1" w:themeTint="F2"/>
                            <w:spacing w:val="-2"/>
                          </w:rPr>
                          <w:t>ve vybraných službách</w:t>
                        </w:r>
                        <w:r w:rsidRPr="00281CBA">
                          <w:rPr>
                            <w:color w:val="0D0D0D" w:themeColor="text1" w:themeTint="F2"/>
                            <w:spacing w:val="-2"/>
                            <w:vertAlign w:val="superscript"/>
                          </w:rPr>
                          <w:footnoteReference w:id="15"/>
                        </w:r>
                        <w:r>
                          <w:rPr>
                            <w:color w:val="0D0D0D" w:themeColor="text1" w:themeTint="F2"/>
                            <w:spacing w:val="-2"/>
                          </w:rPr>
                          <w:t xml:space="preserve"> byly vládními restriktivními opatřeními citelně zasaženy. Již v březnu 2020 se meziměsíčně snížily o 8,9 %.</w:t>
                        </w:r>
                        <w:r w:rsidRPr="00281CBA">
                          <w:rPr>
                            <w:color w:val="0D0D0D" w:themeColor="text1" w:themeTint="F2"/>
                            <w:spacing w:val="-2"/>
                          </w:rPr>
                          <w:t xml:space="preserve"> V dílčích odvětvích</w:t>
                        </w:r>
                        <w:r>
                          <w:rPr>
                            <w:color w:val="0D0D0D" w:themeColor="text1" w:themeTint="F2"/>
                            <w:spacing w:val="-2"/>
                          </w:rPr>
                          <w:t xml:space="preserve"> navázaných na cestovní ruch se</w:t>
                        </w:r>
                        <w:r w:rsidRPr="00281CBA">
                          <w:rPr>
                            <w:color w:val="0D0D0D" w:themeColor="text1" w:themeTint="F2"/>
                            <w:spacing w:val="-2"/>
                          </w:rPr>
                          <w:t xml:space="preserve"> propad</w:t>
                        </w:r>
                        <w:r>
                          <w:rPr>
                            <w:color w:val="0D0D0D" w:themeColor="text1" w:themeTint="F2"/>
                            <w:spacing w:val="-2"/>
                          </w:rPr>
                          <w:t>ly téměř</w:t>
                        </w:r>
                        <w:r w:rsidRPr="00281CBA">
                          <w:rPr>
                            <w:color w:val="0D0D0D" w:themeColor="text1" w:themeTint="F2"/>
                            <w:spacing w:val="-2"/>
                          </w:rPr>
                          <w:t xml:space="preserve"> na polovinu, neboť činnost podniků v nich působících se prakticky omezila jen na první půli měsíce.</w:t>
                        </w:r>
                        <w:r>
                          <w:rPr>
                            <w:color w:val="0D0D0D" w:themeColor="text1" w:themeTint="F2"/>
                            <w:spacing w:val="-2"/>
                          </w:rPr>
                          <w:t xml:space="preserve"> V dubnu se pokles celkových tržeb mírně prohloubil (</w:t>
                        </w:r>
                        <w:r w:rsidRPr="00E051E8">
                          <w:rPr>
                            <w:color w:val="000000" w:themeColor="text1"/>
                            <w:spacing w:val="-4"/>
                          </w:rPr>
                          <w:t>–</w:t>
                        </w:r>
                        <w:r>
                          <w:rPr>
                            <w:color w:val="0D0D0D" w:themeColor="text1" w:themeTint="F2"/>
                            <w:spacing w:val="-2"/>
                          </w:rPr>
                          <w:t>10,4 %). Postupné oživení v následujících měsících v reakci na uvolňované restrikce bylo velmi pozvolné. Mezikvartální pokles ve 2. čtvrtletí tak dosáhl hlubokých 14,4 %, což byl dvojnásobek dosud rekordního útlumu z počátku roku 2009.</w:t>
                        </w:r>
                      </w:p>
                    </w:tc>
                  </w:tr>
                  <w:tr w:rsidR="004A0D0E" w:rsidRPr="00A16220" w14:paraId="7D9B9955" w14:textId="77777777" w:rsidTr="0026300B">
                    <w:trPr>
                      <w:trHeight w:val="170"/>
                    </w:trPr>
                    <w:tc>
                      <w:tcPr>
                        <w:tcW w:w="1723" w:type="dxa"/>
                        <w:vMerge w:val="restart"/>
                        <w:shd w:val="clear" w:color="auto" w:fill="auto"/>
                        <w:tcMar>
                          <w:left w:w="0" w:type="dxa"/>
                        </w:tcMar>
                      </w:tcPr>
                      <w:p w14:paraId="2E66D64A" w14:textId="77777777" w:rsidR="004A0D0E" w:rsidRDefault="004A0D0E" w:rsidP="004A0D0E">
                        <w:pPr>
                          <w:pStyle w:val="Marginlie"/>
                        </w:pPr>
                      </w:p>
                    </w:tc>
                    <w:tc>
                      <w:tcPr>
                        <w:tcW w:w="191" w:type="dxa"/>
                        <w:vMerge w:val="restart"/>
                        <w:shd w:val="clear" w:color="auto" w:fill="auto"/>
                        <w:tcMar>
                          <w:left w:w="0" w:type="dxa"/>
                        </w:tcMar>
                      </w:tcPr>
                      <w:p w14:paraId="3A379B64" w14:textId="77777777" w:rsidR="004A0D0E" w:rsidRDefault="004A0D0E" w:rsidP="004A0D0E">
                        <w:pPr>
                          <w:pStyle w:val="Textpoznpodarou"/>
                          <w:jc w:val="both"/>
                          <w:rPr>
                            <w:spacing w:val="-4"/>
                          </w:rPr>
                        </w:pPr>
                      </w:p>
                    </w:tc>
                    <w:tc>
                      <w:tcPr>
                        <w:tcW w:w="7730" w:type="dxa"/>
                        <w:shd w:val="clear" w:color="auto" w:fill="auto"/>
                        <w:tcMar>
                          <w:left w:w="0" w:type="dxa"/>
                        </w:tcMar>
                      </w:tcPr>
                      <w:p w14:paraId="02512240" w14:textId="77777777" w:rsidR="004A0D0E" w:rsidRPr="00DB613B" w:rsidRDefault="004A0D0E" w:rsidP="004A0D0E">
                        <w:pPr>
                          <w:pStyle w:val="Textpoznpodarou"/>
                          <w:spacing w:line="276" w:lineRule="auto"/>
                          <w:rPr>
                            <w:b/>
                          </w:rPr>
                        </w:pPr>
                        <w:r w:rsidRPr="00DB613B">
                          <w:rPr>
                            <w:b/>
                          </w:rPr>
                          <w:t>Graf č. 7</w:t>
                        </w:r>
                        <w:r>
                          <w:rPr>
                            <w:b/>
                          </w:rPr>
                          <w:t xml:space="preserve"> </w:t>
                        </w:r>
                        <w:r w:rsidRPr="00DB613B">
                          <w:rPr>
                            <w:b/>
                          </w:rPr>
                          <w:t xml:space="preserve"> Příspěvky odvětví k meziroční změně tržeb ve službách*</w:t>
                        </w:r>
                        <w:r>
                          <w:rPr>
                            <w:b/>
                          </w:rPr>
                          <w:br/>
                        </w:r>
                        <w:r w:rsidRPr="00DB613B">
                          <w:t>(v</w:t>
                        </w:r>
                        <w:r>
                          <w:t> p. b.</w:t>
                        </w:r>
                        <w:r w:rsidRPr="00DB613B">
                          <w:t>, očištěno o</w:t>
                        </w:r>
                        <w:r>
                          <w:t> </w:t>
                        </w:r>
                        <w:r w:rsidRPr="00DB613B">
                          <w:t>kalendářní vlivy)</w:t>
                        </w:r>
                        <w:r w:rsidRPr="00950709">
                          <w:rPr>
                            <w:b/>
                            <w:bCs/>
                          </w:rPr>
                          <w:t xml:space="preserve">, </w:t>
                        </w:r>
                        <w:r w:rsidRPr="00DB613B">
                          <w:rPr>
                            <w:b/>
                          </w:rPr>
                          <w:t>saldo indikátoru důvěry ve službách**</w:t>
                        </w:r>
                        <w:r>
                          <w:rPr>
                            <w:b/>
                          </w:rPr>
                          <w:br/>
                        </w:r>
                        <w:r w:rsidRPr="00DB613B">
                          <w:t>(v p. b.,</w:t>
                        </w:r>
                        <w:r>
                          <w:t xml:space="preserve"> p</w:t>
                        </w:r>
                        <w:r w:rsidRPr="00DB613B">
                          <w:t>ravá osa)</w:t>
                        </w:r>
                        <w:r w:rsidRPr="00DB613B">
                          <w:rPr>
                            <w:b/>
                          </w:rPr>
                          <w:t xml:space="preserve"> a vybrané bariéry růstu*</w:t>
                        </w:r>
                        <w:r w:rsidRPr="00DB613B">
                          <w:t>* (v %, pravá osa)</w:t>
                        </w:r>
                      </w:p>
                    </w:tc>
                  </w:tr>
                  <w:tr w:rsidR="004A0D0E" w:rsidRPr="00535F78" w14:paraId="6D2426C9" w14:textId="77777777" w:rsidTr="0026300B">
                    <w:tblPrEx>
                      <w:tblCellMar>
                        <w:left w:w="70" w:type="dxa"/>
                        <w:right w:w="70" w:type="dxa"/>
                      </w:tblCellMar>
                    </w:tblPrEx>
                    <w:trPr>
                      <w:trHeight w:val="170"/>
                    </w:trPr>
                    <w:tc>
                      <w:tcPr>
                        <w:tcW w:w="1723" w:type="dxa"/>
                        <w:vMerge/>
                        <w:shd w:val="clear" w:color="auto" w:fill="auto"/>
                      </w:tcPr>
                      <w:p w14:paraId="555658E7" w14:textId="77777777" w:rsidR="004A0D0E" w:rsidRPr="009110F7" w:rsidRDefault="004A0D0E" w:rsidP="004A0D0E">
                        <w:pPr>
                          <w:pStyle w:val="Marginlie"/>
                        </w:pPr>
                      </w:p>
                    </w:tc>
                    <w:tc>
                      <w:tcPr>
                        <w:tcW w:w="191" w:type="dxa"/>
                        <w:vMerge/>
                        <w:shd w:val="clear" w:color="auto" w:fill="auto"/>
                      </w:tcPr>
                      <w:p w14:paraId="6C9D6C9C" w14:textId="77777777" w:rsidR="004A0D0E" w:rsidRPr="009110F7" w:rsidRDefault="004A0D0E" w:rsidP="004A0D0E">
                        <w:pPr>
                          <w:pStyle w:val="Textpoznpodarou"/>
                          <w:jc w:val="both"/>
                          <w:rPr>
                            <w:spacing w:val="-4"/>
                          </w:rPr>
                        </w:pPr>
                      </w:p>
                    </w:tc>
                    <w:tc>
                      <w:tcPr>
                        <w:tcW w:w="7730" w:type="dxa"/>
                        <w:shd w:val="clear" w:color="auto" w:fill="auto"/>
                      </w:tcPr>
                      <w:p w14:paraId="6E5C7C94" w14:textId="77777777" w:rsidR="004A0D0E" w:rsidRPr="00DB613B" w:rsidRDefault="004A0D0E" w:rsidP="004A0D0E">
                        <w:pPr>
                          <w:spacing w:after="0"/>
                          <w:rPr>
                            <w:rFonts w:cs="Arial"/>
                            <w:sz w:val="14"/>
                            <w:szCs w:val="14"/>
                          </w:rPr>
                        </w:pPr>
                        <w:r>
                          <w:rPr>
                            <w:noProof/>
                          </w:rPr>
                          <w:drawing>
                            <wp:inline distT="0" distB="0" distL="0" distR="0" wp14:anchorId="5B33816B" wp14:editId="61F8C5DA">
                              <wp:extent cx="4772660" cy="3527946"/>
                              <wp:effectExtent l="0" t="0" r="8890" b="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A0D0E" w:rsidRPr="00535F78" w14:paraId="3B952433" w14:textId="77777777" w:rsidTr="0026300B">
                    <w:trPr>
                      <w:trHeight w:val="170"/>
                    </w:trPr>
                    <w:tc>
                      <w:tcPr>
                        <w:tcW w:w="1723" w:type="dxa"/>
                        <w:vMerge/>
                        <w:shd w:val="clear" w:color="auto" w:fill="auto"/>
                        <w:tcMar>
                          <w:left w:w="0" w:type="dxa"/>
                        </w:tcMar>
                      </w:tcPr>
                      <w:p w14:paraId="1EF0D1F3" w14:textId="77777777" w:rsidR="004A0D0E" w:rsidRPr="009110F7" w:rsidRDefault="004A0D0E" w:rsidP="004A0D0E">
                        <w:pPr>
                          <w:pStyle w:val="Marginlie"/>
                        </w:pPr>
                      </w:p>
                    </w:tc>
                    <w:tc>
                      <w:tcPr>
                        <w:tcW w:w="191" w:type="dxa"/>
                        <w:vMerge/>
                        <w:shd w:val="clear" w:color="auto" w:fill="auto"/>
                        <w:tcMar>
                          <w:left w:w="0" w:type="dxa"/>
                        </w:tcMar>
                      </w:tcPr>
                      <w:p w14:paraId="17B32488"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4E8D334C" w14:textId="77777777" w:rsidR="004A0D0E" w:rsidRPr="00DB613B" w:rsidRDefault="004A0D0E" w:rsidP="004A0D0E">
                        <w:pPr>
                          <w:spacing w:after="0"/>
                          <w:rPr>
                            <w:rFonts w:cs="Arial"/>
                            <w:sz w:val="14"/>
                            <w:szCs w:val="14"/>
                          </w:rPr>
                        </w:pPr>
                        <w:r w:rsidRPr="00DB613B">
                          <w:rPr>
                            <w:rFonts w:cs="Arial"/>
                            <w:sz w:val="14"/>
                            <w:szCs w:val="14"/>
                          </w:rPr>
                          <w:t>*</w:t>
                        </w:r>
                        <w:r w:rsidRPr="00DB613B">
                          <w:rPr>
                            <w:color w:val="0D0D0D" w:themeColor="text1" w:themeTint="F2"/>
                            <w:sz w:val="14"/>
                            <w:szCs w:val="14"/>
                          </w:rPr>
                          <w:t xml:space="preserve"> Bez odvětví obchodu, peněžnictví, pojišťovnictví, vědy, výzkumu a veřejných služeb.</w:t>
                        </w:r>
                      </w:p>
                      <w:p w14:paraId="19F5C5CD" w14:textId="77777777" w:rsidR="004A0D0E" w:rsidRDefault="004A0D0E" w:rsidP="004A0D0E">
                        <w:pPr>
                          <w:spacing w:after="0"/>
                          <w:rPr>
                            <w:rFonts w:cs="Arial"/>
                            <w:sz w:val="14"/>
                            <w:szCs w:val="14"/>
                          </w:rPr>
                        </w:pPr>
                        <w:r>
                          <w:rPr>
                            <w:rFonts w:cs="Arial"/>
                            <w:sz w:val="14"/>
                            <w:szCs w:val="14"/>
                          </w:rPr>
                          <w:t>**</w:t>
                        </w:r>
                        <w:r w:rsidRPr="00937931">
                          <w:rPr>
                            <w:rFonts w:cs="Arial"/>
                            <w:spacing w:val="-2"/>
                            <w:sz w:val="14"/>
                            <w:szCs w:val="14"/>
                          </w:rPr>
                          <w:t>Zahrnuje i finanční sektor. Saldo důvěry i</w:t>
                        </w:r>
                        <w:r>
                          <w:rPr>
                            <w:rFonts w:cs="Arial"/>
                            <w:spacing w:val="-2"/>
                            <w:sz w:val="14"/>
                            <w:szCs w:val="14"/>
                          </w:rPr>
                          <w:t> </w:t>
                        </w:r>
                        <w:r w:rsidRPr="00937931">
                          <w:rPr>
                            <w:rFonts w:cs="Arial"/>
                            <w:spacing w:val="-2"/>
                            <w:sz w:val="14"/>
                            <w:szCs w:val="14"/>
                          </w:rPr>
                          <w:t>bariéry růstu jsou sezónně očištěny a</w:t>
                        </w:r>
                        <w:r>
                          <w:rPr>
                            <w:rFonts w:cs="Arial"/>
                            <w:spacing w:val="-2"/>
                            <w:sz w:val="14"/>
                            <w:szCs w:val="14"/>
                          </w:rPr>
                          <w:t> </w:t>
                        </w:r>
                        <w:r w:rsidRPr="00937931">
                          <w:rPr>
                            <w:rFonts w:cs="Arial"/>
                            <w:spacing w:val="-2"/>
                            <w:sz w:val="14"/>
                            <w:szCs w:val="14"/>
                          </w:rPr>
                          <w:t>vyjadřují stav v prvním měsíci daného čtvrtletí.</w:t>
                        </w:r>
                      </w:p>
                      <w:p w14:paraId="04B1FF20" w14:textId="77777777" w:rsidR="004A0D0E" w:rsidRPr="00DB613B" w:rsidRDefault="004A0D0E" w:rsidP="004A0D0E">
                        <w:pPr>
                          <w:spacing w:after="180"/>
                          <w:rPr>
                            <w:rFonts w:cs="Arial"/>
                            <w:sz w:val="14"/>
                            <w:szCs w:val="14"/>
                          </w:rPr>
                        </w:pPr>
                        <w:r w:rsidRPr="00DB613B">
                          <w:rPr>
                            <w:rFonts w:cs="Arial"/>
                            <w:sz w:val="14"/>
                            <w:szCs w:val="14"/>
                          </w:rPr>
                          <w:t>Zdroj: ČSÚ</w:t>
                        </w:r>
                      </w:p>
                    </w:tc>
                  </w:tr>
                  <w:tr w:rsidR="004A0D0E" w:rsidRPr="000E298B" w14:paraId="66CE491D" w14:textId="77777777" w:rsidTr="0026300B">
                    <w:trPr>
                      <w:trHeight w:val="80"/>
                    </w:trPr>
                    <w:tc>
                      <w:tcPr>
                        <w:tcW w:w="1723" w:type="dxa"/>
                        <w:shd w:val="clear" w:color="auto" w:fill="auto"/>
                        <w:tcMar>
                          <w:left w:w="0" w:type="dxa"/>
                        </w:tcMar>
                      </w:tcPr>
                      <w:p w14:paraId="639A8D7F" w14:textId="77777777" w:rsidR="004A0D0E" w:rsidRDefault="004A0D0E" w:rsidP="004A0D0E">
                        <w:pPr>
                          <w:pStyle w:val="Marginlie"/>
                        </w:pPr>
                        <w:r>
                          <w:t>Za poklesem tržeb ve službách stály zejména slabší výkony v dopravě a skladování a též útlum v ubytování, stravování a pohostinství.</w:t>
                        </w:r>
                      </w:p>
                      <w:p w14:paraId="3B331A3A" w14:textId="77777777" w:rsidR="004A0D0E" w:rsidRDefault="004A0D0E" w:rsidP="004A0D0E">
                        <w:pPr>
                          <w:pStyle w:val="Marginlie"/>
                        </w:pPr>
                      </w:p>
                      <w:p w14:paraId="3281FBC9" w14:textId="77777777" w:rsidR="004A0D0E" w:rsidRDefault="004A0D0E" w:rsidP="004A0D0E">
                        <w:pPr>
                          <w:pStyle w:val="Marginlie"/>
                        </w:pPr>
                      </w:p>
                      <w:p w14:paraId="3FA52A42" w14:textId="77777777" w:rsidR="004A0D0E" w:rsidRDefault="004A0D0E" w:rsidP="004A0D0E">
                        <w:pPr>
                          <w:pStyle w:val="Marginlie"/>
                        </w:pPr>
                        <w:r>
                          <w:t>V růstu pokračovaly pouze telekomunikace, oblasti ICT a poštovní a kurýrní činnosti.</w:t>
                        </w:r>
                      </w:p>
                      <w:p w14:paraId="3E52F075" w14:textId="77777777" w:rsidR="004A0D0E" w:rsidRPr="00E679BC" w:rsidRDefault="004A0D0E" w:rsidP="004A0D0E">
                        <w:pPr>
                          <w:pStyle w:val="Marginlie"/>
                        </w:pPr>
                        <w:r>
                          <w:lastRenderedPageBreak/>
                          <w:t>Čtyři roky trvající růst tržeb za průzkum trhu a </w:t>
                        </w:r>
                        <w:r w:rsidRPr="00E679BC">
                          <w:t>veřejného mínění</w:t>
                        </w:r>
                        <w:r>
                          <w:t xml:space="preserve"> se zastavil.</w:t>
                        </w:r>
                      </w:p>
                    </w:tc>
                    <w:tc>
                      <w:tcPr>
                        <w:tcW w:w="191" w:type="dxa"/>
                        <w:shd w:val="clear" w:color="auto" w:fill="auto"/>
                        <w:tcMar>
                          <w:left w:w="0" w:type="dxa"/>
                        </w:tcMar>
                      </w:tcPr>
                      <w:p w14:paraId="0EDF811D"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2F68E963" w14:textId="77777777" w:rsidR="004A0D0E" w:rsidRPr="00DB613B" w:rsidRDefault="004A0D0E" w:rsidP="004A0D0E">
                        <w:pPr>
                          <w:spacing w:after="220"/>
                          <w:rPr>
                            <w:rFonts w:cs="Arial"/>
                            <w:szCs w:val="20"/>
                          </w:rPr>
                        </w:pPr>
                        <w:r w:rsidRPr="0063690C">
                          <w:rPr>
                            <w:spacing w:val="-4"/>
                          </w:rPr>
                          <w:t>V</w:t>
                        </w:r>
                        <w:r>
                          <w:rPr>
                            <w:spacing w:val="-4"/>
                          </w:rPr>
                          <w:t> </w:t>
                        </w:r>
                        <w:r w:rsidRPr="0063690C">
                          <w:rPr>
                            <w:spacing w:val="-4"/>
                          </w:rPr>
                          <w:t>1.</w:t>
                        </w:r>
                        <w:r>
                          <w:rPr>
                            <w:spacing w:val="-4"/>
                          </w:rPr>
                          <w:t> pololet</w:t>
                        </w:r>
                        <w:r w:rsidRPr="0063690C">
                          <w:rPr>
                            <w:spacing w:val="-4"/>
                          </w:rPr>
                          <w:t>í 2020 se tržby ve službách meziročně snížily o</w:t>
                        </w:r>
                        <w:r>
                          <w:rPr>
                            <w:spacing w:val="-4"/>
                          </w:rPr>
                          <w:t> </w:t>
                        </w:r>
                        <w:r w:rsidRPr="0063690C">
                          <w:rPr>
                            <w:spacing w:val="-4"/>
                          </w:rPr>
                          <w:t>12,0</w:t>
                        </w:r>
                        <w:r>
                          <w:rPr>
                            <w:spacing w:val="-4"/>
                          </w:rPr>
                          <w:t> %</w:t>
                        </w:r>
                        <w:r w:rsidRPr="0063690C">
                          <w:rPr>
                            <w:spacing w:val="-4"/>
                          </w:rPr>
                          <w:t>. Podepsal se na tom hlavně vývoj v dopravě a</w:t>
                        </w:r>
                        <w:r>
                          <w:rPr>
                            <w:spacing w:val="-4"/>
                          </w:rPr>
                          <w:t> </w:t>
                        </w:r>
                        <w:r w:rsidRPr="0063690C">
                          <w:rPr>
                            <w:spacing w:val="-4"/>
                          </w:rPr>
                          <w:t xml:space="preserve">skladování (příspěvek </w:t>
                        </w:r>
                        <w:r w:rsidRPr="0063690C">
                          <w:rPr>
                            <w:color w:val="000000" w:themeColor="text1"/>
                            <w:spacing w:val="-4"/>
                          </w:rPr>
                          <w:t>–</w:t>
                        </w:r>
                        <w:r w:rsidRPr="0063690C">
                          <w:rPr>
                            <w:spacing w:val="-4"/>
                          </w:rPr>
                          <w:t>4,5</w:t>
                        </w:r>
                        <w:r>
                          <w:rPr>
                            <w:spacing w:val="-4"/>
                          </w:rPr>
                          <w:t> p. b.</w:t>
                        </w:r>
                        <w:r w:rsidRPr="0063690C">
                          <w:rPr>
                            <w:spacing w:val="-4"/>
                          </w:rPr>
                          <w:t>) a</w:t>
                        </w:r>
                        <w:r>
                          <w:rPr>
                            <w:spacing w:val="-4"/>
                          </w:rPr>
                          <w:t> </w:t>
                        </w:r>
                        <w:r w:rsidRPr="0063690C">
                          <w:rPr>
                            <w:spacing w:val="-4"/>
                          </w:rPr>
                          <w:t>odvětví ubytování, stravování a pohostinství (</w:t>
                        </w:r>
                        <w:r w:rsidRPr="0063690C">
                          <w:rPr>
                            <w:color w:val="000000" w:themeColor="text1"/>
                            <w:spacing w:val="-4"/>
                          </w:rPr>
                          <w:t>–</w:t>
                        </w:r>
                        <w:r w:rsidRPr="0063690C">
                          <w:rPr>
                            <w:spacing w:val="-4"/>
                          </w:rPr>
                          <w:t>3,0</w:t>
                        </w:r>
                        <w:r>
                          <w:rPr>
                            <w:spacing w:val="-4"/>
                          </w:rPr>
                          <w:t> p. b.</w:t>
                        </w:r>
                        <w:r w:rsidRPr="0063690C">
                          <w:rPr>
                            <w:spacing w:val="-4"/>
                          </w:rPr>
                          <w:t>). Postiženy však byly i</w:t>
                        </w:r>
                        <w:r>
                          <w:rPr>
                            <w:spacing w:val="-4"/>
                          </w:rPr>
                          <w:t> </w:t>
                        </w:r>
                        <w:r w:rsidRPr="0063690C">
                          <w:rPr>
                            <w:spacing w:val="-4"/>
                          </w:rPr>
                          <w:t>ostatní odvětvové sekce</w:t>
                        </w:r>
                        <w:r>
                          <w:rPr>
                            <w:spacing w:val="-4"/>
                          </w:rPr>
                          <w:t> </w:t>
                        </w:r>
                        <w:r w:rsidRPr="0063690C">
                          <w:rPr>
                            <w:color w:val="000000" w:themeColor="text1"/>
                            <w:spacing w:val="-4"/>
                          </w:rPr>
                          <w:t>–</w:t>
                        </w:r>
                        <w:r w:rsidRPr="0063690C">
                          <w:rPr>
                            <w:spacing w:val="-4"/>
                          </w:rPr>
                          <w:t xml:space="preserve"> nejméně z nich pak informační a</w:t>
                        </w:r>
                        <w:r>
                          <w:rPr>
                            <w:spacing w:val="-4"/>
                          </w:rPr>
                          <w:t> </w:t>
                        </w:r>
                        <w:r w:rsidRPr="0063690C">
                          <w:rPr>
                            <w:spacing w:val="-4"/>
                          </w:rPr>
                          <w:t>komunikační činnosti (příspěvek +0,3</w:t>
                        </w:r>
                        <w:r>
                          <w:rPr>
                            <w:spacing w:val="-4"/>
                          </w:rPr>
                          <w:t> p. b.</w:t>
                        </w:r>
                        <w:r w:rsidRPr="0063690C">
                          <w:rPr>
                            <w:spacing w:val="-4"/>
                          </w:rPr>
                          <w:t>, růst odvětví 1,7</w:t>
                        </w:r>
                        <w:r>
                          <w:rPr>
                            <w:spacing w:val="-4"/>
                          </w:rPr>
                          <w:t> %</w:t>
                        </w:r>
                        <w:r w:rsidRPr="0063690C">
                          <w:rPr>
                            <w:spacing w:val="-4"/>
                          </w:rPr>
                          <w:t>). Zatímco některé oddíly tohoto odvětví ze zvýšené poptávky během koronakrize profitovaly (telekomunikační činnosti, oblasti I</w:t>
                        </w:r>
                        <w:r>
                          <w:rPr>
                            <w:spacing w:val="-4"/>
                          </w:rPr>
                          <w:t>C</w:t>
                        </w:r>
                        <w:r w:rsidRPr="0063690C">
                          <w:rPr>
                            <w:spacing w:val="-4"/>
                          </w:rPr>
                          <w:t>T), jiné byly různou měrou zasaženy (vydavatelské činnosti, tvorba programů a</w:t>
                        </w:r>
                        <w:r>
                          <w:rPr>
                            <w:spacing w:val="-4"/>
                          </w:rPr>
                          <w:t> </w:t>
                        </w:r>
                        <w:r w:rsidRPr="0063690C">
                          <w:rPr>
                            <w:spacing w:val="-4"/>
                          </w:rPr>
                          <w:t>vysílání a</w:t>
                        </w:r>
                        <w:r>
                          <w:rPr>
                            <w:spacing w:val="-4"/>
                          </w:rPr>
                          <w:t> </w:t>
                        </w:r>
                        <w:r w:rsidRPr="0063690C">
                          <w:rPr>
                            <w:spacing w:val="-4"/>
                          </w:rPr>
                          <w:t xml:space="preserve">zejména tzv. </w:t>
                        </w:r>
                        <w:r w:rsidRPr="0063690C">
                          <w:rPr>
                            <w:color w:val="0D0D0D" w:themeColor="text1" w:themeTint="F2"/>
                            <w:spacing w:val="-4"/>
                          </w:rPr>
                          <w:t>filmový a hudební průmysl, kde tržby propadly o</w:t>
                        </w:r>
                        <w:r>
                          <w:rPr>
                            <w:color w:val="0D0D0D" w:themeColor="text1" w:themeTint="F2"/>
                            <w:spacing w:val="-4"/>
                          </w:rPr>
                          <w:t> </w:t>
                        </w:r>
                        <w:r w:rsidRPr="0063690C">
                          <w:rPr>
                            <w:color w:val="0D0D0D" w:themeColor="text1" w:themeTint="F2"/>
                            <w:spacing w:val="-4"/>
                          </w:rPr>
                          <w:t>více než třetinu</w:t>
                        </w:r>
                        <w:r w:rsidRPr="0063690C">
                          <w:rPr>
                            <w:rStyle w:val="Znakapoznpodarou"/>
                            <w:spacing w:val="-4"/>
                          </w:rPr>
                          <w:footnoteReference w:id="16"/>
                        </w:r>
                        <w:r w:rsidRPr="0063690C">
                          <w:rPr>
                            <w:color w:val="0D0D0D" w:themeColor="text1" w:themeTint="F2"/>
                            <w:spacing w:val="-4"/>
                          </w:rPr>
                          <w:t>). Také odvětví dopravy a</w:t>
                        </w:r>
                        <w:r>
                          <w:rPr>
                            <w:color w:val="0D0D0D" w:themeColor="text1" w:themeTint="F2"/>
                            <w:spacing w:val="-4"/>
                          </w:rPr>
                          <w:t> </w:t>
                        </w:r>
                        <w:r w:rsidRPr="0063690C">
                          <w:rPr>
                            <w:color w:val="0D0D0D" w:themeColor="text1" w:themeTint="F2"/>
                            <w:spacing w:val="-4"/>
                          </w:rPr>
                          <w:t>skladování se vyznačovalo různorodým vývojem. Hluboký propad letecké dopravy (</w:t>
                        </w:r>
                        <w:r w:rsidRPr="0063690C">
                          <w:rPr>
                            <w:color w:val="000000" w:themeColor="text1"/>
                            <w:spacing w:val="-4"/>
                          </w:rPr>
                          <w:t>–</w:t>
                        </w:r>
                        <w:r w:rsidRPr="0063690C">
                          <w:rPr>
                            <w:color w:val="0D0D0D" w:themeColor="text1" w:themeTint="F2"/>
                            <w:spacing w:val="-4"/>
                          </w:rPr>
                          <w:t>63,9</w:t>
                        </w:r>
                        <w:r>
                          <w:rPr>
                            <w:color w:val="0D0D0D" w:themeColor="text1" w:themeTint="F2"/>
                            <w:spacing w:val="-4"/>
                          </w:rPr>
                          <w:t> %</w:t>
                        </w:r>
                        <w:r w:rsidRPr="0063690C">
                          <w:rPr>
                            <w:color w:val="0D0D0D" w:themeColor="text1" w:themeTint="F2"/>
                            <w:spacing w:val="-4"/>
                          </w:rPr>
                          <w:t>) i</w:t>
                        </w:r>
                        <w:r>
                          <w:rPr>
                            <w:color w:val="0D0D0D" w:themeColor="text1" w:themeTint="F2"/>
                            <w:spacing w:val="-4"/>
                          </w:rPr>
                          <w:t> </w:t>
                        </w:r>
                        <w:r w:rsidRPr="0063690C">
                          <w:rPr>
                            <w:color w:val="0D0D0D" w:themeColor="text1" w:themeTint="F2"/>
                            <w:spacing w:val="-4"/>
                          </w:rPr>
                          <w:t>významný pokles v klíčovém oddíle pozemní a</w:t>
                        </w:r>
                        <w:r>
                          <w:rPr>
                            <w:color w:val="0D0D0D" w:themeColor="text1" w:themeTint="F2"/>
                            <w:spacing w:val="-4"/>
                          </w:rPr>
                          <w:t> </w:t>
                        </w:r>
                        <w:r w:rsidRPr="0063690C">
                          <w:rPr>
                            <w:color w:val="0D0D0D" w:themeColor="text1" w:themeTint="F2"/>
                            <w:spacing w:val="-4"/>
                          </w:rPr>
                          <w:t>potrubní doprava (</w:t>
                        </w:r>
                        <w:r w:rsidRPr="0063690C">
                          <w:rPr>
                            <w:color w:val="000000" w:themeColor="text1"/>
                            <w:spacing w:val="-4"/>
                          </w:rPr>
                          <w:t>–</w:t>
                        </w:r>
                        <w:r w:rsidRPr="0063690C">
                          <w:rPr>
                            <w:color w:val="0D0D0D" w:themeColor="text1" w:themeTint="F2"/>
                            <w:spacing w:val="-4"/>
                          </w:rPr>
                          <w:t>15,0</w:t>
                        </w:r>
                        <w:r>
                          <w:rPr>
                            <w:color w:val="0D0D0D" w:themeColor="text1" w:themeTint="F2"/>
                            <w:spacing w:val="-4"/>
                          </w:rPr>
                          <w:t> %</w:t>
                        </w:r>
                        <w:r w:rsidRPr="0063690C">
                          <w:rPr>
                            <w:color w:val="0D0D0D" w:themeColor="text1" w:themeTint="F2"/>
                            <w:spacing w:val="-4"/>
                          </w:rPr>
                          <w:t>) kontrastoval</w:t>
                        </w:r>
                        <w:r>
                          <w:rPr>
                            <w:color w:val="0D0D0D" w:themeColor="text1" w:themeTint="F2"/>
                            <w:spacing w:val="-4"/>
                          </w:rPr>
                          <w:t xml:space="preserve">y s rostoucí poptávkou </w:t>
                        </w:r>
                        <w:r>
                          <w:rPr>
                            <w:color w:val="0D0D0D" w:themeColor="text1" w:themeTint="F2"/>
                            <w:spacing w:val="-4"/>
                          </w:rPr>
                          <w:lastRenderedPageBreak/>
                          <w:t xml:space="preserve">po </w:t>
                        </w:r>
                        <w:r w:rsidRPr="0063690C">
                          <w:rPr>
                            <w:color w:val="0D0D0D" w:themeColor="text1" w:themeTint="F2"/>
                            <w:spacing w:val="-4"/>
                          </w:rPr>
                          <w:t>poštovních a</w:t>
                        </w:r>
                        <w:r>
                          <w:rPr>
                            <w:color w:val="0D0D0D" w:themeColor="text1" w:themeTint="F2"/>
                            <w:spacing w:val="-4"/>
                          </w:rPr>
                          <w:t> </w:t>
                        </w:r>
                        <w:r w:rsidRPr="0063690C">
                          <w:rPr>
                            <w:color w:val="0D0D0D" w:themeColor="text1" w:themeTint="F2"/>
                            <w:spacing w:val="-4"/>
                          </w:rPr>
                          <w:t>kurýrních činnostech (+8,8</w:t>
                        </w:r>
                        <w:r>
                          <w:rPr>
                            <w:color w:val="0D0D0D" w:themeColor="text1" w:themeTint="F2"/>
                            <w:spacing w:val="-4"/>
                          </w:rPr>
                          <w:t> %</w:t>
                        </w:r>
                        <w:r w:rsidRPr="0063690C">
                          <w:rPr>
                            <w:color w:val="0D0D0D" w:themeColor="text1" w:themeTint="F2"/>
                            <w:spacing w:val="-4"/>
                          </w:rPr>
                          <w:t>). V</w:t>
                        </w:r>
                        <w:r>
                          <w:rPr>
                            <w:color w:val="0D0D0D" w:themeColor="text1" w:themeTint="F2"/>
                            <w:spacing w:val="-4"/>
                          </w:rPr>
                          <w:t> </w:t>
                        </w:r>
                        <w:r w:rsidRPr="0063690C">
                          <w:rPr>
                            <w:spacing w:val="-4"/>
                          </w:rPr>
                          <w:t>ubytování, stravování a pohostinství klesly tržby skoro o</w:t>
                        </w:r>
                        <w:r>
                          <w:rPr>
                            <w:spacing w:val="-4"/>
                          </w:rPr>
                          <w:t> </w:t>
                        </w:r>
                        <w:r w:rsidRPr="0063690C">
                          <w:rPr>
                            <w:spacing w:val="-4"/>
                          </w:rPr>
                          <w:t>dvě pětiny. V samotném ubytování činil propad 53,4 %</w:t>
                        </w:r>
                        <w:r w:rsidRPr="0063690C">
                          <w:rPr>
                            <w:color w:val="0D0D0D" w:themeColor="text1" w:themeTint="F2"/>
                            <w:spacing w:val="-4"/>
                            <w:vertAlign w:val="superscript"/>
                          </w:rPr>
                          <w:footnoteReference w:id="17"/>
                        </w:r>
                        <w:r w:rsidRPr="0063690C">
                          <w:rPr>
                            <w:spacing w:val="-4"/>
                          </w:rPr>
                          <w:t>. Odvětví administrativní a</w:t>
                        </w:r>
                        <w:r>
                          <w:rPr>
                            <w:spacing w:val="-4"/>
                          </w:rPr>
                          <w:t> </w:t>
                        </w:r>
                        <w:r w:rsidRPr="0063690C">
                          <w:rPr>
                            <w:spacing w:val="-4"/>
                          </w:rPr>
                          <w:t xml:space="preserve">podpůrné činnosti zaznamenalo </w:t>
                        </w:r>
                        <w:r>
                          <w:rPr>
                            <w:spacing w:val="-4"/>
                          </w:rPr>
                          <w:t xml:space="preserve">téměř </w:t>
                        </w:r>
                        <w:r w:rsidRPr="0063690C">
                          <w:rPr>
                            <w:spacing w:val="-4"/>
                          </w:rPr>
                          <w:t>čtvrtinový propad tržeb. Projevil se očekávaný hluboký pokles výkonů cestovních kanceláří a agentur (</w:t>
                        </w:r>
                        <w:r w:rsidRPr="0063690C">
                          <w:rPr>
                            <w:color w:val="000000" w:themeColor="text1"/>
                            <w:spacing w:val="-4"/>
                          </w:rPr>
                          <w:t>–</w:t>
                        </w:r>
                        <w:r w:rsidRPr="0063690C">
                          <w:rPr>
                            <w:spacing w:val="-4"/>
                          </w:rPr>
                          <w:t>63,9</w:t>
                        </w:r>
                        <w:r>
                          <w:rPr>
                            <w:spacing w:val="-4"/>
                          </w:rPr>
                          <w:t> %</w:t>
                        </w:r>
                        <w:r w:rsidRPr="0063690C">
                          <w:rPr>
                            <w:spacing w:val="-4"/>
                          </w:rPr>
                          <w:t>), skoro o</w:t>
                        </w:r>
                        <w:r>
                          <w:rPr>
                            <w:spacing w:val="-4"/>
                          </w:rPr>
                          <w:t xml:space="preserve"> čtvrtinu</w:t>
                        </w:r>
                        <w:r w:rsidRPr="0063690C">
                          <w:rPr>
                            <w:spacing w:val="-4"/>
                          </w:rPr>
                          <w:t xml:space="preserve"> se snížily i</w:t>
                        </w:r>
                        <w:r>
                          <w:rPr>
                            <w:spacing w:val="-4"/>
                          </w:rPr>
                          <w:t> </w:t>
                        </w:r>
                        <w:r w:rsidRPr="0063690C">
                          <w:rPr>
                            <w:spacing w:val="-4"/>
                          </w:rPr>
                          <w:t>tržby pracov</w:t>
                        </w:r>
                        <w:r>
                          <w:rPr>
                            <w:spacing w:val="-4"/>
                          </w:rPr>
                          <w:t>ním agenturám</w:t>
                        </w:r>
                        <w:r w:rsidRPr="0063690C">
                          <w:rPr>
                            <w:spacing w:val="-4"/>
                          </w:rPr>
                          <w:t>. Pokles o</w:t>
                        </w:r>
                        <w:r>
                          <w:rPr>
                            <w:spacing w:val="-4"/>
                          </w:rPr>
                          <w:t> </w:t>
                        </w:r>
                        <w:r w:rsidRPr="0063690C">
                          <w:rPr>
                            <w:spacing w:val="-4"/>
                          </w:rPr>
                          <w:t>bezmála desetinu zasáhl i</w:t>
                        </w:r>
                        <w:r>
                          <w:rPr>
                            <w:spacing w:val="-4"/>
                          </w:rPr>
                          <w:t> </w:t>
                        </w:r>
                        <w:r w:rsidRPr="0063690C">
                          <w:rPr>
                            <w:spacing w:val="-4"/>
                          </w:rPr>
                          <w:t>odvětví profesní, vědecké a</w:t>
                        </w:r>
                        <w:r>
                          <w:rPr>
                            <w:spacing w:val="-4"/>
                          </w:rPr>
                          <w:t> </w:t>
                        </w:r>
                        <w:r w:rsidRPr="0063690C">
                          <w:rPr>
                            <w:spacing w:val="-4"/>
                          </w:rPr>
                          <w:t>technické činnosti.</w:t>
                        </w:r>
                        <w:r w:rsidRPr="00281CBA">
                          <w:rPr>
                            <w:spacing w:val="-2"/>
                          </w:rPr>
                          <w:t xml:space="preserve"> </w:t>
                        </w:r>
                        <w:r>
                          <w:rPr>
                            <w:spacing w:val="-2"/>
                          </w:rPr>
                          <w:t>Negativní vliv měly hlavně</w:t>
                        </w:r>
                        <w:r w:rsidRPr="00281CBA">
                          <w:rPr>
                            <w:spacing w:val="-2"/>
                          </w:rPr>
                          <w:t xml:space="preserve"> </w:t>
                        </w:r>
                        <w:r>
                          <w:rPr>
                            <w:spacing w:val="-2"/>
                          </w:rPr>
                          <w:t>nižší výkony ostatních profesních a vědeckých činností (</w:t>
                        </w:r>
                        <w:r w:rsidRPr="00281CBA">
                          <w:rPr>
                            <w:color w:val="000000" w:themeColor="text1"/>
                            <w:spacing w:val="-2"/>
                          </w:rPr>
                          <w:t>–</w:t>
                        </w:r>
                        <w:r>
                          <w:rPr>
                            <w:spacing w:val="-2"/>
                          </w:rPr>
                          <w:t>13,0 %) a také architektonických i </w:t>
                        </w:r>
                        <w:r w:rsidRPr="00281CBA">
                          <w:rPr>
                            <w:spacing w:val="-2"/>
                          </w:rPr>
                          <w:t>inženýrských činností (</w:t>
                        </w:r>
                        <w:r w:rsidRPr="00281CBA">
                          <w:rPr>
                            <w:color w:val="000000" w:themeColor="text1"/>
                            <w:spacing w:val="-2"/>
                          </w:rPr>
                          <w:t>–</w:t>
                        </w:r>
                        <w:r>
                          <w:rPr>
                            <w:spacing w:val="-2"/>
                          </w:rPr>
                          <w:t>8,1 %</w:t>
                        </w:r>
                        <w:r w:rsidRPr="00281CBA">
                          <w:rPr>
                            <w:spacing w:val="-2"/>
                          </w:rPr>
                          <w:t>)</w:t>
                        </w:r>
                        <w:r>
                          <w:rPr>
                            <w:spacing w:val="-2"/>
                          </w:rPr>
                          <w:t>, poptávka ale klesala ve všech dílčích oborech, vč. dlouhodobě rostoucího průzkumu trhu a veřejného mínění. Nejméně dotčeny zůstaly p</w:t>
                        </w:r>
                        <w:r w:rsidRPr="00F63ADE">
                          <w:rPr>
                            <w:spacing w:val="-2"/>
                          </w:rPr>
                          <w:t>rávní a</w:t>
                        </w:r>
                        <w:r>
                          <w:rPr>
                            <w:spacing w:val="-2"/>
                          </w:rPr>
                          <w:t> </w:t>
                        </w:r>
                        <w:r w:rsidRPr="00F63ADE">
                          <w:rPr>
                            <w:spacing w:val="-2"/>
                          </w:rPr>
                          <w:t>účetnické činnosti</w:t>
                        </w:r>
                        <w:r>
                          <w:rPr>
                            <w:spacing w:val="-2"/>
                          </w:rPr>
                          <w:t xml:space="preserve">. Mírný pokles byl zaznamenán i v odvětví činnosti v oblasti nemovitostí </w:t>
                        </w:r>
                        <w:r w:rsidRPr="00281CBA">
                          <w:rPr>
                            <w:spacing w:val="-2"/>
                          </w:rPr>
                          <w:t>(</w:t>
                        </w:r>
                        <w:r w:rsidRPr="00281CBA">
                          <w:rPr>
                            <w:color w:val="000000" w:themeColor="text1"/>
                            <w:spacing w:val="-2"/>
                          </w:rPr>
                          <w:t>–</w:t>
                        </w:r>
                        <w:r>
                          <w:rPr>
                            <w:spacing w:val="-2"/>
                          </w:rPr>
                          <w:t>1,3 %</w:t>
                        </w:r>
                        <w:r w:rsidRPr="00281CBA">
                          <w:rPr>
                            <w:spacing w:val="-2"/>
                          </w:rPr>
                          <w:t>)</w:t>
                        </w:r>
                        <w:r>
                          <w:rPr>
                            <w:spacing w:val="-2"/>
                          </w:rPr>
                          <w:t>.</w:t>
                        </w:r>
                      </w:p>
                    </w:tc>
                  </w:tr>
                  <w:tr w:rsidR="004A0D0E" w:rsidRPr="000E298B" w14:paraId="59A32F50" w14:textId="77777777" w:rsidTr="0026300B">
                    <w:trPr>
                      <w:trHeight w:val="80"/>
                    </w:trPr>
                    <w:tc>
                      <w:tcPr>
                        <w:tcW w:w="1723" w:type="dxa"/>
                        <w:shd w:val="clear" w:color="auto" w:fill="auto"/>
                        <w:tcMar>
                          <w:left w:w="0" w:type="dxa"/>
                        </w:tcMar>
                      </w:tcPr>
                      <w:p w14:paraId="12D7C8B0" w14:textId="77777777" w:rsidR="004A0D0E" w:rsidRDefault="004A0D0E" w:rsidP="004A0D0E">
                        <w:pPr>
                          <w:pStyle w:val="Marginlie"/>
                          <w:rPr>
                            <w:color w:val="0D0D0D" w:themeColor="text1" w:themeTint="F2"/>
                            <w:spacing w:val="-4"/>
                          </w:rPr>
                        </w:pPr>
                        <w:r>
                          <w:rPr>
                            <w:color w:val="0D0D0D" w:themeColor="text1" w:themeTint="F2"/>
                            <w:spacing w:val="-4"/>
                          </w:rPr>
                          <w:t>Růst maloobchodních tržeb se vlivem restriktivních opatření i zhoršení spotřebitelské důvěry zastavil. Na konci 2. čtvrtletí ale došlo k mírnému oživení.</w:t>
                        </w:r>
                      </w:p>
                    </w:tc>
                    <w:tc>
                      <w:tcPr>
                        <w:tcW w:w="191" w:type="dxa"/>
                        <w:shd w:val="clear" w:color="auto" w:fill="auto"/>
                        <w:tcMar>
                          <w:left w:w="0" w:type="dxa"/>
                        </w:tcMar>
                      </w:tcPr>
                      <w:p w14:paraId="7B3AB1AB"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15BEF3FF" w14:textId="77777777" w:rsidR="004A0D0E" w:rsidRPr="00DB613B" w:rsidRDefault="004A0D0E" w:rsidP="004A0D0E">
                        <w:pPr>
                          <w:spacing w:after="220"/>
                          <w:rPr>
                            <w:rFonts w:cs="Arial"/>
                            <w:szCs w:val="20"/>
                          </w:rPr>
                        </w:pPr>
                        <w:r w:rsidRPr="00DB613B">
                          <w:rPr>
                            <w:rFonts w:cs="Arial"/>
                            <w:szCs w:val="20"/>
                          </w:rPr>
                          <w:t>Maloobchodních tržby</w:t>
                        </w:r>
                        <w:r w:rsidRPr="00DB613B">
                          <w:rPr>
                            <w:rStyle w:val="Znakapoznpodarou"/>
                          </w:rPr>
                          <w:footnoteReference w:id="18"/>
                        </w:r>
                        <w:r>
                          <w:rPr>
                            <w:rFonts w:cs="Arial"/>
                            <w:szCs w:val="20"/>
                          </w:rPr>
                          <w:t xml:space="preserve"> během 1. čtvrtletí 2020 klesly o 2,3 % (šlo o první mezikvartální pokles od konce roku 2013). Obdobné tempo se zopakovalo i v následujícím období. Tyto výsledky byly zásadně ovlivněny protipandemickými opatřeními, která limitovala nákupní možnosti obyvatel zejména v březnu a dubnu</w:t>
                        </w:r>
                        <w:r w:rsidRPr="00DB613B">
                          <w:rPr>
                            <w:rStyle w:val="Znakapoznpodarou"/>
                          </w:rPr>
                          <w:footnoteReference w:id="19"/>
                        </w:r>
                        <w:r>
                          <w:rPr>
                            <w:rFonts w:cs="Arial"/>
                            <w:szCs w:val="20"/>
                          </w:rPr>
                          <w:t>. I později se celé odvětví potýkalo se stále oslabenou poptávkou ze strany nerezidentů a nákupní apetit tuzemských domácností byl tlumen zhoršující se spotřebitelskou důvěrou, razantním snížením nominálních průměrných mezd i zvyšujícími se obavami domácností z růstu cen i nezaměstnanosti. I přesto došlo k obnovení dosud křehkého meziročního růstu tržeb v květnu (+0,7 %) i červenci (+1,9 %).</w:t>
                        </w:r>
                      </w:p>
                    </w:tc>
                  </w:tr>
                  <w:tr w:rsidR="004A0D0E" w:rsidRPr="000E298B" w14:paraId="2F85A738" w14:textId="77777777" w:rsidTr="0026300B">
                    <w:trPr>
                      <w:trHeight w:val="80"/>
                    </w:trPr>
                    <w:tc>
                      <w:tcPr>
                        <w:tcW w:w="1723" w:type="dxa"/>
                        <w:shd w:val="clear" w:color="auto" w:fill="auto"/>
                        <w:tcMar>
                          <w:left w:w="0" w:type="dxa"/>
                        </w:tcMar>
                      </w:tcPr>
                      <w:p w14:paraId="645AFA4F" w14:textId="77777777" w:rsidR="004A0D0E" w:rsidRDefault="004A0D0E" w:rsidP="004A0D0E">
                        <w:pPr>
                          <w:pStyle w:val="Marginlie"/>
                          <w:rPr>
                            <w:color w:val="0D0D0D" w:themeColor="text1" w:themeTint="F2"/>
                            <w:spacing w:val="-4"/>
                          </w:rPr>
                        </w:pPr>
                        <w:r>
                          <w:rPr>
                            <w:color w:val="0D0D0D" w:themeColor="text1" w:themeTint="F2"/>
                            <w:spacing w:val="-4"/>
                          </w:rPr>
                          <w:t>Pokles maloobchodu byl v 1. pololetí tažen zejména významnou redukcí tržeb z prodeje pohonných hmot.</w:t>
                        </w:r>
                      </w:p>
                      <w:p w14:paraId="11419845" w14:textId="77777777" w:rsidR="004A0D0E" w:rsidRDefault="004A0D0E" w:rsidP="004A0D0E">
                        <w:pPr>
                          <w:pStyle w:val="Marginlie"/>
                          <w:rPr>
                            <w:color w:val="0D0D0D" w:themeColor="text1" w:themeTint="F2"/>
                            <w:spacing w:val="-4"/>
                          </w:rPr>
                        </w:pPr>
                      </w:p>
                      <w:p w14:paraId="1C7B544D" w14:textId="77777777" w:rsidR="004A0D0E" w:rsidRDefault="004A0D0E" w:rsidP="004A0D0E">
                        <w:pPr>
                          <w:pStyle w:val="Marginlie"/>
                          <w:rPr>
                            <w:color w:val="0D0D0D" w:themeColor="text1" w:themeTint="F2"/>
                            <w:spacing w:val="-4"/>
                          </w:rPr>
                        </w:pPr>
                      </w:p>
                      <w:p w14:paraId="425DE185" w14:textId="77777777" w:rsidR="004A0D0E" w:rsidRDefault="004A0D0E" w:rsidP="004A0D0E">
                        <w:pPr>
                          <w:pStyle w:val="Marginlie"/>
                          <w:rPr>
                            <w:color w:val="0D0D0D" w:themeColor="text1" w:themeTint="F2"/>
                            <w:spacing w:val="-4"/>
                          </w:rPr>
                        </w:pPr>
                      </w:p>
                      <w:p w14:paraId="26A17319" w14:textId="77777777" w:rsidR="004A0D0E" w:rsidRDefault="004A0D0E" w:rsidP="004A0D0E">
                        <w:pPr>
                          <w:pStyle w:val="Marginlie"/>
                          <w:rPr>
                            <w:color w:val="0D0D0D" w:themeColor="text1" w:themeTint="F2"/>
                            <w:spacing w:val="-4"/>
                          </w:rPr>
                        </w:pPr>
                      </w:p>
                      <w:p w14:paraId="1AC96060" w14:textId="77777777" w:rsidR="004A0D0E" w:rsidRDefault="004A0D0E" w:rsidP="004A0D0E">
                        <w:pPr>
                          <w:pStyle w:val="Marginlie"/>
                          <w:rPr>
                            <w:color w:val="0D0D0D" w:themeColor="text1" w:themeTint="F2"/>
                            <w:spacing w:val="-4"/>
                          </w:rPr>
                        </w:pPr>
                      </w:p>
                      <w:p w14:paraId="3A82F1A2" w14:textId="77777777" w:rsidR="004A0D0E" w:rsidRDefault="004A0D0E" w:rsidP="004A0D0E">
                        <w:pPr>
                          <w:pStyle w:val="Marginlie"/>
                          <w:rPr>
                            <w:color w:val="0D0D0D" w:themeColor="text1" w:themeTint="F2"/>
                            <w:spacing w:val="-4"/>
                          </w:rPr>
                        </w:pPr>
                      </w:p>
                      <w:p w14:paraId="4C7C9484" w14:textId="77777777" w:rsidR="004A0D0E" w:rsidRDefault="004A0D0E" w:rsidP="004A0D0E">
                        <w:pPr>
                          <w:pStyle w:val="Marginlie"/>
                          <w:rPr>
                            <w:color w:val="0D0D0D" w:themeColor="text1" w:themeTint="F2"/>
                            <w:spacing w:val="-4"/>
                          </w:rPr>
                        </w:pPr>
                      </w:p>
                      <w:p w14:paraId="625A5C6D" w14:textId="77777777" w:rsidR="004A0D0E" w:rsidRDefault="004A0D0E" w:rsidP="004A0D0E">
                        <w:pPr>
                          <w:pStyle w:val="Marginlie"/>
                          <w:rPr>
                            <w:color w:val="0D0D0D" w:themeColor="text1" w:themeTint="F2"/>
                            <w:spacing w:val="-4"/>
                          </w:rPr>
                        </w:pPr>
                        <w:r>
                          <w:rPr>
                            <w:color w:val="0D0D0D" w:themeColor="text1" w:themeTint="F2"/>
                            <w:spacing w:val="-4"/>
                          </w:rPr>
                          <w:t>Růstová dynamika internetových prodejů dále sílila.</w:t>
                        </w:r>
                      </w:p>
                    </w:tc>
                    <w:tc>
                      <w:tcPr>
                        <w:tcW w:w="191" w:type="dxa"/>
                        <w:shd w:val="clear" w:color="auto" w:fill="auto"/>
                        <w:tcMar>
                          <w:left w:w="0" w:type="dxa"/>
                        </w:tcMar>
                      </w:tcPr>
                      <w:p w14:paraId="3F989E96"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5D08A3ED" w14:textId="77777777" w:rsidR="004A0D0E" w:rsidRPr="00DB613B" w:rsidRDefault="004A0D0E" w:rsidP="004A0D0E">
                        <w:pPr>
                          <w:spacing w:after="220"/>
                          <w:rPr>
                            <w:rFonts w:cs="Arial"/>
                            <w:szCs w:val="20"/>
                          </w:rPr>
                        </w:pPr>
                        <w:r>
                          <w:rPr>
                            <w:rFonts w:cs="Arial"/>
                            <w:szCs w:val="20"/>
                          </w:rPr>
                          <w:t xml:space="preserve">Za 1. pololetí 2020 se maloobchodní tržby meziročně snížily o 1,7 %. K tomuto poklesu přispěly nejvíce tržby za prodej pohonných hmot (PHM). Ty se snížily téměř o osminu a v pololetní kumulaci zaznamenaly první pokles od konce roku 2013. Přestože ve 2. čtvrtletí došlo k citelnému snížení spotřebitelských cen PHM, důležitějším faktorem se ukázal být znatelný pokles tranzitní dopravy i slabší pravidelná dojížďka do zaměstnání (v důsledku rozšíření práce z domova). Tržby za prodej nepotravinářského zboží se snížily jen mírně (o 0,3 %). Vývoj v jednotlivých </w:t>
                        </w:r>
                        <w:r w:rsidRPr="000208FE">
                          <w:rPr>
                            <w:rFonts w:cs="Arial"/>
                            <w:szCs w:val="20"/>
                          </w:rPr>
                          <w:t>specializovaných prodejnách</w:t>
                        </w:r>
                        <w:r>
                          <w:rPr>
                            <w:rFonts w:cs="Arial"/>
                            <w:szCs w:val="20"/>
                          </w:rPr>
                          <w:t xml:space="preserve"> byl ale odlišný. Zatímco prodeje oděvů, obuvi a koženého zboží či výrobků</w:t>
                        </w:r>
                        <w:r w:rsidRPr="000208FE">
                          <w:rPr>
                            <w:rFonts w:cs="Arial"/>
                            <w:szCs w:val="20"/>
                          </w:rPr>
                          <w:t xml:space="preserve"> pro kulturu a</w:t>
                        </w:r>
                        <w:r>
                          <w:rPr>
                            <w:rFonts w:cs="Arial"/>
                            <w:szCs w:val="20"/>
                          </w:rPr>
                          <w:t> </w:t>
                        </w:r>
                        <w:r w:rsidRPr="000208FE">
                          <w:rPr>
                            <w:rFonts w:cs="Arial"/>
                            <w:szCs w:val="20"/>
                          </w:rPr>
                          <w:t xml:space="preserve">rekreaci </w:t>
                        </w:r>
                        <w:r>
                          <w:rPr>
                            <w:rFonts w:cs="Arial"/>
                            <w:szCs w:val="20"/>
                          </w:rPr>
                          <w:t>zaznamenaly dvouciferný pokles, poptávka po počítačových i komunikačních zařízeních, f</w:t>
                        </w:r>
                        <w:r w:rsidRPr="006875C8">
                          <w:rPr>
                            <w:rFonts w:cs="Arial"/>
                            <w:szCs w:val="20"/>
                          </w:rPr>
                          <w:t>armaceu</w:t>
                        </w:r>
                        <w:r>
                          <w:rPr>
                            <w:rFonts w:cs="Arial"/>
                            <w:szCs w:val="20"/>
                          </w:rPr>
                          <w:t xml:space="preserve">tickém, zdravotnickém a drogistickém zboží či po výrobcích pro domácnost mírně rostla. Klíčový byl ale sílící růst prodejů </w:t>
                        </w:r>
                        <w:r w:rsidRPr="004B68B4">
                          <w:rPr>
                            <w:rFonts w:cs="Arial"/>
                            <w:szCs w:val="20"/>
                          </w:rPr>
                          <w:t>prostřednictvím internetu nebo zásilkové služby</w:t>
                        </w:r>
                        <w:r>
                          <w:rPr>
                            <w:rFonts w:cs="Arial"/>
                            <w:szCs w:val="20"/>
                          </w:rPr>
                          <w:t xml:space="preserve"> (+28,4 %, z toho ve 2. čtvrtletí +37,8 %). Tržby za prodej potravin v 1. pololetí klesly o 0,3 %. K mírnému poklesu zde zásadně přispěly slabší tržby ve specializovaných prodejnách (</w:t>
                        </w:r>
                        <w:r w:rsidRPr="00281CBA">
                          <w:rPr>
                            <w:color w:val="000000" w:themeColor="text1"/>
                            <w:spacing w:val="-2"/>
                          </w:rPr>
                          <w:t>–</w:t>
                        </w:r>
                        <w:r>
                          <w:rPr>
                            <w:rFonts w:cs="Arial"/>
                            <w:szCs w:val="20"/>
                          </w:rPr>
                          <w:t>13,6 %). Výrazný útlum, který svou hloubkou přesáhl propad z roku 2009, postihl letos motoristický segment obchodu (</w:t>
                        </w:r>
                        <w:r w:rsidRPr="00281CBA">
                          <w:rPr>
                            <w:color w:val="000000" w:themeColor="text1"/>
                            <w:spacing w:val="-2"/>
                          </w:rPr>
                          <w:t>–</w:t>
                        </w:r>
                        <w:r>
                          <w:rPr>
                            <w:rFonts w:cs="Arial"/>
                            <w:szCs w:val="20"/>
                          </w:rPr>
                          <w:t>22,6 %).</w:t>
                        </w:r>
                      </w:p>
                    </w:tc>
                  </w:tr>
                  <w:tr w:rsidR="004A0D0E" w:rsidRPr="000E298B" w14:paraId="129CBCAC" w14:textId="77777777" w:rsidTr="0026300B">
                    <w:trPr>
                      <w:trHeight w:val="80"/>
                    </w:trPr>
                    <w:tc>
                      <w:tcPr>
                        <w:tcW w:w="1723" w:type="dxa"/>
                        <w:shd w:val="clear" w:color="auto" w:fill="auto"/>
                        <w:tcMar>
                          <w:left w:w="0" w:type="dxa"/>
                        </w:tcMar>
                      </w:tcPr>
                      <w:p w14:paraId="356CED4E" w14:textId="77777777" w:rsidR="004A0D0E" w:rsidRPr="003A0ED0" w:rsidRDefault="004A0D0E" w:rsidP="004A0D0E">
                        <w:pPr>
                          <w:pStyle w:val="Marginlie"/>
                          <w:rPr>
                            <w:color w:val="0D0D0D" w:themeColor="text1" w:themeTint="F2"/>
                          </w:rPr>
                        </w:pPr>
                        <w:r w:rsidRPr="003A0ED0">
                          <w:rPr>
                            <w:color w:val="0D0D0D" w:themeColor="text1" w:themeTint="F2"/>
                          </w:rPr>
                          <w:t>Maloobchodní tržby v 1. pololetí klesly v EU dvojnásobným tempem než v ČR.</w:t>
                        </w:r>
                      </w:p>
                    </w:tc>
                    <w:tc>
                      <w:tcPr>
                        <w:tcW w:w="191" w:type="dxa"/>
                        <w:shd w:val="clear" w:color="auto" w:fill="auto"/>
                        <w:tcMar>
                          <w:left w:w="0" w:type="dxa"/>
                        </w:tcMar>
                      </w:tcPr>
                      <w:p w14:paraId="2ED89AA2" w14:textId="77777777" w:rsidR="004A0D0E" w:rsidRPr="009110F7" w:rsidRDefault="004A0D0E" w:rsidP="004A0D0E">
                        <w:pPr>
                          <w:pStyle w:val="Textpoznpodarou"/>
                          <w:jc w:val="both"/>
                          <w:rPr>
                            <w:spacing w:val="-4"/>
                          </w:rPr>
                        </w:pPr>
                      </w:p>
                    </w:tc>
                    <w:tc>
                      <w:tcPr>
                        <w:tcW w:w="7730" w:type="dxa"/>
                        <w:shd w:val="clear" w:color="auto" w:fill="auto"/>
                        <w:tcMar>
                          <w:left w:w="0" w:type="dxa"/>
                        </w:tcMar>
                      </w:tcPr>
                      <w:p w14:paraId="46B115C3" w14:textId="77777777" w:rsidR="004A0D0E" w:rsidRPr="00DB613B" w:rsidRDefault="004A0D0E" w:rsidP="004A0D0E">
                        <w:pPr>
                          <w:spacing w:after="220"/>
                          <w:rPr>
                            <w:rFonts w:cs="Arial"/>
                            <w:szCs w:val="20"/>
                          </w:rPr>
                        </w:pPr>
                        <w:r>
                          <w:rPr>
                            <w:rFonts w:cs="Arial"/>
                            <w:szCs w:val="20"/>
                          </w:rPr>
                          <w:t>V 1. pololetí klesly maloobchodní tržby v EU meziročně o 3,5 %, tedy více jak dvojnásobným tempem oproti ČR. O více než desetinu se tržby propadly v Itálii, Španělsku a Bulharsku, silně klesly také např. ve Slovinsku (o 9,5 %). Naopak růst zaznamenali v deseti státech, nejvyšší ve Finsku (+3,7 %), dále v Německu (+1,9 %) a Nizozemsku (+1,7 %). Slabý růst se vyskytl rovněž např. v Polsku či Maďarsku.</w:t>
                        </w:r>
                      </w:p>
                    </w:tc>
                  </w:tr>
                </w:tbl>
                <w:p w14:paraId="21FEDC5E" w14:textId="77777777" w:rsidR="004A0D0E" w:rsidRPr="0085334C" w:rsidRDefault="004A0D0E" w:rsidP="004A0D0E">
                  <w:pPr>
                    <w:pStyle w:val="Marginlie"/>
                    <w:rPr>
                      <w:color w:val="0D0D0D" w:themeColor="text1" w:themeTint="F2"/>
                      <w:spacing w:val="-4"/>
                      <w:highlight w:val="yellow"/>
                    </w:rPr>
                  </w:pPr>
                </w:p>
              </w:tc>
              <w:tc>
                <w:tcPr>
                  <w:tcW w:w="6" w:type="dxa"/>
                  <w:shd w:val="clear" w:color="auto" w:fill="auto"/>
                  <w:tcMar>
                    <w:left w:w="0" w:type="dxa"/>
                  </w:tcMar>
                </w:tcPr>
                <w:p w14:paraId="4958B95F" w14:textId="77777777" w:rsidR="004A0D0E" w:rsidRPr="0085334C" w:rsidRDefault="004A0D0E" w:rsidP="004A0D0E">
                  <w:pPr>
                    <w:pStyle w:val="Textpoznpodarou"/>
                    <w:jc w:val="both"/>
                    <w:rPr>
                      <w:spacing w:val="-4"/>
                      <w:highlight w:val="yellow"/>
                    </w:rPr>
                  </w:pPr>
                </w:p>
              </w:tc>
              <w:tc>
                <w:tcPr>
                  <w:tcW w:w="6" w:type="dxa"/>
                  <w:shd w:val="clear" w:color="auto" w:fill="auto"/>
                  <w:tcMar>
                    <w:left w:w="0" w:type="dxa"/>
                  </w:tcMar>
                </w:tcPr>
                <w:p w14:paraId="6BCC4654" w14:textId="77777777" w:rsidR="004A0D0E" w:rsidRPr="0085334C" w:rsidRDefault="004A0D0E" w:rsidP="004A0D0E">
                  <w:pPr>
                    <w:spacing w:after="0"/>
                    <w:rPr>
                      <w:rFonts w:cs="Arial"/>
                      <w:szCs w:val="20"/>
                      <w:highlight w:val="yellow"/>
                    </w:rPr>
                  </w:pPr>
                </w:p>
              </w:tc>
            </w:tr>
          </w:tbl>
          <w:p w14:paraId="6A9571F0" w14:textId="77777777" w:rsidR="004A0D0E" w:rsidRPr="00C35A2A" w:rsidRDefault="004A0D0E" w:rsidP="004A0D0E">
            <w:pPr>
              <w:pStyle w:val="Nadpis11"/>
              <w:rPr>
                <w:sz w:val="2"/>
                <w:szCs w:val="2"/>
              </w:rPr>
            </w:pPr>
          </w:p>
          <w:p w14:paraId="0240E6A6" w14:textId="77777777" w:rsidR="004A0D0E" w:rsidRPr="00C35A2A" w:rsidRDefault="004A0D0E" w:rsidP="004A0D0E">
            <w:pPr>
              <w:pStyle w:val="Nadpis11"/>
              <w:rPr>
                <w:sz w:val="2"/>
                <w:szCs w:val="2"/>
              </w:rPr>
            </w:pPr>
          </w:p>
          <w:p w14:paraId="7FCD3F3D" w14:textId="67413BE3" w:rsidR="0002669F" w:rsidRPr="0085334C" w:rsidRDefault="0002669F" w:rsidP="0002669F">
            <w:pPr>
              <w:pStyle w:val="Marginlie"/>
              <w:rPr>
                <w:color w:val="0D0D0D" w:themeColor="text1" w:themeTint="F2"/>
                <w:spacing w:val="-4"/>
                <w:highlight w:val="yellow"/>
              </w:rPr>
            </w:pPr>
          </w:p>
        </w:tc>
        <w:tc>
          <w:tcPr>
            <w:tcW w:w="6" w:type="dxa"/>
            <w:shd w:val="clear" w:color="auto" w:fill="auto"/>
            <w:tcMar>
              <w:left w:w="0" w:type="dxa"/>
            </w:tcMar>
          </w:tcPr>
          <w:p w14:paraId="00000B90" w14:textId="77777777" w:rsidR="0002669F" w:rsidRPr="0085334C" w:rsidRDefault="0002669F" w:rsidP="0002669F">
            <w:pPr>
              <w:pStyle w:val="Textpoznpodarou"/>
              <w:jc w:val="both"/>
              <w:rPr>
                <w:spacing w:val="-4"/>
                <w:highlight w:val="yellow"/>
              </w:rPr>
            </w:pPr>
          </w:p>
        </w:tc>
        <w:tc>
          <w:tcPr>
            <w:tcW w:w="6" w:type="dxa"/>
            <w:shd w:val="clear" w:color="auto" w:fill="auto"/>
            <w:tcMar>
              <w:left w:w="0" w:type="dxa"/>
            </w:tcMar>
          </w:tcPr>
          <w:p w14:paraId="1CC8454B" w14:textId="549B5CBA" w:rsidR="0002669F" w:rsidRPr="0085334C" w:rsidRDefault="0002669F" w:rsidP="0002669F">
            <w:pPr>
              <w:spacing w:after="0"/>
              <w:rPr>
                <w:rFonts w:cs="Arial"/>
                <w:szCs w:val="20"/>
                <w:highlight w:val="yellow"/>
              </w:rPr>
            </w:pPr>
          </w:p>
        </w:tc>
      </w:tr>
      <w:tr w:rsidR="00E42054" w:rsidRPr="00343AC1" w14:paraId="454E758A" w14:textId="77777777" w:rsidTr="00CB6766">
        <w:trPr>
          <w:trHeight w:val="170"/>
        </w:trPr>
        <w:tc>
          <w:tcPr>
            <w:tcW w:w="1732" w:type="dxa"/>
            <w:shd w:val="clear" w:color="auto" w:fill="auto"/>
            <w:tcMar>
              <w:left w:w="0" w:type="dxa"/>
            </w:tcMar>
          </w:tcPr>
          <w:p w14:paraId="510BEC15" w14:textId="078DB7B0" w:rsidR="00E42054" w:rsidRDefault="00E42054" w:rsidP="00061BD1">
            <w:pPr>
              <w:pStyle w:val="Marginlie"/>
            </w:pPr>
            <w:bookmarkStart w:id="5" w:name="_Toc26865023"/>
            <w:bookmarkStart w:id="6" w:name="_GoBack"/>
            <w:bookmarkEnd w:id="0"/>
            <w:bookmarkEnd w:id="6"/>
          </w:p>
        </w:tc>
        <w:tc>
          <w:tcPr>
            <w:tcW w:w="217" w:type="dxa"/>
            <w:shd w:val="clear" w:color="auto" w:fill="auto"/>
            <w:tcMar>
              <w:left w:w="0" w:type="dxa"/>
            </w:tcMar>
          </w:tcPr>
          <w:p w14:paraId="516CB240" w14:textId="77777777" w:rsidR="00E42054" w:rsidRPr="008E181A" w:rsidRDefault="00E42054" w:rsidP="00061BD1">
            <w:pPr>
              <w:pStyle w:val="Textpoznpodarou"/>
              <w:jc w:val="both"/>
              <w:rPr>
                <w:spacing w:val="-6"/>
              </w:rPr>
            </w:pPr>
          </w:p>
        </w:tc>
        <w:tc>
          <w:tcPr>
            <w:tcW w:w="7720" w:type="dxa"/>
            <w:gridSpan w:val="3"/>
            <w:shd w:val="clear" w:color="auto" w:fill="auto"/>
            <w:tcMar>
              <w:left w:w="0" w:type="dxa"/>
            </w:tcMar>
          </w:tcPr>
          <w:p w14:paraId="51FF2C2C" w14:textId="686BB864" w:rsidR="00E42054" w:rsidRPr="008E181A" w:rsidRDefault="00E42054" w:rsidP="00061BD1">
            <w:pPr>
              <w:pStyle w:val="Textpoznpodarou"/>
              <w:spacing w:line="276" w:lineRule="auto"/>
              <w:jc w:val="both"/>
              <w:rPr>
                <w:spacing w:val="-6"/>
              </w:rPr>
            </w:pPr>
          </w:p>
        </w:tc>
      </w:tr>
      <w:bookmarkEnd w:id="5"/>
    </w:tbl>
    <w:p w14:paraId="5BCF3DC5" w14:textId="6BE085D8" w:rsidR="00E42054" w:rsidRPr="00E42054" w:rsidRDefault="00E42054" w:rsidP="00E42054">
      <w:pPr>
        <w:pStyle w:val="Nadpis11"/>
        <w:spacing w:after="0"/>
        <w:rPr>
          <w:b w:val="0"/>
          <w:sz w:val="2"/>
          <w:szCs w:val="2"/>
        </w:rPr>
      </w:pPr>
    </w:p>
    <w:sectPr w:rsidR="00E42054" w:rsidRPr="00E42054" w:rsidSect="00CB6766">
      <w:headerReference w:type="even" r:id="rId13"/>
      <w:headerReference w:type="default" r:id="rId14"/>
      <w:footerReference w:type="even" r:id="rId15"/>
      <w:footerReference w:type="default" r:id="rId16"/>
      <w:pgSz w:w="11906" w:h="16838" w:code="9"/>
      <w:pgMar w:top="1134" w:right="1134" w:bottom="1418" w:left="1134" w:header="680" w:footer="737"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9B644" w14:textId="77777777" w:rsidR="00702C9F" w:rsidRDefault="00702C9F" w:rsidP="00E71A58">
      <w:r>
        <w:separator/>
      </w:r>
    </w:p>
  </w:endnote>
  <w:endnote w:type="continuationSeparator" w:id="0">
    <w:p w14:paraId="62BA8530" w14:textId="77777777" w:rsidR="00702C9F" w:rsidRDefault="00702C9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51A0D" w14:textId="769E9D99" w:rsidR="00E1168B" w:rsidRPr="00932443" w:rsidRDefault="00E1168B" w:rsidP="00A418BC">
    <w:pPr>
      <w:pStyle w:val="Zpat"/>
      <w:rPr>
        <w:szCs w:val="16"/>
      </w:rPr>
    </w:pPr>
    <w:r>
      <w:rPr>
        <w:szCs w:val="16"/>
        <w:lang w:eastAsia="cs-CZ"/>
      </w:rPr>
      <w:drawing>
        <wp:anchor distT="0" distB="0" distL="114300" distR="114300" simplePos="0" relativeHeight="251667968" behindDoc="0" locked="0" layoutInCell="1" allowOverlap="1" wp14:anchorId="71F0B6E3" wp14:editId="3AA519D4">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CB6766">
      <w:rPr>
        <w:szCs w:val="16"/>
      </w:rPr>
      <w:t>14</w:t>
    </w:r>
    <w:r w:rsidRPr="00932443">
      <w:rPr>
        <w:szCs w:val="16"/>
      </w:rPr>
      <w:fldChar w:fldCharType="end"/>
    </w:r>
    <w:r w:rsidRPr="00932443">
      <w:rPr>
        <w:szCs w:val="16"/>
      </w:rPr>
      <w:tab/>
    </w:r>
    <w:r>
      <w:rPr>
        <w:szCs w:val="16"/>
      </w:rPr>
      <w:t>1. pololetí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17E4B" w14:textId="286E7615" w:rsidR="00E1168B" w:rsidRPr="00932443" w:rsidRDefault="00E1168B" w:rsidP="00FA6CB6">
    <w:pPr>
      <w:pStyle w:val="Zpat"/>
      <w:rPr>
        <w:szCs w:val="16"/>
      </w:rPr>
    </w:pPr>
    <w:r w:rsidRPr="00FA6CB6">
      <w:rPr>
        <w:szCs w:val="16"/>
      </w:rPr>
      <w:tab/>
    </w:r>
    <w:r>
      <w:rPr>
        <w:szCs w:val="16"/>
      </w:rPr>
      <w:t xml:space="preserve">1. pololetí </w:t>
    </w:r>
    <w:r>
      <w:rPr>
        <w:szCs w:val="16"/>
        <w:lang w:eastAsia="cs-CZ"/>
      </w:rPr>
      <w:drawing>
        <wp:anchor distT="0" distB="0" distL="114300" distR="114300" simplePos="0" relativeHeight="251658752" behindDoc="0" locked="0" layoutInCell="1" allowOverlap="1" wp14:anchorId="6ADC9B20" wp14:editId="2C3814E9">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t>020</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CB6766">
      <w:rPr>
        <w:rStyle w:val="ZpatChar"/>
        <w:szCs w:val="16"/>
      </w:rPr>
      <w:t>15</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43F5E" w14:textId="77777777" w:rsidR="00702C9F" w:rsidRDefault="00702C9F" w:rsidP="00A21B4D">
      <w:pPr>
        <w:spacing w:after="0"/>
      </w:pPr>
      <w:r>
        <w:separator/>
      </w:r>
    </w:p>
  </w:footnote>
  <w:footnote w:type="continuationSeparator" w:id="0">
    <w:p w14:paraId="523F0AA4" w14:textId="77777777" w:rsidR="00702C9F" w:rsidRDefault="00702C9F" w:rsidP="00E71A58">
      <w:r>
        <w:continuationSeparator/>
      </w:r>
    </w:p>
  </w:footnote>
  <w:footnote w:id="1">
    <w:p w14:paraId="1FCB3030"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sidRPr="00FB58F4">
        <w:rPr>
          <w:rFonts w:cs="Arial"/>
          <w:color w:val="0D0D0D" w:themeColor="text1" w:themeTint="F2"/>
          <w:spacing w:val="-2"/>
          <w:sz w:val="16"/>
          <w:szCs w:val="16"/>
        </w:rPr>
        <w:t xml:space="preserve"> Údaje o</w:t>
      </w:r>
      <w:r>
        <w:rPr>
          <w:rFonts w:cs="Arial"/>
          <w:color w:val="0D0D0D" w:themeColor="text1" w:themeTint="F2"/>
          <w:spacing w:val="-2"/>
          <w:sz w:val="16"/>
          <w:szCs w:val="16"/>
        </w:rPr>
        <w:t> </w:t>
      </w:r>
      <w:r w:rsidRPr="00FB58F4">
        <w:rPr>
          <w:rFonts w:cs="Arial"/>
          <w:color w:val="0D0D0D" w:themeColor="text1" w:themeTint="F2"/>
          <w:spacing w:val="-2"/>
          <w:sz w:val="16"/>
          <w:szCs w:val="16"/>
        </w:rPr>
        <w:t>HPH jsou vyjádřeny ve stálých cenách a</w:t>
      </w:r>
      <w:r>
        <w:rPr>
          <w:rFonts w:cs="Arial"/>
          <w:color w:val="0D0D0D" w:themeColor="text1" w:themeTint="F2"/>
          <w:spacing w:val="-2"/>
          <w:sz w:val="16"/>
          <w:szCs w:val="16"/>
        </w:rPr>
        <w:t> </w:t>
      </w:r>
      <w:r w:rsidRPr="00FB58F4">
        <w:rPr>
          <w:rFonts w:cs="Arial"/>
          <w:color w:val="0D0D0D" w:themeColor="text1" w:themeTint="F2"/>
          <w:spacing w:val="-2"/>
          <w:sz w:val="16"/>
          <w:szCs w:val="16"/>
        </w:rPr>
        <w:t>v očištění o</w:t>
      </w:r>
      <w:r>
        <w:rPr>
          <w:rFonts w:cs="Arial"/>
          <w:color w:val="0D0D0D" w:themeColor="text1" w:themeTint="F2"/>
          <w:spacing w:val="-2"/>
          <w:sz w:val="16"/>
          <w:szCs w:val="16"/>
        </w:rPr>
        <w:t> </w:t>
      </w:r>
      <w:r w:rsidRPr="00FB58F4">
        <w:rPr>
          <w:rFonts w:cs="Arial"/>
          <w:color w:val="0D0D0D" w:themeColor="text1" w:themeTint="F2"/>
          <w:spacing w:val="-2"/>
          <w:sz w:val="16"/>
          <w:szCs w:val="16"/>
        </w:rPr>
        <w:t>sezónní a</w:t>
      </w:r>
      <w:r>
        <w:rPr>
          <w:rFonts w:cs="Arial"/>
          <w:color w:val="0D0D0D" w:themeColor="text1" w:themeTint="F2"/>
          <w:spacing w:val="-2"/>
          <w:sz w:val="16"/>
          <w:szCs w:val="16"/>
        </w:rPr>
        <w:t> </w:t>
      </w:r>
      <w:r w:rsidRPr="00FB58F4">
        <w:rPr>
          <w:rFonts w:cs="Arial"/>
          <w:color w:val="0D0D0D" w:themeColor="text1" w:themeTint="F2"/>
          <w:spacing w:val="-2"/>
          <w:sz w:val="16"/>
          <w:szCs w:val="16"/>
        </w:rPr>
        <w:t>kalendářní vlivy.</w:t>
      </w:r>
    </w:p>
  </w:footnote>
  <w:footnote w:id="2">
    <w:p w14:paraId="51045BCE"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Aktuální údaje o HPH za 2. čtvrtletí nebyly dostupné za Irsko, Lucembursko, Chorvatsko a Rumunsko.</w:t>
      </w:r>
    </w:p>
  </w:footnote>
  <w:footnote w:id="3">
    <w:p w14:paraId="2F42DAC8"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V odvětví energetiky stály za poklesem výroby (shodou okolností také zejména během března a dubna 2020) plánované technologické odstávky výrobních zařízení.</w:t>
      </w:r>
    </w:p>
  </w:footnote>
  <w:footnote w:id="4">
    <w:p w14:paraId="32D0088B"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Výdaje na konečnou spotřebu klesly letos u nerezidentů v ČR meziročně o více než třetinu, v samotném 2. čtvrtletí 2020 dokonce o nebývalých 62 %. Nerezidenti se na celkových výdajích</w:t>
      </w:r>
      <w:r w:rsidRPr="002269EE">
        <w:rPr>
          <w:rFonts w:cs="Arial"/>
          <w:color w:val="0D0D0D" w:themeColor="text1" w:themeTint="F2"/>
          <w:spacing w:val="-2"/>
          <w:sz w:val="16"/>
          <w:szCs w:val="16"/>
        </w:rPr>
        <w:t xml:space="preserve"> na konečnou spotřebu domácností</w:t>
      </w:r>
      <w:r>
        <w:rPr>
          <w:rFonts w:cs="Arial"/>
          <w:color w:val="0D0D0D" w:themeColor="text1" w:themeTint="F2"/>
          <w:spacing w:val="-2"/>
          <w:sz w:val="16"/>
          <w:szCs w:val="16"/>
        </w:rPr>
        <w:t xml:space="preserve"> v Česku dlouhodobě podílejí zhruba 6 %.</w:t>
      </w:r>
    </w:p>
  </w:footnote>
  <w:footnote w:id="5">
    <w:p w14:paraId="71E486D2"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Zahrnují kulturní, zábavní a rekreační činnosti nebo osobní služby pro domácnost (mj. kadeřnictví, čisticí služby či opravy výrobků a přístrojů).</w:t>
      </w:r>
    </w:p>
  </w:footnote>
  <w:footnote w:id="6">
    <w:p w14:paraId="67152DAF"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Obsahují veřejnou správu, obranu a sociální zabezpečení, zdravotní a sociální péči.</w:t>
      </w:r>
    </w:p>
  </w:footnote>
  <w:footnote w:id="7">
    <w:p w14:paraId="3286751B"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Zahrnuje odvětví</w:t>
      </w:r>
      <w:r w:rsidRPr="00FB58F4">
        <w:rPr>
          <w:rFonts w:cs="Arial"/>
          <w:color w:val="0D0D0D" w:themeColor="text1" w:themeTint="F2"/>
          <w:spacing w:val="-2"/>
          <w:sz w:val="16"/>
          <w:szCs w:val="16"/>
        </w:rPr>
        <w:t xml:space="preserve"> </w:t>
      </w:r>
      <w:r>
        <w:rPr>
          <w:rFonts w:cs="Arial"/>
          <w:color w:val="0D0D0D" w:themeColor="text1" w:themeTint="F2"/>
          <w:spacing w:val="-2"/>
          <w:sz w:val="16"/>
          <w:szCs w:val="16"/>
        </w:rPr>
        <w:t>těžby</w:t>
      </w:r>
      <w:r w:rsidRPr="00FB58F4">
        <w:rPr>
          <w:rFonts w:cs="Arial"/>
          <w:color w:val="0D0D0D" w:themeColor="text1" w:themeTint="F2"/>
          <w:spacing w:val="-2"/>
          <w:sz w:val="16"/>
          <w:szCs w:val="16"/>
        </w:rPr>
        <w:t xml:space="preserve"> a</w:t>
      </w:r>
      <w:r>
        <w:rPr>
          <w:rFonts w:cs="Arial"/>
          <w:color w:val="0D0D0D" w:themeColor="text1" w:themeTint="F2"/>
          <w:spacing w:val="-2"/>
          <w:sz w:val="16"/>
          <w:szCs w:val="16"/>
        </w:rPr>
        <w:t> </w:t>
      </w:r>
      <w:r w:rsidRPr="00FB58F4">
        <w:rPr>
          <w:rFonts w:cs="Arial"/>
          <w:color w:val="0D0D0D" w:themeColor="text1" w:themeTint="F2"/>
          <w:spacing w:val="-2"/>
          <w:sz w:val="16"/>
          <w:szCs w:val="16"/>
        </w:rPr>
        <w:t xml:space="preserve">dobývání, </w:t>
      </w:r>
      <w:r>
        <w:rPr>
          <w:rFonts w:cs="Arial"/>
          <w:color w:val="0D0D0D" w:themeColor="text1" w:themeTint="F2"/>
          <w:spacing w:val="-2"/>
          <w:sz w:val="16"/>
          <w:szCs w:val="16"/>
        </w:rPr>
        <w:t>zpracovatelského průmyslu a také</w:t>
      </w:r>
      <w:r w:rsidRPr="00FB58F4">
        <w:rPr>
          <w:rFonts w:cs="Arial"/>
          <w:color w:val="0D0D0D" w:themeColor="text1" w:themeTint="F2"/>
          <w:spacing w:val="-2"/>
          <w:sz w:val="16"/>
          <w:szCs w:val="16"/>
        </w:rPr>
        <w:t xml:space="preserve"> </w:t>
      </w:r>
      <w:r>
        <w:rPr>
          <w:rFonts w:cs="Arial"/>
          <w:color w:val="0D0D0D" w:themeColor="text1" w:themeTint="F2"/>
          <w:spacing w:val="-2"/>
          <w:sz w:val="16"/>
          <w:szCs w:val="16"/>
        </w:rPr>
        <w:t>energetiky (zde pojímané jako odvětví výroby a rozvodu elektřiny, plynu, tepla a klimatizovaného vzduchu).</w:t>
      </w:r>
      <w:r w:rsidRPr="00FB58F4">
        <w:rPr>
          <w:rFonts w:cs="Arial"/>
          <w:color w:val="0D0D0D" w:themeColor="text1" w:themeTint="F2"/>
          <w:spacing w:val="-2"/>
          <w:sz w:val="16"/>
          <w:szCs w:val="16"/>
        </w:rPr>
        <w:t xml:space="preserve"> Všechna meziroční tempa produkce (na úrovni odvětvových sekcí i</w:t>
      </w:r>
      <w:r>
        <w:rPr>
          <w:rFonts w:cs="Arial"/>
          <w:color w:val="0D0D0D" w:themeColor="text1" w:themeTint="F2"/>
          <w:spacing w:val="-2"/>
          <w:sz w:val="16"/>
          <w:szCs w:val="16"/>
        </w:rPr>
        <w:t> </w:t>
      </w:r>
      <w:r w:rsidRPr="00FB58F4">
        <w:rPr>
          <w:rFonts w:cs="Arial"/>
          <w:color w:val="0D0D0D" w:themeColor="text1" w:themeTint="F2"/>
          <w:spacing w:val="-2"/>
          <w:sz w:val="16"/>
          <w:szCs w:val="16"/>
        </w:rPr>
        <w:t>oddílů) j</w:t>
      </w:r>
      <w:r>
        <w:rPr>
          <w:rFonts w:cs="Arial"/>
          <w:color w:val="0D0D0D" w:themeColor="text1" w:themeTint="F2"/>
          <w:spacing w:val="-2"/>
          <w:sz w:val="16"/>
          <w:szCs w:val="16"/>
        </w:rPr>
        <w:t>sou očištěna o kalendářní vlivy, m</w:t>
      </w:r>
      <w:r w:rsidRPr="00FB58F4">
        <w:rPr>
          <w:rFonts w:cs="Arial"/>
          <w:color w:val="0D0D0D" w:themeColor="text1" w:themeTint="F2"/>
          <w:spacing w:val="-2"/>
          <w:sz w:val="16"/>
          <w:szCs w:val="16"/>
        </w:rPr>
        <w:t xml:space="preserve">ezičtvrtletní </w:t>
      </w:r>
      <w:r>
        <w:rPr>
          <w:rFonts w:cs="Arial"/>
          <w:color w:val="0D0D0D" w:themeColor="text1" w:themeTint="F2"/>
          <w:spacing w:val="-2"/>
          <w:sz w:val="16"/>
          <w:szCs w:val="16"/>
        </w:rPr>
        <w:t xml:space="preserve">i meziměsíční </w:t>
      </w:r>
      <w:r w:rsidRPr="00FB58F4">
        <w:rPr>
          <w:rFonts w:cs="Arial"/>
          <w:color w:val="0D0D0D" w:themeColor="text1" w:themeTint="F2"/>
          <w:spacing w:val="-2"/>
          <w:sz w:val="16"/>
          <w:szCs w:val="16"/>
        </w:rPr>
        <w:t>tempa pak také o</w:t>
      </w:r>
      <w:r>
        <w:rPr>
          <w:rFonts w:cs="Arial"/>
          <w:color w:val="0D0D0D" w:themeColor="text1" w:themeTint="F2"/>
          <w:spacing w:val="-2"/>
          <w:sz w:val="16"/>
          <w:szCs w:val="16"/>
        </w:rPr>
        <w:t> </w:t>
      </w:r>
      <w:r w:rsidRPr="00FB58F4">
        <w:rPr>
          <w:rFonts w:cs="Arial"/>
          <w:color w:val="0D0D0D" w:themeColor="text1" w:themeTint="F2"/>
          <w:spacing w:val="-2"/>
          <w:sz w:val="16"/>
          <w:szCs w:val="16"/>
        </w:rPr>
        <w:t>vliv sezónnosti.</w:t>
      </w:r>
    </w:p>
  </w:footnote>
  <w:footnote w:id="8">
    <w:p w14:paraId="6B47612D" w14:textId="77777777" w:rsidR="004A0D0E" w:rsidRPr="00FB58F4" w:rsidRDefault="004A0D0E" w:rsidP="004A0D0E">
      <w:pPr>
        <w:pStyle w:val="Textpoznpodarou"/>
        <w:jc w:val="both"/>
        <w:rPr>
          <w:rFonts w:cs="Arial"/>
          <w:color w:val="0D0D0D" w:themeColor="text1" w:themeTint="F2"/>
          <w:spacing w:val="-2"/>
          <w:sz w:val="16"/>
          <w:szCs w:val="16"/>
        </w:rPr>
      </w:pPr>
      <w:r w:rsidRPr="00FB58F4">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K mělkému mezikvartálnímu poklesu průmyslové produkce došlo v ČR již ve 3. a 4. čtvrtletí 2019 (</w:t>
      </w:r>
      <w:r w:rsidRPr="00FE2494">
        <w:rPr>
          <w:rFonts w:cs="Arial"/>
          <w:color w:val="0D0D0D" w:themeColor="text1" w:themeTint="F2"/>
          <w:spacing w:val="-3"/>
          <w:sz w:val="16"/>
          <w:szCs w:val="16"/>
        </w:rPr>
        <w:t>–</w:t>
      </w:r>
      <w:r>
        <w:rPr>
          <w:rFonts w:cs="Arial"/>
          <w:color w:val="0D0D0D" w:themeColor="text1" w:themeTint="F2"/>
          <w:spacing w:val="-2"/>
          <w:sz w:val="16"/>
          <w:szCs w:val="16"/>
        </w:rPr>
        <w:t>1,6 % a </w:t>
      </w:r>
      <w:r w:rsidRPr="00FE2494">
        <w:rPr>
          <w:rFonts w:cs="Arial"/>
          <w:color w:val="0D0D0D" w:themeColor="text1" w:themeTint="F2"/>
          <w:spacing w:val="-3"/>
          <w:sz w:val="16"/>
          <w:szCs w:val="16"/>
        </w:rPr>
        <w:t>–</w:t>
      </w:r>
      <w:r>
        <w:rPr>
          <w:rFonts w:cs="Arial"/>
          <w:color w:val="0D0D0D" w:themeColor="text1" w:themeTint="F2"/>
          <w:spacing w:val="-2"/>
          <w:sz w:val="16"/>
          <w:szCs w:val="16"/>
        </w:rPr>
        <w:t>0,6 %). Jelikož byl doprovázen redukcí zaměstnanosti, spadl tuzemský průmysl na konci loňského roku do technické recese.</w:t>
      </w:r>
    </w:p>
  </w:footnote>
  <w:footnote w:id="9">
    <w:p w14:paraId="2C67E96B" w14:textId="77777777" w:rsidR="004A0D0E" w:rsidRPr="00A608B0" w:rsidRDefault="004A0D0E" w:rsidP="004A0D0E">
      <w:pPr>
        <w:pStyle w:val="Textpoznpodarou"/>
        <w:jc w:val="both"/>
        <w:rPr>
          <w:sz w:val="16"/>
          <w:szCs w:val="16"/>
        </w:rPr>
      </w:pPr>
      <w:r w:rsidRPr="005813A9">
        <w:rPr>
          <w:rStyle w:val="Znakapoznpodarou"/>
          <w:rFonts w:cs="Arial"/>
          <w:color w:val="0D0D0D" w:themeColor="text1" w:themeTint="F2"/>
          <w:sz w:val="16"/>
          <w:szCs w:val="16"/>
        </w:rPr>
        <w:footnoteRef/>
      </w:r>
      <w:r w:rsidRPr="005813A9">
        <w:rPr>
          <w:rFonts w:cs="Arial"/>
          <w:color w:val="0D0D0D" w:themeColor="text1" w:themeTint="F2"/>
          <w:sz w:val="16"/>
          <w:szCs w:val="16"/>
        </w:rPr>
        <w:t xml:space="preserve"> </w:t>
      </w:r>
      <w:r>
        <w:rPr>
          <w:rFonts w:cs="Arial"/>
          <w:color w:val="0D0D0D" w:themeColor="text1" w:themeTint="F2"/>
          <w:sz w:val="16"/>
          <w:szCs w:val="16"/>
        </w:rPr>
        <w:t>Ještě významnější útlum ale nastal v roce 2009, kdy objem fixních investic klesl meziročně o 9,2 % a strojírenská výroba se propadla o 28 %.</w:t>
      </w:r>
    </w:p>
  </w:footnote>
  <w:footnote w:id="10">
    <w:p w14:paraId="29728145" w14:textId="77777777" w:rsidR="004A0D0E" w:rsidRPr="00FB58F4" w:rsidRDefault="004A0D0E" w:rsidP="004A0D0E">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sidRPr="007A20EB">
        <w:rPr>
          <w:rFonts w:cs="Arial"/>
          <w:color w:val="0D0D0D" w:themeColor="text1" w:themeTint="F2"/>
          <w:sz w:val="16"/>
          <w:szCs w:val="16"/>
        </w:rPr>
        <w:t>Zjišťování zakázek probíhá pouze ve vybraných oddílech CZ</w:t>
      </w:r>
      <w:r w:rsidRPr="007A20EB">
        <w:rPr>
          <w:rFonts w:cs="Arial"/>
          <w:color w:val="0D0D0D" w:themeColor="text1" w:themeTint="F2"/>
          <w:sz w:val="16"/>
          <w:szCs w:val="16"/>
        </w:rPr>
        <w:noBreakHyphen/>
        <w:t>NACE (13, 14, 17, 20, 21, 24, 25, 26, 27, 28, 29, 30), které vyrábějí převážně na zakázku, s dlouhodobějším výrobním cyklem a s většími zásobami zakázek.</w:t>
      </w:r>
    </w:p>
  </w:footnote>
  <w:footnote w:id="11">
    <w:p w14:paraId="28D5EDEA" w14:textId="77777777" w:rsidR="004A0D0E" w:rsidRPr="00FB58F4" w:rsidRDefault="004A0D0E" w:rsidP="004A0D0E">
      <w:pPr>
        <w:pStyle w:val="Textpoznpodarou"/>
        <w:jc w:val="both"/>
        <w:rPr>
          <w:rFonts w:cs="Arial"/>
          <w:color w:val="0D0D0D" w:themeColor="text1" w:themeTint="F2"/>
          <w:spacing w:val="-2"/>
          <w:sz w:val="16"/>
          <w:szCs w:val="16"/>
        </w:rPr>
      </w:pPr>
      <w:r w:rsidRPr="007A20EB">
        <w:rPr>
          <w:rStyle w:val="Znakapoznpodarou"/>
          <w:rFonts w:cs="Arial"/>
          <w:color w:val="0D0D0D" w:themeColor="text1" w:themeTint="F2"/>
          <w:spacing w:val="-2"/>
          <w:sz w:val="16"/>
          <w:szCs w:val="16"/>
        </w:rPr>
        <w:footnoteRef/>
      </w:r>
      <w:r w:rsidRPr="007A20EB">
        <w:rPr>
          <w:rFonts w:cs="Arial"/>
          <w:color w:val="0D0D0D" w:themeColor="text1" w:themeTint="F2"/>
          <w:spacing w:val="-2"/>
          <w:sz w:val="16"/>
          <w:szCs w:val="16"/>
        </w:rPr>
        <w:t xml:space="preserve"> </w:t>
      </w:r>
      <w:r>
        <w:rPr>
          <w:rFonts w:cs="Arial"/>
          <w:color w:val="0D0D0D" w:themeColor="text1" w:themeTint="F2"/>
          <w:sz w:val="16"/>
          <w:szCs w:val="16"/>
        </w:rPr>
        <w:t>Podniky mohly uvést více hlavních bariér současně. Všechny údaje z konjunkturálních šetření jsou sezónně očištěny.</w:t>
      </w:r>
    </w:p>
  </w:footnote>
  <w:footnote w:id="12">
    <w:p w14:paraId="3214E62D" w14:textId="77777777" w:rsidR="004A0D0E" w:rsidRPr="00D85B50" w:rsidRDefault="004A0D0E" w:rsidP="004A0D0E">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w:t>
      </w:r>
      <w:r w:rsidRPr="005813A9">
        <w:rPr>
          <w:rFonts w:cs="Arial"/>
          <w:color w:val="0D0D0D" w:themeColor="text1" w:themeTint="F2"/>
          <w:spacing w:val="-2"/>
          <w:sz w:val="16"/>
          <w:szCs w:val="16"/>
        </w:rPr>
        <w:t>Všechny meziroční údaje o</w:t>
      </w:r>
      <w:r>
        <w:rPr>
          <w:rFonts w:cs="Arial"/>
          <w:color w:val="0D0D0D" w:themeColor="text1" w:themeTint="F2"/>
          <w:spacing w:val="-2"/>
          <w:sz w:val="16"/>
          <w:szCs w:val="16"/>
        </w:rPr>
        <w:t> </w:t>
      </w:r>
      <w:r w:rsidRPr="005813A9">
        <w:rPr>
          <w:rFonts w:cs="Arial"/>
          <w:color w:val="0D0D0D" w:themeColor="text1" w:themeTint="F2"/>
          <w:spacing w:val="-2"/>
          <w:sz w:val="16"/>
          <w:szCs w:val="16"/>
        </w:rPr>
        <w:t>stavební produkci jsou očištěny o</w:t>
      </w:r>
      <w:r>
        <w:rPr>
          <w:rFonts w:cs="Arial"/>
          <w:color w:val="0D0D0D" w:themeColor="text1" w:themeTint="F2"/>
          <w:spacing w:val="-2"/>
          <w:sz w:val="16"/>
          <w:szCs w:val="16"/>
        </w:rPr>
        <w:t> </w:t>
      </w:r>
      <w:r w:rsidRPr="005813A9">
        <w:rPr>
          <w:rFonts w:cs="Arial"/>
          <w:color w:val="0D0D0D" w:themeColor="text1" w:themeTint="F2"/>
          <w:spacing w:val="-2"/>
          <w:sz w:val="16"/>
          <w:szCs w:val="16"/>
        </w:rPr>
        <w:t xml:space="preserve">kalendářní vlivy, mezičtvrtletní </w:t>
      </w:r>
      <w:r>
        <w:rPr>
          <w:rFonts w:cs="Arial"/>
          <w:color w:val="0D0D0D" w:themeColor="text1" w:themeTint="F2"/>
          <w:spacing w:val="-2"/>
          <w:sz w:val="16"/>
          <w:szCs w:val="16"/>
        </w:rPr>
        <w:t xml:space="preserve">i meziměsíční </w:t>
      </w:r>
      <w:r w:rsidRPr="005813A9">
        <w:rPr>
          <w:rFonts w:cs="Arial"/>
          <w:color w:val="0D0D0D" w:themeColor="text1" w:themeTint="F2"/>
          <w:spacing w:val="-2"/>
          <w:sz w:val="16"/>
          <w:szCs w:val="16"/>
        </w:rPr>
        <w:t>tempa pak také o</w:t>
      </w:r>
      <w:r>
        <w:rPr>
          <w:rFonts w:cs="Arial"/>
          <w:color w:val="0D0D0D" w:themeColor="text1" w:themeTint="F2"/>
          <w:spacing w:val="-2"/>
          <w:sz w:val="16"/>
          <w:szCs w:val="16"/>
        </w:rPr>
        <w:t> </w:t>
      </w:r>
      <w:r w:rsidRPr="005813A9">
        <w:rPr>
          <w:rFonts w:cs="Arial"/>
          <w:color w:val="0D0D0D" w:themeColor="text1" w:themeTint="F2"/>
          <w:spacing w:val="-2"/>
          <w:sz w:val="16"/>
          <w:szCs w:val="16"/>
        </w:rPr>
        <w:t>vliv sezónnosti.</w:t>
      </w:r>
    </w:p>
  </w:footnote>
  <w:footnote w:id="13">
    <w:p w14:paraId="66CF20B7" w14:textId="77777777" w:rsidR="004A0D0E" w:rsidRPr="00D85B50" w:rsidRDefault="004A0D0E" w:rsidP="004A0D0E">
      <w:pPr>
        <w:pStyle w:val="Textpoznpodarou"/>
        <w:jc w:val="both"/>
        <w:rPr>
          <w:spacing w:val="-4"/>
          <w:sz w:val="16"/>
          <w:szCs w:val="16"/>
        </w:rPr>
      </w:pPr>
      <w:r w:rsidRPr="005813A9">
        <w:rPr>
          <w:rStyle w:val="Znakapoznpodarou"/>
          <w:rFonts w:cs="Arial"/>
          <w:color w:val="0D0D0D" w:themeColor="text1" w:themeTint="F2"/>
          <w:spacing w:val="-2"/>
          <w:sz w:val="16"/>
          <w:szCs w:val="16"/>
        </w:rPr>
        <w:footnoteRef/>
      </w:r>
      <w:r>
        <w:rPr>
          <w:rFonts w:cs="Arial"/>
          <w:color w:val="0D0D0D" w:themeColor="text1" w:themeTint="F2"/>
          <w:spacing w:val="-2"/>
          <w:sz w:val="16"/>
          <w:szCs w:val="16"/>
        </w:rPr>
        <w:t xml:space="preserve"> Stavební podniky tak měly zajištěnu práci v průměru na deset měsíců dopředu.</w:t>
      </w:r>
    </w:p>
  </w:footnote>
  <w:footnote w:id="14">
    <w:p w14:paraId="3326FA8D" w14:textId="77777777" w:rsidR="004A0D0E" w:rsidRPr="00DE38E6" w:rsidRDefault="004A0D0E" w:rsidP="004A0D0E">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Řecko, Itálie a Kypr nebyly z důvodu absence aktuálních dat hodnoceny.</w:t>
      </w:r>
    </w:p>
  </w:footnote>
  <w:footnote w:id="15">
    <w:p w14:paraId="7966C68A" w14:textId="77777777" w:rsidR="004A0D0E" w:rsidRPr="00DE38E6" w:rsidRDefault="004A0D0E" w:rsidP="004A0D0E">
      <w:pPr>
        <w:spacing w:after="0" w:line="240" w:lineRule="auto"/>
      </w:pPr>
      <w:r w:rsidRPr="004A26AF">
        <w:rPr>
          <w:rStyle w:val="Znakapoznpodarou"/>
          <w:color w:val="0D0D0D" w:themeColor="text1" w:themeTint="F2"/>
          <w:sz w:val="16"/>
          <w:szCs w:val="16"/>
        </w:rPr>
        <w:footnoteRef/>
      </w:r>
      <w:r>
        <w:rPr>
          <w:color w:val="0D0D0D" w:themeColor="text1" w:themeTint="F2"/>
          <w:sz w:val="16"/>
          <w:szCs w:val="16"/>
        </w:rPr>
        <w:t xml:space="preserve"> </w:t>
      </w:r>
      <w:r w:rsidRPr="004A26AF">
        <w:rPr>
          <w:color w:val="0D0D0D" w:themeColor="text1" w:themeTint="F2"/>
          <w:sz w:val="16"/>
          <w:szCs w:val="16"/>
        </w:rPr>
        <w:t>Bez obchodu, peněžnictví, poji</w:t>
      </w:r>
      <w:r>
        <w:rPr>
          <w:color w:val="0D0D0D" w:themeColor="text1" w:themeTint="F2"/>
          <w:sz w:val="16"/>
          <w:szCs w:val="16"/>
        </w:rPr>
        <w:t>šťovnictví, vědy, výzkumu a veřejných</w:t>
      </w:r>
      <w:r w:rsidRPr="004A26AF">
        <w:rPr>
          <w:color w:val="0D0D0D" w:themeColor="text1" w:themeTint="F2"/>
          <w:sz w:val="16"/>
          <w:szCs w:val="16"/>
        </w:rPr>
        <w:t xml:space="preserve"> služeb. Všechny údaje za služby jsou </w:t>
      </w:r>
      <w:r>
        <w:rPr>
          <w:color w:val="0D0D0D" w:themeColor="text1" w:themeTint="F2"/>
          <w:sz w:val="16"/>
          <w:szCs w:val="16"/>
        </w:rPr>
        <w:t xml:space="preserve">ve stálých cenách, meziroční údaje jsou </w:t>
      </w:r>
      <w:r w:rsidRPr="004A26AF">
        <w:rPr>
          <w:color w:val="0D0D0D" w:themeColor="text1" w:themeTint="F2"/>
          <w:sz w:val="16"/>
          <w:szCs w:val="16"/>
        </w:rPr>
        <w:t>očištěny o</w:t>
      </w:r>
      <w:r>
        <w:rPr>
          <w:color w:val="0D0D0D" w:themeColor="text1" w:themeTint="F2"/>
          <w:sz w:val="16"/>
          <w:szCs w:val="16"/>
        </w:rPr>
        <w:t> </w:t>
      </w:r>
      <w:r w:rsidRPr="004A26AF">
        <w:rPr>
          <w:color w:val="0D0D0D" w:themeColor="text1" w:themeTint="F2"/>
          <w:sz w:val="16"/>
          <w:szCs w:val="16"/>
        </w:rPr>
        <w:t>kal</w:t>
      </w:r>
      <w:r>
        <w:rPr>
          <w:color w:val="0D0D0D" w:themeColor="text1" w:themeTint="F2"/>
          <w:sz w:val="16"/>
          <w:szCs w:val="16"/>
        </w:rPr>
        <w:t>endářní vlivy, mezičtvrtletní i meziměsíční jsou očištěny o sezónní vlivy (včetně vlivu počtu pracovních dnů)</w:t>
      </w:r>
      <w:r w:rsidRPr="004A26AF">
        <w:rPr>
          <w:color w:val="0D0D0D" w:themeColor="text1" w:themeTint="F2"/>
          <w:sz w:val="16"/>
          <w:szCs w:val="16"/>
        </w:rPr>
        <w:t>.</w:t>
      </w:r>
    </w:p>
  </w:footnote>
  <w:footnote w:id="16">
    <w:p w14:paraId="76DB9BBC" w14:textId="77777777" w:rsidR="004A0D0E" w:rsidRPr="000F615E" w:rsidRDefault="004A0D0E" w:rsidP="004A0D0E">
      <w:pPr>
        <w:pStyle w:val="Textpoznpodarou"/>
        <w:jc w:val="both"/>
        <w:rPr>
          <w:color w:val="0D0D0D" w:themeColor="text1" w:themeTint="F2"/>
          <w:spacing w:val="-2"/>
          <w:sz w:val="16"/>
          <w:szCs w:val="16"/>
        </w:rPr>
      </w:pPr>
      <w:r w:rsidRPr="000F615E">
        <w:rPr>
          <w:rStyle w:val="Znakapoznpodarou"/>
          <w:rFonts w:cs="Arial"/>
          <w:color w:val="0D0D0D" w:themeColor="text1" w:themeTint="F2"/>
          <w:spacing w:val="-2"/>
          <w:sz w:val="16"/>
          <w:szCs w:val="16"/>
        </w:rPr>
        <w:footnoteRef/>
      </w:r>
      <w:r w:rsidRPr="000F615E">
        <w:rPr>
          <w:rFonts w:cs="Arial"/>
          <w:color w:val="0D0D0D" w:themeColor="text1" w:themeTint="F2"/>
          <w:spacing w:val="-2"/>
          <w:sz w:val="16"/>
          <w:szCs w:val="16"/>
        </w:rPr>
        <w:t xml:space="preserve"> </w:t>
      </w:r>
      <w:r w:rsidRPr="000F615E">
        <w:rPr>
          <w:color w:val="0D0D0D" w:themeColor="text1" w:themeTint="F2"/>
          <w:spacing w:val="-2"/>
          <w:sz w:val="16"/>
          <w:szCs w:val="16"/>
        </w:rPr>
        <w:t xml:space="preserve">Dle údajů Unie filmových </w:t>
      </w:r>
      <w:r>
        <w:rPr>
          <w:color w:val="0D0D0D" w:themeColor="text1" w:themeTint="F2"/>
          <w:spacing w:val="-2"/>
          <w:sz w:val="16"/>
          <w:szCs w:val="16"/>
        </w:rPr>
        <w:t>distributorů klesly v 1. pololet</w:t>
      </w:r>
      <w:r w:rsidRPr="000F615E">
        <w:rPr>
          <w:color w:val="0D0D0D" w:themeColor="text1" w:themeTint="F2"/>
          <w:spacing w:val="-2"/>
          <w:sz w:val="16"/>
          <w:szCs w:val="16"/>
        </w:rPr>
        <w:t>í 2020 tržby ze vstupn</w:t>
      </w:r>
      <w:r>
        <w:rPr>
          <w:color w:val="0D0D0D" w:themeColor="text1" w:themeTint="F2"/>
          <w:spacing w:val="-2"/>
          <w:sz w:val="16"/>
          <w:szCs w:val="16"/>
        </w:rPr>
        <w:t>ého v kinech v ČR meziročně o 56 %. Projevilo se několikatýdenní přerušení provozu kin a později i omezenější nabídka filmových titulů. Ještě i v červenci klesl počet návštěvníků kin meziročně skoro o polovinu – na 709 tis. (nižší červencový údaj byl naposledy zaznamenán v roce 2000).</w:t>
      </w:r>
    </w:p>
  </w:footnote>
  <w:footnote w:id="17">
    <w:p w14:paraId="61F26206" w14:textId="77777777" w:rsidR="004A0D0E" w:rsidRPr="007321F7" w:rsidRDefault="004A0D0E" w:rsidP="004A0D0E">
      <w:pPr>
        <w:spacing w:after="0" w:line="240" w:lineRule="auto"/>
        <w:rPr>
          <w:color w:val="0D0D0D" w:themeColor="text1" w:themeTint="F2"/>
          <w:sz w:val="16"/>
          <w:szCs w:val="16"/>
        </w:rPr>
      </w:pPr>
      <w:r w:rsidRPr="004A26AF">
        <w:rPr>
          <w:rStyle w:val="Znakapoznpodarou"/>
          <w:color w:val="0D0D0D" w:themeColor="text1" w:themeTint="F2"/>
          <w:sz w:val="16"/>
          <w:szCs w:val="16"/>
        </w:rPr>
        <w:footnoteRef/>
      </w:r>
      <w:r>
        <w:rPr>
          <w:color w:val="0D0D0D" w:themeColor="text1" w:themeTint="F2"/>
          <w:sz w:val="16"/>
          <w:szCs w:val="16"/>
        </w:rPr>
        <w:t xml:space="preserve"> Počet přenocování hostů v hromadných ubytovacích zařízeních se letos oproti 1. pololetí roku 2019 snížil o 54 %, z toho u nerezidentů dokonce o</w:t>
      </w:r>
      <w:r>
        <w:rPr>
          <w:rFonts w:cs="Arial"/>
          <w:color w:val="0D0D0D" w:themeColor="text1" w:themeTint="F2"/>
          <w:spacing w:val="-3"/>
          <w:sz w:val="16"/>
          <w:szCs w:val="16"/>
        </w:rPr>
        <w:t> </w:t>
      </w:r>
      <w:r>
        <w:rPr>
          <w:color w:val="0D0D0D" w:themeColor="text1" w:themeTint="F2"/>
          <w:sz w:val="16"/>
          <w:szCs w:val="16"/>
        </w:rPr>
        <w:t>64</w:t>
      </w:r>
      <w:r>
        <w:rPr>
          <w:rFonts w:cs="Arial"/>
          <w:color w:val="0D0D0D" w:themeColor="text1" w:themeTint="F2"/>
          <w:spacing w:val="-3"/>
          <w:sz w:val="16"/>
          <w:szCs w:val="16"/>
        </w:rPr>
        <w:t> </w:t>
      </w:r>
      <w:r>
        <w:rPr>
          <w:color w:val="0D0D0D" w:themeColor="text1" w:themeTint="F2"/>
          <w:sz w:val="16"/>
          <w:szCs w:val="16"/>
        </w:rPr>
        <w:t>%. Útlum byl z velké části plošný, a to jak z hlediska typu zařízení, tak i regionu ubytování. I po uvolnění většiny bariér spojených s přeshraničním pohybem osob zůstával příjezdový cestovní ruch v ČR nadále z velké části ochromen. V červnu činil meziroční pokles všech přenocování 60 %, z toho u zahraničních návštěvníků 90 %.</w:t>
      </w:r>
    </w:p>
  </w:footnote>
  <w:footnote w:id="18">
    <w:p w14:paraId="2AA75B38" w14:textId="77777777" w:rsidR="004A0D0E" w:rsidRDefault="004A0D0E" w:rsidP="004A0D0E">
      <w:pPr>
        <w:spacing w:after="0" w:line="240" w:lineRule="auto"/>
      </w:pPr>
      <w:r w:rsidRPr="000F615E">
        <w:rPr>
          <w:rStyle w:val="Znakapoznpodarou"/>
          <w:color w:val="0D0D0D" w:themeColor="text1" w:themeTint="F2"/>
          <w:sz w:val="16"/>
          <w:szCs w:val="16"/>
        </w:rPr>
        <w:footnoteRef/>
      </w:r>
      <w:r w:rsidRPr="000F615E">
        <w:rPr>
          <w:color w:val="0D0D0D" w:themeColor="text1" w:themeTint="F2"/>
          <w:sz w:val="16"/>
          <w:szCs w:val="16"/>
        </w:rPr>
        <w:t xml:space="preserve"> Všechna meziroční tempa tržeb za maloobchod jsou uvedena ve stálých cenách a očištěna o kalendářní vlivy, mezičtvrtletní tempa jsou očištěna o sezónní vlivy (včetně vlivu počtu pracovních dnů).</w:t>
      </w:r>
      <w:r>
        <w:rPr>
          <w:color w:val="0D0D0D" w:themeColor="text1" w:themeTint="F2"/>
          <w:sz w:val="16"/>
          <w:szCs w:val="16"/>
        </w:rPr>
        <w:t xml:space="preserve"> Maloobchod zahrnuje odvětví CZ</w:t>
      </w:r>
      <w:r>
        <w:rPr>
          <w:color w:val="0D0D0D" w:themeColor="text1" w:themeTint="F2"/>
          <w:sz w:val="16"/>
          <w:szCs w:val="16"/>
        </w:rPr>
        <w:noBreakHyphen/>
        <w:t>NACE 47.</w:t>
      </w:r>
    </w:p>
  </w:footnote>
  <w:footnote w:id="19">
    <w:p w14:paraId="7163416B" w14:textId="77777777" w:rsidR="004A0D0E" w:rsidRDefault="004A0D0E" w:rsidP="004A0D0E">
      <w:pPr>
        <w:spacing w:after="0" w:line="240" w:lineRule="auto"/>
      </w:pPr>
      <w:r w:rsidRPr="000F615E">
        <w:rPr>
          <w:rStyle w:val="Znakapoznpodarou"/>
          <w:color w:val="0D0D0D" w:themeColor="text1" w:themeTint="F2"/>
          <w:sz w:val="16"/>
          <w:szCs w:val="16"/>
        </w:rPr>
        <w:footnoteRef/>
      </w:r>
      <w:r>
        <w:rPr>
          <w:color w:val="0D0D0D" w:themeColor="text1" w:themeTint="F2"/>
          <w:sz w:val="16"/>
          <w:szCs w:val="16"/>
        </w:rPr>
        <w:t xml:space="preserve"> V březnu propadly maloobchodní tržby meziměsíčně o 10,5 %, v dubnu o dalších 1,8 %. V následujících třech měsících již tržby rostly a v červenci se vrátily na úroveň před pandemií.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85C8" w14:textId="77777777" w:rsidR="00E1168B" w:rsidRDefault="00E1168B" w:rsidP="00937AE2">
    <w:pPr>
      <w:pStyle w:val="Zhlav"/>
    </w:pPr>
    <w:r>
      <w:t>Vývoj ekonomiky České republiky</w:t>
    </w:r>
  </w:p>
  <w:p w14:paraId="675E4C41" w14:textId="77777777" w:rsidR="00E1168B" w:rsidRPr="006F5416" w:rsidRDefault="00E1168B"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812FB" w14:textId="77777777" w:rsidR="00E1168B" w:rsidRDefault="00E1168B" w:rsidP="00937AE2">
    <w:pPr>
      <w:pStyle w:val="Zhlav"/>
    </w:pPr>
    <w:r>
      <w:t>Vývoj ekonomiky České republiky</w:t>
    </w:r>
  </w:p>
  <w:p w14:paraId="0CDCFD48" w14:textId="77777777" w:rsidR="00E1168B" w:rsidRPr="006F5416" w:rsidRDefault="00E1168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3"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1"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24"/>
  </w:num>
  <w:num w:numId="14">
    <w:abstractNumId w:val="12"/>
  </w:num>
  <w:num w:numId="15">
    <w:abstractNumId w:val="18"/>
  </w:num>
  <w:num w:numId="16">
    <w:abstractNumId w:val="14"/>
  </w:num>
  <w:num w:numId="17">
    <w:abstractNumId w:val="25"/>
  </w:num>
  <w:num w:numId="18">
    <w:abstractNumId w:val="19"/>
  </w:num>
  <w:num w:numId="19">
    <w:abstractNumId w:val="26"/>
  </w:num>
  <w:num w:numId="20">
    <w:abstractNumId w:val="27"/>
  </w:num>
  <w:num w:numId="21">
    <w:abstractNumId w:val="23"/>
  </w:num>
  <w:num w:numId="22">
    <w:abstractNumId w:val="17"/>
  </w:num>
  <w:num w:numId="23">
    <w:abstractNumId w:val="15"/>
  </w:num>
  <w:num w:numId="24">
    <w:abstractNumId w:val="16"/>
  </w:num>
  <w:num w:numId="25">
    <w:abstractNumId w:val="11"/>
  </w:num>
  <w:num w:numId="26">
    <w:abstractNumId w:val="21"/>
  </w:num>
  <w:num w:numId="27">
    <w:abstractNumId w:val="20"/>
  </w:num>
  <w:num w:numId="28">
    <w:abstractNumId w:val="10"/>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B55"/>
    <w:rsid w:val="0000209D"/>
    <w:rsid w:val="00002566"/>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128E"/>
    <w:rsid w:val="00011912"/>
    <w:rsid w:val="0001387D"/>
    <w:rsid w:val="00014ED0"/>
    <w:rsid w:val="00016420"/>
    <w:rsid w:val="00017B01"/>
    <w:rsid w:val="000205D1"/>
    <w:rsid w:val="00020F22"/>
    <w:rsid w:val="0002195D"/>
    <w:rsid w:val="000228AE"/>
    <w:rsid w:val="000233D1"/>
    <w:rsid w:val="000234D6"/>
    <w:rsid w:val="00023D29"/>
    <w:rsid w:val="00024348"/>
    <w:rsid w:val="00026389"/>
    <w:rsid w:val="0002669F"/>
    <w:rsid w:val="000279E5"/>
    <w:rsid w:val="00031AE0"/>
    <w:rsid w:val="00031BB2"/>
    <w:rsid w:val="000322EF"/>
    <w:rsid w:val="00033FCD"/>
    <w:rsid w:val="00034DF7"/>
    <w:rsid w:val="00034E68"/>
    <w:rsid w:val="000350C8"/>
    <w:rsid w:val="00036195"/>
    <w:rsid w:val="000374B2"/>
    <w:rsid w:val="000376C0"/>
    <w:rsid w:val="000403A7"/>
    <w:rsid w:val="00040632"/>
    <w:rsid w:val="00041AFC"/>
    <w:rsid w:val="00041CEC"/>
    <w:rsid w:val="00042596"/>
    <w:rsid w:val="00044183"/>
    <w:rsid w:val="0004431D"/>
    <w:rsid w:val="0004694F"/>
    <w:rsid w:val="00046F2F"/>
    <w:rsid w:val="00047AD4"/>
    <w:rsid w:val="00047D54"/>
    <w:rsid w:val="0005054A"/>
    <w:rsid w:val="00051506"/>
    <w:rsid w:val="000522E4"/>
    <w:rsid w:val="00053713"/>
    <w:rsid w:val="0005434E"/>
    <w:rsid w:val="00055CB6"/>
    <w:rsid w:val="000572DD"/>
    <w:rsid w:val="00057B1E"/>
    <w:rsid w:val="000610E1"/>
    <w:rsid w:val="000616AD"/>
    <w:rsid w:val="000622A6"/>
    <w:rsid w:val="00062EC5"/>
    <w:rsid w:val="00062F22"/>
    <w:rsid w:val="00063975"/>
    <w:rsid w:val="00063CEA"/>
    <w:rsid w:val="0006444D"/>
    <w:rsid w:val="000645FC"/>
    <w:rsid w:val="0006533F"/>
    <w:rsid w:val="00065348"/>
    <w:rsid w:val="00065A75"/>
    <w:rsid w:val="00066558"/>
    <w:rsid w:val="00070A87"/>
    <w:rsid w:val="000712B3"/>
    <w:rsid w:val="00071A7C"/>
    <w:rsid w:val="00072FF5"/>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3241"/>
    <w:rsid w:val="00093868"/>
    <w:rsid w:val="00094A84"/>
    <w:rsid w:val="00095025"/>
    <w:rsid w:val="00095135"/>
    <w:rsid w:val="0009626E"/>
    <w:rsid w:val="00097191"/>
    <w:rsid w:val="000974D1"/>
    <w:rsid w:val="00097784"/>
    <w:rsid w:val="0009799E"/>
    <w:rsid w:val="000A07CB"/>
    <w:rsid w:val="000A0BC0"/>
    <w:rsid w:val="000A1183"/>
    <w:rsid w:val="000A12ED"/>
    <w:rsid w:val="000A212B"/>
    <w:rsid w:val="000A242D"/>
    <w:rsid w:val="000A256D"/>
    <w:rsid w:val="000A3A2C"/>
    <w:rsid w:val="000A3D9E"/>
    <w:rsid w:val="000A4A54"/>
    <w:rsid w:val="000A4ED9"/>
    <w:rsid w:val="000A5DB7"/>
    <w:rsid w:val="000A6D94"/>
    <w:rsid w:val="000A7377"/>
    <w:rsid w:val="000A7FF4"/>
    <w:rsid w:val="000B03CC"/>
    <w:rsid w:val="000B4212"/>
    <w:rsid w:val="000C0EA8"/>
    <w:rsid w:val="000C13A2"/>
    <w:rsid w:val="000C21E7"/>
    <w:rsid w:val="000C23EC"/>
    <w:rsid w:val="000C30C3"/>
    <w:rsid w:val="000C3408"/>
    <w:rsid w:val="000C35AB"/>
    <w:rsid w:val="000C3F7B"/>
    <w:rsid w:val="000C4769"/>
    <w:rsid w:val="000C4D56"/>
    <w:rsid w:val="000C5DFA"/>
    <w:rsid w:val="000C6AFD"/>
    <w:rsid w:val="000C6C90"/>
    <w:rsid w:val="000D0A26"/>
    <w:rsid w:val="000D3058"/>
    <w:rsid w:val="000D310A"/>
    <w:rsid w:val="000D3EF4"/>
    <w:rsid w:val="000D4DC0"/>
    <w:rsid w:val="000D5637"/>
    <w:rsid w:val="000D6F4E"/>
    <w:rsid w:val="000D73BB"/>
    <w:rsid w:val="000E0E96"/>
    <w:rsid w:val="000E298B"/>
    <w:rsid w:val="000E2C7D"/>
    <w:rsid w:val="000E440D"/>
    <w:rsid w:val="000E4AC5"/>
    <w:rsid w:val="000E6253"/>
    <w:rsid w:val="000E6E4D"/>
    <w:rsid w:val="000E6FBD"/>
    <w:rsid w:val="000E6FCB"/>
    <w:rsid w:val="000F090B"/>
    <w:rsid w:val="000F3F3B"/>
    <w:rsid w:val="000F47E8"/>
    <w:rsid w:val="000F70E4"/>
    <w:rsid w:val="000F76EA"/>
    <w:rsid w:val="00100F5C"/>
    <w:rsid w:val="00101CDA"/>
    <w:rsid w:val="00102037"/>
    <w:rsid w:val="00103DCB"/>
    <w:rsid w:val="00104C4C"/>
    <w:rsid w:val="00105015"/>
    <w:rsid w:val="001055D2"/>
    <w:rsid w:val="001057C2"/>
    <w:rsid w:val="0011038E"/>
    <w:rsid w:val="001125EF"/>
    <w:rsid w:val="00112CAB"/>
    <w:rsid w:val="00116D3F"/>
    <w:rsid w:val="00117474"/>
    <w:rsid w:val="00117623"/>
    <w:rsid w:val="00117FEA"/>
    <w:rsid w:val="001200CF"/>
    <w:rsid w:val="001208E3"/>
    <w:rsid w:val="0012192F"/>
    <w:rsid w:val="00122994"/>
    <w:rsid w:val="00124B46"/>
    <w:rsid w:val="001257E0"/>
    <w:rsid w:val="00125D69"/>
    <w:rsid w:val="0012799C"/>
    <w:rsid w:val="00127BC2"/>
    <w:rsid w:val="00127E15"/>
    <w:rsid w:val="00130ADC"/>
    <w:rsid w:val="00130D9F"/>
    <w:rsid w:val="00132C4D"/>
    <w:rsid w:val="00133FC1"/>
    <w:rsid w:val="00134659"/>
    <w:rsid w:val="001405FA"/>
    <w:rsid w:val="00140D1A"/>
    <w:rsid w:val="00141184"/>
    <w:rsid w:val="00141315"/>
    <w:rsid w:val="00141AA0"/>
    <w:rsid w:val="001425C3"/>
    <w:rsid w:val="0014262D"/>
    <w:rsid w:val="00144588"/>
    <w:rsid w:val="001447DD"/>
    <w:rsid w:val="001459BC"/>
    <w:rsid w:val="00152F4F"/>
    <w:rsid w:val="001544A1"/>
    <w:rsid w:val="001553B8"/>
    <w:rsid w:val="001554C2"/>
    <w:rsid w:val="001571C0"/>
    <w:rsid w:val="0015753D"/>
    <w:rsid w:val="00157CC9"/>
    <w:rsid w:val="00160C21"/>
    <w:rsid w:val="001612F4"/>
    <w:rsid w:val="00161553"/>
    <w:rsid w:val="0016256B"/>
    <w:rsid w:val="00162F81"/>
    <w:rsid w:val="00163793"/>
    <w:rsid w:val="00165313"/>
    <w:rsid w:val="00167485"/>
    <w:rsid w:val="001679F5"/>
    <w:rsid w:val="00167B92"/>
    <w:rsid w:val="00167CB9"/>
    <w:rsid w:val="00167DD8"/>
    <w:rsid w:val="001705AD"/>
    <w:rsid w:val="001706D6"/>
    <w:rsid w:val="001714F2"/>
    <w:rsid w:val="00171FEA"/>
    <w:rsid w:val="00175B9F"/>
    <w:rsid w:val="001762F4"/>
    <w:rsid w:val="00181BBC"/>
    <w:rsid w:val="0018385F"/>
    <w:rsid w:val="00184017"/>
    <w:rsid w:val="001847BB"/>
    <w:rsid w:val="00184B08"/>
    <w:rsid w:val="00185010"/>
    <w:rsid w:val="00185C22"/>
    <w:rsid w:val="00186BA9"/>
    <w:rsid w:val="0019196C"/>
    <w:rsid w:val="00192F05"/>
    <w:rsid w:val="00194729"/>
    <w:rsid w:val="00194850"/>
    <w:rsid w:val="00195234"/>
    <w:rsid w:val="00196016"/>
    <w:rsid w:val="00196117"/>
    <w:rsid w:val="00197A70"/>
    <w:rsid w:val="00197C0F"/>
    <w:rsid w:val="001A0487"/>
    <w:rsid w:val="001A1F68"/>
    <w:rsid w:val="001A21FA"/>
    <w:rsid w:val="001A4EF0"/>
    <w:rsid w:val="001A552F"/>
    <w:rsid w:val="001A70B1"/>
    <w:rsid w:val="001B0738"/>
    <w:rsid w:val="001B2CA9"/>
    <w:rsid w:val="001B3110"/>
    <w:rsid w:val="001B3E38"/>
    <w:rsid w:val="001B40F5"/>
    <w:rsid w:val="001B4729"/>
    <w:rsid w:val="001B4F0E"/>
    <w:rsid w:val="001B6310"/>
    <w:rsid w:val="001B6C09"/>
    <w:rsid w:val="001B6E12"/>
    <w:rsid w:val="001C05CD"/>
    <w:rsid w:val="001C0F17"/>
    <w:rsid w:val="001C1B24"/>
    <w:rsid w:val="001C1B66"/>
    <w:rsid w:val="001C31A2"/>
    <w:rsid w:val="001C351D"/>
    <w:rsid w:val="001C4BB8"/>
    <w:rsid w:val="001C4FD0"/>
    <w:rsid w:val="001C5E46"/>
    <w:rsid w:val="001C6B3B"/>
    <w:rsid w:val="001C7E3F"/>
    <w:rsid w:val="001D0EF1"/>
    <w:rsid w:val="001D22C2"/>
    <w:rsid w:val="001D2C99"/>
    <w:rsid w:val="001D452E"/>
    <w:rsid w:val="001D54C1"/>
    <w:rsid w:val="001D556E"/>
    <w:rsid w:val="001D5DF2"/>
    <w:rsid w:val="001D68B2"/>
    <w:rsid w:val="001D7EFD"/>
    <w:rsid w:val="001D7F60"/>
    <w:rsid w:val="001E3306"/>
    <w:rsid w:val="001E504C"/>
    <w:rsid w:val="001E5A17"/>
    <w:rsid w:val="001E74C5"/>
    <w:rsid w:val="001F1236"/>
    <w:rsid w:val="001F2F90"/>
    <w:rsid w:val="001F4597"/>
    <w:rsid w:val="001F4826"/>
    <w:rsid w:val="001F6CD3"/>
    <w:rsid w:val="001F7CE0"/>
    <w:rsid w:val="00200085"/>
    <w:rsid w:val="00203332"/>
    <w:rsid w:val="00203CD5"/>
    <w:rsid w:val="00203D8F"/>
    <w:rsid w:val="00203DA4"/>
    <w:rsid w:val="00204EA6"/>
    <w:rsid w:val="00205186"/>
    <w:rsid w:val="00206516"/>
    <w:rsid w:val="002071D5"/>
    <w:rsid w:val="002111E5"/>
    <w:rsid w:val="002118B9"/>
    <w:rsid w:val="002142C0"/>
    <w:rsid w:val="00217C5B"/>
    <w:rsid w:val="00220A43"/>
    <w:rsid w:val="0022139E"/>
    <w:rsid w:val="00222729"/>
    <w:rsid w:val="00223185"/>
    <w:rsid w:val="002233D6"/>
    <w:rsid w:val="0022441D"/>
    <w:rsid w:val="00224574"/>
    <w:rsid w:val="00224E3F"/>
    <w:rsid w:val="002252E0"/>
    <w:rsid w:val="002255F6"/>
    <w:rsid w:val="00226032"/>
    <w:rsid w:val="0022738D"/>
    <w:rsid w:val="00227605"/>
    <w:rsid w:val="00227850"/>
    <w:rsid w:val="00227A53"/>
    <w:rsid w:val="00227E2E"/>
    <w:rsid w:val="00227F53"/>
    <w:rsid w:val="00230C6E"/>
    <w:rsid w:val="00230E21"/>
    <w:rsid w:val="00231066"/>
    <w:rsid w:val="002316A8"/>
    <w:rsid w:val="002320C9"/>
    <w:rsid w:val="0023288F"/>
    <w:rsid w:val="0023359B"/>
    <w:rsid w:val="00233603"/>
    <w:rsid w:val="002340EF"/>
    <w:rsid w:val="00234B82"/>
    <w:rsid w:val="00236443"/>
    <w:rsid w:val="00236700"/>
    <w:rsid w:val="00240391"/>
    <w:rsid w:val="00240AF3"/>
    <w:rsid w:val="002418D5"/>
    <w:rsid w:val="00241B06"/>
    <w:rsid w:val="002436BA"/>
    <w:rsid w:val="00244652"/>
    <w:rsid w:val="00244A15"/>
    <w:rsid w:val="002452D9"/>
    <w:rsid w:val="00247319"/>
    <w:rsid w:val="0024799E"/>
    <w:rsid w:val="00247E60"/>
    <w:rsid w:val="00251B08"/>
    <w:rsid w:val="00251C53"/>
    <w:rsid w:val="00252AB9"/>
    <w:rsid w:val="00253C0F"/>
    <w:rsid w:val="002558C1"/>
    <w:rsid w:val="00256207"/>
    <w:rsid w:val="002575F3"/>
    <w:rsid w:val="002603E1"/>
    <w:rsid w:val="0026120E"/>
    <w:rsid w:val="00262582"/>
    <w:rsid w:val="0026291D"/>
    <w:rsid w:val="00262CF3"/>
    <w:rsid w:val="00264309"/>
    <w:rsid w:val="0026564B"/>
    <w:rsid w:val="00265C83"/>
    <w:rsid w:val="00265E85"/>
    <w:rsid w:val="00267B49"/>
    <w:rsid w:val="002700D9"/>
    <w:rsid w:val="0027025F"/>
    <w:rsid w:val="002709CC"/>
    <w:rsid w:val="00270D25"/>
    <w:rsid w:val="00271022"/>
    <w:rsid w:val="00271465"/>
    <w:rsid w:val="00271E47"/>
    <w:rsid w:val="002721F5"/>
    <w:rsid w:val="00272DF4"/>
    <w:rsid w:val="0027583D"/>
    <w:rsid w:val="00275DEF"/>
    <w:rsid w:val="002763A2"/>
    <w:rsid w:val="00276B33"/>
    <w:rsid w:val="002812E3"/>
    <w:rsid w:val="0028341F"/>
    <w:rsid w:val="002837AE"/>
    <w:rsid w:val="00283C13"/>
    <w:rsid w:val="00283F7B"/>
    <w:rsid w:val="0028431A"/>
    <w:rsid w:val="002853FA"/>
    <w:rsid w:val="00285412"/>
    <w:rsid w:val="00286220"/>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EA2"/>
    <w:rsid w:val="002A51AC"/>
    <w:rsid w:val="002A532A"/>
    <w:rsid w:val="002A5846"/>
    <w:rsid w:val="002A5D97"/>
    <w:rsid w:val="002A603E"/>
    <w:rsid w:val="002A63B9"/>
    <w:rsid w:val="002A7089"/>
    <w:rsid w:val="002B1619"/>
    <w:rsid w:val="002B3EF4"/>
    <w:rsid w:val="002B4845"/>
    <w:rsid w:val="002B5567"/>
    <w:rsid w:val="002B5812"/>
    <w:rsid w:val="002B72AA"/>
    <w:rsid w:val="002C1110"/>
    <w:rsid w:val="002C1BC2"/>
    <w:rsid w:val="002C1F09"/>
    <w:rsid w:val="002C22A4"/>
    <w:rsid w:val="002C260B"/>
    <w:rsid w:val="002C27A6"/>
    <w:rsid w:val="002C398D"/>
    <w:rsid w:val="002C40D2"/>
    <w:rsid w:val="002C43BD"/>
    <w:rsid w:val="002C5245"/>
    <w:rsid w:val="002C59D8"/>
    <w:rsid w:val="002D05CB"/>
    <w:rsid w:val="002D0E59"/>
    <w:rsid w:val="002D2C4F"/>
    <w:rsid w:val="002D3EBB"/>
    <w:rsid w:val="002D455C"/>
    <w:rsid w:val="002D6066"/>
    <w:rsid w:val="002E02A1"/>
    <w:rsid w:val="002E196A"/>
    <w:rsid w:val="002E20C7"/>
    <w:rsid w:val="002E20CD"/>
    <w:rsid w:val="002E222E"/>
    <w:rsid w:val="002E28D8"/>
    <w:rsid w:val="002E37D1"/>
    <w:rsid w:val="002E3BEE"/>
    <w:rsid w:val="002E4E4C"/>
    <w:rsid w:val="002E4EA7"/>
    <w:rsid w:val="002E5846"/>
    <w:rsid w:val="002E792B"/>
    <w:rsid w:val="002F1B09"/>
    <w:rsid w:val="002F1D56"/>
    <w:rsid w:val="002F1DCB"/>
    <w:rsid w:val="002F1DE4"/>
    <w:rsid w:val="002F333D"/>
    <w:rsid w:val="002F351A"/>
    <w:rsid w:val="002F46D6"/>
    <w:rsid w:val="002F498A"/>
    <w:rsid w:val="002F4AD8"/>
    <w:rsid w:val="002F5285"/>
    <w:rsid w:val="002F5820"/>
    <w:rsid w:val="002F64BB"/>
    <w:rsid w:val="00300C31"/>
    <w:rsid w:val="003017EC"/>
    <w:rsid w:val="00302165"/>
    <w:rsid w:val="00304771"/>
    <w:rsid w:val="003052D4"/>
    <w:rsid w:val="003060E9"/>
    <w:rsid w:val="00306C5B"/>
    <w:rsid w:val="00307529"/>
    <w:rsid w:val="00307DB3"/>
    <w:rsid w:val="00307ED2"/>
    <w:rsid w:val="0031076D"/>
    <w:rsid w:val="00311AA6"/>
    <w:rsid w:val="00311C4D"/>
    <w:rsid w:val="003121AB"/>
    <w:rsid w:val="00315169"/>
    <w:rsid w:val="003153C8"/>
    <w:rsid w:val="00315524"/>
    <w:rsid w:val="0032058C"/>
    <w:rsid w:val="003208D0"/>
    <w:rsid w:val="003209D6"/>
    <w:rsid w:val="003217B9"/>
    <w:rsid w:val="00321924"/>
    <w:rsid w:val="00321EB6"/>
    <w:rsid w:val="003220A5"/>
    <w:rsid w:val="00323A1C"/>
    <w:rsid w:val="00324B59"/>
    <w:rsid w:val="0032656E"/>
    <w:rsid w:val="0032788F"/>
    <w:rsid w:val="00332190"/>
    <w:rsid w:val="00332A98"/>
    <w:rsid w:val="00333973"/>
    <w:rsid w:val="00333CD0"/>
    <w:rsid w:val="0033448D"/>
    <w:rsid w:val="00334AD2"/>
    <w:rsid w:val="00334CB6"/>
    <w:rsid w:val="0033709C"/>
    <w:rsid w:val="003370C5"/>
    <w:rsid w:val="003373C6"/>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6077F"/>
    <w:rsid w:val="00360C86"/>
    <w:rsid w:val="00360F7A"/>
    <w:rsid w:val="00360FBC"/>
    <w:rsid w:val="00361537"/>
    <w:rsid w:val="0036242A"/>
    <w:rsid w:val="00362C23"/>
    <w:rsid w:val="00362E90"/>
    <w:rsid w:val="00364FA0"/>
    <w:rsid w:val="003657F3"/>
    <w:rsid w:val="00365844"/>
    <w:rsid w:val="00367F84"/>
    <w:rsid w:val="003712BC"/>
    <w:rsid w:val="00372164"/>
    <w:rsid w:val="003738BD"/>
    <w:rsid w:val="00374263"/>
    <w:rsid w:val="003746F0"/>
    <w:rsid w:val="00374A20"/>
    <w:rsid w:val="00374E21"/>
    <w:rsid w:val="00377B2E"/>
    <w:rsid w:val="003810F0"/>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6739"/>
    <w:rsid w:val="003A04F6"/>
    <w:rsid w:val="003A0837"/>
    <w:rsid w:val="003A2B4D"/>
    <w:rsid w:val="003A2D12"/>
    <w:rsid w:val="003A2EBA"/>
    <w:rsid w:val="003A45E3"/>
    <w:rsid w:val="003A478C"/>
    <w:rsid w:val="003A4A38"/>
    <w:rsid w:val="003A5525"/>
    <w:rsid w:val="003A5889"/>
    <w:rsid w:val="003A6B38"/>
    <w:rsid w:val="003A6B83"/>
    <w:rsid w:val="003A6C97"/>
    <w:rsid w:val="003A722F"/>
    <w:rsid w:val="003A7373"/>
    <w:rsid w:val="003A7D09"/>
    <w:rsid w:val="003B039F"/>
    <w:rsid w:val="003B0DF4"/>
    <w:rsid w:val="003B1F9D"/>
    <w:rsid w:val="003B2A8D"/>
    <w:rsid w:val="003B2AD1"/>
    <w:rsid w:val="003B2D2E"/>
    <w:rsid w:val="003B461F"/>
    <w:rsid w:val="003B483F"/>
    <w:rsid w:val="003B4998"/>
    <w:rsid w:val="003B5A32"/>
    <w:rsid w:val="003B7B50"/>
    <w:rsid w:val="003C0B07"/>
    <w:rsid w:val="003C2CE7"/>
    <w:rsid w:val="003C3490"/>
    <w:rsid w:val="003C3608"/>
    <w:rsid w:val="003C3AE8"/>
    <w:rsid w:val="003C3D2C"/>
    <w:rsid w:val="003C4E13"/>
    <w:rsid w:val="003C6221"/>
    <w:rsid w:val="003C63D7"/>
    <w:rsid w:val="003C68CC"/>
    <w:rsid w:val="003C7E62"/>
    <w:rsid w:val="003D12B9"/>
    <w:rsid w:val="003D1E7A"/>
    <w:rsid w:val="003D242B"/>
    <w:rsid w:val="003D2492"/>
    <w:rsid w:val="003D29AA"/>
    <w:rsid w:val="003D2A99"/>
    <w:rsid w:val="003D6920"/>
    <w:rsid w:val="003E0249"/>
    <w:rsid w:val="003E1EF8"/>
    <w:rsid w:val="003E2DFB"/>
    <w:rsid w:val="003E4C91"/>
    <w:rsid w:val="003E52D8"/>
    <w:rsid w:val="003E62F1"/>
    <w:rsid w:val="003F313C"/>
    <w:rsid w:val="003F37FC"/>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5318"/>
    <w:rsid w:val="004059D2"/>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20880"/>
    <w:rsid w:val="00421179"/>
    <w:rsid w:val="00430C96"/>
    <w:rsid w:val="00431BFF"/>
    <w:rsid w:val="00432199"/>
    <w:rsid w:val="00432A58"/>
    <w:rsid w:val="004331C3"/>
    <w:rsid w:val="00433C17"/>
    <w:rsid w:val="00434617"/>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F1"/>
    <w:rsid w:val="00452E60"/>
    <w:rsid w:val="0045321B"/>
    <w:rsid w:val="00456FE5"/>
    <w:rsid w:val="00457490"/>
    <w:rsid w:val="00457953"/>
    <w:rsid w:val="004604D8"/>
    <w:rsid w:val="00460656"/>
    <w:rsid w:val="00460FB3"/>
    <w:rsid w:val="00463D3C"/>
    <w:rsid w:val="00464851"/>
    <w:rsid w:val="0046746A"/>
    <w:rsid w:val="00467B14"/>
    <w:rsid w:val="004707FE"/>
    <w:rsid w:val="00470EDC"/>
    <w:rsid w:val="0047276D"/>
    <w:rsid w:val="00472AF6"/>
    <w:rsid w:val="00473482"/>
    <w:rsid w:val="00474A04"/>
    <w:rsid w:val="00476240"/>
    <w:rsid w:val="00476439"/>
    <w:rsid w:val="00476450"/>
    <w:rsid w:val="004769E1"/>
    <w:rsid w:val="0047735C"/>
    <w:rsid w:val="004776BC"/>
    <w:rsid w:val="00477820"/>
    <w:rsid w:val="00477B96"/>
    <w:rsid w:val="00480BAE"/>
    <w:rsid w:val="0048139F"/>
    <w:rsid w:val="00481E40"/>
    <w:rsid w:val="00482405"/>
    <w:rsid w:val="004826A7"/>
    <w:rsid w:val="0048368C"/>
    <w:rsid w:val="0048372F"/>
    <w:rsid w:val="00484ECE"/>
    <w:rsid w:val="00485E82"/>
    <w:rsid w:val="00486132"/>
    <w:rsid w:val="0048686D"/>
    <w:rsid w:val="00486A4D"/>
    <w:rsid w:val="004915CB"/>
    <w:rsid w:val="004924DC"/>
    <w:rsid w:val="00492879"/>
    <w:rsid w:val="00493E85"/>
    <w:rsid w:val="00495145"/>
    <w:rsid w:val="004979A5"/>
    <w:rsid w:val="004A0144"/>
    <w:rsid w:val="004A036E"/>
    <w:rsid w:val="004A0498"/>
    <w:rsid w:val="004A0D0E"/>
    <w:rsid w:val="004A14E4"/>
    <w:rsid w:val="004A204E"/>
    <w:rsid w:val="004A26A5"/>
    <w:rsid w:val="004A27F0"/>
    <w:rsid w:val="004A3212"/>
    <w:rsid w:val="004A37CD"/>
    <w:rsid w:val="004A40D9"/>
    <w:rsid w:val="004A49A5"/>
    <w:rsid w:val="004A4F8A"/>
    <w:rsid w:val="004A5494"/>
    <w:rsid w:val="004A5D4E"/>
    <w:rsid w:val="004A61C5"/>
    <w:rsid w:val="004A62A0"/>
    <w:rsid w:val="004A77DF"/>
    <w:rsid w:val="004B1417"/>
    <w:rsid w:val="004B305C"/>
    <w:rsid w:val="004B31B8"/>
    <w:rsid w:val="004B339A"/>
    <w:rsid w:val="004B4C83"/>
    <w:rsid w:val="004B55B7"/>
    <w:rsid w:val="004B5BFA"/>
    <w:rsid w:val="004B6468"/>
    <w:rsid w:val="004B6EF8"/>
    <w:rsid w:val="004B7125"/>
    <w:rsid w:val="004B756A"/>
    <w:rsid w:val="004B7FB1"/>
    <w:rsid w:val="004C0B3F"/>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E03"/>
    <w:rsid w:val="004D3296"/>
    <w:rsid w:val="004D4056"/>
    <w:rsid w:val="004D4CB0"/>
    <w:rsid w:val="004D5B0F"/>
    <w:rsid w:val="004D7626"/>
    <w:rsid w:val="004E186A"/>
    <w:rsid w:val="004E1A40"/>
    <w:rsid w:val="004E200A"/>
    <w:rsid w:val="004E23FC"/>
    <w:rsid w:val="004E2409"/>
    <w:rsid w:val="004E261D"/>
    <w:rsid w:val="004E57BF"/>
    <w:rsid w:val="004E5F41"/>
    <w:rsid w:val="004E6DE6"/>
    <w:rsid w:val="004E765E"/>
    <w:rsid w:val="004E7815"/>
    <w:rsid w:val="004F06F5"/>
    <w:rsid w:val="004F12A4"/>
    <w:rsid w:val="004F253F"/>
    <w:rsid w:val="004F33A0"/>
    <w:rsid w:val="004F3BD2"/>
    <w:rsid w:val="004F46ED"/>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2461"/>
    <w:rsid w:val="00512585"/>
    <w:rsid w:val="00512A2F"/>
    <w:rsid w:val="00513B7E"/>
    <w:rsid w:val="00513E9D"/>
    <w:rsid w:val="0051475D"/>
    <w:rsid w:val="00514B11"/>
    <w:rsid w:val="00515485"/>
    <w:rsid w:val="00515BE9"/>
    <w:rsid w:val="00515C74"/>
    <w:rsid w:val="0051630F"/>
    <w:rsid w:val="00517113"/>
    <w:rsid w:val="0052007E"/>
    <w:rsid w:val="00521CAD"/>
    <w:rsid w:val="0052200D"/>
    <w:rsid w:val="00522E01"/>
    <w:rsid w:val="0052337A"/>
    <w:rsid w:val="00524385"/>
    <w:rsid w:val="005246BE"/>
    <w:rsid w:val="00525137"/>
    <w:rsid w:val="005251DD"/>
    <w:rsid w:val="0053012B"/>
    <w:rsid w:val="005301A6"/>
    <w:rsid w:val="00530A68"/>
    <w:rsid w:val="00530AD4"/>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5F6"/>
    <w:rsid w:val="0054582F"/>
    <w:rsid w:val="005500F9"/>
    <w:rsid w:val="00550160"/>
    <w:rsid w:val="005523A8"/>
    <w:rsid w:val="00552F2C"/>
    <w:rsid w:val="00553A25"/>
    <w:rsid w:val="005547EB"/>
    <w:rsid w:val="005555E0"/>
    <w:rsid w:val="0055599F"/>
    <w:rsid w:val="00556D68"/>
    <w:rsid w:val="005570D6"/>
    <w:rsid w:val="00557E0E"/>
    <w:rsid w:val="00557E45"/>
    <w:rsid w:val="00560C41"/>
    <w:rsid w:val="00561F44"/>
    <w:rsid w:val="00562B4D"/>
    <w:rsid w:val="00563EB8"/>
    <w:rsid w:val="005647BF"/>
    <w:rsid w:val="00564AF1"/>
    <w:rsid w:val="005655DB"/>
    <w:rsid w:val="00565E88"/>
    <w:rsid w:val="005678EE"/>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3E52"/>
    <w:rsid w:val="00583FFD"/>
    <w:rsid w:val="00584252"/>
    <w:rsid w:val="0058519A"/>
    <w:rsid w:val="005856BD"/>
    <w:rsid w:val="00586BCA"/>
    <w:rsid w:val="00587038"/>
    <w:rsid w:val="00590B28"/>
    <w:rsid w:val="005911BE"/>
    <w:rsid w:val="00591273"/>
    <w:rsid w:val="00591E9E"/>
    <w:rsid w:val="005927A4"/>
    <w:rsid w:val="00593152"/>
    <w:rsid w:val="005956A3"/>
    <w:rsid w:val="00595958"/>
    <w:rsid w:val="00595CAB"/>
    <w:rsid w:val="0059622E"/>
    <w:rsid w:val="00597671"/>
    <w:rsid w:val="00597BBF"/>
    <w:rsid w:val="005A0948"/>
    <w:rsid w:val="005A0A03"/>
    <w:rsid w:val="005A10F2"/>
    <w:rsid w:val="005A21E0"/>
    <w:rsid w:val="005A28FF"/>
    <w:rsid w:val="005A2C09"/>
    <w:rsid w:val="005A3778"/>
    <w:rsid w:val="005A3DF8"/>
    <w:rsid w:val="005A5549"/>
    <w:rsid w:val="005A7CF8"/>
    <w:rsid w:val="005B0EDA"/>
    <w:rsid w:val="005B121D"/>
    <w:rsid w:val="005B26B0"/>
    <w:rsid w:val="005B41C9"/>
    <w:rsid w:val="005B44E6"/>
    <w:rsid w:val="005B4853"/>
    <w:rsid w:val="005B6CA1"/>
    <w:rsid w:val="005B770C"/>
    <w:rsid w:val="005C06ED"/>
    <w:rsid w:val="005C11B8"/>
    <w:rsid w:val="005C216C"/>
    <w:rsid w:val="005C2609"/>
    <w:rsid w:val="005C2B30"/>
    <w:rsid w:val="005C412B"/>
    <w:rsid w:val="005C43EC"/>
    <w:rsid w:val="005C45DD"/>
    <w:rsid w:val="005C4CB1"/>
    <w:rsid w:val="005D3F06"/>
    <w:rsid w:val="005D4B73"/>
    <w:rsid w:val="005D5645"/>
    <w:rsid w:val="005D5802"/>
    <w:rsid w:val="005D5AA9"/>
    <w:rsid w:val="005D66E6"/>
    <w:rsid w:val="005D7119"/>
    <w:rsid w:val="005D76C8"/>
    <w:rsid w:val="005D7890"/>
    <w:rsid w:val="005E19C1"/>
    <w:rsid w:val="005E2194"/>
    <w:rsid w:val="005E24F0"/>
    <w:rsid w:val="005E36FE"/>
    <w:rsid w:val="005E3F66"/>
    <w:rsid w:val="005E490F"/>
    <w:rsid w:val="005E4BC9"/>
    <w:rsid w:val="005E5314"/>
    <w:rsid w:val="005E7C78"/>
    <w:rsid w:val="005F04A7"/>
    <w:rsid w:val="005F114F"/>
    <w:rsid w:val="005F18C5"/>
    <w:rsid w:val="005F2A08"/>
    <w:rsid w:val="005F36CC"/>
    <w:rsid w:val="005F3EB1"/>
    <w:rsid w:val="005F413E"/>
    <w:rsid w:val="005F466B"/>
    <w:rsid w:val="005F46D8"/>
    <w:rsid w:val="005F480F"/>
    <w:rsid w:val="005F5469"/>
    <w:rsid w:val="005F63F3"/>
    <w:rsid w:val="005F66F0"/>
    <w:rsid w:val="005F6D7F"/>
    <w:rsid w:val="005F7174"/>
    <w:rsid w:val="00601ADE"/>
    <w:rsid w:val="00601EEF"/>
    <w:rsid w:val="0060255A"/>
    <w:rsid w:val="00602EB3"/>
    <w:rsid w:val="00604307"/>
    <w:rsid w:val="0060487F"/>
    <w:rsid w:val="00604EAD"/>
    <w:rsid w:val="0060513F"/>
    <w:rsid w:val="0060694B"/>
    <w:rsid w:val="006104FB"/>
    <w:rsid w:val="0061176D"/>
    <w:rsid w:val="0061200F"/>
    <w:rsid w:val="00612756"/>
    <w:rsid w:val="00612A2F"/>
    <w:rsid w:val="00612AAE"/>
    <w:rsid w:val="00612FD9"/>
    <w:rsid w:val="006139E0"/>
    <w:rsid w:val="00614D35"/>
    <w:rsid w:val="006156B4"/>
    <w:rsid w:val="00615DAF"/>
    <w:rsid w:val="00616E05"/>
    <w:rsid w:val="00617985"/>
    <w:rsid w:val="00620B77"/>
    <w:rsid w:val="0062131B"/>
    <w:rsid w:val="00621E26"/>
    <w:rsid w:val="0062263A"/>
    <w:rsid w:val="006227DF"/>
    <w:rsid w:val="006236C8"/>
    <w:rsid w:val="00624093"/>
    <w:rsid w:val="00625A84"/>
    <w:rsid w:val="00626079"/>
    <w:rsid w:val="00631698"/>
    <w:rsid w:val="00631E44"/>
    <w:rsid w:val="00634C57"/>
    <w:rsid w:val="00634CE7"/>
    <w:rsid w:val="006350D5"/>
    <w:rsid w:val="0063642C"/>
    <w:rsid w:val="00637858"/>
    <w:rsid w:val="006404A7"/>
    <w:rsid w:val="00640A38"/>
    <w:rsid w:val="00640E6B"/>
    <w:rsid w:val="00641787"/>
    <w:rsid w:val="0064179B"/>
    <w:rsid w:val="00642489"/>
    <w:rsid w:val="00644055"/>
    <w:rsid w:val="00644137"/>
    <w:rsid w:val="0064478C"/>
    <w:rsid w:val="00645160"/>
    <w:rsid w:val="006451E4"/>
    <w:rsid w:val="00645B33"/>
    <w:rsid w:val="006516CB"/>
    <w:rsid w:val="00653BD0"/>
    <w:rsid w:val="00654110"/>
    <w:rsid w:val="00656C5D"/>
    <w:rsid w:val="00656CFB"/>
    <w:rsid w:val="00657E87"/>
    <w:rsid w:val="00660D2D"/>
    <w:rsid w:val="00661C41"/>
    <w:rsid w:val="00661EC9"/>
    <w:rsid w:val="00662469"/>
    <w:rsid w:val="0066411C"/>
    <w:rsid w:val="00664205"/>
    <w:rsid w:val="00664647"/>
    <w:rsid w:val="00664803"/>
    <w:rsid w:val="006653CC"/>
    <w:rsid w:val="00665982"/>
    <w:rsid w:val="00665BA4"/>
    <w:rsid w:val="00666BF3"/>
    <w:rsid w:val="00667856"/>
    <w:rsid w:val="00667AF2"/>
    <w:rsid w:val="00670489"/>
    <w:rsid w:val="006710C9"/>
    <w:rsid w:val="00672586"/>
    <w:rsid w:val="006741CD"/>
    <w:rsid w:val="00674D89"/>
    <w:rsid w:val="0067514E"/>
    <w:rsid w:val="00675E37"/>
    <w:rsid w:val="00676736"/>
    <w:rsid w:val="006769A4"/>
    <w:rsid w:val="006769C6"/>
    <w:rsid w:val="00676D76"/>
    <w:rsid w:val="00676F9F"/>
    <w:rsid w:val="00677591"/>
    <w:rsid w:val="00677594"/>
    <w:rsid w:val="0068032F"/>
    <w:rsid w:val="00680D37"/>
    <w:rsid w:val="0068174E"/>
    <w:rsid w:val="00681DCE"/>
    <w:rsid w:val="0068260E"/>
    <w:rsid w:val="006846B3"/>
    <w:rsid w:val="00684D59"/>
    <w:rsid w:val="00684E25"/>
    <w:rsid w:val="006858A4"/>
    <w:rsid w:val="00686718"/>
    <w:rsid w:val="00686BFA"/>
    <w:rsid w:val="00686DED"/>
    <w:rsid w:val="006875A0"/>
    <w:rsid w:val="006878C6"/>
    <w:rsid w:val="00687D27"/>
    <w:rsid w:val="00691943"/>
    <w:rsid w:val="00693550"/>
    <w:rsid w:val="00695065"/>
    <w:rsid w:val="00695BEF"/>
    <w:rsid w:val="00696251"/>
    <w:rsid w:val="006966C7"/>
    <w:rsid w:val="006968C1"/>
    <w:rsid w:val="006977F6"/>
    <w:rsid w:val="00697A13"/>
    <w:rsid w:val="006A0DD4"/>
    <w:rsid w:val="006A109C"/>
    <w:rsid w:val="006A5F4B"/>
    <w:rsid w:val="006A65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4355"/>
    <w:rsid w:val="006C469D"/>
    <w:rsid w:val="006C46B5"/>
    <w:rsid w:val="006C484F"/>
    <w:rsid w:val="006C52EC"/>
    <w:rsid w:val="006C56D4"/>
    <w:rsid w:val="006C6681"/>
    <w:rsid w:val="006C683C"/>
    <w:rsid w:val="006C6924"/>
    <w:rsid w:val="006C6C1E"/>
    <w:rsid w:val="006C7076"/>
    <w:rsid w:val="006C7AEC"/>
    <w:rsid w:val="006C7CA6"/>
    <w:rsid w:val="006D18B3"/>
    <w:rsid w:val="006D1E89"/>
    <w:rsid w:val="006D317E"/>
    <w:rsid w:val="006D3E8A"/>
    <w:rsid w:val="006D61F6"/>
    <w:rsid w:val="006E1332"/>
    <w:rsid w:val="006E279A"/>
    <w:rsid w:val="006E313B"/>
    <w:rsid w:val="006E34B2"/>
    <w:rsid w:val="006E3A45"/>
    <w:rsid w:val="006E4078"/>
    <w:rsid w:val="006E53AD"/>
    <w:rsid w:val="006E58CB"/>
    <w:rsid w:val="006E7227"/>
    <w:rsid w:val="006E761A"/>
    <w:rsid w:val="006F0741"/>
    <w:rsid w:val="006F1C27"/>
    <w:rsid w:val="006F2A65"/>
    <w:rsid w:val="006F3DD6"/>
    <w:rsid w:val="006F40DF"/>
    <w:rsid w:val="006F42BB"/>
    <w:rsid w:val="006F438E"/>
    <w:rsid w:val="006F440B"/>
    <w:rsid w:val="006F48A3"/>
    <w:rsid w:val="006F5416"/>
    <w:rsid w:val="006F624B"/>
    <w:rsid w:val="006F6D87"/>
    <w:rsid w:val="00702C9F"/>
    <w:rsid w:val="0070398A"/>
    <w:rsid w:val="00705242"/>
    <w:rsid w:val="007055E0"/>
    <w:rsid w:val="007056ED"/>
    <w:rsid w:val="00705F4E"/>
    <w:rsid w:val="007065C5"/>
    <w:rsid w:val="007068E1"/>
    <w:rsid w:val="00706AA0"/>
    <w:rsid w:val="00706AD4"/>
    <w:rsid w:val="00707150"/>
    <w:rsid w:val="007124D7"/>
    <w:rsid w:val="00712C20"/>
    <w:rsid w:val="00713549"/>
    <w:rsid w:val="007140BE"/>
    <w:rsid w:val="007147AB"/>
    <w:rsid w:val="00715502"/>
    <w:rsid w:val="00715E4D"/>
    <w:rsid w:val="0071677A"/>
    <w:rsid w:val="00716F48"/>
    <w:rsid w:val="00717114"/>
    <w:rsid w:val="0071779F"/>
    <w:rsid w:val="007211F5"/>
    <w:rsid w:val="00721601"/>
    <w:rsid w:val="00722777"/>
    <w:rsid w:val="00723435"/>
    <w:rsid w:val="00723436"/>
    <w:rsid w:val="007240E2"/>
    <w:rsid w:val="0072454C"/>
    <w:rsid w:val="0072583E"/>
    <w:rsid w:val="00725BB5"/>
    <w:rsid w:val="00727C02"/>
    <w:rsid w:val="0073008E"/>
    <w:rsid w:val="00730AE8"/>
    <w:rsid w:val="00730F1B"/>
    <w:rsid w:val="0073186D"/>
    <w:rsid w:val="0073333D"/>
    <w:rsid w:val="007343D9"/>
    <w:rsid w:val="00734F71"/>
    <w:rsid w:val="00735448"/>
    <w:rsid w:val="00736F07"/>
    <w:rsid w:val="007377BD"/>
    <w:rsid w:val="00737DEC"/>
    <w:rsid w:val="0074004D"/>
    <w:rsid w:val="00741493"/>
    <w:rsid w:val="007434E5"/>
    <w:rsid w:val="0074499B"/>
    <w:rsid w:val="007450BF"/>
    <w:rsid w:val="007471A1"/>
    <w:rsid w:val="007477BD"/>
    <w:rsid w:val="00747EE9"/>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974"/>
    <w:rsid w:val="00764D18"/>
    <w:rsid w:val="0076521E"/>
    <w:rsid w:val="00765BCC"/>
    <w:rsid w:val="0076600D"/>
    <w:rsid w:val="007661E9"/>
    <w:rsid w:val="00766460"/>
    <w:rsid w:val="00767062"/>
    <w:rsid w:val="00767777"/>
    <w:rsid w:val="00770CFC"/>
    <w:rsid w:val="0077130E"/>
    <w:rsid w:val="007715EE"/>
    <w:rsid w:val="00771972"/>
    <w:rsid w:val="00772279"/>
    <w:rsid w:val="00772DAB"/>
    <w:rsid w:val="00772FF9"/>
    <w:rsid w:val="00774D2C"/>
    <w:rsid w:val="0077605B"/>
    <w:rsid w:val="00776169"/>
    <w:rsid w:val="00776527"/>
    <w:rsid w:val="00777040"/>
    <w:rsid w:val="00777CE6"/>
    <w:rsid w:val="00780EF1"/>
    <w:rsid w:val="00781A91"/>
    <w:rsid w:val="00781F3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782"/>
    <w:rsid w:val="007A516D"/>
    <w:rsid w:val="007A5E65"/>
    <w:rsid w:val="007A65E1"/>
    <w:rsid w:val="007A6AAA"/>
    <w:rsid w:val="007A7033"/>
    <w:rsid w:val="007A775D"/>
    <w:rsid w:val="007B0834"/>
    <w:rsid w:val="007B0E83"/>
    <w:rsid w:val="007B11FA"/>
    <w:rsid w:val="007B1396"/>
    <w:rsid w:val="007B16D6"/>
    <w:rsid w:val="007B2011"/>
    <w:rsid w:val="007B2CFE"/>
    <w:rsid w:val="007B309B"/>
    <w:rsid w:val="007B3D5E"/>
    <w:rsid w:val="007B3DCB"/>
    <w:rsid w:val="007B5725"/>
    <w:rsid w:val="007B5C1F"/>
    <w:rsid w:val="007B6689"/>
    <w:rsid w:val="007B6747"/>
    <w:rsid w:val="007B6F72"/>
    <w:rsid w:val="007C10BD"/>
    <w:rsid w:val="007C1F0C"/>
    <w:rsid w:val="007C1FFB"/>
    <w:rsid w:val="007C2D94"/>
    <w:rsid w:val="007C5F92"/>
    <w:rsid w:val="007C6227"/>
    <w:rsid w:val="007C6BBD"/>
    <w:rsid w:val="007C6D89"/>
    <w:rsid w:val="007C6F5E"/>
    <w:rsid w:val="007D0382"/>
    <w:rsid w:val="007D14FE"/>
    <w:rsid w:val="007D1A1F"/>
    <w:rsid w:val="007D2E18"/>
    <w:rsid w:val="007D40DF"/>
    <w:rsid w:val="007D42E5"/>
    <w:rsid w:val="007D4458"/>
    <w:rsid w:val="007D6AF9"/>
    <w:rsid w:val="007E0535"/>
    <w:rsid w:val="007E0D4A"/>
    <w:rsid w:val="007E1788"/>
    <w:rsid w:val="007E1EE3"/>
    <w:rsid w:val="007E29B4"/>
    <w:rsid w:val="007E2F12"/>
    <w:rsid w:val="007E435A"/>
    <w:rsid w:val="007E445C"/>
    <w:rsid w:val="007E49F7"/>
    <w:rsid w:val="007E4C70"/>
    <w:rsid w:val="007E5B5F"/>
    <w:rsid w:val="007E78B6"/>
    <w:rsid w:val="007E7E61"/>
    <w:rsid w:val="007F0845"/>
    <w:rsid w:val="007F0873"/>
    <w:rsid w:val="007F20F3"/>
    <w:rsid w:val="007F2353"/>
    <w:rsid w:val="007F2390"/>
    <w:rsid w:val="007F2CAC"/>
    <w:rsid w:val="007F4740"/>
    <w:rsid w:val="007F595A"/>
    <w:rsid w:val="007F5C38"/>
    <w:rsid w:val="007F708D"/>
    <w:rsid w:val="008006B3"/>
    <w:rsid w:val="00800B63"/>
    <w:rsid w:val="0080158A"/>
    <w:rsid w:val="00801E13"/>
    <w:rsid w:val="00803008"/>
    <w:rsid w:val="00803069"/>
    <w:rsid w:val="0080346B"/>
    <w:rsid w:val="00804155"/>
    <w:rsid w:val="0080559E"/>
    <w:rsid w:val="00805AF3"/>
    <w:rsid w:val="0080734C"/>
    <w:rsid w:val="00807C82"/>
    <w:rsid w:val="008117CC"/>
    <w:rsid w:val="00813D58"/>
    <w:rsid w:val="00813DCA"/>
    <w:rsid w:val="008161A6"/>
    <w:rsid w:val="008165B8"/>
    <w:rsid w:val="00816905"/>
    <w:rsid w:val="00816D98"/>
    <w:rsid w:val="00816E42"/>
    <w:rsid w:val="00817040"/>
    <w:rsid w:val="00817A17"/>
    <w:rsid w:val="00817EC1"/>
    <w:rsid w:val="0082112D"/>
    <w:rsid w:val="00821FF6"/>
    <w:rsid w:val="00822574"/>
    <w:rsid w:val="00822980"/>
    <w:rsid w:val="00822F08"/>
    <w:rsid w:val="00825C4D"/>
    <w:rsid w:val="00826A08"/>
    <w:rsid w:val="00826AC0"/>
    <w:rsid w:val="00827186"/>
    <w:rsid w:val="00827C8E"/>
    <w:rsid w:val="00830569"/>
    <w:rsid w:val="00830AEA"/>
    <w:rsid w:val="00830E86"/>
    <w:rsid w:val="0083143E"/>
    <w:rsid w:val="008315B8"/>
    <w:rsid w:val="008315D5"/>
    <w:rsid w:val="00831CDE"/>
    <w:rsid w:val="00831F2B"/>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114D"/>
    <w:rsid w:val="008520A8"/>
    <w:rsid w:val="00852217"/>
    <w:rsid w:val="00853282"/>
    <w:rsid w:val="0085334C"/>
    <w:rsid w:val="00855408"/>
    <w:rsid w:val="00855D03"/>
    <w:rsid w:val="00856D65"/>
    <w:rsid w:val="00861B41"/>
    <w:rsid w:val="00861B9F"/>
    <w:rsid w:val="00861BE3"/>
    <w:rsid w:val="008625D3"/>
    <w:rsid w:val="00863434"/>
    <w:rsid w:val="0086344F"/>
    <w:rsid w:val="008641AC"/>
    <w:rsid w:val="00865E4C"/>
    <w:rsid w:val="00867546"/>
    <w:rsid w:val="0086796D"/>
    <w:rsid w:val="00867DAB"/>
    <w:rsid w:val="0087000B"/>
    <w:rsid w:val="008701E4"/>
    <w:rsid w:val="008704E9"/>
    <w:rsid w:val="00870ECD"/>
    <w:rsid w:val="0087347C"/>
    <w:rsid w:val="008734E7"/>
    <w:rsid w:val="0087368D"/>
    <w:rsid w:val="008740CC"/>
    <w:rsid w:val="00874FE8"/>
    <w:rsid w:val="00875A32"/>
    <w:rsid w:val="00876086"/>
    <w:rsid w:val="00876E83"/>
    <w:rsid w:val="008772BC"/>
    <w:rsid w:val="00880A0E"/>
    <w:rsid w:val="008817FE"/>
    <w:rsid w:val="00881CD7"/>
    <w:rsid w:val="00882911"/>
    <w:rsid w:val="00882F6E"/>
    <w:rsid w:val="00884E02"/>
    <w:rsid w:val="00885D40"/>
    <w:rsid w:val="008873D4"/>
    <w:rsid w:val="00891EDF"/>
    <w:rsid w:val="00892872"/>
    <w:rsid w:val="0089296D"/>
    <w:rsid w:val="00893E85"/>
    <w:rsid w:val="00893EBE"/>
    <w:rsid w:val="00894031"/>
    <w:rsid w:val="00894C5D"/>
    <w:rsid w:val="00895508"/>
    <w:rsid w:val="008967E9"/>
    <w:rsid w:val="00896A5C"/>
    <w:rsid w:val="008972D2"/>
    <w:rsid w:val="0089754C"/>
    <w:rsid w:val="008A0ADD"/>
    <w:rsid w:val="008A0D27"/>
    <w:rsid w:val="008A1C59"/>
    <w:rsid w:val="008A37E2"/>
    <w:rsid w:val="008A388E"/>
    <w:rsid w:val="008A394E"/>
    <w:rsid w:val="008A3CBA"/>
    <w:rsid w:val="008A4B59"/>
    <w:rsid w:val="008A63E1"/>
    <w:rsid w:val="008A66B7"/>
    <w:rsid w:val="008A68BB"/>
    <w:rsid w:val="008A6AA5"/>
    <w:rsid w:val="008A7127"/>
    <w:rsid w:val="008B3537"/>
    <w:rsid w:val="008B3690"/>
    <w:rsid w:val="008B3A80"/>
    <w:rsid w:val="008B3AEC"/>
    <w:rsid w:val="008B3C07"/>
    <w:rsid w:val="008B3F7B"/>
    <w:rsid w:val="008B5324"/>
    <w:rsid w:val="008B6106"/>
    <w:rsid w:val="008B7C02"/>
    <w:rsid w:val="008B7D2B"/>
    <w:rsid w:val="008B7EF9"/>
    <w:rsid w:val="008C0049"/>
    <w:rsid w:val="008C0314"/>
    <w:rsid w:val="008C0E88"/>
    <w:rsid w:val="008C1717"/>
    <w:rsid w:val="008C4B50"/>
    <w:rsid w:val="008C5A37"/>
    <w:rsid w:val="008C7569"/>
    <w:rsid w:val="008C79C3"/>
    <w:rsid w:val="008D033D"/>
    <w:rsid w:val="008D0DBD"/>
    <w:rsid w:val="008D117E"/>
    <w:rsid w:val="008D127E"/>
    <w:rsid w:val="008D1CA8"/>
    <w:rsid w:val="008D1E0A"/>
    <w:rsid w:val="008D1E6A"/>
    <w:rsid w:val="008D2A16"/>
    <w:rsid w:val="008D33F5"/>
    <w:rsid w:val="008D35E4"/>
    <w:rsid w:val="008D6C3A"/>
    <w:rsid w:val="008E0001"/>
    <w:rsid w:val="008E292B"/>
    <w:rsid w:val="008E2C57"/>
    <w:rsid w:val="008E31FF"/>
    <w:rsid w:val="008E3287"/>
    <w:rsid w:val="008E6DCB"/>
    <w:rsid w:val="008E6F06"/>
    <w:rsid w:val="008E7B8E"/>
    <w:rsid w:val="008E7FC9"/>
    <w:rsid w:val="008F0107"/>
    <w:rsid w:val="008F029B"/>
    <w:rsid w:val="008F0589"/>
    <w:rsid w:val="008F2A5D"/>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55E"/>
    <w:rsid w:val="00912437"/>
    <w:rsid w:val="00912A92"/>
    <w:rsid w:val="00915D07"/>
    <w:rsid w:val="009162AE"/>
    <w:rsid w:val="00917251"/>
    <w:rsid w:val="0091728D"/>
    <w:rsid w:val="009203CC"/>
    <w:rsid w:val="00920EC4"/>
    <w:rsid w:val="0092180B"/>
    <w:rsid w:val="00921F14"/>
    <w:rsid w:val="0092292F"/>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F4A"/>
    <w:rsid w:val="009341F1"/>
    <w:rsid w:val="00934FF2"/>
    <w:rsid w:val="009358D7"/>
    <w:rsid w:val="00935BD4"/>
    <w:rsid w:val="00935DFE"/>
    <w:rsid w:val="00935F70"/>
    <w:rsid w:val="009373B2"/>
    <w:rsid w:val="00937AE2"/>
    <w:rsid w:val="0094061F"/>
    <w:rsid w:val="00940F0F"/>
    <w:rsid w:val="0094416B"/>
    <w:rsid w:val="0094427A"/>
    <w:rsid w:val="00944C7C"/>
    <w:rsid w:val="00945245"/>
    <w:rsid w:val="00945523"/>
    <w:rsid w:val="00950921"/>
    <w:rsid w:val="00951D68"/>
    <w:rsid w:val="00951E5B"/>
    <w:rsid w:val="00952B7B"/>
    <w:rsid w:val="00954F39"/>
    <w:rsid w:val="009555FD"/>
    <w:rsid w:val="0095664B"/>
    <w:rsid w:val="009568DC"/>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70A3"/>
    <w:rsid w:val="009674BE"/>
    <w:rsid w:val="00970FB5"/>
    <w:rsid w:val="00971710"/>
    <w:rsid w:val="00971B87"/>
    <w:rsid w:val="00971C77"/>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2CF3"/>
    <w:rsid w:val="00993194"/>
    <w:rsid w:val="0099321E"/>
    <w:rsid w:val="00994868"/>
    <w:rsid w:val="00994D28"/>
    <w:rsid w:val="00994F2C"/>
    <w:rsid w:val="009957CC"/>
    <w:rsid w:val="009968D6"/>
    <w:rsid w:val="00997953"/>
    <w:rsid w:val="009A0BFF"/>
    <w:rsid w:val="009A10A0"/>
    <w:rsid w:val="009A1CAB"/>
    <w:rsid w:val="009A2359"/>
    <w:rsid w:val="009A24F1"/>
    <w:rsid w:val="009A27E0"/>
    <w:rsid w:val="009A4D57"/>
    <w:rsid w:val="009A51A5"/>
    <w:rsid w:val="009A60D1"/>
    <w:rsid w:val="009A6225"/>
    <w:rsid w:val="009A64F5"/>
    <w:rsid w:val="009B00D2"/>
    <w:rsid w:val="009B05B3"/>
    <w:rsid w:val="009B284F"/>
    <w:rsid w:val="009B3764"/>
    <w:rsid w:val="009B52AC"/>
    <w:rsid w:val="009B59EA"/>
    <w:rsid w:val="009B66CE"/>
    <w:rsid w:val="009B6FD3"/>
    <w:rsid w:val="009B72BE"/>
    <w:rsid w:val="009B78A4"/>
    <w:rsid w:val="009B7DB2"/>
    <w:rsid w:val="009C03DB"/>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7731"/>
    <w:rsid w:val="009E1120"/>
    <w:rsid w:val="009E1393"/>
    <w:rsid w:val="009E1922"/>
    <w:rsid w:val="009E1A3D"/>
    <w:rsid w:val="009E4715"/>
    <w:rsid w:val="009E4A58"/>
    <w:rsid w:val="009E5273"/>
    <w:rsid w:val="009E57A8"/>
    <w:rsid w:val="009E5B85"/>
    <w:rsid w:val="009E5DDB"/>
    <w:rsid w:val="009F2921"/>
    <w:rsid w:val="009F4982"/>
    <w:rsid w:val="009F4CA7"/>
    <w:rsid w:val="009F4F6A"/>
    <w:rsid w:val="009F55BA"/>
    <w:rsid w:val="009F7D36"/>
    <w:rsid w:val="009F7D61"/>
    <w:rsid w:val="00A00E71"/>
    <w:rsid w:val="00A0306F"/>
    <w:rsid w:val="00A03B10"/>
    <w:rsid w:val="00A03E2E"/>
    <w:rsid w:val="00A04616"/>
    <w:rsid w:val="00A04717"/>
    <w:rsid w:val="00A05D8F"/>
    <w:rsid w:val="00A05EE4"/>
    <w:rsid w:val="00A06F99"/>
    <w:rsid w:val="00A1053B"/>
    <w:rsid w:val="00A10D66"/>
    <w:rsid w:val="00A113A4"/>
    <w:rsid w:val="00A14114"/>
    <w:rsid w:val="00A16413"/>
    <w:rsid w:val="00A16545"/>
    <w:rsid w:val="00A16AED"/>
    <w:rsid w:val="00A16C37"/>
    <w:rsid w:val="00A16E1D"/>
    <w:rsid w:val="00A171D5"/>
    <w:rsid w:val="00A17A15"/>
    <w:rsid w:val="00A17D5B"/>
    <w:rsid w:val="00A201E1"/>
    <w:rsid w:val="00A20FE1"/>
    <w:rsid w:val="00A21B4D"/>
    <w:rsid w:val="00A22073"/>
    <w:rsid w:val="00A223E0"/>
    <w:rsid w:val="00A23158"/>
    <w:rsid w:val="00A23E43"/>
    <w:rsid w:val="00A24726"/>
    <w:rsid w:val="00A24DEB"/>
    <w:rsid w:val="00A24ED9"/>
    <w:rsid w:val="00A25216"/>
    <w:rsid w:val="00A2597D"/>
    <w:rsid w:val="00A2628E"/>
    <w:rsid w:val="00A266BF"/>
    <w:rsid w:val="00A2731E"/>
    <w:rsid w:val="00A309AC"/>
    <w:rsid w:val="00A30F65"/>
    <w:rsid w:val="00A3279E"/>
    <w:rsid w:val="00A35900"/>
    <w:rsid w:val="00A40EAC"/>
    <w:rsid w:val="00A418BC"/>
    <w:rsid w:val="00A41FCF"/>
    <w:rsid w:val="00A42936"/>
    <w:rsid w:val="00A43CF8"/>
    <w:rsid w:val="00A43DF2"/>
    <w:rsid w:val="00A445A8"/>
    <w:rsid w:val="00A44B0D"/>
    <w:rsid w:val="00A44D21"/>
    <w:rsid w:val="00A45087"/>
    <w:rsid w:val="00A45489"/>
    <w:rsid w:val="00A45CED"/>
    <w:rsid w:val="00A465E9"/>
    <w:rsid w:val="00A468E7"/>
    <w:rsid w:val="00A46DE0"/>
    <w:rsid w:val="00A478BA"/>
    <w:rsid w:val="00A50D73"/>
    <w:rsid w:val="00A518BB"/>
    <w:rsid w:val="00A52A88"/>
    <w:rsid w:val="00A52CAD"/>
    <w:rsid w:val="00A53FC7"/>
    <w:rsid w:val="00A55569"/>
    <w:rsid w:val="00A566A0"/>
    <w:rsid w:val="00A601E7"/>
    <w:rsid w:val="00A60AC1"/>
    <w:rsid w:val="00A626FF"/>
    <w:rsid w:val="00A62CE1"/>
    <w:rsid w:val="00A65469"/>
    <w:rsid w:val="00A65528"/>
    <w:rsid w:val="00A655D3"/>
    <w:rsid w:val="00A662D9"/>
    <w:rsid w:val="00A6741E"/>
    <w:rsid w:val="00A67E29"/>
    <w:rsid w:val="00A7016A"/>
    <w:rsid w:val="00A7018D"/>
    <w:rsid w:val="00A7191D"/>
    <w:rsid w:val="00A722F9"/>
    <w:rsid w:val="00A72D42"/>
    <w:rsid w:val="00A746C9"/>
    <w:rsid w:val="00A74C2A"/>
    <w:rsid w:val="00A75E40"/>
    <w:rsid w:val="00A76818"/>
    <w:rsid w:val="00A77D1D"/>
    <w:rsid w:val="00A81652"/>
    <w:rsid w:val="00A82C91"/>
    <w:rsid w:val="00A83150"/>
    <w:rsid w:val="00A83398"/>
    <w:rsid w:val="00A83D6E"/>
    <w:rsid w:val="00A83FD5"/>
    <w:rsid w:val="00A8521A"/>
    <w:rsid w:val="00A857C0"/>
    <w:rsid w:val="00A85ACB"/>
    <w:rsid w:val="00A90F2C"/>
    <w:rsid w:val="00A90FED"/>
    <w:rsid w:val="00A91482"/>
    <w:rsid w:val="00A9189D"/>
    <w:rsid w:val="00A91E71"/>
    <w:rsid w:val="00A925B1"/>
    <w:rsid w:val="00A92A3E"/>
    <w:rsid w:val="00A934F9"/>
    <w:rsid w:val="00A940E3"/>
    <w:rsid w:val="00A94983"/>
    <w:rsid w:val="00A95F1A"/>
    <w:rsid w:val="00A96116"/>
    <w:rsid w:val="00A9614E"/>
    <w:rsid w:val="00A96422"/>
    <w:rsid w:val="00A96C0F"/>
    <w:rsid w:val="00AA0E80"/>
    <w:rsid w:val="00AA17CD"/>
    <w:rsid w:val="00AA1D85"/>
    <w:rsid w:val="00AA212F"/>
    <w:rsid w:val="00AA26A9"/>
    <w:rsid w:val="00AA2996"/>
    <w:rsid w:val="00AA2AF4"/>
    <w:rsid w:val="00AA4282"/>
    <w:rsid w:val="00AA4790"/>
    <w:rsid w:val="00AA52BF"/>
    <w:rsid w:val="00AA559A"/>
    <w:rsid w:val="00AA6C31"/>
    <w:rsid w:val="00AA7752"/>
    <w:rsid w:val="00AA7CE8"/>
    <w:rsid w:val="00AB1457"/>
    <w:rsid w:val="00AB2AF1"/>
    <w:rsid w:val="00AB3EC7"/>
    <w:rsid w:val="00AB5A64"/>
    <w:rsid w:val="00AB5CA1"/>
    <w:rsid w:val="00AB6456"/>
    <w:rsid w:val="00AB75C5"/>
    <w:rsid w:val="00AC044E"/>
    <w:rsid w:val="00AC2118"/>
    <w:rsid w:val="00AC2395"/>
    <w:rsid w:val="00AC2960"/>
    <w:rsid w:val="00AC2AC4"/>
    <w:rsid w:val="00AC4284"/>
    <w:rsid w:val="00AC45BD"/>
    <w:rsid w:val="00AC50BB"/>
    <w:rsid w:val="00AD0B22"/>
    <w:rsid w:val="00AD0EE7"/>
    <w:rsid w:val="00AD168E"/>
    <w:rsid w:val="00AD306C"/>
    <w:rsid w:val="00AD44CD"/>
    <w:rsid w:val="00AD5AD2"/>
    <w:rsid w:val="00AD6462"/>
    <w:rsid w:val="00AD66C5"/>
    <w:rsid w:val="00AD68C4"/>
    <w:rsid w:val="00AD71F9"/>
    <w:rsid w:val="00AE09B3"/>
    <w:rsid w:val="00AE1A83"/>
    <w:rsid w:val="00AE30BE"/>
    <w:rsid w:val="00AE3E6A"/>
    <w:rsid w:val="00AE6414"/>
    <w:rsid w:val="00AE7269"/>
    <w:rsid w:val="00AE797C"/>
    <w:rsid w:val="00AE7CE7"/>
    <w:rsid w:val="00AE7FAB"/>
    <w:rsid w:val="00AF0DE4"/>
    <w:rsid w:val="00AF1E87"/>
    <w:rsid w:val="00AF436B"/>
    <w:rsid w:val="00AF5179"/>
    <w:rsid w:val="00AF5CC2"/>
    <w:rsid w:val="00AF6776"/>
    <w:rsid w:val="00AF6F98"/>
    <w:rsid w:val="00B00913"/>
    <w:rsid w:val="00B01593"/>
    <w:rsid w:val="00B01FF9"/>
    <w:rsid w:val="00B023F2"/>
    <w:rsid w:val="00B038CA"/>
    <w:rsid w:val="00B06DB4"/>
    <w:rsid w:val="00B0750D"/>
    <w:rsid w:val="00B0799C"/>
    <w:rsid w:val="00B102CE"/>
    <w:rsid w:val="00B10A4D"/>
    <w:rsid w:val="00B10C90"/>
    <w:rsid w:val="00B11002"/>
    <w:rsid w:val="00B1114F"/>
    <w:rsid w:val="00B121B2"/>
    <w:rsid w:val="00B141B6"/>
    <w:rsid w:val="00B14BC1"/>
    <w:rsid w:val="00B16DD1"/>
    <w:rsid w:val="00B16EB8"/>
    <w:rsid w:val="00B17E71"/>
    <w:rsid w:val="00B17FDE"/>
    <w:rsid w:val="00B20632"/>
    <w:rsid w:val="00B2379C"/>
    <w:rsid w:val="00B23D5D"/>
    <w:rsid w:val="00B2687D"/>
    <w:rsid w:val="00B3108D"/>
    <w:rsid w:val="00B32DDB"/>
    <w:rsid w:val="00B32F57"/>
    <w:rsid w:val="00B3345C"/>
    <w:rsid w:val="00B34528"/>
    <w:rsid w:val="00B34CC9"/>
    <w:rsid w:val="00B3563B"/>
    <w:rsid w:val="00B36BDC"/>
    <w:rsid w:val="00B37D3A"/>
    <w:rsid w:val="00B37D96"/>
    <w:rsid w:val="00B402FC"/>
    <w:rsid w:val="00B422E2"/>
    <w:rsid w:val="00B42D5F"/>
    <w:rsid w:val="00B43216"/>
    <w:rsid w:val="00B439DA"/>
    <w:rsid w:val="00B4411A"/>
    <w:rsid w:val="00B45FE8"/>
    <w:rsid w:val="00B46604"/>
    <w:rsid w:val="00B47089"/>
    <w:rsid w:val="00B47587"/>
    <w:rsid w:val="00B52151"/>
    <w:rsid w:val="00B530CD"/>
    <w:rsid w:val="00B53C7D"/>
    <w:rsid w:val="00B53E56"/>
    <w:rsid w:val="00B55A97"/>
    <w:rsid w:val="00B55F5E"/>
    <w:rsid w:val="00B5642C"/>
    <w:rsid w:val="00B5658D"/>
    <w:rsid w:val="00B56B6F"/>
    <w:rsid w:val="00B5752E"/>
    <w:rsid w:val="00B60AC1"/>
    <w:rsid w:val="00B61FF6"/>
    <w:rsid w:val="00B62316"/>
    <w:rsid w:val="00B63A11"/>
    <w:rsid w:val="00B64425"/>
    <w:rsid w:val="00B64C24"/>
    <w:rsid w:val="00B65CEF"/>
    <w:rsid w:val="00B6608F"/>
    <w:rsid w:val="00B67749"/>
    <w:rsid w:val="00B679FB"/>
    <w:rsid w:val="00B71FBF"/>
    <w:rsid w:val="00B734A0"/>
    <w:rsid w:val="00B73A14"/>
    <w:rsid w:val="00B748BD"/>
    <w:rsid w:val="00B7680F"/>
    <w:rsid w:val="00B76B48"/>
    <w:rsid w:val="00B76D1E"/>
    <w:rsid w:val="00B77543"/>
    <w:rsid w:val="00B77584"/>
    <w:rsid w:val="00B80EC6"/>
    <w:rsid w:val="00B81288"/>
    <w:rsid w:val="00B81D70"/>
    <w:rsid w:val="00B833B9"/>
    <w:rsid w:val="00B83E07"/>
    <w:rsid w:val="00B84CF6"/>
    <w:rsid w:val="00B85016"/>
    <w:rsid w:val="00B8561A"/>
    <w:rsid w:val="00B86643"/>
    <w:rsid w:val="00B868F7"/>
    <w:rsid w:val="00B90131"/>
    <w:rsid w:val="00B92951"/>
    <w:rsid w:val="00B92D1D"/>
    <w:rsid w:val="00B92D7E"/>
    <w:rsid w:val="00B930CE"/>
    <w:rsid w:val="00B938C5"/>
    <w:rsid w:val="00B940A8"/>
    <w:rsid w:val="00B9554A"/>
    <w:rsid w:val="00B95940"/>
    <w:rsid w:val="00B95ACA"/>
    <w:rsid w:val="00B97ACC"/>
    <w:rsid w:val="00B97FE2"/>
    <w:rsid w:val="00BA0E0B"/>
    <w:rsid w:val="00BA201A"/>
    <w:rsid w:val="00BA3787"/>
    <w:rsid w:val="00BA46E8"/>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AB2"/>
    <w:rsid w:val="00BB5ABF"/>
    <w:rsid w:val="00BB6EA2"/>
    <w:rsid w:val="00BB7B5B"/>
    <w:rsid w:val="00BB7EB1"/>
    <w:rsid w:val="00BC003F"/>
    <w:rsid w:val="00BC0930"/>
    <w:rsid w:val="00BC327F"/>
    <w:rsid w:val="00BC3512"/>
    <w:rsid w:val="00BC50BE"/>
    <w:rsid w:val="00BC5332"/>
    <w:rsid w:val="00BC5715"/>
    <w:rsid w:val="00BC5C12"/>
    <w:rsid w:val="00BC7154"/>
    <w:rsid w:val="00BC731E"/>
    <w:rsid w:val="00BC7614"/>
    <w:rsid w:val="00BD25BB"/>
    <w:rsid w:val="00BD2AF8"/>
    <w:rsid w:val="00BD366B"/>
    <w:rsid w:val="00BD3C09"/>
    <w:rsid w:val="00BD410B"/>
    <w:rsid w:val="00BD4A73"/>
    <w:rsid w:val="00BD6C75"/>
    <w:rsid w:val="00BD6D50"/>
    <w:rsid w:val="00BD73D2"/>
    <w:rsid w:val="00BE0AD1"/>
    <w:rsid w:val="00BE0EF9"/>
    <w:rsid w:val="00BE10A1"/>
    <w:rsid w:val="00BE18B9"/>
    <w:rsid w:val="00BE190A"/>
    <w:rsid w:val="00BE2495"/>
    <w:rsid w:val="00BE24DD"/>
    <w:rsid w:val="00BE386D"/>
    <w:rsid w:val="00BE557B"/>
    <w:rsid w:val="00BE7F5F"/>
    <w:rsid w:val="00BF02C8"/>
    <w:rsid w:val="00BF1578"/>
    <w:rsid w:val="00BF15CA"/>
    <w:rsid w:val="00BF1D12"/>
    <w:rsid w:val="00BF1D3A"/>
    <w:rsid w:val="00BF2B5B"/>
    <w:rsid w:val="00BF2D41"/>
    <w:rsid w:val="00BF3274"/>
    <w:rsid w:val="00BF32DC"/>
    <w:rsid w:val="00BF4329"/>
    <w:rsid w:val="00BF4E43"/>
    <w:rsid w:val="00BF5C4C"/>
    <w:rsid w:val="00BF77FC"/>
    <w:rsid w:val="00C006D6"/>
    <w:rsid w:val="00C00BD7"/>
    <w:rsid w:val="00C01410"/>
    <w:rsid w:val="00C04B78"/>
    <w:rsid w:val="00C052AA"/>
    <w:rsid w:val="00C06EE3"/>
    <w:rsid w:val="00C07749"/>
    <w:rsid w:val="00C11244"/>
    <w:rsid w:val="00C11D48"/>
    <w:rsid w:val="00C1493E"/>
    <w:rsid w:val="00C15DBD"/>
    <w:rsid w:val="00C2010D"/>
    <w:rsid w:val="00C20CB5"/>
    <w:rsid w:val="00C21430"/>
    <w:rsid w:val="00C216DF"/>
    <w:rsid w:val="00C21E61"/>
    <w:rsid w:val="00C21F94"/>
    <w:rsid w:val="00C234DB"/>
    <w:rsid w:val="00C2479A"/>
    <w:rsid w:val="00C24903"/>
    <w:rsid w:val="00C2590D"/>
    <w:rsid w:val="00C25D9C"/>
    <w:rsid w:val="00C27913"/>
    <w:rsid w:val="00C300E2"/>
    <w:rsid w:val="00C31F21"/>
    <w:rsid w:val="00C32631"/>
    <w:rsid w:val="00C33301"/>
    <w:rsid w:val="00C33311"/>
    <w:rsid w:val="00C33B68"/>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1F47"/>
    <w:rsid w:val="00C62828"/>
    <w:rsid w:val="00C715CC"/>
    <w:rsid w:val="00C719A3"/>
    <w:rsid w:val="00C71D2F"/>
    <w:rsid w:val="00C72984"/>
    <w:rsid w:val="00C73885"/>
    <w:rsid w:val="00C73C93"/>
    <w:rsid w:val="00C7435A"/>
    <w:rsid w:val="00C747B1"/>
    <w:rsid w:val="00C75510"/>
    <w:rsid w:val="00C755F9"/>
    <w:rsid w:val="00C75752"/>
    <w:rsid w:val="00C770C9"/>
    <w:rsid w:val="00C81070"/>
    <w:rsid w:val="00C8174E"/>
    <w:rsid w:val="00C82191"/>
    <w:rsid w:val="00C83134"/>
    <w:rsid w:val="00C831E7"/>
    <w:rsid w:val="00C832F3"/>
    <w:rsid w:val="00C845A4"/>
    <w:rsid w:val="00C85545"/>
    <w:rsid w:val="00C855B5"/>
    <w:rsid w:val="00C85F0E"/>
    <w:rsid w:val="00C90CF4"/>
    <w:rsid w:val="00C91C20"/>
    <w:rsid w:val="00C922DE"/>
    <w:rsid w:val="00C92843"/>
    <w:rsid w:val="00C92EB6"/>
    <w:rsid w:val="00C93389"/>
    <w:rsid w:val="00C948E6"/>
    <w:rsid w:val="00C94CDD"/>
    <w:rsid w:val="00C97588"/>
    <w:rsid w:val="00CA0346"/>
    <w:rsid w:val="00CA1BD6"/>
    <w:rsid w:val="00CA37FF"/>
    <w:rsid w:val="00CA423A"/>
    <w:rsid w:val="00CA47BC"/>
    <w:rsid w:val="00CA5EAD"/>
    <w:rsid w:val="00CA6AB4"/>
    <w:rsid w:val="00CA7255"/>
    <w:rsid w:val="00CB1BEE"/>
    <w:rsid w:val="00CB2351"/>
    <w:rsid w:val="00CB4930"/>
    <w:rsid w:val="00CB4BA9"/>
    <w:rsid w:val="00CB4C63"/>
    <w:rsid w:val="00CB5A48"/>
    <w:rsid w:val="00CB5E10"/>
    <w:rsid w:val="00CB613B"/>
    <w:rsid w:val="00CB6152"/>
    <w:rsid w:val="00CB64E1"/>
    <w:rsid w:val="00CB6766"/>
    <w:rsid w:val="00CB6E4D"/>
    <w:rsid w:val="00CC0834"/>
    <w:rsid w:val="00CC20FE"/>
    <w:rsid w:val="00CC2E7D"/>
    <w:rsid w:val="00CC612B"/>
    <w:rsid w:val="00CC655F"/>
    <w:rsid w:val="00CC66F9"/>
    <w:rsid w:val="00CC6C2A"/>
    <w:rsid w:val="00CC6FE5"/>
    <w:rsid w:val="00CC7458"/>
    <w:rsid w:val="00CC76BD"/>
    <w:rsid w:val="00CC7A87"/>
    <w:rsid w:val="00CD10A5"/>
    <w:rsid w:val="00CD1129"/>
    <w:rsid w:val="00CD1A80"/>
    <w:rsid w:val="00CD1CB5"/>
    <w:rsid w:val="00CD2076"/>
    <w:rsid w:val="00CD24CE"/>
    <w:rsid w:val="00CD29B5"/>
    <w:rsid w:val="00CD2B78"/>
    <w:rsid w:val="00CD3FAB"/>
    <w:rsid w:val="00CD5456"/>
    <w:rsid w:val="00CD5C3E"/>
    <w:rsid w:val="00CD6331"/>
    <w:rsid w:val="00CE14BE"/>
    <w:rsid w:val="00CE17A4"/>
    <w:rsid w:val="00CE1BA9"/>
    <w:rsid w:val="00CE2D8F"/>
    <w:rsid w:val="00CE3E48"/>
    <w:rsid w:val="00CE47B8"/>
    <w:rsid w:val="00CE62FA"/>
    <w:rsid w:val="00CE670B"/>
    <w:rsid w:val="00CE6833"/>
    <w:rsid w:val="00CF020B"/>
    <w:rsid w:val="00CF2E4D"/>
    <w:rsid w:val="00CF4205"/>
    <w:rsid w:val="00CF4908"/>
    <w:rsid w:val="00CF51EC"/>
    <w:rsid w:val="00CF545D"/>
    <w:rsid w:val="00CF5873"/>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476"/>
    <w:rsid w:val="00D12C25"/>
    <w:rsid w:val="00D133B4"/>
    <w:rsid w:val="00D13986"/>
    <w:rsid w:val="00D14C5B"/>
    <w:rsid w:val="00D15FED"/>
    <w:rsid w:val="00D16712"/>
    <w:rsid w:val="00D214EF"/>
    <w:rsid w:val="00D215B0"/>
    <w:rsid w:val="00D21D6D"/>
    <w:rsid w:val="00D21D83"/>
    <w:rsid w:val="00D235B7"/>
    <w:rsid w:val="00D23FAE"/>
    <w:rsid w:val="00D25F28"/>
    <w:rsid w:val="00D26071"/>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84E"/>
    <w:rsid w:val="00D544E7"/>
    <w:rsid w:val="00D5499F"/>
    <w:rsid w:val="00D5560A"/>
    <w:rsid w:val="00D56FBF"/>
    <w:rsid w:val="00D57677"/>
    <w:rsid w:val="00D5781F"/>
    <w:rsid w:val="00D60415"/>
    <w:rsid w:val="00D60E3C"/>
    <w:rsid w:val="00D61FAB"/>
    <w:rsid w:val="00D63BE5"/>
    <w:rsid w:val="00D6475F"/>
    <w:rsid w:val="00D66223"/>
    <w:rsid w:val="00D667B8"/>
    <w:rsid w:val="00D70289"/>
    <w:rsid w:val="00D70822"/>
    <w:rsid w:val="00D72076"/>
    <w:rsid w:val="00D726A9"/>
    <w:rsid w:val="00D72DBA"/>
    <w:rsid w:val="00D743E0"/>
    <w:rsid w:val="00D7490C"/>
    <w:rsid w:val="00D75AC1"/>
    <w:rsid w:val="00D77252"/>
    <w:rsid w:val="00D8084C"/>
    <w:rsid w:val="00D81809"/>
    <w:rsid w:val="00D82EF1"/>
    <w:rsid w:val="00D84F43"/>
    <w:rsid w:val="00D85114"/>
    <w:rsid w:val="00D85821"/>
    <w:rsid w:val="00D8598C"/>
    <w:rsid w:val="00D87C06"/>
    <w:rsid w:val="00D915EA"/>
    <w:rsid w:val="00D919ED"/>
    <w:rsid w:val="00D922A1"/>
    <w:rsid w:val="00D928BE"/>
    <w:rsid w:val="00D95302"/>
    <w:rsid w:val="00D95C5D"/>
    <w:rsid w:val="00D97D00"/>
    <w:rsid w:val="00DA096C"/>
    <w:rsid w:val="00DA1AB6"/>
    <w:rsid w:val="00DA2E65"/>
    <w:rsid w:val="00DA3ADF"/>
    <w:rsid w:val="00DA4174"/>
    <w:rsid w:val="00DA544C"/>
    <w:rsid w:val="00DA5F8E"/>
    <w:rsid w:val="00DA6364"/>
    <w:rsid w:val="00DA7114"/>
    <w:rsid w:val="00DA7C0C"/>
    <w:rsid w:val="00DB03DD"/>
    <w:rsid w:val="00DB08A9"/>
    <w:rsid w:val="00DB2DFA"/>
    <w:rsid w:val="00DB2EC8"/>
    <w:rsid w:val="00DB321D"/>
    <w:rsid w:val="00DB459B"/>
    <w:rsid w:val="00DB47FD"/>
    <w:rsid w:val="00DB5E3A"/>
    <w:rsid w:val="00DB5E9A"/>
    <w:rsid w:val="00DB613B"/>
    <w:rsid w:val="00DB657E"/>
    <w:rsid w:val="00DB7342"/>
    <w:rsid w:val="00DB7489"/>
    <w:rsid w:val="00DC17D0"/>
    <w:rsid w:val="00DC2B41"/>
    <w:rsid w:val="00DC3128"/>
    <w:rsid w:val="00DC435B"/>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D8B"/>
    <w:rsid w:val="00DE1237"/>
    <w:rsid w:val="00DE140F"/>
    <w:rsid w:val="00DE2491"/>
    <w:rsid w:val="00DE5CA6"/>
    <w:rsid w:val="00DE7AC8"/>
    <w:rsid w:val="00DF2C5D"/>
    <w:rsid w:val="00DF3643"/>
    <w:rsid w:val="00DF42FF"/>
    <w:rsid w:val="00DF4369"/>
    <w:rsid w:val="00DF4423"/>
    <w:rsid w:val="00DF4ADF"/>
    <w:rsid w:val="00DF5D1E"/>
    <w:rsid w:val="00DF77E4"/>
    <w:rsid w:val="00DF7F88"/>
    <w:rsid w:val="00E01C0E"/>
    <w:rsid w:val="00E0368F"/>
    <w:rsid w:val="00E03D73"/>
    <w:rsid w:val="00E03F9A"/>
    <w:rsid w:val="00E040DA"/>
    <w:rsid w:val="00E04694"/>
    <w:rsid w:val="00E1168B"/>
    <w:rsid w:val="00E12191"/>
    <w:rsid w:val="00E129E7"/>
    <w:rsid w:val="00E12ABE"/>
    <w:rsid w:val="00E12B1E"/>
    <w:rsid w:val="00E1444C"/>
    <w:rsid w:val="00E17262"/>
    <w:rsid w:val="00E20016"/>
    <w:rsid w:val="00E2009B"/>
    <w:rsid w:val="00E20BB9"/>
    <w:rsid w:val="00E20BCC"/>
    <w:rsid w:val="00E2251C"/>
    <w:rsid w:val="00E2363D"/>
    <w:rsid w:val="00E23C6A"/>
    <w:rsid w:val="00E2484B"/>
    <w:rsid w:val="00E253A2"/>
    <w:rsid w:val="00E260F6"/>
    <w:rsid w:val="00E27127"/>
    <w:rsid w:val="00E27233"/>
    <w:rsid w:val="00E30F15"/>
    <w:rsid w:val="00E31771"/>
    <w:rsid w:val="00E3186D"/>
    <w:rsid w:val="00E31A3E"/>
    <w:rsid w:val="00E32080"/>
    <w:rsid w:val="00E3309D"/>
    <w:rsid w:val="00E350B1"/>
    <w:rsid w:val="00E35A53"/>
    <w:rsid w:val="00E3656B"/>
    <w:rsid w:val="00E3724A"/>
    <w:rsid w:val="00E378B1"/>
    <w:rsid w:val="00E417BE"/>
    <w:rsid w:val="00E41CD5"/>
    <w:rsid w:val="00E42054"/>
    <w:rsid w:val="00E4372D"/>
    <w:rsid w:val="00E43A9E"/>
    <w:rsid w:val="00E44243"/>
    <w:rsid w:val="00E453F9"/>
    <w:rsid w:val="00E45D7D"/>
    <w:rsid w:val="00E4623F"/>
    <w:rsid w:val="00E4665D"/>
    <w:rsid w:val="00E47854"/>
    <w:rsid w:val="00E47EBA"/>
    <w:rsid w:val="00E50156"/>
    <w:rsid w:val="00E504EB"/>
    <w:rsid w:val="00E5076C"/>
    <w:rsid w:val="00E50D2E"/>
    <w:rsid w:val="00E50D7D"/>
    <w:rsid w:val="00E53470"/>
    <w:rsid w:val="00E539F6"/>
    <w:rsid w:val="00E54698"/>
    <w:rsid w:val="00E54FB4"/>
    <w:rsid w:val="00E5539A"/>
    <w:rsid w:val="00E55791"/>
    <w:rsid w:val="00E55E1A"/>
    <w:rsid w:val="00E578A2"/>
    <w:rsid w:val="00E60043"/>
    <w:rsid w:val="00E61740"/>
    <w:rsid w:val="00E61EB5"/>
    <w:rsid w:val="00E6324D"/>
    <w:rsid w:val="00E65084"/>
    <w:rsid w:val="00E6519D"/>
    <w:rsid w:val="00E66062"/>
    <w:rsid w:val="00E6660E"/>
    <w:rsid w:val="00E66768"/>
    <w:rsid w:val="00E67305"/>
    <w:rsid w:val="00E67696"/>
    <w:rsid w:val="00E70C5F"/>
    <w:rsid w:val="00E71A58"/>
    <w:rsid w:val="00E72A26"/>
    <w:rsid w:val="00E72A7A"/>
    <w:rsid w:val="00E7335A"/>
    <w:rsid w:val="00E7467D"/>
    <w:rsid w:val="00E747DC"/>
    <w:rsid w:val="00E74A2D"/>
    <w:rsid w:val="00E75C94"/>
    <w:rsid w:val="00E76A08"/>
    <w:rsid w:val="00E76B9B"/>
    <w:rsid w:val="00E76E61"/>
    <w:rsid w:val="00E77CC0"/>
    <w:rsid w:val="00E80B3D"/>
    <w:rsid w:val="00E80CA3"/>
    <w:rsid w:val="00E82618"/>
    <w:rsid w:val="00E84E09"/>
    <w:rsid w:val="00E90CA8"/>
    <w:rsid w:val="00E930A1"/>
    <w:rsid w:val="00E93820"/>
    <w:rsid w:val="00E94A86"/>
    <w:rsid w:val="00E953F6"/>
    <w:rsid w:val="00E96143"/>
    <w:rsid w:val="00E96833"/>
    <w:rsid w:val="00E97506"/>
    <w:rsid w:val="00E97BB5"/>
    <w:rsid w:val="00EA0C68"/>
    <w:rsid w:val="00EA1D0E"/>
    <w:rsid w:val="00EA2072"/>
    <w:rsid w:val="00EA2841"/>
    <w:rsid w:val="00EA32BC"/>
    <w:rsid w:val="00EA35A7"/>
    <w:rsid w:val="00EA3B32"/>
    <w:rsid w:val="00EA3D05"/>
    <w:rsid w:val="00EA4402"/>
    <w:rsid w:val="00EA4B8D"/>
    <w:rsid w:val="00EA513E"/>
    <w:rsid w:val="00EA7419"/>
    <w:rsid w:val="00EB0E32"/>
    <w:rsid w:val="00EB3E60"/>
    <w:rsid w:val="00EB4511"/>
    <w:rsid w:val="00EB48D7"/>
    <w:rsid w:val="00EB4A8E"/>
    <w:rsid w:val="00EB4BC5"/>
    <w:rsid w:val="00EB5BF7"/>
    <w:rsid w:val="00EB5E79"/>
    <w:rsid w:val="00EB6FAC"/>
    <w:rsid w:val="00EB7BAC"/>
    <w:rsid w:val="00EC03D7"/>
    <w:rsid w:val="00EC13A7"/>
    <w:rsid w:val="00EC2EB6"/>
    <w:rsid w:val="00ED0EF0"/>
    <w:rsid w:val="00ED12B9"/>
    <w:rsid w:val="00ED16B8"/>
    <w:rsid w:val="00ED1DF0"/>
    <w:rsid w:val="00ED2386"/>
    <w:rsid w:val="00ED2EA1"/>
    <w:rsid w:val="00ED3851"/>
    <w:rsid w:val="00ED3F10"/>
    <w:rsid w:val="00ED4D04"/>
    <w:rsid w:val="00ED566D"/>
    <w:rsid w:val="00ED5907"/>
    <w:rsid w:val="00ED5F5B"/>
    <w:rsid w:val="00ED62C6"/>
    <w:rsid w:val="00ED64C1"/>
    <w:rsid w:val="00ED781F"/>
    <w:rsid w:val="00EE2EB4"/>
    <w:rsid w:val="00EE3446"/>
    <w:rsid w:val="00EE3E78"/>
    <w:rsid w:val="00EE41FD"/>
    <w:rsid w:val="00EE460E"/>
    <w:rsid w:val="00EE4B1B"/>
    <w:rsid w:val="00EE5FBA"/>
    <w:rsid w:val="00EE6E06"/>
    <w:rsid w:val="00EE7179"/>
    <w:rsid w:val="00EF0D90"/>
    <w:rsid w:val="00EF150D"/>
    <w:rsid w:val="00EF1F5A"/>
    <w:rsid w:val="00EF23B5"/>
    <w:rsid w:val="00EF47BF"/>
    <w:rsid w:val="00EF59B1"/>
    <w:rsid w:val="00EF5A13"/>
    <w:rsid w:val="00EF5FF9"/>
    <w:rsid w:val="00EF77D4"/>
    <w:rsid w:val="00EF7CC7"/>
    <w:rsid w:val="00F00853"/>
    <w:rsid w:val="00F00866"/>
    <w:rsid w:val="00F00EC8"/>
    <w:rsid w:val="00F0160B"/>
    <w:rsid w:val="00F0193E"/>
    <w:rsid w:val="00F03E2F"/>
    <w:rsid w:val="00F03F8D"/>
    <w:rsid w:val="00F04811"/>
    <w:rsid w:val="00F0488C"/>
    <w:rsid w:val="00F073ED"/>
    <w:rsid w:val="00F07C4C"/>
    <w:rsid w:val="00F10F11"/>
    <w:rsid w:val="00F11159"/>
    <w:rsid w:val="00F115E4"/>
    <w:rsid w:val="00F12CFB"/>
    <w:rsid w:val="00F13E60"/>
    <w:rsid w:val="00F13FDB"/>
    <w:rsid w:val="00F15AAA"/>
    <w:rsid w:val="00F15BEF"/>
    <w:rsid w:val="00F17898"/>
    <w:rsid w:val="00F207C2"/>
    <w:rsid w:val="00F21337"/>
    <w:rsid w:val="00F219A1"/>
    <w:rsid w:val="00F23E20"/>
    <w:rsid w:val="00F24407"/>
    <w:rsid w:val="00F24FAA"/>
    <w:rsid w:val="00F25040"/>
    <w:rsid w:val="00F27071"/>
    <w:rsid w:val="00F27331"/>
    <w:rsid w:val="00F27EE5"/>
    <w:rsid w:val="00F27FB1"/>
    <w:rsid w:val="00F27FD6"/>
    <w:rsid w:val="00F307CB"/>
    <w:rsid w:val="00F30C65"/>
    <w:rsid w:val="00F321D2"/>
    <w:rsid w:val="00F32649"/>
    <w:rsid w:val="00F33523"/>
    <w:rsid w:val="00F3364D"/>
    <w:rsid w:val="00F33914"/>
    <w:rsid w:val="00F349BF"/>
    <w:rsid w:val="00F34DDC"/>
    <w:rsid w:val="00F36191"/>
    <w:rsid w:val="00F3629F"/>
    <w:rsid w:val="00F36DF3"/>
    <w:rsid w:val="00F37EDC"/>
    <w:rsid w:val="00F437CC"/>
    <w:rsid w:val="00F44537"/>
    <w:rsid w:val="00F46185"/>
    <w:rsid w:val="00F46423"/>
    <w:rsid w:val="00F4696A"/>
    <w:rsid w:val="00F47067"/>
    <w:rsid w:val="00F47234"/>
    <w:rsid w:val="00F525AB"/>
    <w:rsid w:val="00F525EB"/>
    <w:rsid w:val="00F52CB5"/>
    <w:rsid w:val="00F53378"/>
    <w:rsid w:val="00F53A68"/>
    <w:rsid w:val="00F54934"/>
    <w:rsid w:val="00F55A92"/>
    <w:rsid w:val="00F62BFF"/>
    <w:rsid w:val="00F63AAE"/>
    <w:rsid w:val="00F63DDE"/>
    <w:rsid w:val="00F63FB7"/>
    <w:rsid w:val="00F6421B"/>
    <w:rsid w:val="00F647F1"/>
    <w:rsid w:val="00F649D2"/>
    <w:rsid w:val="00F6602B"/>
    <w:rsid w:val="00F7150B"/>
    <w:rsid w:val="00F717E4"/>
    <w:rsid w:val="00F71DE6"/>
    <w:rsid w:val="00F72D71"/>
    <w:rsid w:val="00F7381C"/>
    <w:rsid w:val="00F73A0C"/>
    <w:rsid w:val="00F7549F"/>
    <w:rsid w:val="00F756DB"/>
    <w:rsid w:val="00F767A8"/>
    <w:rsid w:val="00F82D14"/>
    <w:rsid w:val="00F84E7D"/>
    <w:rsid w:val="00F85066"/>
    <w:rsid w:val="00F87A4D"/>
    <w:rsid w:val="00F93688"/>
    <w:rsid w:val="00F939F3"/>
    <w:rsid w:val="00F93C6E"/>
    <w:rsid w:val="00F93F2C"/>
    <w:rsid w:val="00F9644E"/>
    <w:rsid w:val="00FA0105"/>
    <w:rsid w:val="00FA05A0"/>
    <w:rsid w:val="00FA0AEF"/>
    <w:rsid w:val="00FA17CC"/>
    <w:rsid w:val="00FA1F01"/>
    <w:rsid w:val="00FA26DF"/>
    <w:rsid w:val="00FA32BC"/>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64F"/>
    <w:rsid w:val="00FB7DBB"/>
    <w:rsid w:val="00FC05F8"/>
    <w:rsid w:val="00FC0E5F"/>
    <w:rsid w:val="00FC1266"/>
    <w:rsid w:val="00FC1A95"/>
    <w:rsid w:val="00FC1ED4"/>
    <w:rsid w:val="00FC3BEC"/>
    <w:rsid w:val="00FC440B"/>
    <w:rsid w:val="00FC56DE"/>
    <w:rsid w:val="00FC63D9"/>
    <w:rsid w:val="00FC64DE"/>
    <w:rsid w:val="00FC684B"/>
    <w:rsid w:val="00FC7D98"/>
    <w:rsid w:val="00FD1135"/>
    <w:rsid w:val="00FD3265"/>
    <w:rsid w:val="00FD3CF7"/>
    <w:rsid w:val="00FD4916"/>
    <w:rsid w:val="00FD4D12"/>
    <w:rsid w:val="00FD4F73"/>
    <w:rsid w:val="00FD595E"/>
    <w:rsid w:val="00FD7802"/>
    <w:rsid w:val="00FE27C7"/>
    <w:rsid w:val="00FE2C7E"/>
    <w:rsid w:val="00FE2F78"/>
    <w:rsid w:val="00FE3137"/>
    <w:rsid w:val="00FE346B"/>
    <w:rsid w:val="00FE346F"/>
    <w:rsid w:val="00FE48E4"/>
    <w:rsid w:val="00FE634C"/>
    <w:rsid w:val="00FE6E69"/>
    <w:rsid w:val="00FE6F59"/>
    <w:rsid w:val="00FF01B6"/>
    <w:rsid w:val="00FF1136"/>
    <w:rsid w:val="00FF3D76"/>
    <w:rsid w:val="00FF5B8C"/>
    <w:rsid w:val="00FF63E6"/>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74EEB6EC"/>
  <w15:docId w15:val="{02E7EBF8-5A4E-462D-AC4B-706FC6EE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semiHidden/>
    <w:unhideWhenUsed/>
    <w:rsid w:val="00E76E61"/>
    <w:pPr>
      <w:spacing w:line="240" w:lineRule="auto"/>
    </w:pPr>
    <w:rPr>
      <w:szCs w:val="20"/>
    </w:rPr>
  </w:style>
  <w:style w:type="character" w:customStyle="1" w:styleId="TextkomenteChar">
    <w:name w:val="Text komentáře Char"/>
    <w:basedOn w:val="Standardnpsmoodstavce"/>
    <w:link w:val="Textkomente"/>
    <w:uiPriority w:val="99"/>
    <w:semiHidden/>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JKAM%20CSU\PUBLIKACE\PUBLIKACE\2020\Q-makro\1.pololet&#237;%202020\ODV&#282;TV&#205;\Odv&#283;tv&#237;%20grafy-rok-2q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KAM%20CSU\PUBLIKACE\PUBLIKACE\2020\Q-makro\1.pololet&#237;%202020\ODV&#282;TV&#205;\Odv&#283;tv&#237;%20grafy-rok-2q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KAM%20CSU\PUBLIKACE\PUBLIKACE\2020\Q-makro\1.pololet&#237;%202020\ODV&#282;TV&#205;\Odv&#283;tv&#237;%20grafy-rok-2q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JKAM%20CSU\PUBLIKACE\PUBLIKACE\2020\Q-makro\1.pololet&#237;%202020\ODV&#282;TV&#205;\Odv&#283;tv&#237;%20grafy-rok-2q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8391949014465353E-2"/>
          <c:y val="1.6203558522131581E-2"/>
          <c:w val="0.86585205378005858"/>
          <c:h val="0.72649397233372848"/>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IPP'!$B$27:$AN$27</c:f>
              <c:numCache>
                <c:formatCode>0.0</c:formatCode>
                <c:ptCount val="39"/>
                <c:pt idx="0">
                  <c:v>5.2078736853779173</c:v>
                </c:pt>
                <c:pt idx="1">
                  <c:v>4.1223648273779991</c:v>
                </c:pt>
                <c:pt idx="2">
                  <c:v>3.63477216157156</c:v>
                </c:pt>
                <c:pt idx="3">
                  <c:v>3.2216361743132538</c:v>
                </c:pt>
                <c:pt idx="4">
                  <c:v>2.2277089061298581</c:v>
                </c:pt>
                <c:pt idx="5">
                  <c:v>1.0445407965040034</c:v>
                </c:pt>
                <c:pt idx="6">
                  <c:v>-0.44415991740409522</c:v>
                </c:pt>
                <c:pt idx="7">
                  <c:v>-1.7046426167277111</c:v>
                </c:pt>
                <c:pt idx="8">
                  <c:v>-2.8402152771046563</c:v>
                </c:pt>
                <c:pt idx="9">
                  <c:v>-1.1163342815363446</c:v>
                </c:pt>
                <c:pt idx="10">
                  <c:v>0.6644282664004616</c:v>
                </c:pt>
                <c:pt idx="11">
                  <c:v>1.8881189084849743</c:v>
                </c:pt>
                <c:pt idx="12">
                  <c:v>3.5567942882522487</c:v>
                </c:pt>
                <c:pt idx="13">
                  <c:v>2.2505867525367846</c:v>
                </c:pt>
                <c:pt idx="14">
                  <c:v>1.7903943475924651</c:v>
                </c:pt>
                <c:pt idx="15">
                  <c:v>1.535644409665273</c:v>
                </c:pt>
                <c:pt idx="16">
                  <c:v>1.5449159659659168</c:v>
                </c:pt>
                <c:pt idx="17">
                  <c:v>2.1749281656592205</c:v>
                </c:pt>
                <c:pt idx="18">
                  <c:v>2.3300582377623109</c:v>
                </c:pt>
                <c:pt idx="19">
                  <c:v>2.8883547821003916</c:v>
                </c:pt>
                <c:pt idx="20">
                  <c:v>3.2974613335821723</c:v>
                </c:pt>
                <c:pt idx="21">
                  <c:v>2.7788016600022574</c:v>
                </c:pt>
                <c:pt idx="22">
                  <c:v>1.4641693240331413</c:v>
                </c:pt>
                <c:pt idx="23">
                  <c:v>1.0301621596218218</c:v>
                </c:pt>
                <c:pt idx="24">
                  <c:v>1.8188073708028707</c:v>
                </c:pt>
                <c:pt idx="25">
                  <c:v>2.0559452389437172</c:v>
                </c:pt>
                <c:pt idx="26">
                  <c:v>1.5681820744985684</c:v>
                </c:pt>
                <c:pt idx="27">
                  <c:v>1.6876490608562387</c:v>
                </c:pt>
                <c:pt idx="28">
                  <c:v>0.71498061102748001</c:v>
                </c:pt>
                <c:pt idx="29">
                  <c:v>0.55787229008071415</c:v>
                </c:pt>
                <c:pt idx="30">
                  <c:v>0.24148179021483879</c:v>
                </c:pt>
                <c:pt idx="31">
                  <c:v>0.98792003638593584</c:v>
                </c:pt>
                <c:pt idx="32">
                  <c:v>-0.23163009858912853</c:v>
                </c:pt>
                <c:pt idx="33">
                  <c:v>0.48241016929709246</c:v>
                </c:pt>
                <c:pt idx="34">
                  <c:v>0.86708468495670088</c:v>
                </c:pt>
                <c:pt idx="35">
                  <c:v>-1.1073234743952267</c:v>
                </c:pt>
                <c:pt idx="36">
                  <c:v>-1.6293997985981499</c:v>
                </c:pt>
                <c:pt idx="37">
                  <c:v>-9.4500607448497416</c:v>
                </c:pt>
              </c:numCache>
            </c:numRef>
          </c:val>
          <c:extLst>
            <c:ext xmlns:c16="http://schemas.microsoft.com/office/drawing/2014/chart" uri="{C3380CC4-5D6E-409C-BE32-E72D297353CC}">
              <c16:uniqueId val="{00000000-FC49-4BB5-851E-E8E6FFD3EF22}"/>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IPP'!$B$28:$AN$28</c:f>
              <c:numCache>
                <c:formatCode>0.0</c:formatCode>
                <c:ptCount val="39"/>
                <c:pt idx="0">
                  <c:v>1.8195799141685121</c:v>
                </c:pt>
                <c:pt idx="1">
                  <c:v>1.4264054755235898</c:v>
                </c:pt>
                <c:pt idx="2">
                  <c:v>0.48607353269968806</c:v>
                </c:pt>
                <c:pt idx="3">
                  <c:v>0.58156552967788966</c:v>
                </c:pt>
                <c:pt idx="4">
                  <c:v>0.85798481430169571</c:v>
                </c:pt>
                <c:pt idx="5">
                  <c:v>0.68171577064529831</c:v>
                </c:pt>
                <c:pt idx="6">
                  <c:v>1.072037862747427</c:v>
                </c:pt>
                <c:pt idx="7">
                  <c:v>-0.46173310094024295</c:v>
                </c:pt>
                <c:pt idx="8">
                  <c:v>-0.34213672064681983</c:v>
                </c:pt>
                <c:pt idx="9">
                  <c:v>-0.29940942958869421</c:v>
                </c:pt>
                <c:pt idx="10">
                  <c:v>0.37461822657534871</c:v>
                </c:pt>
                <c:pt idx="11">
                  <c:v>0.67650313777163307</c:v>
                </c:pt>
                <c:pt idx="12">
                  <c:v>1.189030233896462</c:v>
                </c:pt>
                <c:pt idx="13">
                  <c:v>1.3176011911030265</c:v>
                </c:pt>
                <c:pt idx="14">
                  <c:v>0.16521296223436649</c:v>
                </c:pt>
                <c:pt idx="15">
                  <c:v>0.7937264559340933</c:v>
                </c:pt>
                <c:pt idx="16">
                  <c:v>1.0321564707423598</c:v>
                </c:pt>
                <c:pt idx="17">
                  <c:v>1.2396893147517036</c:v>
                </c:pt>
                <c:pt idx="18">
                  <c:v>1.4257126645761891</c:v>
                </c:pt>
                <c:pt idx="19">
                  <c:v>0.62646054654871031</c:v>
                </c:pt>
                <c:pt idx="20">
                  <c:v>0.70239864046330858</c:v>
                </c:pt>
                <c:pt idx="21">
                  <c:v>0.14957031030982187</c:v>
                </c:pt>
                <c:pt idx="22">
                  <c:v>0.27646532302098098</c:v>
                </c:pt>
                <c:pt idx="23">
                  <c:v>0.42916912474109054</c:v>
                </c:pt>
                <c:pt idx="24">
                  <c:v>0.91361476755678694</c:v>
                </c:pt>
                <c:pt idx="25">
                  <c:v>1.458720321695594</c:v>
                </c:pt>
                <c:pt idx="26">
                  <c:v>0.87170226971120912</c:v>
                </c:pt>
                <c:pt idx="27">
                  <c:v>1.646875240438054</c:v>
                </c:pt>
                <c:pt idx="28">
                  <c:v>0.99783080896461818</c:v>
                </c:pt>
                <c:pt idx="29">
                  <c:v>0.32761654080678082</c:v>
                </c:pt>
                <c:pt idx="30">
                  <c:v>0.42786481660655967</c:v>
                </c:pt>
                <c:pt idx="31">
                  <c:v>-5.3703633303731985E-2</c:v>
                </c:pt>
                <c:pt idx="32">
                  <c:v>0.49489561375904689</c:v>
                </c:pt>
                <c:pt idx="33">
                  <c:v>0.42003944775979141</c:v>
                </c:pt>
                <c:pt idx="34">
                  <c:v>0.20199509108281688</c:v>
                </c:pt>
                <c:pt idx="35">
                  <c:v>0.40892655322579557</c:v>
                </c:pt>
                <c:pt idx="36">
                  <c:v>-0.53423122372633514</c:v>
                </c:pt>
                <c:pt idx="37">
                  <c:v>-4.1268662042132576</c:v>
                </c:pt>
              </c:numCache>
            </c:numRef>
          </c:val>
          <c:extLst>
            <c:ext xmlns:c16="http://schemas.microsoft.com/office/drawing/2014/chart" uri="{C3380CC4-5D6E-409C-BE32-E72D297353CC}">
              <c16:uniqueId val="{00000001-FC49-4BB5-851E-E8E6FFD3EF22}"/>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IPP'!$B$29:$AN$29</c:f>
              <c:numCache>
                <c:formatCode>0.0</c:formatCode>
                <c:ptCount val="39"/>
                <c:pt idx="0">
                  <c:v>1.2645058188207068</c:v>
                </c:pt>
                <c:pt idx="1">
                  <c:v>1.2866524900119543</c:v>
                </c:pt>
                <c:pt idx="2">
                  <c:v>0.321758166889757</c:v>
                </c:pt>
                <c:pt idx="3">
                  <c:v>0.69985382932741536</c:v>
                </c:pt>
                <c:pt idx="4">
                  <c:v>0.51520520797066272</c:v>
                </c:pt>
                <c:pt idx="5">
                  <c:v>0.26610955621310539</c:v>
                </c:pt>
                <c:pt idx="6">
                  <c:v>0.23285855695515315</c:v>
                </c:pt>
                <c:pt idx="7">
                  <c:v>-0.14103398862933006</c:v>
                </c:pt>
                <c:pt idx="8">
                  <c:v>8.1772139521772438E-2</c:v>
                </c:pt>
                <c:pt idx="9">
                  <c:v>0.2046260235658918</c:v>
                </c:pt>
                <c:pt idx="10">
                  <c:v>-2.2418720279356572E-2</c:v>
                </c:pt>
                <c:pt idx="11">
                  <c:v>0.65142852885825009</c:v>
                </c:pt>
                <c:pt idx="12">
                  <c:v>0.21304347589519865</c:v>
                </c:pt>
                <c:pt idx="13">
                  <c:v>0.40549290927749476</c:v>
                </c:pt>
                <c:pt idx="14">
                  <c:v>0.20916730701816877</c:v>
                </c:pt>
                <c:pt idx="15">
                  <c:v>0.32933361982312465</c:v>
                </c:pt>
                <c:pt idx="16">
                  <c:v>0.27334106694035171</c:v>
                </c:pt>
                <c:pt idx="17">
                  <c:v>0.29428298533741609</c:v>
                </c:pt>
                <c:pt idx="18">
                  <c:v>0.38533015320769515</c:v>
                </c:pt>
                <c:pt idx="19">
                  <c:v>1.9183488529804775E-2</c:v>
                </c:pt>
                <c:pt idx="20">
                  <c:v>0.36307045023871931</c:v>
                </c:pt>
                <c:pt idx="21">
                  <c:v>-6.7572945378872373E-2</c:v>
                </c:pt>
                <c:pt idx="22">
                  <c:v>0.19574075945275773</c:v>
                </c:pt>
                <c:pt idx="23">
                  <c:v>0.31979046599858157</c:v>
                </c:pt>
                <c:pt idx="24">
                  <c:v>0.3600654733750322</c:v>
                </c:pt>
                <c:pt idx="25">
                  <c:v>1.0705741294559918</c:v>
                </c:pt>
                <c:pt idx="26">
                  <c:v>0.84942343358716554</c:v>
                </c:pt>
                <c:pt idx="27">
                  <c:v>0.80110319510701655</c:v>
                </c:pt>
                <c:pt idx="28">
                  <c:v>0.47293555109852903</c:v>
                </c:pt>
                <c:pt idx="29">
                  <c:v>0.1452079187580578</c:v>
                </c:pt>
                <c:pt idx="30">
                  <c:v>0.18970333111993243</c:v>
                </c:pt>
                <c:pt idx="31">
                  <c:v>-0.19465162699433602</c:v>
                </c:pt>
                <c:pt idx="32">
                  <c:v>0.14644501292152765</c:v>
                </c:pt>
                <c:pt idx="33">
                  <c:v>-1.7290955551125375E-2</c:v>
                </c:pt>
                <c:pt idx="34">
                  <c:v>-0.27153097339988502</c:v>
                </c:pt>
                <c:pt idx="35">
                  <c:v>-0.12691952861474254</c:v>
                </c:pt>
                <c:pt idx="36">
                  <c:v>-0.76418531682893287</c:v>
                </c:pt>
                <c:pt idx="37">
                  <c:v>-2.1211317843565176</c:v>
                </c:pt>
              </c:numCache>
            </c:numRef>
          </c:val>
          <c:extLst>
            <c:ext xmlns:c16="http://schemas.microsoft.com/office/drawing/2014/chart" uri="{C3380CC4-5D6E-409C-BE32-E72D297353CC}">
              <c16:uniqueId val="{00000002-FC49-4BB5-851E-E8E6FFD3EF22}"/>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IPP'!$B$30:$AN$30</c:f>
              <c:numCache>
                <c:formatCode>0.0</c:formatCode>
                <c:ptCount val="39"/>
                <c:pt idx="0">
                  <c:v>1.3551101221058057</c:v>
                </c:pt>
                <c:pt idx="1">
                  <c:v>0.61003571461144745</c:v>
                </c:pt>
                <c:pt idx="2">
                  <c:v>6.5190052068116996E-2</c:v>
                </c:pt>
                <c:pt idx="3">
                  <c:v>-5.751285551196901E-2</c:v>
                </c:pt>
                <c:pt idx="4">
                  <c:v>-6.6831949774716279E-2</c:v>
                </c:pt>
                <c:pt idx="5">
                  <c:v>-7.2108739074927916E-2</c:v>
                </c:pt>
                <c:pt idx="6">
                  <c:v>0.10129802746367376</c:v>
                </c:pt>
                <c:pt idx="7">
                  <c:v>-0.16202794402787471</c:v>
                </c:pt>
                <c:pt idx="8">
                  <c:v>-7.7218113950844339E-2</c:v>
                </c:pt>
                <c:pt idx="9">
                  <c:v>9.8842007123154413E-2</c:v>
                </c:pt>
                <c:pt idx="10">
                  <c:v>0.38425831802453603</c:v>
                </c:pt>
                <c:pt idx="11">
                  <c:v>0.56826070473463075</c:v>
                </c:pt>
                <c:pt idx="12">
                  <c:v>0.72466030311448937</c:v>
                </c:pt>
                <c:pt idx="13">
                  <c:v>0.64070763768823902</c:v>
                </c:pt>
                <c:pt idx="14">
                  <c:v>0.13471783746278831</c:v>
                </c:pt>
                <c:pt idx="15">
                  <c:v>0.34715049391068614</c:v>
                </c:pt>
                <c:pt idx="16">
                  <c:v>0.7002997305470311</c:v>
                </c:pt>
                <c:pt idx="17">
                  <c:v>0.78598516282691366</c:v>
                </c:pt>
                <c:pt idx="18">
                  <c:v>0.92607458938072496</c:v>
                </c:pt>
                <c:pt idx="19">
                  <c:v>0.625152359437114</c:v>
                </c:pt>
                <c:pt idx="20">
                  <c:v>0.76444806762191553</c:v>
                </c:pt>
                <c:pt idx="21">
                  <c:v>0.38468982602991308</c:v>
                </c:pt>
                <c:pt idx="22">
                  <c:v>0.20052528439839029</c:v>
                </c:pt>
                <c:pt idx="23">
                  <c:v>0.2505464784956295</c:v>
                </c:pt>
                <c:pt idx="24">
                  <c:v>0.5110945332466369</c:v>
                </c:pt>
                <c:pt idx="25">
                  <c:v>0.91827111587790722</c:v>
                </c:pt>
                <c:pt idx="26">
                  <c:v>0.82344311009183468</c:v>
                </c:pt>
                <c:pt idx="27">
                  <c:v>0.97625242210301566</c:v>
                </c:pt>
                <c:pt idx="28">
                  <c:v>0.6543071266859497</c:v>
                </c:pt>
                <c:pt idx="29">
                  <c:v>0.44399142916192974</c:v>
                </c:pt>
                <c:pt idx="30">
                  <c:v>0.43632885025014273</c:v>
                </c:pt>
                <c:pt idx="31">
                  <c:v>0.16425112174648246</c:v>
                </c:pt>
                <c:pt idx="32">
                  <c:v>0.22813318351264544</c:v>
                </c:pt>
                <c:pt idx="33">
                  <c:v>0</c:v>
                </c:pt>
                <c:pt idx="34">
                  <c:v>-0.22418998862127987</c:v>
                </c:pt>
                <c:pt idx="35">
                  <c:v>-0.36099363648711907</c:v>
                </c:pt>
                <c:pt idx="36">
                  <c:v>-0.6830389638650618</c:v>
                </c:pt>
                <c:pt idx="37">
                  <c:v>-2.2504115636172499</c:v>
                </c:pt>
              </c:numCache>
            </c:numRef>
          </c:val>
          <c:extLst>
            <c:ext xmlns:c16="http://schemas.microsoft.com/office/drawing/2014/chart" uri="{C3380CC4-5D6E-409C-BE32-E72D297353CC}">
              <c16:uniqueId val="{00000003-FC49-4BB5-851E-E8E6FFD3EF22}"/>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IPP'!$B$31:$AN$31</c:f>
              <c:numCache>
                <c:formatCode>0.0</c:formatCode>
                <c:ptCount val="39"/>
                <c:pt idx="0">
                  <c:v>0.46663673326552113</c:v>
                </c:pt>
                <c:pt idx="1">
                  <c:v>0.23034504225594873</c:v>
                </c:pt>
                <c:pt idx="2">
                  <c:v>-0.24128462562357822</c:v>
                </c:pt>
                <c:pt idx="3">
                  <c:v>-0.7801555412140766</c:v>
                </c:pt>
                <c:pt idx="4">
                  <c:v>-0.63255602460385418</c:v>
                </c:pt>
                <c:pt idx="5">
                  <c:v>-0.77384972458303802</c:v>
                </c:pt>
                <c:pt idx="6">
                  <c:v>-0.66432699677878693</c:v>
                </c:pt>
                <c:pt idx="7">
                  <c:v>-0.43948160779128104</c:v>
                </c:pt>
                <c:pt idx="8">
                  <c:v>0.1743274886505129</c:v>
                </c:pt>
                <c:pt idx="9">
                  <c:v>0.20848577844563423</c:v>
                </c:pt>
                <c:pt idx="10">
                  <c:v>0.28708284874337209</c:v>
                </c:pt>
                <c:pt idx="11">
                  <c:v>0.3710677945253662</c:v>
                </c:pt>
                <c:pt idx="12">
                  <c:v>0.25462016960863021</c:v>
                </c:pt>
                <c:pt idx="13">
                  <c:v>0.35946957764943493</c:v>
                </c:pt>
                <c:pt idx="14">
                  <c:v>0.24902596442701128</c:v>
                </c:pt>
                <c:pt idx="15">
                  <c:v>0.43266401321765158</c:v>
                </c:pt>
                <c:pt idx="16">
                  <c:v>0.10098933939964477</c:v>
                </c:pt>
                <c:pt idx="17">
                  <c:v>1.4989983457542287E-2</c:v>
                </c:pt>
                <c:pt idx="18">
                  <c:v>4.8131776575975969E-2</c:v>
                </c:pt>
                <c:pt idx="19">
                  <c:v>-7.7003986202186223E-2</c:v>
                </c:pt>
                <c:pt idx="20">
                  <c:v>2.5800791974177746E-4</c:v>
                </c:pt>
                <c:pt idx="21">
                  <c:v>4.8125354447826493E-2</c:v>
                </c:pt>
                <c:pt idx="22">
                  <c:v>5.4761934658599951E-2</c:v>
                </c:pt>
                <c:pt idx="23">
                  <c:v>0.16221619241546678</c:v>
                </c:pt>
                <c:pt idx="24">
                  <c:v>0.1266562574913582</c:v>
                </c:pt>
                <c:pt idx="25">
                  <c:v>0.37648265280216536</c:v>
                </c:pt>
                <c:pt idx="26">
                  <c:v>0.23505971681229232</c:v>
                </c:pt>
                <c:pt idx="27">
                  <c:v>0.23512493906047929</c:v>
                </c:pt>
                <c:pt idx="28">
                  <c:v>0.40852046691006588</c:v>
                </c:pt>
                <c:pt idx="29">
                  <c:v>0.15033665549578873</c:v>
                </c:pt>
                <c:pt idx="30">
                  <c:v>0.63742581900112127</c:v>
                </c:pt>
                <c:pt idx="31">
                  <c:v>0.30596497918419047</c:v>
                </c:pt>
                <c:pt idx="32">
                  <c:v>-0.11284031378710398</c:v>
                </c:pt>
                <c:pt idx="33">
                  <c:v>-3.9673324167303896E-2</c:v>
                </c:pt>
                <c:pt idx="34">
                  <c:v>-0.62307029350559606</c:v>
                </c:pt>
                <c:pt idx="35">
                  <c:v>-0.34200440969372159</c:v>
                </c:pt>
                <c:pt idx="36">
                  <c:v>-0.12945937652719841</c:v>
                </c:pt>
                <c:pt idx="37">
                  <c:v>-0.30159247761277497</c:v>
                </c:pt>
              </c:numCache>
            </c:numRef>
          </c:val>
          <c:extLst>
            <c:ext xmlns:c16="http://schemas.microsoft.com/office/drawing/2014/chart" uri="{C3380CC4-5D6E-409C-BE32-E72D297353CC}">
              <c16:uniqueId val="{00000004-FC49-4BB5-851E-E8E6FFD3EF22}"/>
            </c:ext>
          </c:extLst>
        </c:ser>
        <c:ser>
          <c:idx val="5"/>
          <c:order val="5"/>
          <c:tx>
            <c:strRef>
              <c:f>'GRAF příspěvky IPP'!$A$32</c:f>
              <c:strCache>
                <c:ptCount val="1"/>
                <c:pt idx="0">
                  <c:v>Chemický a farmaceutický pr. (20, 21)</c:v>
                </c:pt>
              </c:strCache>
            </c:strRef>
          </c:tx>
          <c:spPr>
            <a:solidFill>
              <a:srgbClr val="F8A124"/>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IPP'!$B$32:$AN$32</c:f>
              <c:numCache>
                <c:formatCode>0.0</c:formatCode>
                <c:ptCount val="39"/>
                <c:pt idx="0">
                  <c:v>0.11043784960432593</c:v>
                </c:pt>
                <c:pt idx="1">
                  <c:v>-0.10773555193592807</c:v>
                </c:pt>
                <c:pt idx="2">
                  <c:v>-0.35112289109297956</c:v>
                </c:pt>
                <c:pt idx="3">
                  <c:v>-0.27826739460014194</c:v>
                </c:pt>
                <c:pt idx="4">
                  <c:v>8.4154385689483149E-2</c:v>
                </c:pt>
                <c:pt idx="5">
                  <c:v>-9.8833863523717924E-2</c:v>
                </c:pt>
                <c:pt idx="6">
                  <c:v>0.29519930148431078</c:v>
                </c:pt>
                <c:pt idx="7">
                  <c:v>8.1663941155752748E-2</c:v>
                </c:pt>
                <c:pt idx="8">
                  <c:v>-0.16442793114609983</c:v>
                </c:pt>
                <c:pt idx="9">
                  <c:v>2.7522300233105406E-2</c:v>
                </c:pt>
                <c:pt idx="10">
                  <c:v>-0.19879397802963492</c:v>
                </c:pt>
                <c:pt idx="11">
                  <c:v>0.22116665497939436</c:v>
                </c:pt>
                <c:pt idx="12">
                  <c:v>0.41666566499041086</c:v>
                </c:pt>
                <c:pt idx="13">
                  <c:v>0.29995274809874523</c:v>
                </c:pt>
                <c:pt idx="14">
                  <c:v>0.37241621238378653</c:v>
                </c:pt>
                <c:pt idx="15">
                  <c:v>0.12288921584121683</c:v>
                </c:pt>
                <c:pt idx="16">
                  <c:v>7.7350431314437765E-2</c:v>
                </c:pt>
                <c:pt idx="17">
                  <c:v>0.23593761593130141</c:v>
                </c:pt>
                <c:pt idx="18">
                  <c:v>-0.16669952986343833</c:v>
                </c:pt>
                <c:pt idx="19">
                  <c:v>-0.33320285815360856</c:v>
                </c:pt>
                <c:pt idx="20">
                  <c:v>-0.42004567083081795</c:v>
                </c:pt>
                <c:pt idx="21">
                  <c:v>-0.42026397840181545</c:v>
                </c:pt>
                <c:pt idx="22">
                  <c:v>-0.10965943805062672</c:v>
                </c:pt>
                <c:pt idx="23">
                  <c:v>0.23764174190673226</c:v>
                </c:pt>
                <c:pt idx="24">
                  <c:v>0.52969781101036639</c:v>
                </c:pt>
                <c:pt idx="25">
                  <c:v>0.81629581332897672</c:v>
                </c:pt>
                <c:pt idx="26">
                  <c:v>0.6490077008448305</c:v>
                </c:pt>
                <c:pt idx="27">
                  <c:v>0.50550039995300478</c:v>
                </c:pt>
                <c:pt idx="28">
                  <c:v>0.39836280707384325</c:v>
                </c:pt>
                <c:pt idx="29">
                  <c:v>8.2769801878325527E-2</c:v>
                </c:pt>
                <c:pt idx="30">
                  <c:v>-5.1200962998572921E-2</c:v>
                </c:pt>
                <c:pt idx="31">
                  <c:v>-6.7051149583539513E-2</c:v>
                </c:pt>
                <c:pt idx="32">
                  <c:v>0.10347687791544462</c:v>
                </c:pt>
                <c:pt idx="33">
                  <c:v>5.1169406501742065E-2</c:v>
                </c:pt>
                <c:pt idx="34">
                  <c:v>0.23125923115734595</c:v>
                </c:pt>
                <c:pt idx="35">
                  <c:v>2.9465242599488156E-2</c:v>
                </c:pt>
                <c:pt idx="36">
                  <c:v>-6.3954323515944531E-2</c:v>
                </c:pt>
                <c:pt idx="37">
                  <c:v>-0.59623991586590874</c:v>
                </c:pt>
              </c:numCache>
            </c:numRef>
          </c:val>
          <c:extLst>
            <c:ext xmlns:c16="http://schemas.microsoft.com/office/drawing/2014/chart" uri="{C3380CC4-5D6E-409C-BE32-E72D297353CC}">
              <c16:uniqueId val="{00000005-FC49-4BB5-851E-E8E6FFD3EF22}"/>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IPP'!$B$33:$AN$33</c:f>
              <c:numCache>
                <c:formatCode>0.0</c:formatCode>
                <c:ptCount val="39"/>
                <c:pt idx="0">
                  <c:v>0.37508837128330441</c:v>
                </c:pt>
                <c:pt idx="1">
                  <c:v>-0.21037755903979605</c:v>
                </c:pt>
                <c:pt idx="2">
                  <c:v>-1.5665549835303916</c:v>
                </c:pt>
                <c:pt idx="3">
                  <c:v>-0.30113263223401887</c:v>
                </c:pt>
                <c:pt idx="4">
                  <c:v>-1.2532623819644968</c:v>
                </c:pt>
                <c:pt idx="5">
                  <c:v>-0.98265973266456974</c:v>
                </c:pt>
                <c:pt idx="6">
                  <c:v>-0.65808893522855183</c:v>
                </c:pt>
                <c:pt idx="7">
                  <c:v>-1.4388407277993178</c:v>
                </c:pt>
                <c:pt idx="8">
                  <c:v>-0.1559553406211569</c:v>
                </c:pt>
                <c:pt idx="9">
                  <c:v>-0.10101620467744854</c:v>
                </c:pt>
                <c:pt idx="10">
                  <c:v>0.61701582414311784</c:v>
                </c:pt>
                <c:pt idx="11">
                  <c:v>1.4236339159262827</c:v>
                </c:pt>
                <c:pt idx="12">
                  <c:v>1.236545341304258</c:v>
                </c:pt>
                <c:pt idx="13">
                  <c:v>1.2187062503030845</c:v>
                </c:pt>
                <c:pt idx="14">
                  <c:v>0.52934645905596056</c:v>
                </c:pt>
                <c:pt idx="15">
                  <c:v>1.351822855883333</c:v>
                </c:pt>
                <c:pt idx="16">
                  <c:v>0.99830218869293763</c:v>
                </c:pt>
                <c:pt idx="17">
                  <c:v>0.90243657634684393</c:v>
                </c:pt>
                <c:pt idx="18">
                  <c:v>0.97767572263990776</c:v>
                </c:pt>
                <c:pt idx="19">
                  <c:v>-0.22132414773784082</c:v>
                </c:pt>
                <c:pt idx="20">
                  <c:v>3.75697389584283E-2</c:v>
                </c:pt>
                <c:pt idx="21">
                  <c:v>-0.30016704241038428</c:v>
                </c:pt>
                <c:pt idx="22">
                  <c:v>4.1230596798872976E-2</c:v>
                </c:pt>
                <c:pt idx="23">
                  <c:v>0.57694869576717844</c:v>
                </c:pt>
                <c:pt idx="24">
                  <c:v>0.33188448583664354</c:v>
                </c:pt>
                <c:pt idx="25">
                  <c:v>1.4323707076505112</c:v>
                </c:pt>
                <c:pt idx="26">
                  <c:v>0.74281336901524031</c:v>
                </c:pt>
                <c:pt idx="27">
                  <c:v>0.99254851716260917</c:v>
                </c:pt>
                <c:pt idx="28">
                  <c:v>1.1174634788597515</c:v>
                </c:pt>
                <c:pt idx="29">
                  <c:v>0.68739640698572724</c:v>
                </c:pt>
                <c:pt idx="30">
                  <c:v>1.0605384736132097</c:v>
                </c:pt>
                <c:pt idx="31">
                  <c:v>0.51351046269380185</c:v>
                </c:pt>
                <c:pt idx="32">
                  <c:v>-0.14309532338947323</c:v>
                </c:pt>
                <c:pt idx="33">
                  <c:v>-3.4143637355314435E-2</c:v>
                </c:pt>
                <c:pt idx="34">
                  <c:v>-0.51022275275070428</c:v>
                </c:pt>
                <c:pt idx="35">
                  <c:v>-0.27505439724231884</c:v>
                </c:pt>
                <c:pt idx="36">
                  <c:v>-0.22294283563754264</c:v>
                </c:pt>
                <c:pt idx="37">
                  <c:v>-3.0516682768317906</c:v>
                </c:pt>
              </c:numCache>
            </c:numRef>
          </c:val>
          <c:extLst>
            <c:ext xmlns:c16="http://schemas.microsoft.com/office/drawing/2014/chart" uri="{C3380CC4-5D6E-409C-BE32-E72D297353CC}">
              <c16:uniqueId val="{00000006-FC49-4BB5-851E-E8E6FFD3EF22}"/>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IPP'!$B$34:$AN$34</c:f>
              <c:numCache>
                <c:formatCode>0.0</c:formatCode>
                <c:ptCount val="39"/>
                <c:pt idx="0">
                  <c:v>-0.42452386212609627</c:v>
                </c:pt>
                <c:pt idx="1">
                  <c:v>0.37437263889478795</c:v>
                </c:pt>
                <c:pt idx="2">
                  <c:v>-0.30609467148217906</c:v>
                </c:pt>
                <c:pt idx="3">
                  <c:v>-6.2790064258354317E-2</c:v>
                </c:pt>
                <c:pt idx="4">
                  <c:v>4.5234196251372455E-2</c:v>
                </c:pt>
                <c:pt idx="5">
                  <c:v>0.33849893288383998</c:v>
                </c:pt>
                <c:pt idx="6">
                  <c:v>-0.14594055443913137</c:v>
                </c:pt>
                <c:pt idx="7">
                  <c:v>-1.0820656656400016</c:v>
                </c:pt>
                <c:pt idx="8">
                  <c:v>-0.90111641450271041</c:v>
                </c:pt>
                <c:pt idx="9">
                  <c:v>-1.4080716141653054</c:v>
                </c:pt>
                <c:pt idx="10">
                  <c:v>-0.87454103397784222</c:v>
                </c:pt>
                <c:pt idx="11">
                  <c:v>0.52275262781946252</c:v>
                </c:pt>
                <c:pt idx="12">
                  <c:v>-0.48831445126169903</c:v>
                </c:pt>
                <c:pt idx="13">
                  <c:v>-0.36279609225680959</c:v>
                </c:pt>
                <c:pt idx="14">
                  <c:v>-0.47490528997454834</c:v>
                </c:pt>
                <c:pt idx="15">
                  <c:v>-0.68045051057538275</c:v>
                </c:pt>
                <c:pt idx="16">
                  <c:v>0.14603886659731855</c:v>
                </c:pt>
                <c:pt idx="17">
                  <c:v>-0.34005382041093413</c:v>
                </c:pt>
                <c:pt idx="18">
                  <c:v>-0.37898483167936881</c:v>
                </c:pt>
                <c:pt idx="19">
                  <c:v>-1.1248323803223828</c:v>
                </c:pt>
                <c:pt idx="20">
                  <c:v>-0.66857701045346751</c:v>
                </c:pt>
                <c:pt idx="21">
                  <c:v>0.10137361870125999</c:v>
                </c:pt>
                <c:pt idx="22">
                  <c:v>-0.46808235891211047</c:v>
                </c:pt>
                <c:pt idx="23">
                  <c:v>0.50534236475350525</c:v>
                </c:pt>
                <c:pt idx="24">
                  <c:v>0.66795249028030279</c:v>
                </c:pt>
                <c:pt idx="25">
                  <c:v>-0.18424188685486914</c:v>
                </c:pt>
                <c:pt idx="26">
                  <c:v>0.78008174883886461</c:v>
                </c:pt>
                <c:pt idx="27">
                  <c:v>0.73049787951958134</c:v>
                </c:pt>
                <c:pt idx="28">
                  <c:v>-0.53969025522024028</c:v>
                </c:pt>
                <c:pt idx="29">
                  <c:v>9.9992532326696609E-3</c:v>
                </c:pt>
                <c:pt idx="30">
                  <c:v>0.78144454779276418</c:v>
                </c:pt>
                <c:pt idx="31">
                  <c:v>0.32566803227119129</c:v>
                </c:pt>
                <c:pt idx="32">
                  <c:v>0.21461504765704126</c:v>
                </c:pt>
                <c:pt idx="33">
                  <c:v>3.748889351511786E-2</c:v>
                </c:pt>
                <c:pt idx="34">
                  <c:v>-0.67132499891939867</c:v>
                </c:pt>
                <c:pt idx="35">
                  <c:v>-0.32609634939215498</c:v>
                </c:pt>
                <c:pt idx="36">
                  <c:v>-0.97278816130083445</c:v>
                </c:pt>
                <c:pt idx="37">
                  <c:v>-1.5878023608406293</c:v>
                </c:pt>
              </c:numCache>
            </c:numRef>
          </c:val>
          <c:extLst>
            <c:ext xmlns:c16="http://schemas.microsoft.com/office/drawing/2014/chart" uri="{C3380CC4-5D6E-409C-BE32-E72D297353CC}">
              <c16:uniqueId val="{00000007-FC49-4BB5-851E-E8E6FFD3EF22}"/>
            </c:ext>
          </c:extLst>
        </c:ser>
        <c:dLbls>
          <c:showLegendKey val="0"/>
          <c:showVal val="0"/>
          <c:showCatName val="0"/>
          <c:showSerName val="0"/>
          <c:showPercent val="0"/>
          <c:showBubbleSize val="0"/>
        </c:dLbls>
        <c:gapWidth val="15"/>
        <c:overlap val="100"/>
        <c:axId val="112768128"/>
        <c:axId val="112769664"/>
      </c:barChart>
      <c:lineChart>
        <c:grouping val="standard"/>
        <c:varyColors val="0"/>
        <c:ser>
          <c:idx val="8"/>
          <c:order val="8"/>
          <c:tx>
            <c:strRef>
              <c:f>'GRAF příspěvky IPP'!$A$35</c:f>
              <c:strCache>
                <c:ptCount val="1"/>
                <c:pt idx="0">
                  <c:v>Průmysl celkem (NACE B, C,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IPP'!$B$35:$AN$35</c:f>
              <c:numCache>
                <c:formatCode>#\ ##0.0</c:formatCode>
                <c:ptCount val="39"/>
                <c:pt idx="0">
                  <c:v>10.1747086325</c:v>
                </c:pt>
                <c:pt idx="1">
                  <c:v>7.7320630777000048</c:v>
                </c:pt>
                <c:pt idx="2">
                  <c:v>2.0427367414999935</c:v>
                </c:pt>
                <c:pt idx="3">
                  <c:v>3.0231970454999981</c:v>
                </c:pt>
                <c:pt idx="4">
                  <c:v>1.7776371540000042</c:v>
                </c:pt>
                <c:pt idx="5">
                  <c:v>0.40341299639999306</c:v>
                </c:pt>
                <c:pt idx="6">
                  <c:v>-0.21112265520000051</c:v>
                </c:pt>
                <c:pt idx="7">
                  <c:v>-5.3481617104000065</c:v>
                </c:pt>
                <c:pt idx="8">
                  <c:v>-4.2249701698000024</c:v>
                </c:pt>
                <c:pt idx="9">
                  <c:v>-2.3853554206000069</c:v>
                </c:pt>
                <c:pt idx="10">
                  <c:v>1.2316497516000027</c:v>
                </c:pt>
                <c:pt idx="11">
                  <c:v>6.3229322730999939</c:v>
                </c:pt>
                <c:pt idx="12">
                  <c:v>7.1030450258000002</c:v>
                </c:pt>
                <c:pt idx="13">
                  <c:v>6.1297209744000014</c:v>
                </c:pt>
                <c:pt idx="14">
                  <c:v>2.9753758001999984</c:v>
                </c:pt>
                <c:pt idx="15">
                  <c:v>4.2327805536999961</c:v>
                </c:pt>
                <c:pt idx="16">
                  <c:v>4.873394060199999</c:v>
                </c:pt>
                <c:pt idx="17">
                  <c:v>5.3081959839000064</c:v>
                </c:pt>
                <c:pt idx="18">
                  <c:v>5.5472987825999951</c:v>
                </c:pt>
                <c:pt idx="19">
                  <c:v>2.4027878042000026</c:v>
                </c:pt>
                <c:pt idx="20">
                  <c:v>4.0765835575000011</c:v>
                </c:pt>
                <c:pt idx="21">
                  <c:v>2.6745568033000069</c:v>
                </c:pt>
                <c:pt idx="22">
                  <c:v>1.6551514254000068</c:v>
                </c:pt>
                <c:pt idx="23">
                  <c:v>3.5118172237000067</c:v>
                </c:pt>
                <c:pt idx="24">
                  <c:v>5.2597731895999971</c:v>
                </c:pt>
                <c:pt idx="25">
                  <c:v>7.9444180928999941</c:v>
                </c:pt>
                <c:pt idx="26">
                  <c:v>6.519713423400006</c:v>
                </c:pt>
                <c:pt idx="27">
                  <c:v>7.5755516541999981</c:v>
                </c:pt>
                <c:pt idx="28">
                  <c:v>4.2247105953999977</c:v>
                </c:pt>
                <c:pt idx="29">
                  <c:v>2.4051902963999936</c:v>
                </c:pt>
                <c:pt idx="30">
                  <c:v>3.7235866655999956</c:v>
                </c:pt>
                <c:pt idx="31">
                  <c:v>1.9819082223999942</c:v>
                </c:pt>
                <c:pt idx="32">
                  <c:v>0.7</c:v>
                </c:pt>
                <c:pt idx="33">
                  <c:v>0.9</c:v>
                </c:pt>
                <c:pt idx="34">
                  <c:v>-1</c:v>
                </c:pt>
                <c:pt idx="35">
                  <c:v>-2.1</c:v>
                </c:pt>
                <c:pt idx="36">
                  <c:v>-5</c:v>
                </c:pt>
                <c:pt idx="37">
                  <c:v>-23.485773328187875</c:v>
                </c:pt>
              </c:numCache>
            </c:numRef>
          </c:val>
          <c:smooth val="0"/>
          <c:extLst>
            <c:ext xmlns:c16="http://schemas.microsoft.com/office/drawing/2014/chart" uri="{C3380CC4-5D6E-409C-BE32-E72D297353CC}">
              <c16:uniqueId val="{00000008-FC49-4BB5-851E-E8E6FFD3EF22}"/>
            </c:ext>
          </c:extLst>
        </c:ser>
        <c:dLbls>
          <c:showLegendKey val="0"/>
          <c:showVal val="0"/>
          <c:showCatName val="0"/>
          <c:showSerName val="0"/>
          <c:showPercent val="0"/>
          <c:showBubbleSize val="0"/>
        </c:dLbls>
        <c:marker val="1"/>
        <c:smooth val="0"/>
        <c:axId val="112768128"/>
        <c:axId val="112769664"/>
      </c:lineChart>
      <c:lineChart>
        <c:grouping val="standard"/>
        <c:varyColors val="0"/>
        <c:ser>
          <c:idx val="9"/>
          <c:order val="9"/>
          <c:tx>
            <c:strRef>
              <c:f>'GRAF příspěvky IPP'!$A$36</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'GRAF příspěvky IPP'!$B$25:$AN$26</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'GRAF příspěvky IPP'!$B$36:$AN$36</c:f>
              <c:numCache>
                <c:formatCode>0.0</c:formatCode>
                <c:ptCount val="39"/>
                <c:pt idx="0">
                  <c:v>15</c:v>
                </c:pt>
                <c:pt idx="1">
                  <c:v>7.7</c:v>
                </c:pt>
                <c:pt idx="2">
                  <c:v>4</c:v>
                </c:pt>
                <c:pt idx="3">
                  <c:v>4</c:v>
                </c:pt>
                <c:pt idx="4">
                  <c:v>1.3</c:v>
                </c:pt>
                <c:pt idx="5">
                  <c:v>-0.7</c:v>
                </c:pt>
                <c:pt idx="6">
                  <c:v>-8</c:v>
                </c:pt>
                <c:pt idx="7">
                  <c:v>-8.3000000000000007</c:v>
                </c:pt>
                <c:pt idx="8">
                  <c:v>-10.7</c:v>
                </c:pt>
                <c:pt idx="9">
                  <c:v>-11</c:v>
                </c:pt>
                <c:pt idx="10">
                  <c:v>-7.7</c:v>
                </c:pt>
                <c:pt idx="11">
                  <c:v>-0.3</c:v>
                </c:pt>
                <c:pt idx="12">
                  <c:v>1.3</c:v>
                </c:pt>
                <c:pt idx="13">
                  <c:v>3.3</c:v>
                </c:pt>
                <c:pt idx="14">
                  <c:v>2</c:v>
                </c:pt>
                <c:pt idx="15">
                  <c:v>3</c:v>
                </c:pt>
                <c:pt idx="16">
                  <c:v>2.7</c:v>
                </c:pt>
                <c:pt idx="17">
                  <c:v>3</c:v>
                </c:pt>
                <c:pt idx="18">
                  <c:v>5.3</c:v>
                </c:pt>
                <c:pt idx="19">
                  <c:v>0.3</c:v>
                </c:pt>
                <c:pt idx="20">
                  <c:v>3.7</c:v>
                </c:pt>
                <c:pt idx="21">
                  <c:v>1.7</c:v>
                </c:pt>
                <c:pt idx="22">
                  <c:v>2</c:v>
                </c:pt>
                <c:pt idx="23">
                  <c:v>3.7</c:v>
                </c:pt>
                <c:pt idx="24">
                  <c:v>5.3</c:v>
                </c:pt>
                <c:pt idx="25">
                  <c:v>0.7</c:v>
                </c:pt>
                <c:pt idx="26">
                  <c:v>3.3</c:v>
                </c:pt>
                <c:pt idx="27">
                  <c:v>6.7</c:v>
                </c:pt>
                <c:pt idx="28">
                  <c:v>4</c:v>
                </c:pt>
                <c:pt idx="29">
                  <c:v>4.3</c:v>
                </c:pt>
                <c:pt idx="30">
                  <c:v>1.3</c:v>
                </c:pt>
                <c:pt idx="31">
                  <c:v>3</c:v>
                </c:pt>
                <c:pt idx="32">
                  <c:v>0</c:v>
                </c:pt>
                <c:pt idx="33">
                  <c:v>0.3</c:v>
                </c:pt>
                <c:pt idx="34">
                  <c:v>-3</c:v>
                </c:pt>
                <c:pt idx="35">
                  <c:v>-6</c:v>
                </c:pt>
                <c:pt idx="36">
                  <c:v>-6.7</c:v>
                </c:pt>
                <c:pt idx="37">
                  <c:v>-26.3</c:v>
                </c:pt>
                <c:pt idx="38">
                  <c:v>-8</c:v>
                </c:pt>
              </c:numCache>
            </c:numRef>
          </c:val>
          <c:smooth val="0"/>
          <c:extLst>
            <c:ext xmlns:c16="http://schemas.microsoft.com/office/drawing/2014/chart" uri="{C3380CC4-5D6E-409C-BE32-E72D297353CC}">
              <c16:uniqueId val="{00000009-FC49-4BB5-851E-E8E6FFD3EF22}"/>
            </c:ext>
          </c:extLst>
        </c:ser>
        <c:dLbls>
          <c:showLegendKey val="0"/>
          <c:showVal val="0"/>
          <c:showCatName val="0"/>
          <c:showSerName val="0"/>
          <c:showPercent val="0"/>
          <c:showBubbleSize val="0"/>
        </c:dLbls>
        <c:marker val="1"/>
        <c:smooth val="0"/>
        <c:axId val="1513731104"/>
        <c:axId val="1513729024"/>
      </c:lineChart>
      <c:catAx>
        <c:axId val="11276812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112769664"/>
        <c:crosses val="autoZero"/>
        <c:auto val="1"/>
        <c:lblAlgn val="ctr"/>
        <c:lblOffset val="0"/>
        <c:noMultiLvlLbl val="0"/>
      </c:catAx>
      <c:valAx>
        <c:axId val="112769664"/>
        <c:scaling>
          <c:orientation val="minMax"/>
          <c:max val="12"/>
          <c:min val="-27"/>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Průmyslová</a:t>
                </a:r>
                <a:r>
                  <a:rPr lang="cs-CZ" sz="700" b="0" i="1" baseline="0">
                    <a:latin typeface="Arial" panose="020B0604020202020204" pitchFamily="34" charset="0"/>
                    <a:cs typeface="Arial" panose="020B0604020202020204" pitchFamily="34" charset="0"/>
                  </a:rPr>
                  <a:t> produkce</a:t>
                </a:r>
                <a:endParaRPr lang="cs-CZ" sz="700" b="0" i="1">
                  <a:latin typeface="Arial" panose="020B0604020202020204" pitchFamily="34" charset="0"/>
                  <a:cs typeface="Arial" panose="020B0604020202020204" pitchFamily="34" charset="0"/>
                </a:endParaRPr>
              </a:p>
            </c:rich>
          </c:tx>
          <c:layout>
            <c:manualLayout>
              <c:xMode val="edge"/>
              <c:yMode val="edge"/>
              <c:x val="0"/>
              <c:y val="0.20244534603198014"/>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12768128"/>
        <c:crosses val="autoZero"/>
        <c:crossBetween val="between"/>
        <c:majorUnit val="3"/>
      </c:valAx>
      <c:valAx>
        <c:axId val="1513729024"/>
        <c:scaling>
          <c:orientation val="minMax"/>
          <c:max val="35"/>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a:t>
                </a:r>
                <a:r>
                  <a:rPr lang="cs-CZ" sz="700" b="0" i="1" baseline="0">
                    <a:latin typeface="Arial" panose="020B0604020202020204" pitchFamily="34" charset="0"/>
                    <a:cs typeface="Arial" panose="020B0604020202020204" pitchFamily="34" charset="0"/>
                  </a:rPr>
                  <a:t> indikátoru důvěry</a:t>
                </a:r>
                <a:endParaRPr lang="cs-CZ" sz="700" b="0" i="1">
                  <a:latin typeface="Arial" panose="020B0604020202020204" pitchFamily="34" charset="0"/>
                  <a:cs typeface="Arial" panose="020B0604020202020204" pitchFamily="34" charset="0"/>
                </a:endParaRPr>
              </a:p>
            </c:rich>
          </c:tx>
          <c:layout>
            <c:manualLayout>
              <c:xMode val="edge"/>
              <c:yMode val="edge"/>
              <c:x val="0.9708727325106673"/>
              <c:y val="0.22016862994429165"/>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1513731104"/>
        <c:crosses val="max"/>
        <c:crossBetween val="between"/>
        <c:majorUnit val="5"/>
      </c:valAx>
      <c:catAx>
        <c:axId val="1513731104"/>
        <c:scaling>
          <c:orientation val="minMax"/>
        </c:scaling>
        <c:delete val="1"/>
        <c:axPos val="b"/>
        <c:numFmt formatCode="General" sourceLinked="1"/>
        <c:majorTickMark val="out"/>
        <c:minorTickMark val="none"/>
        <c:tickLblPos val="nextTo"/>
        <c:crossAx val="1513729024"/>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0"/>
          <c:y val="0.8245301077934194"/>
          <c:w val="0.97724094301487296"/>
          <c:h val="0.17197591189447189"/>
        </c:manualLayout>
      </c:layout>
      <c:overlay val="0"/>
      <c:spPr>
        <a:ln w="6350">
          <a:solidFill>
            <a:prstClr val="black">
              <a:lumMod val="95000"/>
              <a:lumOff val="5000"/>
            </a:prstClr>
          </a:solidFill>
        </a:ln>
      </c:spPr>
      <c:txPr>
        <a:bodyPr/>
        <a:lstStyle/>
        <a:p>
          <a:pPr>
            <a:defRPr sz="80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015582501720615E-2"/>
          <c:y val="1.643251153889452E-2"/>
          <c:w val="0.86254083709606399"/>
          <c:h val="0.76336766858043459"/>
        </c:manualLayout>
      </c:layout>
      <c:barChart>
        <c:barDir val="col"/>
        <c:grouping val="clustered"/>
        <c:varyColors val="0"/>
        <c:ser>
          <c:idx val="0"/>
          <c:order val="0"/>
          <c:tx>
            <c:strRef>
              <c:f>'výkonnost odvětví 2'!$A$31</c:f>
              <c:strCache>
                <c:ptCount val="1"/>
                <c:pt idx="0">
                  <c:v>Průmyslové zakázky celkem</c:v>
                </c:pt>
              </c:strCache>
            </c:strRef>
          </c:tx>
          <c:spPr>
            <a:solidFill>
              <a:schemeClr val="bg1">
                <a:lumMod val="65000"/>
              </a:schemeClr>
            </a:solidFill>
            <a:ln w="12700">
              <a:noFill/>
              <a:prstDash val="solid"/>
            </a:ln>
          </c:spPr>
          <c:invertIfNegative val="0"/>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2'!$B$31:$AN$31</c:f>
              <c:numCache>
                <c:formatCode>#\ ##0.0__</c:formatCode>
                <c:ptCount val="39"/>
                <c:pt idx="0">
                  <c:v>12.043107093421796</c:v>
                </c:pt>
                <c:pt idx="1">
                  <c:v>5.329290402096305</c:v>
                </c:pt>
                <c:pt idx="2">
                  <c:v>-1.5038236293274423</c:v>
                </c:pt>
                <c:pt idx="3">
                  <c:v>0.49985199872995167</c:v>
                </c:pt>
                <c:pt idx="4">
                  <c:v>7.8919882289544319</c:v>
                </c:pt>
                <c:pt idx="5">
                  <c:v>0.24363263911027389</c:v>
                </c:pt>
                <c:pt idx="6">
                  <c:v>2.6780600325356119</c:v>
                </c:pt>
                <c:pt idx="7">
                  <c:v>-2.2927798243121345</c:v>
                </c:pt>
                <c:pt idx="8">
                  <c:v>-6.7566875441004868</c:v>
                </c:pt>
                <c:pt idx="9">
                  <c:v>-0.77743908810788298</c:v>
                </c:pt>
                <c:pt idx="10">
                  <c:v>12.110592029586002</c:v>
                </c:pt>
                <c:pt idx="11">
                  <c:v>12.611542535334834</c:v>
                </c:pt>
                <c:pt idx="12">
                  <c:v>18.454576257258609</c:v>
                </c:pt>
                <c:pt idx="13">
                  <c:v>13.812603337719324</c:v>
                </c:pt>
                <c:pt idx="14">
                  <c:v>11.164927309703884</c:v>
                </c:pt>
                <c:pt idx="15">
                  <c:v>7.3250322249586759</c:v>
                </c:pt>
                <c:pt idx="16">
                  <c:v>8.5397251010390391</c:v>
                </c:pt>
                <c:pt idx="17">
                  <c:v>6.4894834031568251</c:v>
                </c:pt>
                <c:pt idx="18">
                  <c:v>4.1045761314248068</c:v>
                </c:pt>
                <c:pt idx="19">
                  <c:v>6.0151063810169205</c:v>
                </c:pt>
                <c:pt idx="20">
                  <c:v>1.3550678522953064</c:v>
                </c:pt>
                <c:pt idx="21">
                  <c:v>10.856046878525433</c:v>
                </c:pt>
                <c:pt idx="22">
                  <c:v>1.6431282237439291</c:v>
                </c:pt>
                <c:pt idx="23">
                  <c:v>6.7220844736941103</c:v>
                </c:pt>
                <c:pt idx="24">
                  <c:v>10.841479121555906</c:v>
                </c:pt>
                <c:pt idx="25">
                  <c:v>4.5315942367003714</c:v>
                </c:pt>
                <c:pt idx="26">
                  <c:v>6.9082617878945598</c:v>
                </c:pt>
                <c:pt idx="27">
                  <c:v>7.5112613571588724</c:v>
                </c:pt>
                <c:pt idx="28">
                  <c:v>1.6339188767607453</c:v>
                </c:pt>
                <c:pt idx="29">
                  <c:v>4.6301209797549205</c:v>
                </c:pt>
                <c:pt idx="30">
                  <c:v>3.6945404784506337</c:v>
                </c:pt>
                <c:pt idx="31">
                  <c:v>4.2467023509658759</c:v>
                </c:pt>
                <c:pt idx="32">
                  <c:v>3.2159327201169816</c:v>
                </c:pt>
                <c:pt idx="33">
                  <c:v>0.65858715061426665</c:v>
                </c:pt>
                <c:pt idx="34">
                  <c:v>2.2747163836690305</c:v>
                </c:pt>
                <c:pt idx="35">
                  <c:v>-4.7832000111320241</c:v>
                </c:pt>
                <c:pt idx="36">
                  <c:v>-5.4552563188195791</c:v>
                </c:pt>
                <c:pt idx="37">
                  <c:v>-27.840083401835727</c:v>
                </c:pt>
              </c:numCache>
            </c:numRef>
          </c:val>
          <c:extLst>
            <c:ext xmlns:c16="http://schemas.microsoft.com/office/drawing/2014/chart" uri="{C3380CC4-5D6E-409C-BE32-E72D297353CC}">
              <c16:uniqueId val="{00000000-C0A0-4F83-AE42-9264FC6240D1}"/>
            </c:ext>
          </c:extLst>
        </c:ser>
        <c:dLbls>
          <c:showLegendKey val="0"/>
          <c:showVal val="0"/>
          <c:showCatName val="0"/>
          <c:showSerName val="0"/>
          <c:showPercent val="0"/>
          <c:showBubbleSize val="0"/>
        </c:dLbls>
        <c:gapWidth val="34"/>
        <c:overlap val="28"/>
        <c:axId val="139174272"/>
        <c:axId val="139175808"/>
      </c:barChart>
      <c:lineChart>
        <c:grouping val="standard"/>
        <c:varyColors val="0"/>
        <c:ser>
          <c:idx val="2"/>
          <c:order val="1"/>
          <c:tx>
            <c:strRef>
              <c:f>'výkonnost odvětví 2'!$A$32</c:f>
              <c:strCache>
                <c:ptCount val="1"/>
                <c:pt idx="0">
                  <c:v>Průmyslové zakázky z tuzemska</c:v>
                </c:pt>
              </c:strCache>
            </c:strRef>
          </c:tx>
          <c:spPr>
            <a:ln w="15875">
              <a:solidFill>
                <a:srgbClr val="0070C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2'!$B$32:$AN$32</c:f>
              <c:numCache>
                <c:formatCode>#\ ##0.0__</c:formatCode>
                <c:ptCount val="39"/>
                <c:pt idx="0">
                  <c:v>2.8145814762462464</c:v>
                </c:pt>
                <c:pt idx="1">
                  <c:v>-0.65160361804250044</c:v>
                </c:pt>
                <c:pt idx="2">
                  <c:v>-11.671782921579478</c:v>
                </c:pt>
                <c:pt idx="3">
                  <c:v>-10.696553890943122</c:v>
                </c:pt>
                <c:pt idx="4">
                  <c:v>2.6214056871317126</c:v>
                </c:pt>
                <c:pt idx="5">
                  <c:v>-9.2467743432498821</c:v>
                </c:pt>
                <c:pt idx="6">
                  <c:v>-2.8571545096936291</c:v>
                </c:pt>
                <c:pt idx="7">
                  <c:v>-4.0487324448534139</c:v>
                </c:pt>
                <c:pt idx="8">
                  <c:v>-7.112663177047466</c:v>
                </c:pt>
                <c:pt idx="9">
                  <c:v>-0.59561460542927591</c:v>
                </c:pt>
                <c:pt idx="10">
                  <c:v>9.3847374388735147</c:v>
                </c:pt>
                <c:pt idx="11">
                  <c:v>7.0782158358476011</c:v>
                </c:pt>
                <c:pt idx="12">
                  <c:v>14.18383964594139</c:v>
                </c:pt>
                <c:pt idx="13">
                  <c:v>7.7929541685002164</c:v>
                </c:pt>
                <c:pt idx="14">
                  <c:v>16.845115352064937</c:v>
                </c:pt>
                <c:pt idx="15">
                  <c:v>9.6787104542652713</c:v>
                </c:pt>
                <c:pt idx="16">
                  <c:v>4.341961301010727</c:v>
                </c:pt>
                <c:pt idx="17">
                  <c:v>10.024449168168019</c:v>
                </c:pt>
                <c:pt idx="18">
                  <c:v>-4.7604240586837108</c:v>
                </c:pt>
                <c:pt idx="19">
                  <c:v>0.56107209694786775</c:v>
                </c:pt>
                <c:pt idx="20">
                  <c:v>0.20304376106223287</c:v>
                </c:pt>
                <c:pt idx="21">
                  <c:v>4.9376200007964286</c:v>
                </c:pt>
                <c:pt idx="22">
                  <c:v>-0.65834656713856532</c:v>
                </c:pt>
                <c:pt idx="23">
                  <c:v>2.873089889380708</c:v>
                </c:pt>
                <c:pt idx="24">
                  <c:v>16.722989365311648</c:v>
                </c:pt>
                <c:pt idx="25">
                  <c:v>11.567742610098009</c:v>
                </c:pt>
                <c:pt idx="26">
                  <c:v>14.702871802754672</c:v>
                </c:pt>
                <c:pt idx="27">
                  <c:v>15.641374658030259</c:v>
                </c:pt>
                <c:pt idx="28">
                  <c:v>-0.54655499165191657</c:v>
                </c:pt>
                <c:pt idx="29">
                  <c:v>3.3862320433243838</c:v>
                </c:pt>
                <c:pt idx="30">
                  <c:v>4.5707977831681177</c:v>
                </c:pt>
                <c:pt idx="31">
                  <c:v>4.8009732818449038</c:v>
                </c:pt>
                <c:pt idx="32">
                  <c:v>8.0074778782798006</c:v>
                </c:pt>
                <c:pt idx="33">
                  <c:v>4.3685672275757952</c:v>
                </c:pt>
                <c:pt idx="34">
                  <c:v>3.2795252635021939</c:v>
                </c:pt>
                <c:pt idx="35">
                  <c:v>-2.4886565019466786</c:v>
                </c:pt>
                <c:pt idx="36">
                  <c:v>-4.1287288035399854</c:v>
                </c:pt>
                <c:pt idx="37">
                  <c:v>-25.915339029383787</c:v>
                </c:pt>
              </c:numCache>
            </c:numRef>
          </c:val>
          <c:smooth val="0"/>
          <c:extLst>
            <c:ext xmlns:c16="http://schemas.microsoft.com/office/drawing/2014/chart" uri="{C3380CC4-5D6E-409C-BE32-E72D297353CC}">
              <c16:uniqueId val="{00000001-C0A0-4F83-AE42-9264FC6240D1}"/>
            </c:ext>
          </c:extLst>
        </c:ser>
        <c:ser>
          <c:idx val="5"/>
          <c:order val="2"/>
          <c:tx>
            <c:strRef>
              <c:f>'výkonnost odvětví 2'!$A$33</c:f>
              <c:strCache>
                <c:ptCount val="1"/>
                <c:pt idx="0">
                  <c:v>Celk. zakázky ve výrobě motor. voz.</c:v>
                </c:pt>
              </c:strCache>
            </c:strRef>
          </c:tx>
          <c:spPr>
            <a:ln w="15875">
              <a:solidFill>
                <a:srgbClr val="BD1B21"/>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2'!$B$33:$AN$33</c:f>
              <c:numCache>
                <c:formatCode>#\ ##0.0__</c:formatCode>
                <c:ptCount val="39"/>
                <c:pt idx="0">
                  <c:v>11.429400379513879</c:v>
                </c:pt>
                <c:pt idx="1">
                  <c:v>9.2048286805521258</c:v>
                </c:pt>
                <c:pt idx="2">
                  <c:v>4.4139955552265207</c:v>
                </c:pt>
                <c:pt idx="3">
                  <c:v>5.3718735076924133</c:v>
                </c:pt>
                <c:pt idx="4">
                  <c:v>19.54636851917148</c:v>
                </c:pt>
                <c:pt idx="5">
                  <c:v>4.6887564118292033</c:v>
                </c:pt>
                <c:pt idx="6">
                  <c:v>1.3322326875189248</c:v>
                </c:pt>
                <c:pt idx="7">
                  <c:v>-2.0219087809167178</c:v>
                </c:pt>
                <c:pt idx="8">
                  <c:v>-15.423726227988496</c:v>
                </c:pt>
                <c:pt idx="9">
                  <c:v>-3.0233686336023169</c:v>
                </c:pt>
                <c:pt idx="10">
                  <c:v>24.654149056071944</c:v>
                </c:pt>
                <c:pt idx="11">
                  <c:v>18.470996489023392</c:v>
                </c:pt>
                <c:pt idx="12">
                  <c:v>33.791068906341536</c:v>
                </c:pt>
                <c:pt idx="13">
                  <c:v>22.39294364855138</c:v>
                </c:pt>
                <c:pt idx="14">
                  <c:v>16.969041222835131</c:v>
                </c:pt>
                <c:pt idx="15">
                  <c:v>12.211301534151133</c:v>
                </c:pt>
                <c:pt idx="16">
                  <c:v>15.316352438277931</c:v>
                </c:pt>
                <c:pt idx="17">
                  <c:v>5.584343456517459</c:v>
                </c:pt>
                <c:pt idx="18">
                  <c:v>13.898535777390734</c:v>
                </c:pt>
                <c:pt idx="19">
                  <c:v>18.975191723154538</c:v>
                </c:pt>
                <c:pt idx="20">
                  <c:v>11.460497347422447</c:v>
                </c:pt>
                <c:pt idx="21">
                  <c:v>33.085131031292235</c:v>
                </c:pt>
                <c:pt idx="22">
                  <c:v>5.912380139380474</c:v>
                </c:pt>
                <c:pt idx="23">
                  <c:v>12.001000805244416</c:v>
                </c:pt>
                <c:pt idx="24">
                  <c:v>7.9804719471503205</c:v>
                </c:pt>
                <c:pt idx="25">
                  <c:v>-1.7592612473364966</c:v>
                </c:pt>
                <c:pt idx="26">
                  <c:v>3.8626497182263222</c:v>
                </c:pt>
                <c:pt idx="27">
                  <c:v>0.37376710568412364</c:v>
                </c:pt>
                <c:pt idx="28">
                  <c:v>0.60861960894675349</c:v>
                </c:pt>
                <c:pt idx="29">
                  <c:v>3.6675371997157811</c:v>
                </c:pt>
                <c:pt idx="30">
                  <c:v>0.69699979014031044</c:v>
                </c:pt>
                <c:pt idx="31">
                  <c:v>1.0371076901644045</c:v>
                </c:pt>
                <c:pt idx="32">
                  <c:v>2.3844519038519962</c:v>
                </c:pt>
                <c:pt idx="33">
                  <c:v>3.1505861553301884</c:v>
                </c:pt>
                <c:pt idx="34">
                  <c:v>7.8772894879504776</c:v>
                </c:pt>
                <c:pt idx="35">
                  <c:v>-0.27078960340936931</c:v>
                </c:pt>
                <c:pt idx="36">
                  <c:v>-6.8002473186692924</c:v>
                </c:pt>
                <c:pt idx="37">
                  <c:v>-43.589067662393489</c:v>
                </c:pt>
              </c:numCache>
            </c:numRef>
          </c:val>
          <c:smooth val="0"/>
          <c:extLst>
            <c:ext xmlns:c16="http://schemas.microsoft.com/office/drawing/2014/chart" uri="{C3380CC4-5D6E-409C-BE32-E72D297353CC}">
              <c16:uniqueId val="{00000002-C0A0-4F83-AE42-9264FC6240D1}"/>
            </c:ext>
          </c:extLst>
        </c:ser>
        <c:dLbls>
          <c:showLegendKey val="0"/>
          <c:showVal val="0"/>
          <c:showCatName val="0"/>
          <c:showSerName val="0"/>
          <c:showPercent val="0"/>
          <c:showBubbleSize val="0"/>
        </c:dLbls>
        <c:marker val="1"/>
        <c:smooth val="0"/>
        <c:axId val="139174272"/>
        <c:axId val="139175808"/>
      </c:lineChart>
      <c:lineChart>
        <c:grouping val="standard"/>
        <c:varyColors val="0"/>
        <c:ser>
          <c:idx val="3"/>
          <c:order val="3"/>
          <c:tx>
            <c:strRef>
              <c:f>'výkonnost odvětví 2'!$A$34</c:f>
              <c:strCache>
                <c:ptCount val="1"/>
                <c:pt idx="0">
                  <c:v>Využití výrob. kapacit v prům. (pr. osa)</c:v>
                </c:pt>
              </c:strCache>
            </c:strRef>
          </c:tx>
          <c:spPr>
            <a:ln w="19050">
              <a:solidFill>
                <a:srgbClr val="00B05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2'!$B$34:$AN$34</c:f>
              <c:numCache>
                <c:formatCode>#\ ##0.0</c:formatCode>
                <c:ptCount val="39"/>
                <c:pt idx="0">
                  <c:v>83.7</c:v>
                </c:pt>
                <c:pt idx="1">
                  <c:v>85.5</c:v>
                </c:pt>
                <c:pt idx="2">
                  <c:v>84.7</c:v>
                </c:pt>
                <c:pt idx="3">
                  <c:v>82.8</c:v>
                </c:pt>
                <c:pt idx="4">
                  <c:v>84.6</c:v>
                </c:pt>
                <c:pt idx="5">
                  <c:v>83.6</c:v>
                </c:pt>
                <c:pt idx="6">
                  <c:v>81.2</c:v>
                </c:pt>
                <c:pt idx="7">
                  <c:v>81.2</c:v>
                </c:pt>
                <c:pt idx="8">
                  <c:v>80.900000000000006</c:v>
                </c:pt>
                <c:pt idx="9">
                  <c:v>82.2</c:v>
                </c:pt>
                <c:pt idx="10">
                  <c:v>80.7</c:v>
                </c:pt>
                <c:pt idx="11">
                  <c:v>82.2</c:v>
                </c:pt>
                <c:pt idx="12">
                  <c:v>81.2</c:v>
                </c:pt>
                <c:pt idx="13">
                  <c:v>83.5</c:v>
                </c:pt>
                <c:pt idx="14">
                  <c:v>82.8</c:v>
                </c:pt>
                <c:pt idx="15">
                  <c:v>84.4</c:v>
                </c:pt>
                <c:pt idx="16">
                  <c:v>86.2</c:v>
                </c:pt>
                <c:pt idx="17">
                  <c:v>85</c:v>
                </c:pt>
                <c:pt idx="18">
                  <c:v>85.6</c:v>
                </c:pt>
                <c:pt idx="19">
                  <c:v>83.9</c:v>
                </c:pt>
                <c:pt idx="20">
                  <c:v>84.5</c:v>
                </c:pt>
                <c:pt idx="21">
                  <c:v>84.7</c:v>
                </c:pt>
                <c:pt idx="22">
                  <c:v>84.7</c:v>
                </c:pt>
                <c:pt idx="23">
                  <c:v>84.1</c:v>
                </c:pt>
                <c:pt idx="24">
                  <c:v>84.9</c:v>
                </c:pt>
                <c:pt idx="25">
                  <c:v>83.1</c:v>
                </c:pt>
                <c:pt idx="26">
                  <c:v>84.4</c:v>
                </c:pt>
                <c:pt idx="27">
                  <c:v>84.3</c:v>
                </c:pt>
                <c:pt idx="28">
                  <c:v>85.8</c:v>
                </c:pt>
                <c:pt idx="29">
                  <c:v>85.4</c:v>
                </c:pt>
                <c:pt idx="30">
                  <c:v>86.2</c:v>
                </c:pt>
                <c:pt idx="31">
                  <c:v>85.8</c:v>
                </c:pt>
                <c:pt idx="32">
                  <c:v>85.8</c:v>
                </c:pt>
                <c:pt idx="33">
                  <c:v>85.9</c:v>
                </c:pt>
                <c:pt idx="34">
                  <c:v>84.8</c:v>
                </c:pt>
                <c:pt idx="35">
                  <c:v>84.1</c:v>
                </c:pt>
                <c:pt idx="36">
                  <c:v>84.2</c:v>
                </c:pt>
                <c:pt idx="37">
                  <c:v>71</c:v>
                </c:pt>
                <c:pt idx="38">
                  <c:v>75.5</c:v>
                </c:pt>
              </c:numCache>
            </c:numRef>
          </c:val>
          <c:smooth val="0"/>
          <c:extLst>
            <c:ext xmlns:c16="http://schemas.microsoft.com/office/drawing/2014/chart" uri="{C3380CC4-5D6E-409C-BE32-E72D297353CC}">
              <c16:uniqueId val="{00000003-C0A0-4F83-AE42-9264FC6240D1}"/>
            </c:ext>
          </c:extLst>
        </c:ser>
        <c:ser>
          <c:idx val="1"/>
          <c:order val="4"/>
          <c:tx>
            <c:strRef>
              <c:f>'výkonnost odvětví 2'!$A$35</c:f>
              <c:strCache>
                <c:ptCount val="1"/>
                <c:pt idx="0">
                  <c:v>Využití kapac. v automobil. pr. (pr. osa)</c:v>
                </c:pt>
              </c:strCache>
            </c:strRef>
          </c:tx>
          <c:spPr>
            <a:ln w="15875">
              <a:solidFill>
                <a:srgbClr val="00B050"/>
              </a:solidFill>
              <a:prstDash val="sysDash"/>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2'!$B$35:$AN$35</c:f>
              <c:numCache>
                <c:formatCode>0.0</c:formatCode>
                <c:ptCount val="39"/>
                <c:pt idx="0">
                  <c:v>92.5</c:v>
                </c:pt>
                <c:pt idx="1">
                  <c:v>92.3</c:v>
                </c:pt>
                <c:pt idx="2">
                  <c:v>92.4</c:v>
                </c:pt>
                <c:pt idx="3">
                  <c:v>91.8</c:v>
                </c:pt>
                <c:pt idx="4">
                  <c:v>92.3</c:v>
                </c:pt>
                <c:pt idx="5">
                  <c:v>89.5</c:v>
                </c:pt>
                <c:pt idx="6">
                  <c:v>85.9</c:v>
                </c:pt>
                <c:pt idx="7">
                  <c:v>86.1</c:v>
                </c:pt>
                <c:pt idx="8">
                  <c:v>86.4</c:v>
                </c:pt>
                <c:pt idx="9">
                  <c:v>89.9</c:v>
                </c:pt>
                <c:pt idx="10">
                  <c:v>80.2</c:v>
                </c:pt>
                <c:pt idx="11">
                  <c:v>84.8</c:v>
                </c:pt>
                <c:pt idx="12">
                  <c:v>78.900000000000006</c:v>
                </c:pt>
                <c:pt idx="13">
                  <c:v>85</c:v>
                </c:pt>
                <c:pt idx="14">
                  <c:v>87.1</c:v>
                </c:pt>
                <c:pt idx="15">
                  <c:v>89.2</c:v>
                </c:pt>
                <c:pt idx="16">
                  <c:v>92.8</c:v>
                </c:pt>
                <c:pt idx="17">
                  <c:v>91.1</c:v>
                </c:pt>
                <c:pt idx="18">
                  <c:v>93.1</c:v>
                </c:pt>
                <c:pt idx="19">
                  <c:v>88.7</c:v>
                </c:pt>
                <c:pt idx="20">
                  <c:v>91.6</c:v>
                </c:pt>
                <c:pt idx="21">
                  <c:v>90.3</c:v>
                </c:pt>
                <c:pt idx="22">
                  <c:v>93.1</c:v>
                </c:pt>
                <c:pt idx="23">
                  <c:v>90.9</c:v>
                </c:pt>
                <c:pt idx="24">
                  <c:v>93.2</c:v>
                </c:pt>
                <c:pt idx="25">
                  <c:v>87.3</c:v>
                </c:pt>
                <c:pt idx="26">
                  <c:v>90.7</c:v>
                </c:pt>
                <c:pt idx="27">
                  <c:v>90.5</c:v>
                </c:pt>
                <c:pt idx="28">
                  <c:v>91.1</c:v>
                </c:pt>
                <c:pt idx="29">
                  <c:v>91.6</c:v>
                </c:pt>
                <c:pt idx="30">
                  <c:v>92.1</c:v>
                </c:pt>
                <c:pt idx="31">
                  <c:v>93</c:v>
                </c:pt>
                <c:pt idx="32">
                  <c:v>92.8</c:v>
                </c:pt>
                <c:pt idx="33">
                  <c:v>93.6</c:v>
                </c:pt>
                <c:pt idx="34">
                  <c:v>92.3</c:v>
                </c:pt>
                <c:pt idx="35">
                  <c:v>93.4</c:v>
                </c:pt>
                <c:pt idx="36">
                  <c:v>90.5</c:v>
                </c:pt>
                <c:pt idx="37">
                  <c:v>50.8</c:v>
                </c:pt>
                <c:pt idx="38" formatCode="General">
                  <c:v>75.3</c:v>
                </c:pt>
              </c:numCache>
            </c:numRef>
          </c:val>
          <c:smooth val="0"/>
          <c:extLst>
            <c:ext xmlns:c16="http://schemas.microsoft.com/office/drawing/2014/chart" uri="{C3380CC4-5D6E-409C-BE32-E72D297353CC}">
              <c16:uniqueId val="{00000004-C0A0-4F83-AE42-9264FC6240D1}"/>
            </c:ext>
          </c:extLst>
        </c:ser>
        <c:ser>
          <c:idx val="4"/>
          <c:order val="5"/>
          <c:tx>
            <c:strRef>
              <c:f>'výkonnost odvětví 2'!$A$36</c:f>
              <c:strCache>
                <c:ptCount val="1"/>
                <c:pt idx="0">
                  <c:v>Bariéra růstu: nedost. poptávka (pr. osa)</c:v>
                </c:pt>
              </c:strCache>
            </c:strRef>
          </c:tx>
          <c:spPr>
            <a:ln w="15875">
              <a:solidFill>
                <a:srgbClr val="D2CD00"/>
              </a:solidFill>
              <a:prstDash val="solid"/>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2'!$B$36:$AN$36</c:f>
              <c:numCache>
                <c:formatCode>#\ ##0.0</c:formatCode>
                <c:ptCount val="39"/>
                <c:pt idx="0">
                  <c:v>41.1</c:v>
                </c:pt>
                <c:pt idx="1">
                  <c:v>36</c:v>
                </c:pt>
                <c:pt idx="2">
                  <c:v>37.799999999999997</c:v>
                </c:pt>
                <c:pt idx="3">
                  <c:v>47</c:v>
                </c:pt>
                <c:pt idx="4">
                  <c:v>41.1</c:v>
                </c:pt>
                <c:pt idx="5">
                  <c:v>50.7</c:v>
                </c:pt>
                <c:pt idx="6">
                  <c:v>54.6</c:v>
                </c:pt>
                <c:pt idx="7">
                  <c:v>55.7</c:v>
                </c:pt>
                <c:pt idx="8">
                  <c:v>59.7</c:v>
                </c:pt>
                <c:pt idx="9">
                  <c:v>64.3</c:v>
                </c:pt>
                <c:pt idx="10">
                  <c:v>68.400000000000006</c:v>
                </c:pt>
                <c:pt idx="11">
                  <c:v>56.6</c:v>
                </c:pt>
                <c:pt idx="12">
                  <c:v>57.6</c:v>
                </c:pt>
                <c:pt idx="13">
                  <c:v>52.2</c:v>
                </c:pt>
                <c:pt idx="14">
                  <c:v>48.4</c:v>
                </c:pt>
                <c:pt idx="15">
                  <c:v>45.9</c:v>
                </c:pt>
                <c:pt idx="16">
                  <c:v>43.6</c:v>
                </c:pt>
                <c:pt idx="17">
                  <c:v>49.6</c:v>
                </c:pt>
                <c:pt idx="18">
                  <c:v>47.8</c:v>
                </c:pt>
                <c:pt idx="19">
                  <c:v>47.8</c:v>
                </c:pt>
                <c:pt idx="20">
                  <c:v>45.7</c:v>
                </c:pt>
                <c:pt idx="21">
                  <c:v>45.5</c:v>
                </c:pt>
                <c:pt idx="22">
                  <c:v>43</c:v>
                </c:pt>
                <c:pt idx="23">
                  <c:v>43.8</c:v>
                </c:pt>
                <c:pt idx="24">
                  <c:v>42.7</c:v>
                </c:pt>
                <c:pt idx="25">
                  <c:v>41.6</c:v>
                </c:pt>
                <c:pt idx="26">
                  <c:v>40.299999999999997</c:v>
                </c:pt>
                <c:pt idx="27">
                  <c:v>37.299999999999997</c:v>
                </c:pt>
                <c:pt idx="28">
                  <c:v>35.4</c:v>
                </c:pt>
                <c:pt idx="29">
                  <c:v>36</c:v>
                </c:pt>
                <c:pt idx="30">
                  <c:v>31.6</c:v>
                </c:pt>
                <c:pt idx="31">
                  <c:v>33.4</c:v>
                </c:pt>
                <c:pt idx="32">
                  <c:v>33.700000000000003</c:v>
                </c:pt>
                <c:pt idx="33">
                  <c:v>35.299999999999997</c:v>
                </c:pt>
                <c:pt idx="34">
                  <c:v>40.1</c:v>
                </c:pt>
                <c:pt idx="35">
                  <c:v>47.3</c:v>
                </c:pt>
                <c:pt idx="36">
                  <c:v>50.4</c:v>
                </c:pt>
                <c:pt idx="37">
                  <c:v>58.4</c:v>
                </c:pt>
                <c:pt idx="38">
                  <c:v>63.2</c:v>
                </c:pt>
              </c:numCache>
            </c:numRef>
          </c:val>
          <c:smooth val="0"/>
          <c:extLst>
            <c:ext xmlns:c16="http://schemas.microsoft.com/office/drawing/2014/chart" uri="{C3380CC4-5D6E-409C-BE32-E72D297353CC}">
              <c16:uniqueId val="{00000005-C0A0-4F83-AE42-9264FC6240D1}"/>
            </c:ext>
          </c:extLst>
        </c:ser>
        <c:ser>
          <c:idx val="6"/>
          <c:order val="6"/>
          <c:tx>
            <c:strRef>
              <c:f>'výkonnost odvětví 2'!$A$37</c:f>
              <c:strCache>
                <c:ptCount val="1"/>
                <c:pt idx="0">
                  <c:v>Bariéra růstu: nedost. pracovníků (pr. osa)</c:v>
                </c:pt>
              </c:strCache>
            </c:strRef>
          </c:tx>
          <c:spPr>
            <a:ln w="19050">
              <a:solidFill>
                <a:srgbClr val="D2CD00"/>
              </a:solidFill>
              <a:prstDash val="sysDash"/>
            </a:ln>
          </c:spPr>
          <c:marker>
            <c:symbol val="none"/>
          </c:marker>
          <c:cat>
            <c:multiLvlStrRef>
              <c:f>'výkonnost odvětví 2'!$B$29:$AN$30</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2'!$B$37:$AN$37</c:f>
              <c:numCache>
                <c:formatCode>#\ ##0.0</c:formatCode>
                <c:ptCount val="39"/>
                <c:pt idx="0">
                  <c:v>9.4</c:v>
                </c:pt>
                <c:pt idx="1">
                  <c:v>15.4</c:v>
                </c:pt>
                <c:pt idx="2">
                  <c:v>13.9</c:v>
                </c:pt>
                <c:pt idx="3">
                  <c:v>6.7</c:v>
                </c:pt>
                <c:pt idx="4">
                  <c:v>4.8</c:v>
                </c:pt>
                <c:pt idx="5">
                  <c:v>3.8</c:v>
                </c:pt>
                <c:pt idx="6">
                  <c:v>3.1</c:v>
                </c:pt>
                <c:pt idx="7">
                  <c:v>1.5</c:v>
                </c:pt>
                <c:pt idx="8">
                  <c:v>2.7</c:v>
                </c:pt>
                <c:pt idx="9">
                  <c:v>2.1</c:v>
                </c:pt>
                <c:pt idx="10">
                  <c:v>2.1</c:v>
                </c:pt>
                <c:pt idx="11">
                  <c:v>1.8</c:v>
                </c:pt>
                <c:pt idx="12">
                  <c:v>4.4000000000000004</c:v>
                </c:pt>
                <c:pt idx="13">
                  <c:v>3.6</c:v>
                </c:pt>
                <c:pt idx="14">
                  <c:v>5.3</c:v>
                </c:pt>
                <c:pt idx="15">
                  <c:v>5</c:v>
                </c:pt>
                <c:pt idx="16">
                  <c:v>6.7</c:v>
                </c:pt>
                <c:pt idx="17">
                  <c:v>6.9</c:v>
                </c:pt>
                <c:pt idx="18">
                  <c:v>8.1</c:v>
                </c:pt>
                <c:pt idx="19">
                  <c:v>13.9</c:v>
                </c:pt>
                <c:pt idx="20">
                  <c:v>15.4</c:v>
                </c:pt>
                <c:pt idx="21">
                  <c:v>16.899999999999999</c:v>
                </c:pt>
                <c:pt idx="22">
                  <c:v>18.8</c:v>
                </c:pt>
                <c:pt idx="23">
                  <c:v>28.8</c:v>
                </c:pt>
                <c:pt idx="24">
                  <c:v>32.799999999999997</c:v>
                </c:pt>
                <c:pt idx="25">
                  <c:v>34.700000000000003</c:v>
                </c:pt>
                <c:pt idx="26">
                  <c:v>41.3</c:v>
                </c:pt>
                <c:pt idx="27">
                  <c:v>38.299999999999997</c:v>
                </c:pt>
                <c:pt idx="28">
                  <c:v>43.4</c:v>
                </c:pt>
                <c:pt idx="29">
                  <c:v>43.7</c:v>
                </c:pt>
                <c:pt idx="30">
                  <c:v>43.7</c:v>
                </c:pt>
                <c:pt idx="31">
                  <c:v>44.8</c:v>
                </c:pt>
                <c:pt idx="32">
                  <c:v>38.799999999999997</c:v>
                </c:pt>
                <c:pt idx="33">
                  <c:v>36.4</c:v>
                </c:pt>
                <c:pt idx="34">
                  <c:v>39.5</c:v>
                </c:pt>
                <c:pt idx="35">
                  <c:v>37.200000000000003</c:v>
                </c:pt>
                <c:pt idx="36">
                  <c:v>28.2</c:v>
                </c:pt>
                <c:pt idx="37">
                  <c:v>16.600000000000001</c:v>
                </c:pt>
                <c:pt idx="38">
                  <c:v>15.1</c:v>
                </c:pt>
              </c:numCache>
            </c:numRef>
          </c:val>
          <c:smooth val="0"/>
          <c:extLst>
            <c:ext xmlns:c16="http://schemas.microsoft.com/office/drawing/2014/chart" uri="{C3380CC4-5D6E-409C-BE32-E72D297353CC}">
              <c16:uniqueId val="{00000006-C0A0-4F83-AE42-9264FC6240D1}"/>
            </c:ext>
          </c:extLst>
        </c:ser>
        <c:dLbls>
          <c:showLegendKey val="0"/>
          <c:showVal val="0"/>
          <c:showCatName val="0"/>
          <c:showSerName val="0"/>
          <c:showPercent val="0"/>
          <c:showBubbleSize val="0"/>
        </c:dLbls>
        <c:marker val="1"/>
        <c:smooth val="0"/>
        <c:axId val="146478208"/>
        <c:axId val="139177344"/>
      </c:lineChart>
      <c:catAx>
        <c:axId val="139174272"/>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39175808"/>
        <c:crossesAt val="0"/>
        <c:auto val="0"/>
        <c:lblAlgn val="ctr"/>
        <c:lblOffset val="0"/>
        <c:tickLblSkip val="1"/>
        <c:tickMarkSkip val="4"/>
        <c:noMultiLvlLbl val="0"/>
      </c:catAx>
      <c:valAx>
        <c:axId val="139175808"/>
        <c:scaling>
          <c:orientation val="minMax"/>
          <c:max val="50"/>
          <c:min val="-50"/>
        </c:scaling>
        <c:delete val="0"/>
        <c:axPos val="l"/>
        <c:majorGridlines>
          <c:spPr>
            <a:ln w="6350">
              <a:solidFill>
                <a:schemeClr val="bg1">
                  <a:lumMod val="75000"/>
                </a:schemeClr>
              </a:solidFill>
            </a:ln>
          </c:spPr>
        </c:majorGridlines>
        <c:title>
          <c:tx>
            <c:rich>
              <a:bodyPr/>
              <a:lstStyle/>
              <a:p>
                <a:pPr>
                  <a:defRPr sz="700" i="1"/>
                </a:pPr>
                <a:r>
                  <a:rPr lang="cs-CZ" sz="700" i="1"/>
                  <a:t>Zakázky</a:t>
                </a:r>
              </a:p>
            </c:rich>
          </c:tx>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39174272"/>
        <c:crosses val="autoZero"/>
        <c:crossBetween val="between"/>
        <c:majorUnit val="10"/>
      </c:valAx>
      <c:valAx>
        <c:axId val="139177344"/>
        <c:scaling>
          <c:orientation val="minMax"/>
          <c:max val="100"/>
          <c:min val="0"/>
        </c:scaling>
        <c:delete val="0"/>
        <c:axPos val="r"/>
        <c:title>
          <c:tx>
            <c:rich>
              <a:bodyPr/>
              <a:lstStyle/>
              <a:p>
                <a:pPr>
                  <a:defRPr sz="700" b="0" i="1"/>
                </a:pPr>
                <a:r>
                  <a:rPr lang="cs-CZ" sz="700" b="0" i="1"/>
                  <a:t>Využití výrobních kapacit, bariéry</a:t>
                </a:r>
                <a:r>
                  <a:rPr lang="cs-CZ" sz="700" b="0" i="1" baseline="0"/>
                  <a:t> růstu</a:t>
                </a:r>
                <a:endParaRPr lang="cs-CZ" sz="700" b="0" i="1"/>
              </a:p>
            </c:rich>
          </c:tx>
          <c:layout>
            <c:manualLayout>
              <c:xMode val="edge"/>
              <c:yMode val="edge"/>
              <c:x val="0.97051506350706762"/>
              <c:y val="0.16321710007880222"/>
            </c:manualLayout>
          </c:layout>
          <c:overlay val="0"/>
        </c:title>
        <c:numFmt formatCode="0" sourceLinked="0"/>
        <c:majorTickMark val="out"/>
        <c:minorTickMark val="none"/>
        <c:tickLblPos val="nextTo"/>
        <c:crossAx val="146478208"/>
        <c:crosses val="max"/>
        <c:crossBetween val="between"/>
      </c:valAx>
      <c:catAx>
        <c:axId val="146478208"/>
        <c:scaling>
          <c:orientation val="minMax"/>
        </c:scaling>
        <c:delete val="1"/>
        <c:axPos val="b"/>
        <c:numFmt formatCode="General" sourceLinked="1"/>
        <c:majorTickMark val="out"/>
        <c:minorTickMark val="none"/>
        <c:tickLblPos val="none"/>
        <c:crossAx val="139177344"/>
        <c:crosses val="autoZero"/>
        <c:auto val="1"/>
        <c:lblAlgn val="ctr"/>
        <c:lblOffset val="100"/>
        <c:noMultiLvlLbl val="0"/>
      </c:catAx>
      <c:spPr>
        <a:solidFill>
          <a:srgbClr val="FFFFFF"/>
        </a:solidFill>
        <a:ln w="9525">
          <a:solidFill>
            <a:schemeClr val="tx1"/>
          </a:solidFill>
        </a:ln>
      </c:spPr>
    </c:plotArea>
    <c:legend>
      <c:legendPos val="b"/>
      <c:layout>
        <c:manualLayout>
          <c:xMode val="edge"/>
          <c:yMode val="edge"/>
          <c:x val="8.1990961748686711E-3"/>
          <c:y val="0.86823820781267591"/>
          <c:w val="0.98379594369130352"/>
          <c:h val="0.12461330631543398"/>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528753529248227E-2"/>
          <c:y val="1.6563187842952781E-2"/>
          <c:w val="0.85309490361228013"/>
          <c:h val="0.76133625371490121"/>
        </c:manualLayout>
      </c:layout>
      <c:barChart>
        <c:barDir val="col"/>
        <c:grouping val="stacked"/>
        <c:varyColors val="0"/>
        <c:ser>
          <c:idx val="1"/>
          <c:order val="1"/>
          <c:tx>
            <c:strRef>
              <c:f>'výkonnost odvětví 3'!$Y$10</c:f>
              <c:strCache>
                <c:ptCount val="1"/>
                <c:pt idx="0">
                  <c:v>Pozemní stavitelství (příspěvek v p. b.)</c:v>
                </c:pt>
              </c:strCache>
            </c:strRef>
          </c:tx>
          <c:spPr>
            <a:solidFill>
              <a:srgbClr val="A6CDE9"/>
            </a:solidFill>
            <a:ln w="19050">
              <a:noFill/>
              <a:prstDash val="solid"/>
            </a:ln>
          </c:spPr>
          <c:invertIfNegative val="0"/>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3'!$Y$15:$Y$53</c:f>
              <c:numCache>
                <c:formatCode>0.0</c:formatCode>
                <c:ptCount val="39"/>
                <c:pt idx="0">
                  <c:v>6.2047732527820312</c:v>
                </c:pt>
                <c:pt idx="1">
                  <c:v>-1.142609385309763</c:v>
                </c:pt>
                <c:pt idx="2">
                  <c:v>-4.2496583310797469</c:v>
                </c:pt>
                <c:pt idx="3">
                  <c:v>1.4325486942131775</c:v>
                </c:pt>
                <c:pt idx="4">
                  <c:v>-5.3017304136874612</c:v>
                </c:pt>
                <c:pt idx="5">
                  <c:v>-1.5772154566583525</c:v>
                </c:pt>
                <c:pt idx="6">
                  <c:v>-3.5093635043390679</c:v>
                </c:pt>
                <c:pt idx="7">
                  <c:v>-6.7584810940500368</c:v>
                </c:pt>
                <c:pt idx="8">
                  <c:v>-7.3668578508046387</c:v>
                </c:pt>
                <c:pt idx="9">
                  <c:v>-7.3115997076220323</c:v>
                </c:pt>
                <c:pt idx="10">
                  <c:v>-1.046316947083143</c:v>
                </c:pt>
                <c:pt idx="11">
                  <c:v>-1.9461283088151891</c:v>
                </c:pt>
                <c:pt idx="12">
                  <c:v>12.371583397752481</c:v>
                </c:pt>
                <c:pt idx="13">
                  <c:v>3.6348701582896989</c:v>
                </c:pt>
                <c:pt idx="14">
                  <c:v>-0.4470402552287821</c:v>
                </c:pt>
                <c:pt idx="15">
                  <c:v>-0.35554011674100472</c:v>
                </c:pt>
                <c:pt idx="16">
                  <c:v>6.0406500842435085</c:v>
                </c:pt>
                <c:pt idx="17">
                  <c:v>5.0351990706688206</c:v>
                </c:pt>
                <c:pt idx="18">
                  <c:v>0.8190237902909806</c:v>
                </c:pt>
                <c:pt idx="19">
                  <c:v>-1.7586108979905719</c:v>
                </c:pt>
                <c:pt idx="20">
                  <c:v>-4.9770437869163535</c:v>
                </c:pt>
                <c:pt idx="21">
                  <c:v>-4.9700016274723584</c:v>
                </c:pt>
                <c:pt idx="22">
                  <c:v>0.78239199885766197</c:v>
                </c:pt>
                <c:pt idx="23">
                  <c:v>3.9332788568802517</c:v>
                </c:pt>
                <c:pt idx="24">
                  <c:v>2.3068633791469697</c:v>
                </c:pt>
                <c:pt idx="25">
                  <c:v>9.9255198092832533</c:v>
                </c:pt>
                <c:pt idx="26">
                  <c:v>3.4173683660831449</c:v>
                </c:pt>
                <c:pt idx="27">
                  <c:v>2.6449439222433253</c:v>
                </c:pt>
                <c:pt idx="28">
                  <c:v>13.611853478375235</c:v>
                </c:pt>
                <c:pt idx="29">
                  <c:v>6.2900956792886875</c:v>
                </c:pt>
                <c:pt idx="30">
                  <c:v>7.6969034240443159</c:v>
                </c:pt>
                <c:pt idx="31">
                  <c:v>2.4763373565569382</c:v>
                </c:pt>
                <c:pt idx="32">
                  <c:v>2.9012271914063752</c:v>
                </c:pt>
                <c:pt idx="33">
                  <c:v>2.4324724742263082</c:v>
                </c:pt>
                <c:pt idx="34">
                  <c:v>-0.71205347442938227</c:v>
                </c:pt>
                <c:pt idx="35">
                  <c:v>2.4332088670338217</c:v>
                </c:pt>
                <c:pt idx="36">
                  <c:v>-0.65663999999999767</c:v>
                </c:pt>
                <c:pt idx="37">
                  <c:v>-9.2204187524945613</c:v>
                </c:pt>
              </c:numCache>
            </c:numRef>
          </c:val>
          <c:extLst>
            <c:ext xmlns:c16="http://schemas.microsoft.com/office/drawing/2014/chart" uri="{C3380CC4-5D6E-409C-BE32-E72D297353CC}">
              <c16:uniqueId val="{00000000-2BB8-4627-BCD3-32B4AFC96A05}"/>
            </c:ext>
          </c:extLst>
        </c:ser>
        <c:ser>
          <c:idx val="2"/>
          <c:order val="2"/>
          <c:tx>
            <c:strRef>
              <c:f>'výkonnost odvětví 3'!$Z$10</c:f>
              <c:strCache>
                <c:ptCount val="1"/>
                <c:pt idx="0">
                  <c:v>Inženýrské stavitelství  (příspěvek v p. b.)</c:v>
                </c:pt>
              </c:strCache>
            </c:strRef>
          </c:tx>
          <c:spPr>
            <a:solidFill>
              <a:srgbClr val="E8AFB2"/>
            </a:solidFill>
            <a:ln w="19050">
              <a:noFill/>
              <a:prstDash val="solid"/>
            </a:ln>
          </c:spPr>
          <c:invertIfNegative val="0"/>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3'!$Z$15:$Z$53</c:f>
              <c:numCache>
                <c:formatCode>0.0</c:formatCode>
                <c:ptCount val="39"/>
                <c:pt idx="0">
                  <c:v>-0.79042212761240505</c:v>
                </c:pt>
                <c:pt idx="1">
                  <c:v>-4.1501396425306893</c:v>
                </c:pt>
                <c:pt idx="2">
                  <c:v>-4.845304760215198</c:v>
                </c:pt>
                <c:pt idx="3">
                  <c:v>-1.9017157182009561</c:v>
                </c:pt>
                <c:pt idx="4">
                  <c:v>-4.5301506238094307</c:v>
                </c:pt>
                <c:pt idx="5">
                  <c:v>-3.436948273961975</c:v>
                </c:pt>
                <c:pt idx="6">
                  <c:v>-2.1433566998748379</c:v>
                </c:pt>
                <c:pt idx="7">
                  <c:v>-2.7528798984220209</c:v>
                </c:pt>
                <c:pt idx="8">
                  <c:v>-3.2410153986319687</c:v>
                </c:pt>
                <c:pt idx="9">
                  <c:v>-4.3924048251383914</c:v>
                </c:pt>
                <c:pt idx="10">
                  <c:v>-4.1374576667557275</c:v>
                </c:pt>
                <c:pt idx="11">
                  <c:v>-0.65314984057794534</c:v>
                </c:pt>
                <c:pt idx="12">
                  <c:v>0.50263566485864819</c:v>
                </c:pt>
                <c:pt idx="13">
                  <c:v>1.9367914476888961</c:v>
                </c:pt>
                <c:pt idx="14">
                  <c:v>3.0475325886284614</c:v>
                </c:pt>
                <c:pt idx="15">
                  <c:v>1.5687973126903687</c:v>
                </c:pt>
                <c:pt idx="16">
                  <c:v>3.2355496515016471</c:v>
                </c:pt>
                <c:pt idx="17">
                  <c:v>7.2127365572123514</c:v>
                </c:pt>
                <c:pt idx="18">
                  <c:v>7.4049722612595534</c:v>
                </c:pt>
                <c:pt idx="19">
                  <c:v>2.8517321017249642</c:v>
                </c:pt>
                <c:pt idx="20">
                  <c:v>-1.2715496259536494</c:v>
                </c:pt>
                <c:pt idx="21">
                  <c:v>-5.4264140722862431</c:v>
                </c:pt>
                <c:pt idx="22">
                  <c:v>-7.0587854977868805</c:v>
                </c:pt>
                <c:pt idx="23">
                  <c:v>-5.9121381011794369</c:v>
                </c:pt>
                <c:pt idx="24">
                  <c:v>-3.4016080209496309</c:v>
                </c:pt>
                <c:pt idx="25">
                  <c:v>-1.1866728525072219</c:v>
                </c:pt>
                <c:pt idx="26">
                  <c:v>-1.5260463084640261</c:v>
                </c:pt>
                <c:pt idx="27">
                  <c:v>0.24705424395699707</c:v>
                </c:pt>
                <c:pt idx="28">
                  <c:v>1.7580186589547353</c:v>
                </c:pt>
                <c:pt idx="29">
                  <c:v>1.2030375486852778</c:v>
                </c:pt>
                <c:pt idx="30">
                  <c:v>4.716307137200463</c:v>
                </c:pt>
                <c:pt idx="31">
                  <c:v>1.893880018835757</c:v>
                </c:pt>
                <c:pt idx="32">
                  <c:v>0.7361981062889752</c:v>
                </c:pt>
                <c:pt idx="33">
                  <c:v>1.8748631261527227</c:v>
                </c:pt>
                <c:pt idx="34">
                  <c:v>0.74581313444005137</c:v>
                </c:pt>
                <c:pt idx="35">
                  <c:v>0.84928321883930058</c:v>
                </c:pt>
                <c:pt idx="36">
                  <c:v>2.7776000000000005</c:v>
                </c:pt>
                <c:pt idx="37">
                  <c:v>0.45894381009551932</c:v>
                </c:pt>
              </c:numCache>
            </c:numRef>
          </c:val>
          <c:extLst>
            <c:ext xmlns:c16="http://schemas.microsoft.com/office/drawing/2014/chart" uri="{C3380CC4-5D6E-409C-BE32-E72D297353CC}">
              <c16:uniqueId val="{00000001-2BB8-4627-BCD3-32B4AFC96A05}"/>
            </c:ext>
          </c:extLst>
        </c:ser>
        <c:dLbls>
          <c:showLegendKey val="0"/>
          <c:showVal val="0"/>
          <c:showCatName val="0"/>
          <c:showSerName val="0"/>
          <c:showPercent val="0"/>
          <c:showBubbleSize val="0"/>
        </c:dLbls>
        <c:gapWidth val="24"/>
        <c:overlap val="100"/>
        <c:axId val="147432960"/>
        <c:axId val="147434496"/>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7"/>
            <c:spPr>
              <a:solidFill>
                <a:schemeClr val="tx1">
                  <a:lumMod val="95000"/>
                  <a:lumOff val="5000"/>
                </a:schemeClr>
              </a:solidFill>
              <a:ln>
                <a:noFill/>
              </a:ln>
            </c:spPr>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3'!$X$15:$X$53</c:f>
              <c:numCache>
                <c:formatCode>0.0</c:formatCode>
                <c:ptCount val="39"/>
                <c:pt idx="0">
                  <c:v>5.449552626231366</c:v>
                </c:pt>
                <c:pt idx="1">
                  <c:v>-5.1742495430582807</c:v>
                </c:pt>
                <c:pt idx="2">
                  <c:v>-9.0574948964693647</c:v>
                </c:pt>
                <c:pt idx="3">
                  <c:v>-0.48980413887058205</c:v>
                </c:pt>
                <c:pt idx="4">
                  <c:v>-9.8142381556388472</c:v>
                </c:pt>
                <c:pt idx="5">
                  <c:v>-4.9279824117982827</c:v>
                </c:pt>
                <c:pt idx="6">
                  <c:v>-5.6445213670269254</c:v>
                </c:pt>
                <c:pt idx="7">
                  <c:v>-9.5084133075025932</c:v>
                </c:pt>
                <c:pt idx="8">
                  <c:v>-10.565899650388715</c:v>
                </c:pt>
                <c:pt idx="9">
                  <c:v>-11.626450345727534</c:v>
                </c:pt>
                <c:pt idx="10">
                  <c:v>-4.9557475457158091</c:v>
                </c:pt>
                <c:pt idx="11">
                  <c:v>-2.6129229379002652</c:v>
                </c:pt>
                <c:pt idx="12">
                  <c:v>13.065209405176972</c:v>
                </c:pt>
                <c:pt idx="13">
                  <c:v>5.5558831897877639</c:v>
                </c:pt>
                <c:pt idx="14">
                  <c:v>2.4409719869598234</c:v>
                </c:pt>
                <c:pt idx="15">
                  <c:v>1.1282392268827266</c:v>
                </c:pt>
                <c:pt idx="16">
                  <c:v>9.1934692334480417</c:v>
                </c:pt>
                <c:pt idx="17">
                  <c:v>11.978213260497213</c:v>
                </c:pt>
                <c:pt idx="18">
                  <c:v>7.8643449491626143</c:v>
                </c:pt>
                <c:pt idx="19">
                  <c:v>0.93025171200444845</c:v>
                </c:pt>
                <c:pt idx="20">
                  <c:v>-6.259378834780378</c:v>
                </c:pt>
                <c:pt idx="21">
                  <c:v>-10.250813266432374</c:v>
                </c:pt>
                <c:pt idx="22">
                  <c:v>-5.9054170412823055</c:v>
                </c:pt>
                <c:pt idx="23">
                  <c:v>-1.6501920995212487</c:v>
                </c:pt>
                <c:pt idx="24">
                  <c:v>-0.86803632191472957</c:v>
                </c:pt>
                <c:pt idx="25">
                  <c:v>9.0229519438482555</c:v>
                </c:pt>
                <c:pt idx="26">
                  <c:v>2.0635301151802281</c:v>
                </c:pt>
                <c:pt idx="27">
                  <c:v>2.9356341105847292</c:v>
                </c:pt>
                <c:pt idx="28">
                  <c:v>15.368475923945851</c:v>
                </c:pt>
                <c:pt idx="29">
                  <c:v>7.4934507683530569</c:v>
                </c:pt>
                <c:pt idx="30">
                  <c:v>12.408779797485622</c:v>
                </c:pt>
                <c:pt idx="31">
                  <c:v>4.2961492214048604</c:v>
                </c:pt>
                <c:pt idx="32">
                  <c:v>3.6370622013393756</c:v>
                </c:pt>
                <c:pt idx="33">
                  <c:v>4.3087555395366905</c:v>
                </c:pt>
                <c:pt idx="34">
                  <c:v>3.4829206961674686E-2</c:v>
                </c:pt>
                <c:pt idx="35">
                  <c:v>3.2825247381577611</c:v>
                </c:pt>
                <c:pt idx="36">
                  <c:v>2.0764541407305614</c:v>
                </c:pt>
                <c:pt idx="37">
                  <c:v>-8.7983437882331685</c:v>
                </c:pt>
              </c:numCache>
            </c:numRef>
          </c:val>
          <c:smooth val="0"/>
          <c:extLst>
            <c:ext xmlns:c16="http://schemas.microsoft.com/office/drawing/2014/chart" uri="{C3380CC4-5D6E-409C-BE32-E72D297353CC}">
              <c16:uniqueId val="{00000002-2BB8-4627-BCD3-32B4AFC96A05}"/>
            </c:ext>
          </c:extLst>
        </c:ser>
        <c:dLbls>
          <c:showLegendKey val="0"/>
          <c:showVal val="0"/>
          <c:showCatName val="0"/>
          <c:showSerName val="0"/>
          <c:showPercent val="0"/>
          <c:showBubbleSize val="0"/>
        </c:dLbls>
        <c:marker val="1"/>
        <c:smooth val="0"/>
        <c:axId val="147432960"/>
        <c:axId val="147434496"/>
      </c:lineChart>
      <c:lineChart>
        <c:grouping val="standard"/>
        <c:varyColors val="0"/>
        <c:ser>
          <c:idx val="3"/>
          <c:order val="3"/>
          <c:tx>
            <c:strRef>
              <c:f>'výkonnost odvětví 3'!$AA$10</c:f>
              <c:strCache>
                <c:ptCount val="1"/>
                <c:pt idx="0">
                  <c:v>Nové stavební zakázky (pravá osa)</c:v>
                </c:pt>
              </c:strCache>
            </c:strRef>
          </c:tx>
          <c:spPr>
            <a:ln w="15875">
              <a:solidFill>
                <a:srgbClr val="984807"/>
              </a:solidFill>
              <a:prstDash val="solid"/>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3'!$AA$15:$AA$53</c:f>
              <c:numCache>
                <c:formatCode>0.0</c:formatCode>
                <c:ptCount val="39"/>
                <c:pt idx="0">
                  <c:v>37.795405718063137</c:v>
                </c:pt>
                <c:pt idx="1">
                  <c:v>-23.565672566981206</c:v>
                </c:pt>
                <c:pt idx="2">
                  <c:v>-23.360716461156017</c:v>
                </c:pt>
                <c:pt idx="3">
                  <c:v>-9.1653963414634205</c:v>
                </c:pt>
                <c:pt idx="4">
                  <c:v>-46.3220596465979</c:v>
                </c:pt>
                <c:pt idx="5">
                  <c:v>-13.7148006307727</c:v>
                </c:pt>
                <c:pt idx="6">
                  <c:v>-7.6729748888363787</c:v>
                </c:pt>
                <c:pt idx="7">
                  <c:v>7.5624082232011745</c:v>
                </c:pt>
                <c:pt idx="8">
                  <c:v>-17.695687793252404</c:v>
                </c:pt>
                <c:pt idx="9">
                  <c:v>-1.584773641063137</c:v>
                </c:pt>
                <c:pt idx="10">
                  <c:v>-1.3308205951467045</c:v>
                </c:pt>
                <c:pt idx="11">
                  <c:v>16.153096050706978</c:v>
                </c:pt>
                <c:pt idx="12">
                  <c:v>67.509727626459153</c:v>
                </c:pt>
                <c:pt idx="13">
                  <c:v>18.978644382544104</c:v>
                </c:pt>
                <c:pt idx="14">
                  <c:v>34.050931384107542</c:v>
                </c:pt>
                <c:pt idx="15">
                  <c:v>-1</c:v>
                </c:pt>
                <c:pt idx="16">
                  <c:v>-3.1547956675580053</c:v>
                </c:pt>
                <c:pt idx="17">
                  <c:v>9.7504961091663205</c:v>
                </c:pt>
                <c:pt idx="18">
                  <c:v>-1.097606022761255</c:v>
                </c:pt>
                <c:pt idx="19">
                  <c:v>-2.3987783410040464</c:v>
                </c:pt>
                <c:pt idx="20">
                  <c:v>-6.6406358945753823</c:v>
                </c:pt>
                <c:pt idx="21">
                  <c:v>-0.49977652269311079</c:v>
                </c:pt>
                <c:pt idx="22">
                  <c:v>-7.0322087253454839</c:v>
                </c:pt>
                <c:pt idx="23">
                  <c:v>10.122126124559955</c:v>
                </c:pt>
                <c:pt idx="24">
                  <c:v>16.177217458847437</c:v>
                </c:pt>
                <c:pt idx="25">
                  <c:v>9.5350878984013008</c:v>
                </c:pt>
                <c:pt idx="26">
                  <c:v>-1.2817324431350698</c:v>
                </c:pt>
                <c:pt idx="27">
                  <c:v>15.620806693503823</c:v>
                </c:pt>
                <c:pt idx="28">
                  <c:v>30.10697387368856</c:v>
                </c:pt>
                <c:pt idx="29">
                  <c:v>32.836878110611963</c:v>
                </c:pt>
                <c:pt idx="30">
                  <c:v>5.2768249907951201</c:v>
                </c:pt>
                <c:pt idx="31">
                  <c:v>1.8944565811032277</c:v>
                </c:pt>
                <c:pt idx="32">
                  <c:v>14.157245632065781</c:v>
                </c:pt>
                <c:pt idx="33">
                  <c:v>-9.3849543241233135</c:v>
                </c:pt>
                <c:pt idx="34">
                  <c:v>17.407871000993993</c:v>
                </c:pt>
                <c:pt idx="35">
                  <c:v>5.8323004254463768</c:v>
                </c:pt>
                <c:pt idx="36">
                  <c:v>-13.192451392856526</c:v>
                </c:pt>
                <c:pt idx="37">
                  <c:v>6.9046194347657632</c:v>
                </c:pt>
              </c:numCache>
            </c:numRef>
          </c:val>
          <c:smooth val="0"/>
          <c:extLst>
            <c:ext xmlns:c16="http://schemas.microsoft.com/office/drawing/2014/chart" uri="{C3380CC4-5D6E-409C-BE32-E72D297353CC}">
              <c16:uniqueId val="{00000003-2BB8-4627-BCD3-32B4AFC96A05}"/>
            </c:ext>
          </c:extLst>
        </c:ser>
        <c:ser>
          <c:idx val="4"/>
          <c:order val="4"/>
          <c:tx>
            <c:strRef>
              <c:f>'výkonnost odvětví 3'!$AB$10</c:f>
              <c:strCache>
                <c:ptCount val="1"/>
                <c:pt idx="0">
                  <c:v>Bariéra růstu: nedost. poptávka (pr. osa)</c:v>
                </c:pt>
              </c:strCache>
            </c:strRef>
          </c:tx>
          <c:spPr>
            <a:ln w="15875">
              <a:solidFill>
                <a:srgbClr val="00B050"/>
              </a:solidFill>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3'!$AB$15:$AB$53</c:f>
              <c:numCache>
                <c:formatCode>#\ ##0.0</c:formatCode>
                <c:ptCount val="39"/>
                <c:pt idx="0">
                  <c:v>54.2</c:v>
                </c:pt>
                <c:pt idx="1">
                  <c:v>60.6</c:v>
                </c:pt>
                <c:pt idx="2">
                  <c:v>67.7</c:v>
                </c:pt>
                <c:pt idx="3">
                  <c:v>69.400000000000006</c:v>
                </c:pt>
                <c:pt idx="4">
                  <c:v>70.400000000000006</c:v>
                </c:pt>
                <c:pt idx="5">
                  <c:v>63.6</c:v>
                </c:pt>
                <c:pt idx="6">
                  <c:v>69.099999999999994</c:v>
                </c:pt>
                <c:pt idx="7">
                  <c:v>71</c:v>
                </c:pt>
                <c:pt idx="8">
                  <c:v>79.400000000000006</c:v>
                </c:pt>
                <c:pt idx="9">
                  <c:v>71.7</c:v>
                </c:pt>
                <c:pt idx="10">
                  <c:v>72.599999999999994</c:v>
                </c:pt>
                <c:pt idx="11">
                  <c:v>78.5</c:v>
                </c:pt>
                <c:pt idx="12">
                  <c:v>80.099999999999994</c:v>
                </c:pt>
                <c:pt idx="13">
                  <c:v>82.1</c:v>
                </c:pt>
                <c:pt idx="14">
                  <c:v>76.099999999999994</c:v>
                </c:pt>
                <c:pt idx="15">
                  <c:v>68.2</c:v>
                </c:pt>
                <c:pt idx="16">
                  <c:v>66.8</c:v>
                </c:pt>
                <c:pt idx="17">
                  <c:v>65.099999999999994</c:v>
                </c:pt>
                <c:pt idx="18">
                  <c:v>59.3</c:v>
                </c:pt>
                <c:pt idx="19">
                  <c:v>56.2</c:v>
                </c:pt>
                <c:pt idx="20">
                  <c:v>53.4</c:v>
                </c:pt>
                <c:pt idx="21">
                  <c:v>60.8</c:v>
                </c:pt>
                <c:pt idx="22">
                  <c:v>59.6</c:v>
                </c:pt>
                <c:pt idx="23">
                  <c:v>60.5</c:v>
                </c:pt>
                <c:pt idx="24">
                  <c:v>53.7</c:v>
                </c:pt>
                <c:pt idx="25">
                  <c:v>55</c:v>
                </c:pt>
                <c:pt idx="26">
                  <c:v>52.7</c:v>
                </c:pt>
                <c:pt idx="27">
                  <c:v>51.3</c:v>
                </c:pt>
                <c:pt idx="28">
                  <c:v>48.4</c:v>
                </c:pt>
                <c:pt idx="29">
                  <c:v>38.5</c:v>
                </c:pt>
                <c:pt idx="30">
                  <c:v>35.200000000000003</c:v>
                </c:pt>
                <c:pt idx="31">
                  <c:v>24.5</c:v>
                </c:pt>
                <c:pt idx="32">
                  <c:v>23.1</c:v>
                </c:pt>
                <c:pt idx="33">
                  <c:v>24.5</c:v>
                </c:pt>
                <c:pt idx="34">
                  <c:v>17.100000000000001</c:v>
                </c:pt>
                <c:pt idx="35">
                  <c:v>22.8</c:v>
                </c:pt>
                <c:pt idx="36">
                  <c:v>28.9</c:v>
                </c:pt>
                <c:pt idx="37">
                  <c:v>27.4</c:v>
                </c:pt>
                <c:pt idx="38">
                  <c:v>29.7</c:v>
                </c:pt>
              </c:numCache>
            </c:numRef>
          </c:val>
          <c:smooth val="0"/>
          <c:extLst>
            <c:ext xmlns:c16="http://schemas.microsoft.com/office/drawing/2014/chart" uri="{C3380CC4-5D6E-409C-BE32-E72D297353CC}">
              <c16:uniqueId val="{00000004-2BB8-4627-BCD3-32B4AFC96A05}"/>
            </c:ext>
          </c:extLst>
        </c:ser>
        <c:ser>
          <c:idx val="5"/>
          <c:order val="5"/>
          <c:tx>
            <c:strRef>
              <c:f>'výkonnost odvětví 3'!$AC$10</c:f>
              <c:strCache>
                <c:ptCount val="1"/>
                <c:pt idx="0">
                  <c:v>Bariéra růstu: nedost. pracovníků (pr. osa)</c:v>
                </c:pt>
              </c:strCache>
            </c:strRef>
          </c:tx>
          <c:spPr>
            <a:ln w="15875">
              <a:solidFill>
                <a:srgbClr val="00B050"/>
              </a:solidFill>
              <a:prstDash val="sysDash"/>
            </a:ln>
          </c:spPr>
          <c:marker>
            <c:symbol val="none"/>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3'!$AC$15:$AC$53</c:f>
              <c:numCache>
                <c:formatCode>#\ ##0.0</c:formatCode>
                <c:ptCount val="39"/>
                <c:pt idx="0">
                  <c:v>1</c:v>
                </c:pt>
                <c:pt idx="1">
                  <c:v>0.8</c:v>
                </c:pt>
                <c:pt idx="2">
                  <c:v>1.3</c:v>
                </c:pt>
                <c:pt idx="3">
                  <c:v>1.3</c:v>
                </c:pt>
                <c:pt idx="4">
                  <c:v>1.6</c:v>
                </c:pt>
                <c:pt idx="5">
                  <c:v>2.1</c:v>
                </c:pt>
                <c:pt idx="6">
                  <c:v>1.5</c:v>
                </c:pt>
                <c:pt idx="7">
                  <c:v>1.1000000000000001</c:v>
                </c:pt>
                <c:pt idx="8">
                  <c:v>1.2</c:v>
                </c:pt>
                <c:pt idx="9">
                  <c:v>1</c:v>
                </c:pt>
                <c:pt idx="10">
                  <c:v>0.8</c:v>
                </c:pt>
                <c:pt idx="11">
                  <c:v>1.1000000000000001</c:v>
                </c:pt>
                <c:pt idx="12">
                  <c:v>1.3</c:v>
                </c:pt>
                <c:pt idx="13">
                  <c:v>2</c:v>
                </c:pt>
                <c:pt idx="14">
                  <c:v>2.2999999999999998</c:v>
                </c:pt>
                <c:pt idx="15">
                  <c:v>2.5</c:v>
                </c:pt>
                <c:pt idx="16">
                  <c:v>6.4</c:v>
                </c:pt>
                <c:pt idx="17">
                  <c:v>7.4</c:v>
                </c:pt>
                <c:pt idx="18">
                  <c:v>7</c:v>
                </c:pt>
                <c:pt idx="19">
                  <c:v>7.1</c:v>
                </c:pt>
                <c:pt idx="20">
                  <c:v>6.5</c:v>
                </c:pt>
                <c:pt idx="21">
                  <c:v>5.9</c:v>
                </c:pt>
                <c:pt idx="22">
                  <c:v>8.1</c:v>
                </c:pt>
                <c:pt idx="23">
                  <c:v>8.4</c:v>
                </c:pt>
                <c:pt idx="24">
                  <c:v>11.4</c:v>
                </c:pt>
                <c:pt idx="25">
                  <c:v>14.1</c:v>
                </c:pt>
                <c:pt idx="26">
                  <c:v>18.399999999999999</c:v>
                </c:pt>
                <c:pt idx="27">
                  <c:v>22.2</c:v>
                </c:pt>
                <c:pt idx="28">
                  <c:v>25.4</c:v>
                </c:pt>
                <c:pt idx="29">
                  <c:v>25.9</c:v>
                </c:pt>
                <c:pt idx="30">
                  <c:v>30.7</c:v>
                </c:pt>
                <c:pt idx="31">
                  <c:v>40.4</c:v>
                </c:pt>
                <c:pt idx="32">
                  <c:v>40.4</c:v>
                </c:pt>
                <c:pt idx="33">
                  <c:v>42</c:v>
                </c:pt>
                <c:pt idx="34">
                  <c:v>53.7</c:v>
                </c:pt>
                <c:pt idx="35">
                  <c:v>50.2</c:v>
                </c:pt>
                <c:pt idx="36">
                  <c:v>48.4</c:v>
                </c:pt>
                <c:pt idx="37">
                  <c:v>50.4</c:v>
                </c:pt>
                <c:pt idx="38">
                  <c:v>43.7</c:v>
                </c:pt>
              </c:numCache>
            </c:numRef>
          </c:val>
          <c:smooth val="0"/>
          <c:extLst>
            <c:ext xmlns:c16="http://schemas.microsoft.com/office/drawing/2014/chart" uri="{C3380CC4-5D6E-409C-BE32-E72D297353CC}">
              <c16:uniqueId val="{00000005-2BB8-4627-BCD3-32B4AFC96A05}"/>
            </c:ext>
          </c:extLst>
        </c:ser>
        <c:ser>
          <c:idx val="6"/>
          <c:order val="6"/>
          <c:tx>
            <c:strRef>
              <c:f>'výkonnost odvětví 3'!$AD$10</c:f>
              <c:strCache>
                <c:ptCount val="1"/>
                <c:pt idx="0">
                  <c:v>Saldo indik.důvěry ve stavebnictví (pr.osa)</c:v>
                </c:pt>
              </c:strCache>
            </c:strRef>
          </c:tx>
          <c:spPr>
            <a:ln w="6350">
              <a:solidFill>
                <a:schemeClr val="bg1">
                  <a:lumMod val="50000"/>
                </a:schemeClr>
              </a:solidFill>
              <a:prstDash val="sysDash"/>
            </a:ln>
          </c:spPr>
          <c:marker>
            <c:symbol val="diamond"/>
            <c:size val="5"/>
            <c:spPr>
              <a:solidFill>
                <a:srgbClr val="FFFF00"/>
              </a:solidFill>
              <a:ln>
                <a:solidFill>
                  <a:prstClr val="black">
                    <a:lumMod val="95000"/>
                    <a:lumOff val="5000"/>
                  </a:prstClr>
                </a:solidFill>
              </a:ln>
            </c:spPr>
          </c:marker>
          <c:cat>
            <c:multiLvlStrRef>
              <c:f>'výkonnost odvětví 3'!$V$15:$W$53</c:f>
              <c:multiLvlStrCache>
                <c:ptCount val="3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pt idx="38">
                    <c:v>3</c:v>
                  </c:pt>
                </c:lvl>
                <c:lvl>
                  <c:pt idx="0">
                    <c:v>2011</c:v>
                  </c:pt>
                  <c:pt idx="4">
                    <c:v>2012</c:v>
                  </c:pt>
                  <c:pt idx="8">
                    <c:v>2013</c:v>
                  </c:pt>
                  <c:pt idx="12">
                    <c:v>2014</c:v>
                  </c:pt>
                  <c:pt idx="16">
                    <c:v>2015</c:v>
                  </c:pt>
                  <c:pt idx="20">
                    <c:v>2016</c:v>
                  </c:pt>
                  <c:pt idx="24">
                    <c:v>2017</c:v>
                  </c:pt>
                  <c:pt idx="28">
                    <c:v>2018</c:v>
                  </c:pt>
                  <c:pt idx="32">
                    <c:v>2019</c:v>
                  </c:pt>
                  <c:pt idx="36">
                    <c:v>2020</c:v>
                  </c:pt>
                </c:lvl>
              </c:multiLvlStrCache>
            </c:multiLvlStrRef>
          </c:cat>
          <c:val>
            <c:numRef>
              <c:f>'výkonnost odvětví 3'!$AD$15:$AD$53</c:f>
              <c:numCache>
                <c:formatCode>0.0</c:formatCode>
                <c:ptCount val="39"/>
                <c:pt idx="0">
                  <c:v>-38</c:v>
                </c:pt>
                <c:pt idx="1">
                  <c:v>-40</c:v>
                </c:pt>
                <c:pt idx="2">
                  <c:v>-40</c:v>
                </c:pt>
                <c:pt idx="3">
                  <c:v>-36.5</c:v>
                </c:pt>
                <c:pt idx="4">
                  <c:v>-46.5</c:v>
                </c:pt>
                <c:pt idx="5">
                  <c:v>-44</c:v>
                </c:pt>
                <c:pt idx="6">
                  <c:v>-43</c:v>
                </c:pt>
                <c:pt idx="7">
                  <c:v>-41</c:v>
                </c:pt>
                <c:pt idx="8">
                  <c:v>-45.5</c:v>
                </c:pt>
                <c:pt idx="9">
                  <c:v>-53.5</c:v>
                </c:pt>
                <c:pt idx="10">
                  <c:v>-48</c:v>
                </c:pt>
                <c:pt idx="11">
                  <c:v>-48</c:v>
                </c:pt>
                <c:pt idx="12">
                  <c:v>-48</c:v>
                </c:pt>
                <c:pt idx="13">
                  <c:v>-39</c:v>
                </c:pt>
                <c:pt idx="14">
                  <c:v>-36.5</c:v>
                </c:pt>
                <c:pt idx="15">
                  <c:v>-30</c:v>
                </c:pt>
                <c:pt idx="16">
                  <c:v>-20.5</c:v>
                </c:pt>
                <c:pt idx="17">
                  <c:v>-16</c:v>
                </c:pt>
                <c:pt idx="18">
                  <c:v>-20</c:v>
                </c:pt>
                <c:pt idx="19">
                  <c:v>-16</c:v>
                </c:pt>
                <c:pt idx="20">
                  <c:v>-14.5</c:v>
                </c:pt>
                <c:pt idx="21">
                  <c:v>-21.5</c:v>
                </c:pt>
                <c:pt idx="22">
                  <c:v>-26</c:v>
                </c:pt>
                <c:pt idx="23">
                  <c:v>-27.5</c:v>
                </c:pt>
                <c:pt idx="24">
                  <c:v>-27</c:v>
                </c:pt>
                <c:pt idx="25">
                  <c:v>-23</c:v>
                </c:pt>
                <c:pt idx="26">
                  <c:v>-24</c:v>
                </c:pt>
                <c:pt idx="27">
                  <c:v>-17.5</c:v>
                </c:pt>
                <c:pt idx="28">
                  <c:v>-14.5</c:v>
                </c:pt>
                <c:pt idx="29">
                  <c:v>-5.5</c:v>
                </c:pt>
                <c:pt idx="30">
                  <c:v>-5</c:v>
                </c:pt>
                <c:pt idx="31">
                  <c:v>-1.5</c:v>
                </c:pt>
                <c:pt idx="32">
                  <c:v>5.5</c:v>
                </c:pt>
                <c:pt idx="33">
                  <c:v>3</c:v>
                </c:pt>
                <c:pt idx="34">
                  <c:v>2</c:v>
                </c:pt>
                <c:pt idx="35">
                  <c:v>1.5</c:v>
                </c:pt>
                <c:pt idx="36">
                  <c:v>1</c:v>
                </c:pt>
                <c:pt idx="37">
                  <c:v>-12.5</c:v>
                </c:pt>
                <c:pt idx="38">
                  <c:v>-16</c:v>
                </c:pt>
              </c:numCache>
            </c:numRef>
          </c:val>
          <c:smooth val="0"/>
          <c:extLst>
            <c:ext xmlns:c16="http://schemas.microsoft.com/office/drawing/2014/chart" uri="{C3380CC4-5D6E-409C-BE32-E72D297353CC}">
              <c16:uniqueId val="{00000006-2BB8-4627-BCD3-32B4AFC96A05}"/>
            </c:ext>
          </c:extLst>
        </c:ser>
        <c:dLbls>
          <c:showLegendKey val="0"/>
          <c:showVal val="0"/>
          <c:showCatName val="0"/>
          <c:showSerName val="0"/>
          <c:showPercent val="0"/>
          <c:showBubbleSize val="0"/>
        </c:dLbls>
        <c:marker val="1"/>
        <c:smooth val="0"/>
        <c:axId val="147650816"/>
        <c:axId val="147649280"/>
      </c:lineChart>
      <c:catAx>
        <c:axId val="147432960"/>
        <c:scaling>
          <c:orientation val="minMax"/>
        </c:scaling>
        <c:delete val="0"/>
        <c:axPos val="b"/>
        <c:numFmt formatCode="General" sourceLinked="1"/>
        <c:majorTickMark val="out"/>
        <c:minorTickMark val="none"/>
        <c:tickLblPos val="low"/>
        <c:spPr>
          <a:ln w="9525">
            <a:solidFill>
              <a:schemeClr val="tx1"/>
            </a:solidFill>
            <a:prstDash val="solid"/>
          </a:ln>
        </c:spPr>
        <c:txPr>
          <a:bodyPr rot="0" vert="horz"/>
          <a:lstStyle/>
          <a:p>
            <a:pPr>
              <a:defRPr/>
            </a:pPr>
            <a:endParaRPr lang="cs-CZ"/>
          </a:p>
        </c:txPr>
        <c:crossAx val="147434496"/>
        <c:crossesAt val="0"/>
        <c:auto val="0"/>
        <c:lblAlgn val="ctr"/>
        <c:lblOffset val="0"/>
        <c:tickLblSkip val="1"/>
        <c:tickMarkSkip val="4"/>
        <c:noMultiLvlLbl val="0"/>
      </c:catAx>
      <c:valAx>
        <c:axId val="147434496"/>
        <c:scaling>
          <c:orientation val="minMax"/>
          <c:max val="30"/>
          <c:min val="-20"/>
        </c:scaling>
        <c:delete val="0"/>
        <c:axPos val="l"/>
        <c:majorGridlines>
          <c:spPr>
            <a:ln w="6350">
              <a:solidFill>
                <a:schemeClr val="bg1">
                  <a:lumMod val="75000"/>
                </a:schemeClr>
              </a:solidFill>
            </a:ln>
          </c:spPr>
        </c:majorGridlines>
        <c:title>
          <c:tx>
            <c:rich>
              <a:bodyPr/>
              <a:lstStyle/>
              <a:p>
                <a:pPr>
                  <a:defRPr sz="700" i="1"/>
                </a:pPr>
                <a:r>
                  <a:rPr lang="cs-CZ"/>
                  <a:t>Příspěvky</a:t>
                </a:r>
                <a:r>
                  <a:rPr lang="cs-CZ" baseline="0"/>
                  <a:t> ke změně stavební produkce</a:t>
                </a:r>
                <a:endParaRPr lang="cs-CZ"/>
              </a:p>
            </c:rich>
          </c:tx>
          <c:layout>
            <c:manualLayout>
              <c:xMode val="edge"/>
              <c:yMode val="edge"/>
              <c:x val="2.6741790744013471E-3"/>
              <c:y val="0.18222167882907486"/>
            </c:manualLayout>
          </c:layout>
          <c:overlay val="0"/>
        </c:title>
        <c:numFmt formatCode="0" sourceLinked="0"/>
        <c:majorTickMark val="out"/>
        <c:minorTickMark val="none"/>
        <c:tickLblPos val="nextTo"/>
        <c:spPr>
          <a:ln w="9525">
            <a:solidFill>
              <a:schemeClr val="tx1"/>
            </a:solidFill>
            <a:prstDash val="solid"/>
          </a:ln>
        </c:spPr>
        <c:txPr>
          <a:bodyPr rot="0" vert="horz"/>
          <a:lstStyle/>
          <a:p>
            <a:pPr>
              <a:defRPr/>
            </a:pPr>
            <a:endParaRPr lang="cs-CZ"/>
          </a:p>
        </c:txPr>
        <c:crossAx val="147432960"/>
        <c:crosses val="autoZero"/>
        <c:crossBetween val="between"/>
        <c:majorUnit val="5"/>
      </c:valAx>
      <c:valAx>
        <c:axId val="147649280"/>
        <c:scaling>
          <c:orientation val="minMax"/>
          <c:max val="90"/>
          <c:min val="-60"/>
        </c:scaling>
        <c:delete val="0"/>
        <c:axPos val="r"/>
        <c:title>
          <c:tx>
            <c:rich>
              <a:bodyPr/>
              <a:lstStyle/>
              <a:p>
                <a:pPr>
                  <a:defRPr sz="700" i="1"/>
                </a:pPr>
                <a:r>
                  <a:rPr lang="cs-CZ" sz="700" b="0" i="1" u="none" strike="noStrike" baseline="0">
                    <a:effectLst/>
                  </a:rPr>
                  <a:t>Zakázky, S</a:t>
                </a:r>
                <a:r>
                  <a:rPr lang="cs-CZ"/>
                  <a:t>aldo indikátoru důvěry, Bariéry růstu</a:t>
                </a:r>
              </a:p>
            </c:rich>
          </c:tx>
          <c:overlay val="0"/>
        </c:title>
        <c:numFmt formatCode="0" sourceLinked="0"/>
        <c:majorTickMark val="out"/>
        <c:minorTickMark val="none"/>
        <c:tickLblPos val="nextTo"/>
        <c:crossAx val="147650816"/>
        <c:crosses val="max"/>
        <c:crossBetween val="between"/>
        <c:majorUnit val="15"/>
      </c:valAx>
      <c:catAx>
        <c:axId val="147650816"/>
        <c:scaling>
          <c:orientation val="minMax"/>
        </c:scaling>
        <c:delete val="1"/>
        <c:axPos val="b"/>
        <c:numFmt formatCode="General" sourceLinked="1"/>
        <c:majorTickMark val="out"/>
        <c:minorTickMark val="none"/>
        <c:tickLblPos val="none"/>
        <c:crossAx val="147649280"/>
        <c:crosses val="autoZero"/>
        <c:auto val="0"/>
        <c:lblAlgn val="ctr"/>
        <c:lblOffset val="100"/>
        <c:noMultiLvlLbl val="0"/>
      </c:catAx>
      <c:spPr>
        <a:solidFill>
          <a:srgbClr val="FFFFFF"/>
        </a:solidFill>
        <a:ln w="9525">
          <a:solidFill>
            <a:schemeClr val="tx1"/>
          </a:solidFill>
        </a:ln>
      </c:spPr>
    </c:plotArea>
    <c:legend>
      <c:legendPos val="b"/>
      <c:layout>
        <c:manualLayout>
          <c:xMode val="edge"/>
          <c:yMode val="edge"/>
          <c:x val="8.0289395857067181E-3"/>
          <c:y val="0.86714554937397748"/>
          <c:w val="0.98289481343746343"/>
          <c:h val="0.1233574576253902"/>
        </c:manualLayout>
      </c:layout>
      <c:overlay val="0"/>
      <c:spPr>
        <a:noFill/>
        <a:ln w="6350">
          <a:solidFill>
            <a:schemeClr val="tx1"/>
          </a:solidFill>
        </a:ln>
      </c:sp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213E-2"/>
          <c:y val="1.5803328678987455E-2"/>
          <c:w val="0.86647319020345381"/>
          <c:h val="0.72096235494860583"/>
        </c:manualLayout>
      </c:layout>
      <c:barChart>
        <c:barDir val="col"/>
        <c:grouping val="stacked"/>
        <c:varyColors val="0"/>
        <c:ser>
          <c:idx val="0"/>
          <c:order val="1"/>
          <c:tx>
            <c:strRef>
              <c:f>'Služby-příspěvkyk růstu'!$D$25</c:f>
              <c:strCache>
                <c:ptCount val="1"/>
                <c:pt idx="0">
                  <c:v>Doprava a skladování</c:v>
                </c:pt>
              </c:strCache>
            </c:strRef>
          </c:tx>
          <c:spPr>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růstu'!$D$26:$D$60</c:f>
              <c:numCache>
                <c:formatCode>0.0</c:formatCode>
                <c:ptCount val="35"/>
                <c:pt idx="0">
                  <c:v>0.43250355480835656</c:v>
                </c:pt>
                <c:pt idx="1">
                  <c:v>0.66710922477796986</c:v>
                </c:pt>
                <c:pt idx="2">
                  <c:v>1.2810740041826509</c:v>
                </c:pt>
                <c:pt idx="3">
                  <c:v>-0.53452520432314288</c:v>
                </c:pt>
                <c:pt idx="4">
                  <c:v>0.90431756716453426</c:v>
                </c:pt>
                <c:pt idx="5">
                  <c:v>0.8070031938602803</c:v>
                </c:pt>
                <c:pt idx="6">
                  <c:v>0.57330492199423877</c:v>
                </c:pt>
                <c:pt idx="7">
                  <c:v>2.8078133034979835</c:v>
                </c:pt>
                <c:pt idx="8">
                  <c:v>0.97825827078215699</c:v>
                </c:pt>
                <c:pt idx="9">
                  <c:v>0.72315708551034086</c:v>
                </c:pt>
                <c:pt idx="10">
                  <c:v>1.2171504933227022</c:v>
                </c:pt>
                <c:pt idx="11">
                  <c:v>-0.13022666291925639</c:v>
                </c:pt>
                <c:pt idx="12">
                  <c:v>0.17664665608652994</c:v>
                </c:pt>
                <c:pt idx="13">
                  <c:v>-4.1191806268856823E-2</c:v>
                </c:pt>
                <c:pt idx="14">
                  <c:v>0.20050592493597819</c:v>
                </c:pt>
                <c:pt idx="15">
                  <c:v>4.2621733225056455E-2</c:v>
                </c:pt>
                <c:pt idx="16">
                  <c:v>0.2847890086816679</c:v>
                </c:pt>
                <c:pt idx="17">
                  <c:v>0.2013437768354992</c:v>
                </c:pt>
                <c:pt idx="18">
                  <c:v>0.13973435240156135</c:v>
                </c:pt>
                <c:pt idx="19">
                  <c:v>0.86054675864751384</c:v>
                </c:pt>
                <c:pt idx="20">
                  <c:v>1.6292630224051583</c:v>
                </c:pt>
                <c:pt idx="21">
                  <c:v>1.0923510311792821</c:v>
                </c:pt>
                <c:pt idx="22">
                  <c:v>1.1372534149644835</c:v>
                </c:pt>
                <c:pt idx="23">
                  <c:v>0.60479588760532188</c:v>
                </c:pt>
                <c:pt idx="24">
                  <c:v>1.7511692205268421</c:v>
                </c:pt>
                <c:pt idx="25">
                  <c:v>1.919432195003689</c:v>
                </c:pt>
                <c:pt idx="26">
                  <c:v>1.468778873734859</c:v>
                </c:pt>
                <c:pt idx="27">
                  <c:v>0.4982794536687275</c:v>
                </c:pt>
                <c:pt idx="28">
                  <c:v>0.78783162617261848</c:v>
                </c:pt>
                <c:pt idx="29">
                  <c:v>-7.9684741233977965E-2</c:v>
                </c:pt>
                <c:pt idx="30">
                  <c:v>-0.67460760242187034</c:v>
                </c:pt>
                <c:pt idx="31">
                  <c:v>-0.53847934288416444</c:v>
                </c:pt>
                <c:pt idx="32">
                  <c:v>-1.8202064381633429</c:v>
                </c:pt>
                <c:pt idx="33">
                  <c:v>-6.9006102563318397</c:v>
                </c:pt>
              </c:numCache>
            </c:numRef>
          </c:val>
          <c:extLst>
            <c:ext xmlns:c16="http://schemas.microsoft.com/office/drawing/2014/chart" uri="{C3380CC4-5D6E-409C-BE32-E72D297353CC}">
              <c16:uniqueId val="{00000000-FBBE-41AF-B9EB-C82AFCF2774D}"/>
            </c:ext>
          </c:extLst>
        </c:ser>
        <c:ser>
          <c:idx val="1"/>
          <c:order val="2"/>
          <c:tx>
            <c:strRef>
              <c:f>'Služby-příspěvkyk růstu'!$E$25</c:f>
              <c:strCache>
                <c:ptCount val="1"/>
                <c:pt idx="0">
                  <c:v>Ubytování, stravování a pohostinství</c:v>
                </c:pt>
              </c:strCache>
            </c:strRef>
          </c:tx>
          <c:spPr>
            <a:solidFill>
              <a:srgbClr val="FF2525"/>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růstu'!$E$26:$E$60</c:f>
              <c:numCache>
                <c:formatCode>0.0</c:formatCode>
                <c:ptCount val="35"/>
                <c:pt idx="0">
                  <c:v>-0.18595640865133076</c:v>
                </c:pt>
                <c:pt idx="1">
                  <c:v>-0.23369100363405482</c:v>
                </c:pt>
                <c:pt idx="2">
                  <c:v>-0.16641354323754717</c:v>
                </c:pt>
                <c:pt idx="3">
                  <c:v>-0.30755374216978426</c:v>
                </c:pt>
                <c:pt idx="4">
                  <c:v>4.282103578544303E-2</c:v>
                </c:pt>
                <c:pt idx="5">
                  <c:v>3.8782132313988714E-2</c:v>
                </c:pt>
                <c:pt idx="6">
                  <c:v>0.1379529668215739</c:v>
                </c:pt>
                <c:pt idx="7">
                  <c:v>5.4285433713091295E-2</c:v>
                </c:pt>
                <c:pt idx="8">
                  <c:v>-8.1292792613758116E-2</c:v>
                </c:pt>
                <c:pt idx="9">
                  <c:v>-5.1930094471250646E-2</c:v>
                </c:pt>
                <c:pt idx="10">
                  <c:v>-7.8120503560380292E-2</c:v>
                </c:pt>
                <c:pt idx="11">
                  <c:v>0.62816109127223863</c:v>
                </c:pt>
                <c:pt idx="12">
                  <c:v>0.23129656285271435</c:v>
                </c:pt>
                <c:pt idx="13">
                  <c:v>0.65512527744013138</c:v>
                </c:pt>
                <c:pt idx="14">
                  <c:v>0.65435384244755412</c:v>
                </c:pt>
                <c:pt idx="15">
                  <c:v>0.4022878434054255</c:v>
                </c:pt>
                <c:pt idx="16">
                  <c:v>0.42778529924397274</c:v>
                </c:pt>
                <c:pt idx="17">
                  <c:v>0.19282991881639683</c:v>
                </c:pt>
                <c:pt idx="18">
                  <c:v>0.56722386353934195</c:v>
                </c:pt>
                <c:pt idx="19">
                  <c:v>0.59850713498642405</c:v>
                </c:pt>
                <c:pt idx="20">
                  <c:v>0.95344619394002372</c:v>
                </c:pt>
                <c:pt idx="21">
                  <c:v>1.2083424521444015</c:v>
                </c:pt>
                <c:pt idx="22">
                  <c:v>0.55138916431274998</c:v>
                </c:pt>
                <c:pt idx="23">
                  <c:v>0.45464922880720454</c:v>
                </c:pt>
                <c:pt idx="24">
                  <c:v>0.18144865877241922</c:v>
                </c:pt>
                <c:pt idx="25">
                  <c:v>6.8047966010392827E-2</c:v>
                </c:pt>
                <c:pt idx="26">
                  <c:v>5.8849522681225439E-2</c:v>
                </c:pt>
                <c:pt idx="27">
                  <c:v>-3.63484737997853E-2</c:v>
                </c:pt>
                <c:pt idx="28">
                  <c:v>0.21874428606442176</c:v>
                </c:pt>
                <c:pt idx="29">
                  <c:v>0.16786751321595339</c:v>
                </c:pt>
                <c:pt idx="30">
                  <c:v>-1.62262007320669E-2</c:v>
                </c:pt>
                <c:pt idx="31">
                  <c:v>-1.9909725695237513E-2</c:v>
                </c:pt>
                <c:pt idx="32">
                  <c:v>-1.0877903639291033</c:v>
                </c:pt>
                <c:pt idx="33">
                  <c:v>-4.953438114611</c:v>
                </c:pt>
              </c:numCache>
            </c:numRef>
          </c:val>
          <c:extLst>
            <c:ext xmlns:c16="http://schemas.microsoft.com/office/drawing/2014/chart" uri="{C3380CC4-5D6E-409C-BE32-E72D297353CC}">
              <c16:uniqueId val="{00000001-FBBE-41AF-B9EB-C82AFCF2774D}"/>
            </c:ext>
          </c:extLst>
        </c:ser>
        <c:ser>
          <c:idx val="2"/>
          <c:order val="3"/>
          <c:tx>
            <c:strRef>
              <c:f>'Služby-příspěvkyk růstu'!$F$25</c:f>
              <c:strCache>
                <c:ptCount val="1"/>
                <c:pt idx="0">
                  <c:v>Informační a komunikační činnosti</c:v>
                </c:pt>
              </c:strCache>
            </c:strRef>
          </c:tx>
          <c:spPr>
            <a:solidFill>
              <a:srgbClr val="92D050"/>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růstu'!$F$26:$F$60</c:f>
              <c:numCache>
                <c:formatCode>0.0</c:formatCode>
                <c:ptCount val="35"/>
                <c:pt idx="0">
                  <c:v>0.14688752851300535</c:v>
                </c:pt>
                <c:pt idx="1">
                  <c:v>-1.2165780077942969E-2</c:v>
                </c:pt>
                <c:pt idx="2">
                  <c:v>0.26678466181917887</c:v>
                </c:pt>
                <c:pt idx="3">
                  <c:v>-6.6241709196293921E-2</c:v>
                </c:pt>
                <c:pt idx="4">
                  <c:v>-0.355941591832305</c:v>
                </c:pt>
                <c:pt idx="5">
                  <c:v>5.0506014828826556E-4</c:v>
                </c:pt>
                <c:pt idx="6">
                  <c:v>-0.43952535721592695</c:v>
                </c:pt>
                <c:pt idx="7">
                  <c:v>6.4906590241254072E-2</c:v>
                </c:pt>
                <c:pt idx="8">
                  <c:v>5.5030325289738329E-2</c:v>
                </c:pt>
                <c:pt idx="9">
                  <c:v>0.20771805886687944</c:v>
                </c:pt>
                <c:pt idx="10">
                  <c:v>0.5544641813467347</c:v>
                </c:pt>
                <c:pt idx="11">
                  <c:v>0.39028735795878133</c:v>
                </c:pt>
                <c:pt idx="12">
                  <c:v>1.406135426754914</c:v>
                </c:pt>
                <c:pt idx="13">
                  <c:v>0.82436921704224986</c:v>
                </c:pt>
                <c:pt idx="14">
                  <c:v>0.81882390944147387</c:v>
                </c:pt>
                <c:pt idx="15">
                  <c:v>1.3066587801814382</c:v>
                </c:pt>
                <c:pt idx="16">
                  <c:v>0.37006165311793565</c:v>
                </c:pt>
                <c:pt idx="17">
                  <c:v>0.13188818524752718</c:v>
                </c:pt>
                <c:pt idx="18">
                  <c:v>0.33340534388535614</c:v>
                </c:pt>
                <c:pt idx="19">
                  <c:v>0.17729116925865968</c:v>
                </c:pt>
                <c:pt idx="20">
                  <c:v>0.73514247229341834</c:v>
                </c:pt>
                <c:pt idx="21">
                  <c:v>1.0091673493229187</c:v>
                </c:pt>
                <c:pt idx="22">
                  <c:v>0.7782751393660321</c:v>
                </c:pt>
                <c:pt idx="23">
                  <c:v>0.59050679451815402</c:v>
                </c:pt>
                <c:pt idx="24">
                  <c:v>1.4571786542074963</c:v>
                </c:pt>
                <c:pt idx="25">
                  <c:v>0.76023226586947656</c:v>
                </c:pt>
                <c:pt idx="26">
                  <c:v>1.4180945031018091</c:v>
                </c:pt>
                <c:pt idx="27">
                  <c:v>0.98127037080708135</c:v>
                </c:pt>
                <c:pt idx="28">
                  <c:v>1.2376549564823249</c:v>
                </c:pt>
                <c:pt idx="29">
                  <c:v>1.1682128839304382</c:v>
                </c:pt>
                <c:pt idx="30">
                  <c:v>0.89301215449621985</c:v>
                </c:pt>
                <c:pt idx="31">
                  <c:v>1.1680607244795</c:v>
                </c:pt>
                <c:pt idx="32">
                  <c:v>0.70143991010007567</c:v>
                </c:pt>
                <c:pt idx="33">
                  <c:v>-1.2424728309274571E-2</c:v>
                </c:pt>
              </c:numCache>
            </c:numRef>
          </c:val>
          <c:extLst>
            <c:ext xmlns:c16="http://schemas.microsoft.com/office/drawing/2014/chart" uri="{C3380CC4-5D6E-409C-BE32-E72D297353CC}">
              <c16:uniqueId val="{00000002-FBBE-41AF-B9EB-C82AFCF2774D}"/>
            </c:ext>
          </c:extLst>
        </c:ser>
        <c:ser>
          <c:idx val="4"/>
          <c:order val="4"/>
          <c:tx>
            <c:strRef>
              <c:f>'Služby-příspěvkyk růstu'!$G$25</c:f>
              <c:strCache>
                <c:ptCount val="1"/>
                <c:pt idx="0">
                  <c:v>Činnosti v oblasti nemovitostí</c:v>
                </c:pt>
              </c:strCache>
            </c:strRef>
          </c:tx>
          <c:spPr>
            <a:solidFill>
              <a:srgbClr val="7030A0"/>
            </a:solidFill>
            <a:ln>
              <a:noFill/>
              <a:prstDash val="sysDash"/>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růstu'!$G$26:$G$60</c:f>
              <c:numCache>
                <c:formatCode>0.0</c:formatCode>
                <c:ptCount val="35"/>
                <c:pt idx="0">
                  <c:v>-0.34137236158909179</c:v>
                </c:pt>
                <c:pt idx="1">
                  <c:v>-0.32388973194562126</c:v>
                </c:pt>
                <c:pt idx="2">
                  <c:v>-0.37058828980655789</c:v>
                </c:pt>
                <c:pt idx="3">
                  <c:v>-0.30099897115709839</c:v>
                </c:pt>
                <c:pt idx="4">
                  <c:v>-0.12420970825265641</c:v>
                </c:pt>
                <c:pt idx="5">
                  <c:v>-0.28603737777812438</c:v>
                </c:pt>
                <c:pt idx="6">
                  <c:v>0.14203788124466329</c:v>
                </c:pt>
                <c:pt idx="7">
                  <c:v>-0.4964721024754466</c:v>
                </c:pt>
                <c:pt idx="8">
                  <c:v>-0.27243920620683193</c:v>
                </c:pt>
                <c:pt idx="9">
                  <c:v>0.13121599842368425</c:v>
                </c:pt>
                <c:pt idx="10">
                  <c:v>-2.3565265518776128E-2</c:v>
                </c:pt>
                <c:pt idx="11">
                  <c:v>-0.14403624877141019</c:v>
                </c:pt>
                <c:pt idx="12">
                  <c:v>4.5114687229023245E-2</c:v>
                </c:pt>
                <c:pt idx="13">
                  <c:v>-4.6332032044239775E-3</c:v>
                </c:pt>
                <c:pt idx="14">
                  <c:v>8.501573906631088E-2</c:v>
                </c:pt>
                <c:pt idx="15">
                  <c:v>4.2208307670905748E-2</c:v>
                </c:pt>
                <c:pt idx="16">
                  <c:v>0.22367935728325808</c:v>
                </c:pt>
                <c:pt idx="17">
                  <c:v>6.8179121728202077E-2</c:v>
                </c:pt>
                <c:pt idx="18">
                  <c:v>0.11569139996329859</c:v>
                </c:pt>
                <c:pt idx="19">
                  <c:v>-7.0466111464403208E-2</c:v>
                </c:pt>
                <c:pt idx="20">
                  <c:v>0.28170347429286569</c:v>
                </c:pt>
                <c:pt idx="21">
                  <c:v>0.36183937476132333</c:v>
                </c:pt>
                <c:pt idx="22">
                  <c:v>-3.8722622297636566E-2</c:v>
                </c:pt>
                <c:pt idx="23">
                  <c:v>0.13751786345915923</c:v>
                </c:pt>
                <c:pt idx="24">
                  <c:v>-1.6524920273683675E-2</c:v>
                </c:pt>
                <c:pt idx="25">
                  <c:v>-0.22648211104296087</c:v>
                </c:pt>
                <c:pt idx="26">
                  <c:v>-0.12424593628184907</c:v>
                </c:pt>
                <c:pt idx="27">
                  <c:v>-0.20693626254554429</c:v>
                </c:pt>
                <c:pt idx="28">
                  <c:v>0.14696794950550035</c:v>
                </c:pt>
                <c:pt idx="29">
                  <c:v>-2.7570979798889395E-2</c:v>
                </c:pt>
                <c:pt idx="30">
                  <c:v>-0.16565733749784456</c:v>
                </c:pt>
                <c:pt idx="31">
                  <c:v>-0.11837811878645006</c:v>
                </c:pt>
                <c:pt idx="32">
                  <c:v>0.19249038617600897</c:v>
                </c:pt>
                <c:pt idx="33">
                  <c:v>-0.41025731878421701</c:v>
                </c:pt>
              </c:numCache>
            </c:numRef>
          </c:val>
          <c:extLst>
            <c:ext xmlns:c16="http://schemas.microsoft.com/office/drawing/2014/chart" uri="{C3380CC4-5D6E-409C-BE32-E72D297353CC}">
              <c16:uniqueId val="{00000003-FBBE-41AF-B9EB-C82AFCF2774D}"/>
            </c:ext>
          </c:extLst>
        </c:ser>
        <c:ser>
          <c:idx val="5"/>
          <c:order val="5"/>
          <c:tx>
            <c:strRef>
              <c:f>'Služby-příspěvkyk růstu'!$H$25</c:f>
              <c:strCache>
                <c:ptCount val="1"/>
                <c:pt idx="0">
                  <c:v>Profesní, vědecké a technické činnosti</c:v>
                </c:pt>
              </c:strCache>
            </c:strRef>
          </c:tx>
          <c:spPr>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růstu'!$H$26:$H$60</c:f>
              <c:numCache>
                <c:formatCode>0.0</c:formatCode>
                <c:ptCount val="35"/>
                <c:pt idx="0">
                  <c:v>0.26095144122624392</c:v>
                </c:pt>
                <c:pt idx="1">
                  <c:v>-1.2761261764398377</c:v>
                </c:pt>
                <c:pt idx="2">
                  <c:v>-0.34687216013581235</c:v>
                </c:pt>
                <c:pt idx="3">
                  <c:v>5.1433001103990822E-3</c:v>
                </c:pt>
                <c:pt idx="4">
                  <c:v>-1.0934860836771783</c:v>
                </c:pt>
                <c:pt idx="5">
                  <c:v>-1.5487628894732857</c:v>
                </c:pt>
                <c:pt idx="6">
                  <c:v>-1.8262585690782731</c:v>
                </c:pt>
                <c:pt idx="7">
                  <c:v>-1.3231901294817801</c:v>
                </c:pt>
                <c:pt idx="8">
                  <c:v>-1.4955642892436161</c:v>
                </c:pt>
                <c:pt idx="9">
                  <c:v>0.15973936238801459</c:v>
                </c:pt>
                <c:pt idx="10">
                  <c:v>0.74595859727617964</c:v>
                </c:pt>
                <c:pt idx="11">
                  <c:v>-0.99979833905942905</c:v>
                </c:pt>
                <c:pt idx="12">
                  <c:v>1.0479591562413866</c:v>
                </c:pt>
                <c:pt idx="13">
                  <c:v>0.71969962293987355</c:v>
                </c:pt>
                <c:pt idx="14">
                  <c:v>1.1295672614701802</c:v>
                </c:pt>
                <c:pt idx="15">
                  <c:v>-6.0066108957639967E-2</c:v>
                </c:pt>
                <c:pt idx="16">
                  <c:v>-0.35082040507946849</c:v>
                </c:pt>
                <c:pt idx="17">
                  <c:v>-1.3959582370116637</c:v>
                </c:pt>
                <c:pt idx="18">
                  <c:v>2.5986068888917958E-2</c:v>
                </c:pt>
                <c:pt idx="19">
                  <c:v>-0.33300568911978784</c:v>
                </c:pt>
                <c:pt idx="20">
                  <c:v>0.85547754285117605</c:v>
                </c:pt>
                <c:pt idx="21">
                  <c:v>0.67059702934732313</c:v>
                </c:pt>
                <c:pt idx="22">
                  <c:v>0.30942289865299605</c:v>
                </c:pt>
                <c:pt idx="23">
                  <c:v>0.4286605627369825</c:v>
                </c:pt>
                <c:pt idx="24">
                  <c:v>1.1045103780905805</c:v>
                </c:pt>
                <c:pt idx="25">
                  <c:v>0.53164385977728257</c:v>
                </c:pt>
                <c:pt idx="26">
                  <c:v>0.35977038412315243</c:v>
                </c:pt>
                <c:pt idx="27">
                  <c:v>-0.26571599613923336</c:v>
                </c:pt>
                <c:pt idx="28">
                  <c:v>0.75328605452031216</c:v>
                </c:pt>
                <c:pt idx="29">
                  <c:v>0.6104400615647213</c:v>
                </c:pt>
                <c:pt idx="30">
                  <c:v>-0.82295233758345143</c:v>
                </c:pt>
                <c:pt idx="31">
                  <c:v>-0.54798296545929903</c:v>
                </c:pt>
                <c:pt idx="32">
                  <c:v>-0.34767767576626724</c:v>
                </c:pt>
                <c:pt idx="33">
                  <c:v>-3.2743486437706193</c:v>
                </c:pt>
              </c:numCache>
            </c:numRef>
          </c:val>
          <c:extLst>
            <c:ext xmlns:c16="http://schemas.microsoft.com/office/drawing/2014/chart" uri="{C3380CC4-5D6E-409C-BE32-E72D297353CC}">
              <c16:uniqueId val="{00000004-FBBE-41AF-B9EB-C82AFCF2774D}"/>
            </c:ext>
          </c:extLst>
        </c:ser>
        <c:ser>
          <c:idx val="6"/>
          <c:order val="6"/>
          <c:tx>
            <c:strRef>
              <c:f>'Služby-příspěvkyk růstu'!$I$25</c:f>
              <c:strCache>
                <c:ptCount val="1"/>
                <c:pt idx="0">
                  <c:v>Administrativní a podpůrné činnosti</c:v>
                </c:pt>
              </c:strCache>
            </c:strRef>
          </c:tx>
          <c:spPr>
            <a:solidFill>
              <a:srgbClr val="A8B9D8"/>
            </a:solidFill>
            <a:ln>
              <a:noFill/>
            </a:ln>
          </c:spPr>
          <c:invertIfNegative val="0"/>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růstu'!$I$26:$I$60</c:f>
              <c:numCache>
                <c:formatCode>0.0</c:formatCode>
                <c:ptCount val="35"/>
                <c:pt idx="0">
                  <c:v>0.5093792525943468</c:v>
                </c:pt>
                <c:pt idx="1">
                  <c:v>0.24610790591298709</c:v>
                </c:pt>
                <c:pt idx="2">
                  <c:v>0.43289250594228512</c:v>
                </c:pt>
                <c:pt idx="3">
                  <c:v>-0.19574201571646982</c:v>
                </c:pt>
                <c:pt idx="4">
                  <c:v>-4.5930733129257675E-2</c:v>
                </c:pt>
                <c:pt idx="5">
                  <c:v>0.11161152934719085</c:v>
                </c:pt>
                <c:pt idx="6">
                  <c:v>9.4969838881061877E-2</c:v>
                </c:pt>
                <c:pt idx="7">
                  <c:v>0.39285183218946634</c:v>
                </c:pt>
                <c:pt idx="8">
                  <c:v>-0.17140946223459813</c:v>
                </c:pt>
                <c:pt idx="9">
                  <c:v>0.54518014457247954</c:v>
                </c:pt>
                <c:pt idx="10">
                  <c:v>0.386531836524309</c:v>
                </c:pt>
                <c:pt idx="11">
                  <c:v>0.5290022333733051</c:v>
                </c:pt>
                <c:pt idx="12">
                  <c:v>0.51440215318243465</c:v>
                </c:pt>
                <c:pt idx="13">
                  <c:v>0.62115960470863207</c:v>
                </c:pt>
                <c:pt idx="14">
                  <c:v>0.43401453891286046</c:v>
                </c:pt>
                <c:pt idx="15">
                  <c:v>0.50281220016564265</c:v>
                </c:pt>
                <c:pt idx="16">
                  <c:v>0.52419839920051392</c:v>
                </c:pt>
                <c:pt idx="17">
                  <c:v>0.16599789347818159</c:v>
                </c:pt>
                <c:pt idx="18">
                  <c:v>0.26955520094101676</c:v>
                </c:pt>
                <c:pt idx="19">
                  <c:v>0.51433346571065852</c:v>
                </c:pt>
                <c:pt idx="20">
                  <c:v>1.2357717194790949</c:v>
                </c:pt>
                <c:pt idx="21">
                  <c:v>1.0863857236804175</c:v>
                </c:pt>
                <c:pt idx="22">
                  <c:v>0.64106908989186184</c:v>
                </c:pt>
                <c:pt idx="23">
                  <c:v>0.30440747123981599</c:v>
                </c:pt>
                <c:pt idx="24">
                  <c:v>0.53272062163062639</c:v>
                </c:pt>
                <c:pt idx="25">
                  <c:v>0.37833296302356378</c:v>
                </c:pt>
                <c:pt idx="26">
                  <c:v>0.43545533031232775</c:v>
                </c:pt>
                <c:pt idx="27">
                  <c:v>-1.2584742734802987E-2</c:v>
                </c:pt>
                <c:pt idx="28">
                  <c:v>0.48672782972125456</c:v>
                </c:pt>
                <c:pt idx="29">
                  <c:v>0.12967209975939339</c:v>
                </c:pt>
                <c:pt idx="30">
                  <c:v>-0.12264649424558488</c:v>
                </c:pt>
                <c:pt idx="31">
                  <c:v>-0.21576986456963893</c:v>
                </c:pt>
                <c:pt idx="32">
                  <c:v>-1.17918936432502</c:v>
                </c:pt>
                <c:pt idx="33">
                  <c:v>-4.4490618763164536</c:v>
                </c:pt>
              </c:numCache>
            </c:numRef>
          </c:val>
          <c:extLst>
            <c:ext xmlns:c16="http://schemas.microsoft.com/office/drawing/2014/chart" uri="{C3380CC4-5D6E-409C-BE32-E72D297353CC}">
              <c16:uniqueId val="{00000005-FBBE-41AF-B9EB-C82AFCF2774D}"/>
            </c:ext>
          </c:extLst>
        </c:ser>
        <c:dLbls>
          <c:showLegendKey val="0"/>
          <c:showVal val="0"/>
          <c:showCatName val="0"/>
          <c:showSerName val="0"/>
          <c:showPercent val="0"/>
          <c:showBubbleSize val="0"/>
        </c:dLbls>
        <c:gapWidth val="32"/>
        <c:overlap val="100"/>
        <c:axId val="156100864"/>
        <c:axId val="156573696"/>
      </c:barChart>
      <c:lineChart>
        <c:grouping val="standard"/>
        <c:varyColors val="0"/>
        <c:ser>
          <c:idx val="3"/>
          <c:order val="0"/>
          <c:tx>
            <c:strRef>
              <c:f>'Služby-příspěvkyk růstu'!$C$25</c:f>
              <c:strCache>
                <c:ptCount val="1"/>
                <c:pt idx="0">
                  <c:v>Služby celkem</c:v>
                </c:pt>
              </c:strCache>
            </c:strRef>
          </c:tx>
          <c:spPr>
            <a:ln>
              <a:noFill/>
            </a:ln>
          </c:spPr>
          <c:marker>
            <c:symbol val="dash"/>
            <c:size val="9"/>
            <c:spPr>
              <a:solidFill>
                <a:schemeClr val="tx1">
                  <a:lumMod val="95000"/>
                  <a:lumOff val="5000"/>
                </a:schemeClr>
              </a:solidFill>
              <a:ln>
                <a:noFill/>
              </a:ln>
            </c:spPr>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růstu'!$C$26:$C$60</c:f>
              <c:numCache>
                <c:formatCode>0.0</c:formatCode>
                <c:ptCount val="35"/>
                <c:pt idx="0">
                  <c:v>0.44963721183368932</c:v>
                </c:pt>
                <c:pt idx="1">
                  <c:v>-1.2180166338930718</c:v>
                </c:pt>
                <c:pt idx="2">
                  <c:v>1.1048392019405071</c:v>
                </c:pt>
                <c:pt idx="3">
                  <c:v>-1.3666360726043365</c:v>
                </c:pt>
                <c:pt idx="4">
                  <c:v>-0.23113332649610641</c:v>
                </c:pt>
                <c:pt idx="5">
                  <c:v>-0.88454578849733423</c:v>
                </c:pt>
                <c:pt idx="6">
                  <c:v>-1.3424601583175928</c:v>
                </c:pt>
                <c:pt idx="7">
                  <c:v>1.6230087206376993</c:v>
                </c:pt>
                <c:pt idx="8">
                  <c:v>-0.7830856818772105</c:v>
                </c:pt>
                <c:pt idx="9">
                  <c:v>1.5830850388114186</c:v>
                </c:pt>
                <c:pt idx="10">
                  <c:v>2.5910000544725023</c:v>
                </c:pt>
                <c:pt idx="11">
                  <c:v>0.42786697654824479</c:v>
                </c:pt>
                <c:pt idx="12">
                  <c:v>3.2630436418782125</c:v>
                </c:pt>
                <c:pt idx="13">
                  <c:v>2.7083930316927507</c:v>
                </c:pt>
                <c:pt idx="14">
                  <c:v>3.2834766720431787</c:v>
                </c:pt>
                <c:pt idx="15">
                  <c:v>2.1952204214378668</c:v>
                </c:pt>
                <c:pt idx="16">
                  <c:v>1.4416768598931355</c:v>
                </c:pt>
                <c:pt idx="17">
                  <c:v>-0.87800438726691254</c:v>
                </c:pt>
                <c:pt idx="18">
                  <c:v>1.4338212037315827</c:v>
                </c:pt>
                <c:pt idx="19">
                  <c:v>1.5962966747226091</c:v>
                </c:pt>
                <c:pt idx="20">
                  <c:v>5.5396791241765868</c:v>
                </c:pt>
                <c:pt idx="21">
                  <c:v>5.4410534556716499</c:v>
                </c:pt>
                <c:pt idx="22">
                  <c:v>3.3891437532498117</c:v>
                </c:pt>
                <c:pt idx="23">
                  <c:v>2.5129490213521706</c:v>
                </c:pt>
                <c:pt idx="24">
                  <c:v>5.0690832594039676</c:v>
                </c:pt>
                <c:pt idx="25">
                  <c:v>3.5044634886154569</c:v>
                </c:pt>
                <c:pt idx="26">
                  <c:v>3.6982171521688656</c:v>
                </c:pt>
                <c:pt idx="27">
                  <c:v>1.0797281635264397</c:v>
                </c:pt>
                <c:pt idx="28">
                  <c:v>3.6898776025982443</c:v>
                </c:pt>
                <c:pt idx="29">
                  <c:v>1.9603423994405205</c:v>
                </c:pt>
                <c:pt idx="30">
                  <c:v>-0.82019941806260022</c:v>
                </c:pt>
                <c:pt idx="31">
                  <c:v>-0.14219947543891465</c:v>
                </c:pt>
                <c:pt idx="32">
                  <c:v>-3.5762066775777583</c:v>
                </c:pt>
                <c:pt idx="33">
                  <c:v>-20.010501209194601</c:v>
                </c:pt>
              </c:numCache>
            </c:numRef>
          </c:val>
          <c:smooth val="0"/>
          <c:extLst>
            <c:ext xmlns:c16="http://schemas.microsoft.com/office/drawing/2014/chart" uri="{C3380CC4-5D6E-409C-BE32-E72D297353CC}">
              <c16:uniqueId val="{00000006-FBBE-41AF-B9EB-C82AFCF2774D}"/>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růstu'!$J$25</c:f>
              <c:strCache>
                <c:ptCount val="1"/>
                <c:pt idx="0">
                  <c:v>Saldo indik.důvěry ve službách (pr. osa)</c:v>
                </c:pt>
              </c:strCache>
            </c:strRef>
          </c:tx>
          <c:spPr>
            <a:ln w="3175">
              <a:solidFill>
                <a:schemeClr val="bg1">
                  <a:lumMod val="50000"/>
                </a:schemeClr>
              </a:solidFill>
              <a:prstDash val="sysDash"/>
            </a:ln>
          </c:spPr>
          <c:marker>
            <c:symbol val="diamond"/>
            <c:size val="5"/>
            <c:spPr>
              <a:solidFill>
                <a:srgbClr val="FFFF00"/>
              </a:solidFill>
              <a:ln w="6350">
                <a:solidFill>
                  <a:schemeClr val="tx1">
                    <a:lumMod val="95000"/>
                    <a:lumOff val="5000"/>
                  </a:schemeClr>
                </a:solidFill>
              </a:ln>
            </c:spPr>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růstu'!$J$26:$J$60</c:f>
              <c:numCache>
                <c:formatCode>0.0</c:formatCode>
                <c:ptCount val="35"/>
                <c:pt idx="0">
                  <c:v>24</c:v>
                </c:pt>
                <c:pt idx="1">
                  <c:v>27</c:v>
                </c:pt>
                <c:pt idx="2">
                  <c:v>22.3</c:v>
                </c:pt>
                <c:pt idx="3">
                  <c:v>23</c:v>
                </c:pt>
                <c:pt idx="4">
                  <c:v>24.6</c:v>
                </c:pt>
                <c:pt idx="5">
                  <c:v>21.7</c:v>
                </c:pt>
                <c:pt idx="6">
                  <c:v>19.7</c:v>
                </c:pt>
                <c:pt idx="7">
                  <c:v>26</c:v>
                </c:pt>
                <c:pt idx="8">
                  <c:v>26.7</c:v>
                </c:pt>
                <c:pt idx="9">
                  <c:v>26</c:v>
                </c:pt>
                <c:pt idx="10">
                  <c:v>27.7</c:v>
                </c:pt>
                <c:pt idx="11">
                  <c:v>29</c:v>
                </c:pt>
                <c:pt idx="12">
                  <c:v>32</c:v>
                </c:pt>
                <c:pt idx="13">
                  <c:v>27</c:v>
                </c:pt>
                <c:pt idx="14">
                  <c:v>29.3</c:v>
                </c:pt>
                <c:pt idx="15">
                  <c:v>31</c:v>
                </c:pt>
                <c:pt idx="16">
                  <c:v>34.700000000000003</c:v>
                </c:pt>
                <c:pt idx="17">
                  <c:v>32</c:v>
                </c:pt>
                <c:pt idx="18">
                  <c:v>33.299999999999997</c:v>
                </c:pt>
                <c:pt idx="19">
                  <c:v>34.700000000000003</c:v>
                </c:pt>
                <c:pt idx="20">
                  <c:v>37.299999999999997</c:v>
                </c:pt>
                <c:pt idx="21">
                  <c:v>37.700000000000003</c:v>
                </c:pt>
                <c:pt idx="22">
                  <c:v>37.299999999999997</c:v>
                </c:pt>
                <c:pt idx="23">
                  <c:v>35.700000000000003</c:v>
                </c:pt>
                <c:pt idx="24">
                  <c:v>37</c:v>
                </c:pt>
                <c:pt idx="25">
                  <c:v>37.700000000000003</c:v>
                </c:pt>
                <c:pt idx="26">
                  <c:v>37.299999999999997</c:v>
                </c:pt>
                <c:pt idx="27">
                  <c:v>38</c:v>
                </c:pt>
                <c:pt idx="28">
                  <c:v>36.700000000000003</c:v>
                </c:pt>
                <c:pt idx="29">
                  <c:v>37.299999999999997</c:v>
                </c:pt>
                <c:pt idx="30">
                  <c:v>32</c:v>
                </c:pt>
                <c:pt idx="31">
                  <c:v>33</c:v>
                </c:pt>
                <c:pt idx="32">
                  <c:v>32.6</c:v>
                </c:pt>
                <c:pt idx="33">
                  <c:v>-6</c:v>
                </c:pt>
                <c:pt idx="34">
                  <c:v>2.7</c:v>
                </c:pt>
              </c:numCache>
            </c:numRef>
          </c:val>
          <c:smooth val="0"/>
          <c:extLst>
            <c:ext xmlns:c16="http://schemas.microsoft.com/office/drawing/2014/chart" uri="{C3380CC4-5D6E-409C-BE32-E72D297353CC}">
              <c16:uniqueId val="{00000007-FBBE-41AF-B9EB-C82AFCF2774D}"/>
            </c:ext>
          </c:extLst>
        </c:ser>
        <c:ser>
          <c:idx val="8"/>
          <c:order val="8"/>
          <c:tx>
            <c:strRef>
              <c:f>'Služby-příspěvkyk růstu'!$K$25</c:f>
              <c:strCache>
                <c:ptCount val="1"/>
                <c:pt idx="0">
                  <c:v>Bariéra růstu: nedost. poptávka (pr. osa)</c:v>
                </c:pt>
              </c:strCache>
            </c:strRef>
          </c:tx>
          <c:spPr>
            <a:ln w="19050">
              <a:solidFill>
                <a:srgbClr val="00B050"/>
              </a:solidFill>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růstu'!$K$26:$K$60</c:f>
              <c:numCache>
                <c:formatCode>#\ ##0.0</c:formatCode>
                <c:ptCount val="35"/>
                <c:pt idx="0">
                  <c:v>32.200000000000003</c:v>
                </c:pt>
                <c:pt idx="1">
                  <c:v>27.5</c:v>
                </c:pt>
                <c:pt idx="2">
                  <c:v>25.1</c:v>
                </c:pt>
                <c:pt idx="3">
                  <c:v>38.299999999999997</c:v>
                </c:pt>
                <c:pt idx="4">
                  <c:v>37.200000000000003</c:v>
                </c:pt>
                <c:pt idx="5">
                  <c:v>34.5</c:v>
                </c:pt>
                <c:pt idx="6">
                  <c:v>37.4</c:v>
                </c:pt>
                <c:pt idx="7">
                  <c:v>35.5</c:v>
                </c:pt>
                <c:pt idx="8">
                  <c:v>33.9</c:v>
                </c:pt>
                <c:pt idx="9">
                  <c:v>34.200000000000003</c:v>
                </c:pt>
                <c:pt idx="10">
                  <c:v>31.4</c:v>
                </c:pt>
                <c:pt idx="11">
                  <c:v>24.7</c:v>
                </c:pt>
                <c:pt idx="12">
                  <c:v>26.2</c:v>
                </c:pt>
                <c:pt idx="13">
                  <c:v>29</c:v>
                </c:pt>
                <c:pt idx="14">
                  <c:v>26.9</c:v>
                </c:pt>
                <c:pt idx="15">
                  <c:v>23.3</c:v>
                </c:pt>
                <c:pt idx="16">
                  <c:v>24</c:v>
                </c:pt>
                <c:pt idx="17">
                  <c:v>24.5</c:v>
                </c:pt>
                <c:pt idx="18">
                  <c:v>21</c:v>
                </c:pt>
                <c:pt idx="19">
                  <c:v>23.3</c:v>
                </c:pt>
                <c:pt idx="20">
                  <c:v>26.2</c:v>
                </c:pt>
                <c:pt idx="21">
                  <c:v>20.5</c:v>
                </c:pt>
                <c:pt idx="22">
                  <c:v>19.899999999999999</c:v>
                </c:pt>
                <c:pt idx="23">
                  <c:v>20.9</c:v>
                </c:pt>
                <c:pt idx="24">
                  <c:v>17.3</c:v>
                </c:pt>
                <c:pt idx="25">
                  <c:v>18.600000000000001</c:v>
                </c:pt>
                <c:pt idx="26">
                  <c:v>18.899999999999999</c:v>
                </c:pt>
                <c:pt idx="27">
                  <c:v>19.8</c:v>
                </c:pt>
                <c:pt idx="28">
                  <c:v>20.7</c:v>
                </c:pt>
                <c:pt idx="29">
                  <c:v>17.100000000000001</c:v>
                </c:pt>
                <c:pt idx="30">
                  <c:v>21.7</c:v>
                </c:pt>
                <c:pt idx="31">
                  <c:v>14.1</c:v>
                </c:pt>
                <c:pt idx="32">
                  <c:v>20.399999999999999</c:v>
                </c:pt>
                <c:pt idx="33">
                  <c:v>29.1</c:v>
                </c:pt>
                <c:pt idx="34" formatCode="0.0">
                  <c:v>30.9</c:v>
                </c:pt>
              </c:numCache>
            </c:numRef>
          </c:val>
          <c:smooth val="0"/>
          <c:extLst>
            <c:ext xmlns:c16="http://schemas.microsoft.com/office/drawing/2014/chart" uri="{C3380CC4-5D6E-409C-BE32-E72D297353CC}">
              <c16:uniqueId val="{00000008-FBBE-41AF-B9EB-C82AFCF2774D}"/>
            </c:ext>
          </c:extLst>
        </c:ser>
        <c:ser>
          <c:idx val="9"/>
          <c:order val="9"/>
          <c:tx>
            <c:strRef>
              <c:f>'Služby-příspěvkyk růstu'!$L$25</c:f>
              <c:strCache>
                <c:ptCount val="1"/>
                <c:pt idx="0">
                  <c:v>Bariéra růstu: nedost. pracovníků (pr. osa)</c:v>
                </c:pt>
              </c:strCache>
            </c:strRef>
          </c:tx>
          <c:spPr>
            <a:ln w="19050">
              <a:solidFill>
                <a:srgbClr val="00B050"/>
              </a:solidFill>
              <a:prstDash val="sysDash"/>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růstu'!$L$26:$L$60</c:f>
              <c:numCache>
                <c:formatCode>#\ ##0.0</c:formatCode>
                <c:ptCount val="35"/>
                <c:pt idx="0">
                  <c:v>0.8</c:v>
                </c:pt>
                <c:pt idx="1">
                  <c:v>2.6</c:v>
                </c:pt>
                <c:pt idx="2">
                  <c:v>3.7</c:v>
                </c:pt>
                <c:pt idx="3">
                  <c:v>1.5</c:v>
                </c:pt>
                <c:pt idx="4">
                  <c:v>0.8</c:v>
                </c:pt>
                <c:pt idx="5">
                  <c:v>0.3</c:v>
                </c:pt>
                <c:pt idx="6">
                  <c:v>0.1</c:v>
                </c:pt>
                <c:pt idx="7">
                  <c:v>2.1</c:v>
                </c:pt>
                <c:pt idx="8">
                  <c:v>0.8</c:v>
                </c:pt>
                <c:pt idx="9">
                  <c:v>2.6</c:v>
                </c:pt>
                <c:pt idx="10">
                  <c:v>2.5</c:v>
                </c:pt>
                <c:pt idx="11">
                  <c:v>3.8</c:v>
                </c:pt>
                <c:pt idx="12">
                  <c:v>2.8</c:v>
                </c:pt>
                <c:pt idx="13">
                  <c:v>5.7</c:v>
                </c:pt>
                <c:pt idx="14">
                  <c:v>5.9</c:v>
                </c:pt>
                <c:pt idx="15">
                  <c:v>5.8</c:v>
                </c:pt>
                <c:pt idx="16">
                  <c:v>8.6999999999999993</c:v>
                </c:pt>
                <c:pt idx="17">
                  <c:v>4.5999999999999996</c:v>
                </c:pt>
                <c:pt idx="18">
                  <c:v>7.1</c:v>
                </c:pt>
                <c:pt idx="19">
                  <c:v>9.1</c:v>
                </c:pt>
                <c:pt idx="20">
                  <c:v>10.1</c:v>
                </c:pt>
                <c:pt idx="21">
                  <c:v>10</c:v>
                </c:pt>
                <c:pt idx="22">
                  <c:v>9.3000000000000007</c:v>
                </c:pt>
                <c:pt idx="23">
                  <c:v>12.2</c:v>
                </c:pt>
                <c:pt idx="24">
                  <c:v>14.2</c:v>
                </c:pt>
                <c:pt idx="25">
                  <c:v>16.600000000000001</c:v>
                </c:pt>
                <c:pt idx="26">
                  <c:v>17.3</c:v>
                </c:pt>
                <c:pt idx="27">
                  <c:v>18.600000000000001</c:v>
                </c:pt>
                <c:pt idx="28">
                  <c:v>19.600000000000001</c:v>
                </c:pt>
                <c:pt idx="29">
                  <c:v>16.600000000000001</c:v>
                </c:pt>
                <c:pt idx="30">
                  <c:v>21.2</c:v>
                </c:pt>
                <c:pt idx="31">
                  <c:v>19.100000000000001</c:v>
                </c:pt>
                <c:pt idx="32">
                  <c:v>19.7</c:v>
                </c:pt>
                <c:pt idx="33">
                  <c:v>12.1</c:v>
                </c:pt>
                <c:pt idx="34" formatCode="0.0">
                  <c:v>9.8000000000000007</c:v>
                </c:pt>
              </c:numCache>
            </c:numRef>
          </c:val>
          <c:smooth val="0"/>
          <c:extLst>
            <c:ext xmlns:c16="http://schemas.microsoft.com/office/drawing/2014/chart" uri="{C3380CC4-5D6E-409C-BE32-E72D297353CC}">
              <c16:uniqueId val="{00000009-FBBE-41AF-B9EB-C82AFCF2774D}"/>
            </c:ext>
          </c:extLst>
        </c:ser>
        <c:ser>
          <c:idx val="10"/>
          <c:order val="10"/>
          <c:tx>
            <c:strRef>
              <c:f>'Služby-příspěvkyk růstu'!$M$25</c:f>
              <c:strCache>
                <c:ptCount val="1"/>
                <c:pt idx="0">
                  <c:v>Bariéry růstu podniků: žádné (pravá osa)</c:v>
                </c:pt>
              </c:strCache>
            </c:strRef>
          </c:tx>
          <c:spPr>
            <a:ln w="19050">
              <a:solidFill>
                <a:srgbClr val="00B050"/>
              </a:solidFill>
              <a:prstDash val="sysDot"/>
            </a:ln>
          </c:spPr>
          <c:marker>
            <c:symbol val="none"/>
          </c:marker>
          <c:cat>
            <c:multiLvlStrRef>
              <c:f>'Služby-příspěvkyk růstu'!$A$26:$B$60</c:f>
              <c:multiLvlStrCache>
                <c:ptCount val="35"/>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lvl>
                <c:lvl>
                  <c:pt idx="0">
                    <c:v>2012</c:v>
                  </c:pt>
                  <c:pt idx="4">
                    <c:v>2013</c:v>
                  </c:pt>
                  <c:pt idx="8">
                    <c:v>2014</c:v>
                  </c:pt>
                  <c:pt idx="12">
                    <c:v>2015</c:v>
                  </c:pt>
                  <c:pt idx="16">
                    <c:v>2016</c:v>
                  </c:pt>
                  <c:pt idx="20">
                    <c:v>2017</c:v>
                  </c:pt>
                  <c:pt idx="24">
                    <c:v>2018</c:v>
                  </c:pt>
                  <c:pt idx="28">
                    <c:v>2019</c:v>
                  </c:pt>
                  <c:pt idx="32">
                    <c:v>2020</c:v>
                  </c:pt>
                </c:lvl>
              </c:multiLvlStrCache>
            </c:multiLvlStrRef>
          </c:cat>
          <c:val>
            <c:numRef>
              <c:f>'Služby-příspěvkyk růstu'!$M$26:$M$60</c:f>
              <c:numCache>
                <c:formatCode>#\ ##0.0</c:formatCode>
                <c:ptCount val="35"/>
                <c:pt idx="0">
                  <c:v>46.6</c:v>
                </c:pt>
                <c:pt idx="1">
                  <c:v>49.7</c:v>
                </c:pt>
                <c:pt idx="2">
                  <c:v>40</c:v>
                </c:pt>
                <c:pt idx="3">
                  <c:v>36.799999999999997</c:v>
                </c:pt>
                <c:pt idx="4">
                  <c:v>41.3</c:v>
                </c:pt>
                <c:pt idx="5">
                  <c:v>45.1</c:v>
                </c:pt>
                <c:pt idx="6">
                  <c:v>41</c:v>
                </c:pt>
                <c:pt idx="7">
                  <c:v>44.9</c:v>
                </c:pt>
                <c:pt idx="8">
                  <c:v>45.6</c:v>
                </c:pt>
                <c:pt idx="9">
                  <c:v>47.4</c:v>
                </c:pt>
                <c:pt idx="10">
                  <c:v>48.5</c:v>
                </c:pt>
                <c:pt idx="11">
                  <c:v>47.7</c:v>
                </c:pt>
                <c:pt idx="12">
                  <c:v>43.8</c:v>
                </c:pt>
                <c:pt idx="13">
                  <c:v>42.8</c:v>
                </c:pt>
                <c:pt idx="14">
                  <c:v>46.2</c:v>
                </c:pt>
                <c:pt idx="15">
                  <c:v>50.3</c:v>
                </c:pt>
                <c:pt idx="16">
                  <c:v>47</c:v>
                </c:pt>
                <c:pt idx="17">
                  <c:v>46.5</c:v>
                </c:pt>
                <c:pt idx="18">
                  <c:v>51.8</c:v>
                </c:pt>
                <c:pt idx="19">
                  <c:v>48.6</c:v>
                </c:pt>
                <c:pt idx="20">
                  <c:v>45.5</c:v>
                </c:pt>
                <c:pt idx="21">
                  <c:v>47.7</c:v>
                </c:pt>
                <c:pt idx="22">
                  <c:v>48.2</c:v>
                </c:pt>
                <c:pt idx="23">
                  <c:v>46.6</c:v>
                </c:pt>
                <c:pt idx="24">
                  <c:v>49.6</c:v>
                </c:pt>
                <c:pt idx="25">
                  <c:v>45.4</c:v>
                </c:pt>
                <c:pt idx="26">
                  <c:v>43.4</c:v>
                </c:pt>
                <c:pt idx="27">
                  <c:v>46.4</c:v>
                </c:pt>
                <c:pt idx="28">
                  <c:v>45</c:v>
                </c:pt>
                <c:pt idx="29">
                  <c:v>46.4</c:v>
                </c:pt>
                <c:pt idx="30">
                  <c:v>45.9</c:v>
                </c:pt>
                <c:pt idx="31">
                  <c:v>47.5</c:v>
                </c:pt>
                <c:pt idx="32">
                  <c:v>44.4</c:v>
                </c:pt>
                <c:pt idx="33">
                  <c:v>32.9</c:v>
                </c:pt>
                <c:pt idx="34" formatCode="0.0">
                  <c:v>27.1</c:v>
                </c:pt>
              </c:numCache>
            </c:numRef>
          </c:val>
          <c:smooth val="0"/>
          <c:extLst>
            <c:ext xmlns:c16="http://schemas.microsoft.com/office/drawing/2014/chart" uri="{C3380CC4-5D6E-409C-BE32-E72D297353CC}">
              <c16:uniqueId val="{0000000A-FBBE-41AF-B9EB-C82AFCF2774D}"/>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6"/>
          <c:min val="-21"/>
        </c:scaling>
        <c:delete val="0"/>
        <c:axPos val="l"/>
        <c:majorGridlines>
          <c:spPr>
            <a:ln w="6350">
              <a:solidFill>
                <a:schemeClr val="bg1">
                  <a:lumMod val="75000"/>
                </a:schemeClr>
              </a:solidFill>
            </a:ln>
          </c:spPr>
        </c:majorGridlines>
        <c:title>
          <c:tx>
            <c:rich>
              <a:bodyPr/>
              <a:lstStyle/>
              <a:p>
                <a:pPr>
                  <a:defRPr sz="700" b="0" i="1"/>
                </a:pPr>
                <a:r>
                  <a:rPr lang="cs-CZ" sz="700" b="0" i="1"/>
                  <a:t>Příspěvěk k růstu tržeb</a:t>
                </a:r>
              </a:p>
            </c:rich>
          </c:tx>
          <c:layout>
            <c:manualLayout>
              <c:xMode val="edge"/>
              <c:yMode val="edge"/>
              <c:x val="0"/>
              <c:y val="0.21427956658597461"/>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3"/>
      </c:valAx>
      <c:valAx>
        <c:axId val="156575232"/>
        <c:scaling>
          <c:orientation val="minMax"/>
          <c:max val="80"/>
          <c:min val="-10"/>
        </c:scaling>
        <c:delete val="0"/>
        <c:axPos val="r"/>
        <c:title>
          <c:tx>
            <c:rich>
              <a:bodyPr/>
              <a:lstStyle/>
              <a:p>
                <a:pPr>
                  <a:defRPr sz="700" b="0" i="1"/>
                </a:pPr>
                <a:r>
                  <a:rPr lang="cs-CZ" sz="700" b="0" i="1"/>
                  <a:t>Saldo indikátoru důvěry, Bariéry růstu</a:t>
                </a:r>
              </a:p>
            </c:rich>
          </c:tx>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1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solidFill>
        </a:ln>
      </c:spPr>
    </c:plotArea>
    <c:legend>
      <c:legendPos val="r"/>
      <c:layout>
        <c:manualLayout>
          <c:xMode val="edge"/>
          <c:yMode val="edge"/>
          <c:x val="8.0394178917537456E-3"/>
          <c:y val="0.82175247960207154"/>
          <c:w val="0.98850191565119605"/>
          <c:h val="0.16763527754636032"/>
        </c:manualLayout>
      </c:layout>
      <c:overlay val="0"/>
      <c:spPr>
        <a:ln w="6350">
          <a:solidFill>
            <a:schemeClr val="tx1"/>
          </a:solidFill>
        </a:ln>
      </c:spPr>
      <c:txPr>
        <a:bodyPr/>
        <a:lstStyle/>
        <a:p>
          <a:pPr>
            <a:defRPr sz="80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0532A-B782-4531-89BA-B4213307B6F8}">
  <ds:schemaRefs>
    <ds:schemaRef ds:uri="http://schemas.openxmlformats.org/officeDocument/2006/bibliography"/>
  </ds:schemaRefs>
</ds:datastoreItem>
</file>

<file path=customXml/itemProps2.xml><?xml version="1.0" encoding="utf-8"?>
<ds:datastoreItem xmlns:ds="http://schemas.openxmlformats.org/officeDocument/2006/customXml" ds:itemID="{573E9D2D-4CC7-4736-A0CD-388521FB9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2</TotalTime>
  <Pages>1</Pages>
  <Words>3349</Words>
  <Characters>19761</Characters>
  <Application>Microsoft Office Word</Application>
  <DocSecurity>0</DocSecurity>
  <Lines>164</Lines>
  <Paragraphs>46</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23064</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Mgr. Karolína Zábojníková</cp:lastModifiedBy>
  <cp:revision>5</cp:revision>
  <cp:lastPrinted>2019-04-08T10:52:00Z</cp:lastPrinted>
  <dcterms:created xsi:type="dcterms:W3CDTF">2020-09-11T08:14:00Z</dcterms:created>
  <dcterms:modified xsi:type="dcterms:W3CDTF">2020-09-11T08:44:00Z</dcterms:modified>
</cp:coreProperties>
</file>