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F11C" w14:textId="77777777" w:rsidR="0070658E" w:rsidRDefault="0070658E" w:rsidP="0070658E">
      <w:pPr>
        <w:pStyle w:val="Nadpis11"/>
        <w:spacing w:after="120"/>
      </w:pPr>
      <w:bookmarkStart w:id="0" w:name="_Toc74643859"/>
      <w:bookmarkStart w:id="1" w:name="_Toc74643860"/>
      <w:bookmarkStart w:id="2" w:name="_Toc74246554"/>
      <w:bookmarkStart w:id="3" w:name="_Toc66719933"/>
      <w:bookmarkStart w:id="4" w:name="_Toc50712132"/>
      <w:r w:rsidRPr="00B43216">
        <w:t>6. Trh práce</w:t>
      </w:r>
      <w:bookmarkEnd w:id="2"/>
    </w:p>
    <w:tbl>
      <w:tblPr>
        <w:tblW w:w="9664" w:type="dxa"/>
        <w:tblInd w:w="-2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2"/>
        <w:gridCol w:w="216"/>
        <w:gridCol w:w="7656"/>
      </w:tblGrid>
      <w:tr w:rsidR="0070658E" w:rsidRPr="006237E6" w14:paraId="2B1EEB80" w14:textId="77777777" w:rsidTr="006050CF">
        <w:trPr>
          <w:trHeight w:val="15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6613BA94" w14:textId="77777777" w:rsidR="0070658E" w:rsidRDefault="0070658E" w:rsidP="006050CF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Zaměstnanců přibylo ve 2. čtvrtletí meziročně nejvíce od konce roku 2018. Úbytky pracujících podnikatelů však pokračovaly.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1DE99FD3" w14:textId="77777777" w:rsidR="0070658E" w:rsidRPr="003B1401" w:rsidRDefault="0070658E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26A53640" w14:textId="77777777" w:rsidR="0070658E" w:rsidRPr="00943B90" w:rsidRDefault="0070658E" w:rsidP="006050CF">
            <w:pPr>
              <w:rPr>
                <w:spacing w:val="-4"/>
              </w:rPr>
            </w:pPr>
            <w:r w:rsidRPr="007517F0">
              <w:rPr>
                <w:spacing w:val="-4"/>
              </w:rPr>
              <w:t>Postupné rozvolnění striktních protipandemických opatření</w:t>
            </w:r>
            <w:r>
              <w:rPr>
                <w:spacing w:val="-4"/>
              </w:rPr>
              <w:t xml:space="preserve"> na přelomu letošního jarního a </w:t>
            </w:r>
            <w:r w:rsidRPr="007517F0">
              <w:rPr>
                <w:spacing w:val="-4"/>
              </w:rPr>
              <w:t xml:space="preserve">letního období </w:t>
            </w:r>
            <w:r>
              <w:rPr>
                <w:spacing w:val="-4"/>
              </w:rPr>
              <w:t xml:space="preserve">doprovázené významnějším útlumem státních podpůrných programů (Antivirus, ošetřovné) </w:t>
            </w:r>
            <w:r w:rsidRPr="007517F0">
              <w:rPr>
                <w:spacing w:val="-4"/>
              </w:rPr>
              <w:t>přinesl</w:t>
            </w:r>
            <w:r>
              <w:rPr>
                <w:spacing w:val="-4"/>
              </w:rPr>
              <w:t>o</w:t>
            </w:r>
            <w:r w:rsidRPr="007517F0">
              <w:rPr>
                <w:spacing w:val="-4"/>
              </w:rPr>
              <w:t xml:space="preserve"> na tuzemský pracovní trh očekávané oživení. </w:t>
            </w:r>
            <w:r>
              <w:rPr>
                <w:spacing w:val="-4"/>
              </w:rPr>
              <w:t>Celková zaměstnanost</w:t>
            </w:r>
            <w:r w:rsidRPr="00B908AF">
              <w:rPr>
                <w:color w:val="0D0D0D" w:themeColor="text1" w:themeTint="F2"/>
                <w:spacing w:val="-4"/>
                <w:vertAlign w:val="superscript"/>
              </w:rPr>
              <w:footnoteReference w:id="1"/>
            </w:r>
            <w:r>
              <w:rPr>
                <w:spacing w:val="-4"/>
              </w:rPr>
              <w:t xml:space="preserve"> se ve </w:t>
            </w:r>
            <w:r w:rsidRPr="007517F0">
              <w:rPr>
                <w:spacing w:val="-4"/>
              </w:rPr>
              <w:t>2.</w:t>
            </w:r>
            <w:r>
              <w:rPr>
                <w:spacing w:val="-4"/>
              </w:rPr>
              <w:t> čtvrtlet</w:t>
            </w:r>
            <w:r w:rsidRPr="007517F0">
              <w:rPr>
                <w:spacing w:val="-4"/>
              </w:rPr>
              <w:t>í</w:t>
            </w:r>
            <w:r>
              <w:rPr>
                <w:spacing w:val="-4"/>
              </w:rPr>
              <w:t xml:space="preserve"> meziročně zvýšila (o 0,3 %, poprvé za posledních sedm kvartálů) a ve srovnání s předchozím čtvrtletím posílila o významných 0,7 %</w:t>
            </w:r>
            <w:r>
              <w:rPr>
                <w:rStyle w:val="Znakapoznpodarou"/>
                <w:spacing w:val="-4"/>
              </w:rPr>
              <w:footnoteReference w:id="2"/>
            </w:r>
            <w:r w:rsidRPr="002272C7">
              <w:rPr>
                <w:spacing w:val="-4"/>
              </w:rPr>
              <w:t xml:space="preserve">. </w:t>
            </w:r>
            <w:r>
              <w:rPr>
                <w:spacing w:val="-4"/>
              </w:rPr>
              <w:t>Na tomto pozitivním vývoji se však</w:t>
            </w:r>
            <w:r w:rsidRPr="002272C7">
              <w:rPr>
                <w:spacing w:val="-4"/>
              </w:rPr>
              <w:t xml:space="preserve"> podíleli </w:t>
            </w:r>
            <w:r>
              <w:rPr>
                <w:spacing w:val="-4"/>
              </w:rPr>
              <w:t>výhradně zaměstnanci, jejichž stav</w:t>
            </w:r>
            <w:r w:rsidRPr="002272C7">
              <w:rPr>
                <w:spacing w:val="-4"/>
              </w:rPr>
              <w:t xml:space="preserve">y </w:t>
            </w:r>
            <w:r>
              <w:rPr>
                <w:spacing w:val="-4"/>
              </w:rPr>
              <w:t xml:space="preserve">se meziročně rozšířily o 52 tis., nejvíce od konce roku 2018. Naopak počet </w:t>
            </w:r>
            <w:r w:rsidRPr="002272C7">
              <w:rPr>
                <w:spacing w:val="-4"/>
              </w:rPr>
              <w:t>podni</w:t>
            </w:r>
            <w:r>
              <w:rPr>
                <w:spacing w:val="-4"/>
              </w:rPr>
              <w:t>katelů klesl takřka o 5 % (resp. 36 tis.) a ubylo jich i ve srovnání s 1. čtvrtletím 2021 (o 1,6 %). Obtíže</w:t>
            </w:r>
            <w:r w:rsidRPr="007517F0">
              <w:rPr>
                <w:spacing w:val="-4"/>
              </w:rPr>
              <w:t xml:space="preserve"> podnika</w:t>
            </w:r>
            <w:r>
              <w:rPr>
                <w:spacing w:val="-4"/>
              </w:rPr>
              <w:t>telů v některých odvětvích mohly</w:t>
            </w:r>
            <w:r w:rsidRPr="007517F0">
              <w:rPr>
                <w:spacing w:val="-4"/>
              </w:rPr>
              <w:t xml:space="preserve"> souviset s </w:t>
            </w:r>
            <w:r>
              <w:rPr>
                <w:spacing w:val="-4"/>
              </w:rPr>
              <w:t>opatrnější</w:t>
            </w:r>
            <w:r w:rsidRPr="007517F0">
              <w:rPr>
                <w:spacing w:val="-4"/>
              </w:rPr>
              <w:t xml:space="preserve"> realizací odložené spotřeby tuzemských domácností </w:t>
            </w:r>
            <w:r>
              <w:rPr>
                <w:spacing w:val="-4"/>
              </w:rPr>
              <w:t>a mohly být umocněny i </w:t>
            </w:r>
            <w:r w:rsidRPr="007517F0">
              <w:rPr>
                <w:spacing w:val="-4"/>
              </w:rPr>
              <w:t>přetrvávajícími omezení</w:t>
            </w:r>
            <w:r>
              <w:rPr>
                <w:spacing w:val="-4"/>
              </w:rPr>
              <w:t>mi</w:t>
            </w:r>
            <w:r w:rsidRPr="007517F0">
              <w:rPr>
                <w:spacing w:val="-4"/>
              </w:rPr>
              <w:t xml:space="preserve"> v příjezdovém cestovním ruchu.</w:t>
            </w:r>
            <w:r>
              <w:rPr>
                <w:spacing w:val="-4"/>
              </w:rPr>
              <w:t xml:space="preserve"> To se odrazilo také v počtu odpracovaných hodin</w:t>
            </w:r>
            <w:r>
              <w:rPr>
                <w:rStyle w:val="Znakapoznpodarou"/>
                <w:spacing w:val="-4"/>
              </w:rPr>
              <w:footnoteReference w:id="3"/>
            </w:r>
            <w:r>
              <w:rPr>
                <w:spacing w:val="-4"/>
              </w:rPr>
              <w:t>.</w:t>
            </w:r>
          </w:p>
        </w:tc>
      </w:tr>
      <w:tr w:rsidR="0070658E" w:rsidRPr="006237E6" w14:paraId="1DB24534" w14:textId="77777777" w:rsidTr="006050CF">
        <w:trPr>
          <w:trHeight w:val="15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5C3D5475" w14:textId="77777777" w:rsidR="0070658E" w:rsidRDefault="0070658E" w:rsidP="006050CF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Meziročně vyšší zaměstnanost byla tažena zejména veřejnými službami a informačními a komunikačními činnostmi. Silná poptávka po pracovnících se projevovala rovněž ve stavebnictví.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37DDE6DE" w14:textId="77777777" w:rsidR="0070658E" w:rsidRPr="003B1401" w:rsidRDefault="0070658E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56EEAEBC" w14:textId="77777777" w:rsidR="0070658E" w:rsidRPr="00B908AF" w:rsidRDefault="0070658E" w:rsidP="006050CF">
            <w:pP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</w:pP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Hospodářské oživení ve druhém letošním čtvrtletí se pozitivně promítlo i v počtu pracovníků v drtivé většině hlavních odvětví. K mezikvartálnímu růstu zaměstnanosti nejvíce přispěly p</w:t>
            </w:r>
            <w:r w:rsidRPr="00BE63FE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rofesní, vědecké, technické a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 </w:t>
            </w:r>
            <w:r w:rsidRPr="00BE63FE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administrativní činnosti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 xml:space="preserve"> (+12 tis.) a průmysl (+11 tis.). V obou případech jde o odvětví, jejichž relativní úbytky zaměstnanosti byly vloni hlubší než v celé ekonomice. K meziročnímu růstu celkové zaměstnanosti pomohlo ve 2. čtvrtletí (obdobně jako po celé pandemické období) nejvíce odvětví veřejná správa,</w:t>
            </w:r>
            <w:r w:rsidRPr="00916338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 xml:space="preserve"> obrana, vzdělávání, zdravotní a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 </w:t>
            </w:r>
            <w:r w:rsidRPr="00916338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sociální péče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 xml:space="preserve"> (+30 tis.). Relativně nejsilněji ale rostly dlouhodobě prosperující i</w:t>
            </w:r>
            <w:r w:rsidRPr="00BD1AA6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nformační a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 </w:t>
            </w:r>
            <w:r w:rsidRPr="00BD1AA6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komunikační činnosti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 xml:space="preserve"> (5,2 %), v nichž se jako v jednom z mála odvětví navyšovaly i počty podnikatelů. </w:t>
            </w:r>
            <w:r>
              <w:rPr>
                <w:spacing w:val="-4"/>
              </w:rPr>
              <w:t>Dařilo se rovněž stavebnictví, v němž</w:t>
            </w:r>
            <w:r w:rsidRPr="003973AE">
              <w:rPr>
                <w:spacing w:val="-4"/>
              </w:rPr>
              <w:t xml:space="preserve"> mírný loňský růst zaměstnanosti pokračoval</w:t>
            </w:r>
            <w:r>
              <w:rPr>
                <w:spacing w:val="-4"/>
              </w:rPr>
              <w:t xml:space="preserve"> (+2,0 %)</w:t>
            </w:r>
            <w:r w:rsidRPr="003973AE">
              <w:rPr>
                <w:spacing w:val="-4"/>
              </w:rPr>
              <w:t>. Dlouhodobě vyso</w:t>
            </w:r>
            <w:r>
              <w:rPr>
                <w:spacing w:val="-4"/>
              </w:rPr>
              <w:t>ká poptávka po pracovní síle tu</w:t>
            </w:r>
            <w:r w:rsidRPr="003973AE">
              <w:rPr>
                <w:spacing w:val="-4"/>
              </w:rPr>
              <w:t xml:space="preserve"> byla do značné míry saturována náborem ze zahraničí. Počet cizinců pracujících v Česku v</w:t>
            </w:r>
            <w:r>
              <w:rPr>
                <w:spacing w:val="-4"/>
              </w:rPr>
              <w:t> </w:t>
            </w:r>
            <w:r w:rsidRPr="003973AE">
              <w:rPr>
                <w:spacing w:val="-4"/>
              </w:rPr>
              <w:t xml:space="preserve">zaměstnaneckém postavení </w:t>
            </w:r>
            <w:r>
              <w:rPr>
                <w:spacing w:val="-4"/>
              </w:rPr>
              <w:t xml:space="preserve">navzdory stále administrativně náročné vízové proceduře v posledních měsících </w:t>
            </w:r>
            <w:r w:rsidRPr="003973AE">
              <w:rPr>
                <w:spacing w:val="-4"/>
              </w:rPr>
              <w:t>rostl</w:t>
            </w:r>
            <w:r>
              <w:rPr>
                <w:spacing w:val="-4"/>
              </w:rPr>
              <w:t>.</w:t>
            </w:r>
            <w:r w:rsidRPr="003973AE">
              <w:rPr>
                <w:spacing w:val="-4"/>
              </w:rPr>
              <w:t xml:space="preserve"> </w:t>
            </w:r>
            <w:r>
              <w:rPr>
                <w:spacing w:val="-4"/>
              </w:rPr>
              <w:t>Letos v </w:t>
            </w:r>
            <w:r w:rsidRPr="003973AE">
              <w:rPr>
                <w:spacing w:val="-4"/>
              </w:rPr>
              <w:t>červnu dosáhl rekordních 682</w:t>
            </w:r>
            <w:r>
              <w:rPr>
                <w:spacing w:val="-4"/>
              </w:rPr>
              <w:t> tis.</w:t>
            </w:r>
            <w:r w:rsidRPr="003973AE">
              <w:rPr>
                <w:spacing w:val="-4"/>
              </w:rPr>
              <w:t xml:space="preserve"> a</w:t>
            </w:r>
            <w:r>
              <w:rPr>
                <w:spacing w:val="-4"/>
              </w:rPr>
              <w:t> meziročně byl vyšší o 13 </w:t>
            </w:r>
            <w:r w:rsidRPr="003973AE">
              <w:rPr>
                <w:spacing w:val="-4"/>
              </w:rPr>
              <w:t>%, z drtivé většiny zásluhou zaměstnanců z Ukrajiny</w:t>
            </w:r>
            <w:r>
              <w:rPr>
                <w:rStyle w:val="Znakapoznpodarou"/>
                <w:spacing w:val="-4"/>
              </w:rPr>
              <w:footnoteReference w:id="4"/>
            </w:r>
            <w:r w:rsidRPr="003973AE">
              <w:rPr>
                <w:spacing w:val="-4"/>
              </w:rPr>
              <w:t>.</w:t>
            </w:r>
          </w:p>
        </w:tc>
      </w:tr>
      <w:tr w:rsidR="0070658E" w:rsidRPr="006237E6" w14:paraId="14EF47EC" w14:textId="77777777" w:rsidTr="006050CF">
        <w:trPr>
          <w:trHeight w:val="15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5B15ACBD" w14:textId="77777777" w:rsidR="0070658E" w:rsidRDefault="0070658E" w:rsidP="006050CF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I přes dílčí zlepšení přispívalo k poklesu celkové zaměstnanosti stále nejvíce uskupení obchod, doprava, ubytování a pohostinství.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6990A81F" w14:textId="77777777" w:rsidR="0070658E" w:rsidRPr="003B1401" w:rsidRDefault="0070658E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6D8EA8D1" w14:textId="77777777" w:rsidR="0070658E" w:rsidRPr="00976FF3" w:rsidRDefault="0070658E" w:rsidP="006050CF">
            <w:pPr>
              <w:rPr>
                <w:spacing w:val="-4"/>
              </w:rPr>
            </w:pPr>
            <w:r>
              <w:rPr>
                <w:spacing w:val="-4"/>
              </w:rPr>
              <w:t>Navzdory dílčímu zlepšení se s citelnými meziročními úbytky pracovníků i ve 2. čtvrtletí potýkalo uskupení obchod, doprava, ubytování a pohostinství (–27 tis.)</w:t>
            </w:r>
            <w:r>
              <w:rPr>
                <w:rStyle w:val="Znakapoznpodarou"/>
                <w:spacing w:val="-4"/>
              </w:rPr>
              <w:footnoteReference w:id="5"/>
            </w:r>
            <w:r>
              <w:rPr>
                <w:spacing w:val="-4"/>
              </w:rPr>
              <w:t>. Méně tu bylo jak podnikatelů (–11,6 %), tak zaměstnanců (–0,7 %). Pracovníky stále mírně ztrácel i průmysl (–0,5 %, resp. –8 tis.), výhradně vlivem úbytku podnikatelů. Situace v jednotlivých oddílech průmyslu se lišila – lépe na tom byli výrobci motorových vozidel (včetně návazných oborů), energetika či kovovýroba, hůře např. strojírenství či strukturálně postižený těžební průmysl. Stabilní zaměstnanost si v posledních letech udržuje zemědělství, lesnictví a rybářství.</w:t>
            </w:r>
          </w:p>
        </w:tc>
      </w:tr>
      <w:tr w:rsidR="0070658E" w:rsidRPr="006237E6" w14:paraId="08019CF4" w14:textId="77777777" w:rsidTr="006050CF">
        <w:trPr>
          <w:trHeight w:val="15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3AA6F516" w14:textId="77777777" w:rsidR="0070658E" w:rsidRDefault="0070658E" w:rsidP="006050CF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Během 1. pololetí rostl podíl podniků plánujících navýšení počtu svých zaměstnanců.</w:t>
            </w:r>
          </w:p>
          <w:p w14:paraId="32152A5B" w14:textId="77777777" w:rsidR="0070658E" w:rsidRDefault="0070658E" w:rsidP="006050CF">
            <w:pPr>
              <w:pStyle w:val="Marginlie"/>
              <w:spacing w:after="120"/>
              <w:rPr>
                <w:spacing w:val="-4"/>
              </w:rPr>
            </w:pPr>
          </w:p>
          <w:p w14:paraId="7106A4F8" w14:textId="0A60F803" w:rsidR="0070658E" w:rsidRDefault="0070658E" w:rsidP="006050CF">
            <w:pPr>
              <w:pStyle w:val="Marginlie"/>
              <w:spacing w:after="120"/>
              <w:rPr>
                <w:spacing w:val="-4"/>
              </w:rPr>
            </w:pPr>
          </w:p>
          <w:p w14:paraId="45174ADB" w14:textId="77777777" w:rsidR="00C172F7" w:rsidRDefault="00C172F7" w:rsidP="006050CF">
            <w:pPr>
              <w:pStyle w:val="Marginlie"/>
              <w:spacing w:after="120"/>
              <w:rPr>
                <w:spacing w:val="-4"/>
              </w:rPr>
            </w:pPr>
          </w:p>
          <w:p w14:paraId="26F3BBFA" w14:textId="77777777" w:rsidR="0070658E" w:rsidRPr="003F37F4" w:rsidRDefault="0070658E" w:rsidP="006050CF">
            <w:pPr>
              <w:pStyle w:val="Marginlie"/>
              <w:spacing w:after="120"/>
              <w:rPr>
                <w:spacing w:val="-6"/>
              </w:rPr>
            </w:pPr>
            <w:r w:rsidRPr="003F37F4">
              <w:rPr>
                <w:spacing w:val="-6"/>
              </w:rPr>
              <w:lastRenderedPageBreak/>
              <w:t>Problém s</w:t>
            </w:r>
            <w:r>
              <w:rPr>
                <w:spacing w:val="-6"/>
              </w:rPr>
              <w:t> </w:t>
            </w:r>
            <w:r w:rsidRPr="003F37F4">
              <w:rPr>
                <w:spacing w:val="-6"/>
              </w:rPr>
              <w:t xml:space="preserve">náborem pracovní síly sužoval hlavně stavebnictví, v posledních měsících </w:t>
            </w:r>
            <w:r>
              <w:rPr>
                <w:spacing w:val="-6"/>
              </w:rPr>
              <w:t>narůstal</w:t>
            </w:r>
            <w:r w:rsidRPr="003F37F4">
              <w:rPr>
                <w:spacing w:val="-6"/>
              </w:rPr>
              <w:t xml:space="preserve"> i v průmyslu.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6F7F1F4A" w14:textId="77777777" w:rsidR="0070658E" w:rsidRPr="003B1401" w:rsidRDefault="0070658E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7AE03FEF" w14:textId="369FBAB5" w:rsidR="0070658E" w:rsidRPr="00314E60" w:rsidRDefault="0070658E" w:rsidP="006050CF">
            <w:pPr>
              <w:spacing w:after="120"/>
              <w:rPr>
                <w:spacing w:val="-4"/>
              </w:rPr>
            </w:pPr>
            <w:r w:rsidRPr="007517F0">
              <w:rPr>
                <w:spacing w:val="-4"/>
              </w:rPr>
              <w:t xml:space="preserve">Dle konjunkturálních průzkumů vystoupala v červnu 2021 krátkodobá </w:t>
            </w:r>
            <w:r w:rsidRPr="008764F3">
              <w:rPr>
                <w:spacing w:val="-4"/>
              </w:rPr>
              <w:t>očekávání podniků v oblasti zaměstnanosti nejvýše od počátku pandemie</w:t>
            </w:r>
            <w:r w:rsidRPr="007517F0">
              <w:rPr>
                <w:spacing w:val="-4"/>
              </w:rPr>
              <w:t>. Pozitivní b</w:t>
            </w:r>
            <w:r>
              <w:rPr>
                <w:spacing w:val="-4"/>
              </w:rPr>
              <w:t>yla ve</w:t>
            </w:r>
            <w:r w:rsidRPr="007517F0">
              <w:rPr>
                <w:spacing w:val="-4"/>
              </w:rPr>
              <w:t xml:space="preserve"> většině od</w:t>
            </w:r>
            <w:r>
              <w:rPr>
                <w:spacing w:val="-4"/>
              </w:rPr>
              <w:t xml:space="preserve">větví vyjma některých </w:t>
            </w:r>
            <w:r w:rsidR="00C172F7">
              <w:rPr>
                <w:spacing w:val="-4"/>
              </w:rPr>
              <w:t xml:space="preserve">oblastí </w:t>
            </w:r>
            <w:r>
              <w:rPr>
                <w:spacing w:val="-4"/>
              </w:rPr>
              <w:t>služeb</w:t>
            </w:r>
            <w:r w:rsidRPr="007517F0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– např. </w:t>
            </w:r>
            <w:r w:rsidRPr="007517F0">
              <w:rPr>
                <w:spacing w:val="-4"/>
              </w:rPr>
              <w:t xml:space="preserve">letecké </w:t>
            </w:r>
            <w:r>
              <w:rPr>
                <w:spacing w:val="-4"/>
              </w:rPr>
              <w:t>dopravy</w:t>
            </w:r>
            <w:r w:rsidRPr="007517F0">
              <w:rPr>
                <w:spacing w:val="-4"/>
              </w:rPr>
              <w:t xml:space="preserve">, </w:t>
            </w:r>
            <w:r>
              <w:rPr>
                <w:spacing w:val="-4"/>
              </w:rPr>
              <w:t xml:space="preserve">vydavatelských činností, </w:t>
            </w:r>
            <w:r w:rsidRPr="007517F0">
              <w:rPr>
                <w:spacing w:val="-4"/>
              </w:rPr>
              <w:t>telekomunikací</w:t>
            </w:r>
            <w:r>
              <w:rPr>
                <w:spacing w:val="-4"/>
              </w:rPr>
              <w:t xml:space="preserve"> i peněžnictví. Zvýšení počtu zaměstnanců plánovalo na období 3. čtvrtletí </w:t>
            </w:r>
            <w:r w:rsidRPr="007517F0">
              <w:rPr>
                <w:spacing w:val="-4"/>
              </w:rPr>
              <w:t>shodně okolo 15</w:t>
            </w:r>
            <w:r>
              <w:rPr>
                <w:spacing w:val="-4"/>
              </w:rPr>
              <w:t> %</w:t>
            </w:r>
            <w:r w:rsidRPr="007517F0">
              <w:rPr>
                <w:spacing w:val="-4"/>
              </w:rPr>
              <w:t xml:space="preserve"> respondentů v průmyslu, stavebnictví </w:t>
            </w:r>
            <w:r>
              <w:rPr>
                <w:spacing w:val="-4"/>
              </w:rPr>
              <w:t>č</w:t>
            </w:r>
            <w:r w:rsidRPr="007517F0">
              <w:rPr>
                <w:spacing w:val="-4"/>
              </w:rPr>
              <w:t xml:space="preserve">i obchodu. </w:t>
            </w:r>
            <w:r>
              <w:rPr>
                <w:spacing w:val="-4"/>
              </w:rPr>
              <w:t xml:space="preserve">Nedostatek zaměstnanců limituje hlavně podniky ve stavebnictví, kde zůstává poslední tři roky nejvýznamnější růstovou bariérou. Od počátku letošního roku má s náborem pracovníků </w:t>
            </w:r>
            <w:r>
              <w:rPr>
                <w:spacing w:val="-4"/>
              </w:rPr>
              <w:lastRenderedPageBreak/>
              <w:t>stále větší obtíže i průmysl</w:t>
            </w:r>
            <w:r>
              <w:rPr>
                <w:rStyle w:val="Znakapoznpodarou"/>
                <w:spacing w:val="-4"/>
              </w:rPr>
              <w:footnoteReference w:id="6"/>
            </w:r>
            <w:r>
              <w:rPr>
                <w:spacing w:val="-4"/>
              </w:rPr>
              <w:t>. Naopak v terciárním sektoru se stále řada odvětví potýkala především se slabší poptávkou po službách. Problém s nedostatkem zaměstnanců tak pociťovaly ve větší míře jen firmy v administrativních a</w:t>
            </w:r>
            <w:r w:rsidRPr="00976FF3">
              <w:rPr>
                <w:spacing w:val="-4"/>
              </w:rPr>
              <w:t> </w:t>
            </w:r>
            <w:r>
              <w:rPr>
                <w:spacing w:val="-4"/>
              </w:rPr>
              <w:t>podpůrných činnostech, pozemní dopravě či kurýrních činnostech – vždy ale s nižší intenzitou než před započetím pandemie.</w:t>
            </w:r>
          </w:p>
        </w:tc>
      </w:tr>
      <w:tr w:rsidR="0070658E" w:rsidRPr="009F2A8A" w14:paraId="0F504BF8" w14:textId="77777777" w:rsidTr="006050CF">
        <w:trPr>
          <w:trHeight w:val="155"/>
        </w:trPr>
        <w:tc>
          <w:tcPr>
            <w:tcW w:w="1792" w:type="dxa"/>
            <w:vMerge w:val="restart"/>
            <w:shd w:val="clear" w:color="auto" w:fill="auto"/>
            <w:tcMar>
              <w:left w:w="0" w:type="dxa"/>
            </w:tcMar>
          </w:tcPr>
          <w:p w14:paraId="40EEEA1F" w14:textId="77777777" w:rsidR="0070658E" w:rsidRPr="00B43216" w:rsidRDefault="0070658E" w:rsidP="006050CF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6" w:type="dxa"/>
            <w:vMerge w:val="restart"/>
            <w:shd w:val="clear" w:color="auto" w:fill="auto"/>
            <w:tcMar>
              <w:left w:w="0" w:type="dxa"/>
            </w:tcMar>
          </w:tcPr>
          <w:p w14:paraId="28988AEB" w14:textId="77777777" w:rsidR="0070658E" w:rsidRPr="00B43216" w:rsidRDefault="0070658E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7F16232C" w14:textId="77777777" w:rsidR="0070658E" w:rsidRPr="00CA5850" w:rsidRDefault="0070658E" w:rsidP="006050CF">
            <w:pPr>
              <w:spacing w:after="0"/>
              <w:rPr>
                <w:spacing w:val="-2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 č. 12</w:t>
            </w:r>
            <w:r w:rsidRPr="006856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68569E">
              <w:rPr>
                <w:b/>
                <w:bCs/>
                <w:lang w:eastAsia="en-US"/>
              </w:rPr>
              <w:t xml:space="preserve">Celková zaměstnanost </w:t>
            </w:r>
            <w:r w:rsidRPr="0068569E">
              <w:rPr>
                <w:lang w:eastAsia="en-US"/>
              </w:rPr>
              <w:t>(</w:t>
            </w:r>
            <w:r w:rsidRPr="0068569E">
              <w:rPr>
                <w:spacing w:val="-2"/>
              </w:rPr>
              <w:t>meziročně v</w:t>
            </w:r>
            <w:r>
              <w:rPr>
                <w:spacing w:val="-2"/>
              </w:rPr>
              <w:t> %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, </w:t>
            </w:r>
            <w:r>
              <w:rPr>
                <w:b/>
                <w:bCs/>
                <w:spacing w:val="-2"/>
              </w:rPr>
              <w:t xml:space="preserve">příspěvky </w:t>
            </w:r>
            <w:r w:rsidRPr="0068569E">
              <w:rPr>
                <w:b/>
                <w:bCs/>
                <w:spacing w:val="-2"/>
              </w:rPr>
              <w:t xml:space="preserve">odvětví k meziroční změně zaměstnanosti </w:t>
            </w:r>
            <w:r w:rsidRPr="0068569E">
              <w:rPr>
                <w:spacing w:val="-2"/>
              </w:rPr>
              <w:t>(v</w:t>
            </w:r>
            <w:r>
              <w:rPr>
                <w:spacing w:val="-2"/>
              </w:rPr>
              <w:t> p. b.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 a očekávání vývoje zaměst</w:t>
            </w:r>
            <w:r>
              <w:rPr>
                <w:b/>
                <w:bCs/>
                <w:spacing w:val="-2"/>
              </w:rPr>
              <w:t>nanosti</w:t>
            </w:r>
            <w:r w:rsidRPr="0068569E">
              <w:rPr>
                <w:b/>
                <w:bCs/>
                <w:spacing w:val="-2"/>
              </w:rPr>
              <w:t xml:space="preserve"> </w:t>
            </w:r>
            <w:r w:rsidRPr="0068569E">
              <w:rPr>
                <w:spacing w:val="-2"/>
              </w:rPr>
              <w:t>(saldo v</w:t>
            </w:r>
            <w:r>
              <w:rPr>
                <w:spacing w:val="-2"/>
              </w:rPr>
              <w:t> p. b.)</w:t>
            </w:r>
          </w:p>
        </w:tc>
      </w:tr>
      <w:tr w:rsidR="0070658E" w:rsidRPr="00B43216" w14:paraId="51BD1805" w14:textId="77777777" w:rsidTr="006050CF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92" w:type="dxa"/>
            <w:vMerge/>
            <w:shd w:val="clear" w:color="auto" w:fill="auto"/>
          </w:tcPr>
          <w:p w14:paraId="167F1BAC" w14:textId="77777777" w:rsidR="0070658E" w:rsidRPr="00B43216" w:rsidRDefault="0070658E" w:rsidP="006050CF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6" w:type="dxa"/>
            <w:vMerge/>
            <w:shd w:val="clear" w:color="auto" w:fill="auto"/>
          </w:tcPr>
          <w:p w14:paraId="25556044" w14:textId="77777777" w:rsidR="0070658E" w:rsidRPr="00B43216" w:rsidRDefault="0070658E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</w:tcPr>
          <w:p w14:paraId="575ACED1" w14:textId="77777777" w:rsidR="0070658E" w:rsidRPr="00B43216" w:rsidRDefault="0070658E" w:rsidP="006050CF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244BBCDD" wp14:editId="08992C3A">
                  <wp:extent cx="4714875" cy="3933825"/>
                  <wp:effectExtent l="0" t="0" r="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70658E" w:rsidRPr="00485ED5" w14:paraId="1E9E6243" w14:textId="77777777" w:rsidTr="006050CF">
        <w:trPr>
          <w:trHeight w:val="671"/>
        </w:trPr>
        <w:tc>
          <w:tcPr>
            <w:tcW w:w="1792" w:type="dxa"/>
            <w:vMerge/>
            <w:shd w:val="clear" w:color="auto" w:fill="auto"/>
            <w:tcMar>
              <w:left w:w="0" w:type="dxa"/>
            </w:tcMar>
          </w:tcPr>
          <w:p w14:paraId="5E4F4777" w14:textId="77777777" w:rsidR="0070658E" w:rsidRPr="00B43216" w:rsidRDefault="0070658E" w:rsidP="006050CF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6" w:type="dxa"/>
            <w:vMerge/>
            <w:shd w:val="clear" w:color="auto" w:fill="auto"/>
            <w:tcMar>
              <w:left w:w="0" w:type="dxa"/>
            </w:tcMar>
          </w:tcPr>
          <w:p w14:paraId="22757D4B" w14:textId="77777777" w:rsidR="0070658E" w:rsidRPr="00B43216" w:rsidRDefault="0070658E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105470A7" w14:textId="77777777" w:rsidR="0070658E" w:rsidRDefault="0070658E" w:rsidP="006050CF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862F17">
              <w:rPr>
                <w:rFonts w:cs="Arial"/>
                <w:sz w:val="14"/>
                <w:szCs w:val="14"/>
              </w:rPr>
              <w:t xml:space="preserve"> Těžba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energetika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Peněžnictví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pojišťovnictví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Činnosti v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oblasti nemovitostí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Kulturní, zábavní a</w:t>
            </w:r>
            <w:r w:rsidRPr="00D47653">
              <w:rPr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rekreační činnosti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1272784F" w14:textId="77777777" w:rsidR="0070658E" w:rsidRDefault="0070658E" w:rsidP="006050CF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Poznámka: Saldo </w:t>
            </w:r>
            <w:r>
              <w:rPr>
                <w:rFonts w:cs="Arial"/>
                <w:color w:val="0D0D0D" w:themeColor="text1" w:themeTint="F2"/>
                <w:sz w:val="14"/>
                <w:szCs w:val="14"/>
              </w:rPr>
              <w:t>očekávání vyjadřuje rozdíl v p. b. mezi kategoriemi růst versus pokles zaměstnanosti v nejbližších třech měsících. Údaje jsou sezónně očištěny a vztahují se k druhému měsíci daného čtvrtletí.</w:t>
            </w:r>
          </w:p>
          <w:p w14:paraId="4C7E26AC" w14:textId="77777777" w:rsidR="0070658E" w:rsidRPr="00485ED5" w:rsidRDefault="0070658E" w:rsidP="006050CF">
            <w:pPr>
              <w:spacing w:after="22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Zdroj: ČSÚ (VŠPS, konjunkturální průzkumy)</w:t>
            </w:r>
          </w:p>
        </w:tc>
      </w:tr>
      <w:tr w:rsidR="0070658E" w:rsidRPr="00D82DBD" w14:paraId="24DA7425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3D2C6CA5" w14:textId="77777777" w:rsidR="0070658E" w:rsidRDefault="0070658E" w:rsidP="006050CF">
            <w:pPr>
              <w:pStyle w:val="Marginlie"/>
              <w:spacing w:after="120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Nezaměstnanost se ve 2.</w:t>
            </w:r>
            <w:r>
              <w:rPr>
                <w:spacing w:val="-4"/>
              </w:rPr>
              <w:t> </w:t>
            </w:r>
            <w:r>
              <w:rPr>
                <w:color w:val="0D0D0D" w:themeColor="text1" w:themeTint="F2"/>
                <w:spacing w:val="-5"/>
              </w:rPr>
              <w:t>čtvrtletí při souběžném útlumu vládních stabilizačních programů snížila.</w:t>
            </w:r>
          </w:p>
          <w:p w14:paraId="6C50DAA5" w14:textId="77777777" w:rsidR="0070658E" w:rsidRDefault="0070658E" w:rsidP="00FC077B">
            <w:pPr>
              <w:pStyle w:val="Marginlie"/>
              <w:spacing w:line="240" w:lineRule="auto"/>
              <w:rPr>
                <w:color w:val="0D0D0D" w:themeColor="text1" w:themeTint="F2"/>
                <w:spacing w:val="-5"/>
              </w:rPr>
            </w:pPr>
          </w:p>
          <w:p w14:paraId="74E0CA93" w14:textId="77777777" w:rsidR="0070658E" w:rsidRDefault="0070658E" w:rsidP="00FC077B">
            <w:pPr>
              <w:pStyle w:val="Marginlie"/>
              <w:spacing w:line="240" w:lineRule="auto"/>
              <w:rPr>
                <w:color w:val="0D0D0D" w:themeColor="text1" w:themeTint="F2"/>
                <w:spacing w:val="-5"/>
              </w:rPr>
            </w:pPr>
          </w:p>
          <w:p w14:paraId="6EC85320" w14:textId="77777777" w:rsidR="00FC077B" w:rsidRDefault="00FC077B" w:rsidP="00FC077B">
            <w:pPr>
              <w:pStyle w:val="Marginlie"/>
              <w:spacing w:line="240" w:lineRule="auto"/>
              <w:rPr>
                <w:color w:val="0D0D0D" w:themeColor="text1" w:themeTint="F2"/>
                <w:spacing w:val="-5"/>
              </w:rPr>
            </w:pPr>
          </w:p>
          <w:p w14:paraId="1629D7DB" w14:textId="77777777" w:rsidR="00FC077B" w:rsidRDefault="00FC077B" w:rsidP="00FC077B">
            <w:pPr>
              <w:pStyle w:val="Marginlie"/>
              <w:spacing w:line="240" w:lineRule="auto"/>
              <w:rPr>
                <w:color w:val="0D0D0D" w:themeColor="text1" w:themeTint="F2"/>
                <w:spacing w:val="-5"/>
              </w:rPr>
            </w:pPr>
          </w:p>
          <w:p w14:paraId="5E4AAF51" w14:textId="77777777" w:rsidR="00FC077B" w:rsidRDefault="00FC077B" w:rsidP="00FC077B">
            <w:pPr>
              <w:pStyle w:val="Marginlie"/>
              <w:spacing w:line="240" w:lineRule="auto"/>
              <w:rPr>
                <w:color w:val="0D0D0D" w:themeColor="text1" w:themeTint="F2"/>
                <w:spacing w:val="-5"/>
              </w:rPr>
            </w:pPr>
          </w:p>
          <w:p w14:paraId="7234B08E" w14:textId="77777777" w:rsidR="0070658E" w:rsidRDefault="0070658E" w:rsidP="00FC077B">
            <w:pPr>
              <w:pStyle w:val="Marginlie"/>
              <w:spacing w:line="240" w:lineRule="auto"/>
              <w:rPr>
                <w:color w:val="0D0D0D" w:themeColor="text1" w:themeTint="F2"/>
                <w:spacing w:val="-5"/>
              </w:rPr>
            </w:pPr>
          </w:p>
          <w:p w14:paraId="6A663AA2" w14:textId="77777777" w:rsidR="0070658E" w:rsidRDefault="0070658E" w:rsidP="006050CF">
            <w:pPr>
              <w:pStyle w:val="Marginlie"/>
              <w:spacing w:after="120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lastRenderedPageBreak/>
              <w:t>Počet i podíl dlouhodobě nezaměstnaných se ovšem zvýšil.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6EE44D36" w14:textId="77777777" w:rsidR="0070658E" w:rsidRPr="00EA508C" w:rsidRDefault="0070658E" w:rsidP="006050CF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47731431" w14:textId="77777777" w:rsidR="0070658E" w:rsidRPr="00431E91" w:rsidRDefault="0070658E" w:rsidP="006050CF">
            <w:pPr>
              <w:rPr>
                <w:color w:val="0D0D0D" w:themeColor="text1" w:themeTint="F2"/>
                <w:spacing w:val="-4"/>
              </w:rPr>
            </w:pPr>
            <w:r w:rsidRPr="00431E91">
              <w:rPr>
                <w:color w:val="0D0D0D" w:themeColor="text1" w:themeTint="F2"/>
                <w:spacing w:val="-4"/>
              </w:rPr>
              <w:t>Obecná míra nezaměstnanosti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7"/>
            </w:r>
            <w:r w:rsidRPr="00431E91">
              <w:rPr>
                <w:color w:val="0D0D0D" w:themeColor="text1" w:themeTint="F2"/>
                <w:spacing w:val="-4"/>
              </w:rPr>
              <w:t xml:space="preserve"> (ve věku 15 až 64 let) na počátku roku mírně rostla a letos v březnu dosáhla bezmála čtyřletého maxima (3,5 %). Ve 2. čtvrtletí došlo při plném znovuotevření ekonomiky k pozitivnímu obratu a v červnu již bylo bez práce jen 2,4 % ekonomicky aktivních mužů, resp. 3,5 % žen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8"/>
            </w:r>
            <w:r w:rsidRPr="00431E91">
              <w:rPr>
                <w:color w:val="0D0D0D" w:themeColor="text1" w:themeTint="F2"/>
                <w:spacing w:val="-4"/>
              </w:rPr>
              <w:t>. Výrazné utlumení vládních stabilizačních programů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9"/>
            </w:r>
            <w:r w:rsidRPr="00431E91">
              <w:rPr>
                <w:color w:val="0D0D0D" w:themeColor="text1" w:themeTint="F2"/>
                <w:spacing w:val="-4"/>
              </w:rPr>
              <w:t xml:space="preserve"> se tak v oblasti nezaměstnanosti v tomto období negativně neprojevilo. Ve srovnání s úrovní těsně před pandemií (z února 2020) se více zhoršila pozice žen (+1,6 p. b.) než mužů (+0,6 p. b.). Postavení žen komplikuje fakt, že řada odvětví služeb silně zasažených útlumem poptávky během pandemie se vzpamatovává pomalu a nové pracovníky nabírat zatím neplánuje. I nabídka zkrácených pracovních úvazků patrně zatím nedosáhla úrovně z roku 2019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10"/>
            </w:r>
            <w:r w:rsidRPr="00431E91">
              <w:rPr>
                <w:color w:val="0D0D0D" w:themeColor="text1" w:themeTint="F2"/>
                <w:spacing w:val="-4"/>
              </w:rPr>
              <w:t xml:space="preserve">. Míra nezaměstnanosti mezi mladými do 25 let ale klesla </w:t>
            </w:r>
            <w:r w:rsidRPr="00431E91">
              <w:rPr>
                <w:color w:val="0D0D0D" w:themeColor="text1" w:themeTint="F2"/>
                <w:spacing w:val="-4"/>
              </w:rPr>
              <w:lastRenderedPageBreak/>
              <w:t xml:space="preserve">na 7,0 % (podobně u mužů i žen) a byla tak nejnižší od loňského dubna. Dlouhodobě nezaměstnaných ale meziročně přibylo, jejich podíl na celkové nezaměstnanosti se ve 2. čtvrtletí přiblížil ke 30 %, tedy k běžným hodnotám z konjunkturního roku 2019. Z regionů sužovala celková nezaměstnanost nejvíce Karlovarský kraj (5,6 %), </w:t>
            </w:r>
            <w:r w:rsidRPr="00431E91">
              <w:rPr>
                <w:spacing w:val="-4"/>
              </w:rPr>
              <w:t>což platilo po celé pandemické období.</w:t>
            </w:r>
          </w:p>
        </w:tc>
      </w:tr>
      <w:tr w:rsidR="0070658E" w:rsidRPr="00B43216" w14:paraId="7DF56213" w14:textId="77777777" w:rsidTr="006050CF">
        <w:trPr>
          <w:trHeight w:val="155"/>
        </w:trPr>
        <w:tc>
          <w:tcPr>
            <w:tcW w:w="1792" w:type="dxa"/>
            <w:vMerge w:val="restart"/>
            <w:shd w:val="clear" w:color="auto" w:fill="auto"/>
            <w:tcMar>
              <w:left w:w="0" w:type="dxa"/>
            </w:tcMar>
          </w:tcPr>
          <w:p w14:paraId="6BA668D6" w14:textId="77777777" w:rsidR="0070658E" w:rsidRPr="00B43216" w:rsidRDefault="0070658E" w:rsidP="006050CF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6" w:type="dxa"/>
            <w:vMerge w:val="restart"/>
            <w:shd w:val="clear" w:color="auto" w:fill="auto"/>
            <w:tcMar>
              <w:left w:w="0" w:type="dxa"/>
            </w:tcMar>
          </w:tcPr>
          <w:p w14:paraId="6A10B8D3" w14:textId="77777777" w:rsidR="0070658E" w:rsidRPr="00B43216" w:rsidRDefault="0070658E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1E8F63D3" w14:textId="77777777" w:rsidR="0070658E" w:rsidRPr="00BD4EF4" w:rsidRDefault="0070658E" w:rsidP="006050CF">
            <w:pPr>
              <w:spacing w:after="0"/>
              <w:rPr>
                <w:b/>
                <w:spacing w:val="-2"/>
              </w:rPr>
            </w:pPr>
            <w:r w:rsidRPr="00BD4EF4">
              <w:rPr>
                <w:b/>
                <w:spacing w:val="-2"/>
              </w:rPr>
              <w:t xml:space="preserve">Graf č. 13  </w:t>
            </w:r>
            <w:r w:rsidRPr="00BD4EF4">
              <w:rPr>
                <w:rFonts w:cs="Arial"/>
                <w:b/>
                <w:spacing w:val="-2"/>
              </w:rPr>
              <w:t xml:space="preserve">Obecná míra nezaměstnanosti </w:t>
            </w:r>
            <w:r w:rsidRPr="00BD4EF4">
              <w:rPr>
                <w:rFonts w:cs="Arial"/>
                <w:bCs/>
                <w:spacing w:val="-2"/>
              </w:rPr>
              <w:t>(v %)</w:t>
            </w:r>
            <w:r w:rsidRPr="00BD4EF4">
              <w:rPr>
                <w:rFonts w:cs="Arial"/>
                <w:b/>
                <w:spacing w:val="-2"/>
              </w:rPr>
              <w:t xml:space="preserve">, podíl dlouhodobě nezaměstnaných a osob ve věku do 25 a nad 50 let mezi nezaměstnanými </w:t>
            </w:r>
            <w:r w:rsidRPr="00BD4EF4">
              <w:rPr>
                <w:rFonts w:cs="Arial"/>
                <w:bCs/>
                <w:spacing w:val="-2"/>
              </w:rPr>
              <w:t>(v %)</w:t>
            </w:r>
            <w:r w:rsidRPr="00BD4EF4">
              <w:rPr>
                <w:rFonts w:cs="Arial"/>
                <w:b/>
                <w:spacing w:val="-2"/>
              </w:rPr>
              <w:t xml:space="preserve">, ekonomicky </w:t>
            </w:r>
            <w:r w:rsidRPr="00C172F7">
              <w:rPr>
                <w:rFonts w:cs="Arial"/>
                <w:b/>
              </w:rPr>
              <w:t xml:space="preserve">neaktivní chtějící pracovat </w:t>
            </w:r>
            <w:r w:rsidRPr="00C172F7">
              <w:rPr>
                <w:rFonts w:cs="Arial"/>
                <w:bCs/>
              </w:rPr>
              <w:t xml:space="preserve">(v tis.)* </w:t>
            </w:r>
            <w:r w:rsidRPr="00C172F7">
              <w:rPr>
                <w:rFonts w:cs="Arial"/>
                <w:b/>
                <w:bCs/>
              </w:rPr>
              <w:t>a očekávání nezaměstnanosti u domácností</w:t>
            </w:r>
            <w:r w:rsidRPr="00C172F7">
              <w:rPr>
                <w:rFonts w:cs="Arial"/>
                <w:bCs/>
              </w:rPr>
              <w:t xml:space="preserve"> (v p. b.)**</w:t>
            </w:r>
          </w:p>
        </w:tc>
      </w:tr>
      <w:tr w:rsidR="0070658E" w:rsidRPr="00B43216" w14:paraId="001FD98F" w14:textId="77777777" w:rsidTr="006050CF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92" w:type="dxa"/>
            <w:vMerge/>
            <w:shd w:val="clear" w:color="auto" w:fill="auto"/>
          </w:tcPr>
          <w:p w14:paraId="49C07D98" w14:textId="77777777" w:rsidR="0070658E" w:rsidRPr="00B43216" w:rsidRDefault="0070658E" w:rsidP="006050CF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6" w:type="dxa"/>
            <w:vMerge/>
            <w:shd w:val="clear" w:color="auto" w:fill="auto"/>
          </w:tcPr>
          <w:p w14:paraId="789F1272" w14:textId="77777777" w:rsidR="0070658E" w:rsidRPr="00B43216" w:rsidRDefault="0070658E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</w:tcPr>
          <w:p w14:paraId="0993A4A4" w14:textId="77777777" w:rsidR="0070658E" w:rsidRPr="00B43216" w:rsidRDefault="0070658E" w:rsidP="006050CF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77425A8C" wp14:editId="4798B6E1">
                  <wp:extent cx="4752975" cy="3476625"/>
                  <wp:effectExtent l="0" t="0" r="0" b="0"/>
                  <wp:docPr id="29" name="Graf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70658E" w:rsidRPr="00B43216" w14:paraId="118E7BF1" w14:textId="77777777" w:rsidTr="006050CF">
        <w:trPr>
          <w:trHeight w:val="671"/>
        </w:trPr>
        <w:tc>
          <w:tcPr>
            <w:tcW w:w="1792" w:type="dxa"/>
            <w:vMerge/>
            <w:shd w:val="clear" w:color="auto" w:fill="auto"/>
            <w:tcMar>
              <w:left w:w="0" w:type="dxa"/>
            </w:tcMar>
          </w:tcPr>
          <w:p w14:paraId="60E9FC58" w14:textId="77777777" w:rsidR="0070658E" w:rsidRPr="00B43216" w:rsidRDefault="0070658E" w:rsidP="006050CF">
            <w:pPr>
              <w:pStyle w:val="Marginlie"/>
              <w:rPr>
                <w:spacing w:val="-4"/>
              </w:rPr>
            </w:pPr>
          </w:p>
        </w:tc>
        <w:tc>
          <w:tcPr>
            <w:tcW w:w="216" w:type="dxa"/>
            <w:vMerge/>
            <w:shd w:val="clear" w:color="auto" w:fill="auto"/>
            <w:tcMar>
              <w:left w:w="0" w:type="dxa"/>
            </w:tcMar>
          </w:tcPr>
          <w:p w14:paraId="0B829B0F" w14:textId="77777777" w:rsidR="0070658E" w:rsidRPr="00B43216" w:rsidRDefault="0070658E" w:rsidP="006050CF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2C833D35" w14:textId="77777777" w:rsidR="0070658E" w:rsidRPr="004E68B1" w:rsidRDefault="0070658E" w:rsidP="006050CF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Pozn.: Údaje o míře nezaměstnanosti jsou po sezónním oči</w:t>
            </w: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štění, ostatní ukazatele nikoli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.</w:t>
            </w:r>
          </w:p>
          <w:p w14:paraId="41CFDAEB" w14:textId="77777777" w:rsidR="0070658E" w:rsidRDefault="0070658E" w:rsidP="006050CF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4E68B1"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Jde o osoby, které nepracují, aktivně práci nehledají,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 xml:space="preserve"> ale přitom uvádějí, že by chtěly pracovat.</w:t>
            </w:r>
          </w:p>
          <w:p w14:paraId="5E0E39D8" w14:textId="77777777" w:rsidR="0070658E" w:rsidRDefault="0070658E" w:rsidP="006050CF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**Sezónně očištěné saldo očekávání nezaměstnanosti v nejbližších 12 měsících (rozdíl mezi procentuální četností odpovědí domácností růst a pokles vyjádřený v procentních bodech). Vztahuje se k prostřednímu měsíci daného čtvrtletí.</w:t>
            </w:r>
          </w:p>
          <w:p w14:paraId="62CDF074" w14:textId="77777777" w:rsidR="0070658E" w:rsidRPr="00485ED5" w:rsidRDefault="0070658E" w:rsidP="006050CF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 (VŠPS, konjunkturální průzkum)</w:t>
            </w:r>
          </w:p>
        </w:tc>
      </w:tr>
      <w:tr w:rsidR="00866074" w:rsidRPr="00191C35" w14:paraId="540F18B6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22359250" w14:textId="77777777" w:rsidR="00866074" w:rsidRDefault="00866074" w:rsidP="006050CF">
            <w:pPr>
              <w:pStyle w:val="Marginlie"/>
              <w:spacing w:after="120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Obavy lidí z růstu nezaměstnanosti se ve 2.</w:t>
            </w:r>
            <w:r>
              <w:rPr>
                <w:spacing w:val="-4"/>
              </w:rPr>
              <w:t> </w:t>
            </w:r>
            <w:r>
              <w:rPr>
                <w:color w:val="0D0D0D" w:themeColor="text1" w:themeTint="F2"/>
                <w:spacing w:val="-5"/>
              </w:rPr>
              <w:t>čtvrtletí snížily na úroveň viditelnou v období před pandemií.</w:t>
            </w:r>
          </w:p>
          <w:p w14:paraId="7C3ABEA8" w14:textId="77777777" w:rsidR="00866074" w:rsidRDefault="00866074" w:rsidP="00FC077B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74B12AB0" w14:textId="77777777" w:rsidR="00FC077B" w:rsidRDefault="00FC077B" w:rsidP="00FC077B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4BBFA549" w14:textId="77777777" w:rsidR="00866074" w:rsidRDefault="00866074" w:rsidP="006050CF">
            <w:pPr>
              <w:pStyle w:val="Marginlie"/>
              <w:spacing w:after="120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Větší převis uchazečů o práci nad volnými místy hlásily zpravidla jen okresy postižené útlumem těžby uhlí.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1234CB65" w14:textId="77777777" w:rsidR="00866074" w:rsidRPr="00EA508C" w:rsidRDefault="00866074" w:rsidP="006050CF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0E6BAE6C" w14:textId="77777777" w:rsidR="00866074" w:rsidRPr="00431E91" w:rsidRDefault="00866074" w:rsidP="006050CF">
            <w:pPr>
              <w:rPr>
                <w:color w:val="0D0D0D" w:themeColor="text1" w:themeTint="F2"/>
                <w:spacing w:val="-4"/>
              </w:rPr>
            </w:pPr>
            <w:r w:rsidRPr="00431E91">
              <w:rPr>
                <w:color w:val="0D0D0D" w:themeColor="text1" w:themeTint="F2"/>
                <w:spacing w:val="-4"/>
              </w:rPr>
              <w:t>Obavy domácností z růstu nezaměstnanosti (v nejbližších dvanácti měsících) během 2. čtvrtletí prudce oslabily a vrátily se na nízkou úroveň ze 2. poloviny roku 2019. Letošní prázdninové období tento stav jen stvrdilo. Oživení na trhu práce dokládá i rostoucí počet volných pracovních míst. Na konci července 2021 nabízely úřady práce v ČR 385 tis. pozic, meziročně o 24 tis. více (resp. o 12 tis.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11"/>
            </w:r>
            <w:r w:rsidRPr="00431E91">
              <w:rPr>
                <w:color w:val="0D0D0D" w:themeColor="text1" w:themeTint="F2"/>
                <w:spacing w:val="-4"/>
              </w:rPr>
              <w:t xml:space="preserve"> více než ve stejném měsíci roku 2019). Ačkoli počet dlouhodobě neobsazených míst zůstává vysoký, jejich podíl na celkové nabídce práce byl nejnižší za posledních jedenáct čtvrtletí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12"/>
            </w:r>
            <w:r w:rsidRPr="00431E91">
              <w:rPr>
                <w:color w:val="0D0D0D" w:themeColor="text1" w:themeTint="F2"/>
                <w:spacing w:val="-4"/>
              </w:rPr>
              <w:t>. Podíl míst s minimálními kvalifikačními nároky dále stoupal, základní vzdělání tak postačovalo uchazečům již u 74 % nabízených pozic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13"/>
            </w:r>
            <w:r w:rsidRPr="00431E91">
              <w:rPr>
                <w:color w:val="0D0D0D" w:themeColor="text1" w:themeTint="F2"/>
                <w:spacing w:val="-4"/>
              </w:rPr>
              <w:t>. To souviselo s rychlým pokrizovým oživením v průmyslu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14"/>
            </w:r>
            <w:r w:rsidRPr="00431E91">
              <w:rPr>
                <w:color w:val="0D0D0D" w:themeColor="text1" w:themeTint="F2"/>
                <w:spacing w:val="-4"/>
              </w:rPr>
              <w:t xml:space="preserve">. Ve srovnání s loňským červencem se ovšem mírně rozšířila rovněž nabídka pro uchazeče s maturitním a vyšším vzděláním (+2,5 tis. míst). Ve většině okresů přetrvával převis nabízených míst nad počtem </w:t>
            </w:r>
            <w:r w:rsidRPr="00431E91">
              <w:rPr>
                <w:color w:val="0D0D0D" w:themeColor="text1" w:themeTint="F2"/>
                <w:spacing w:val="-4"/>
              </w:rPr>
              <w:lastRenderedPageBreak/>
              <w:t>registrovaných uchazečů o práci. Ztíženou pozici měli naopak nezaměstnaní hlavně v Moravskoslezském a Ústeckém kraji, zejména v oblastech s útlumem těžby uhlí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15"/>
            </w:r>
            <w:r w:rsidRPr="00431E91">
              <w:rPr>
                <w:color w:val="0D0D0D" w:themeColor="text1" w:themeTint="F2"/>
                <w:spacing w:val="-4"/>
              </w:rPr>
              <w:t>.</w:t>
            </w:r>
          </w:p>
        </w:tc>
      </w:tr>
      <w:tr w:rsidR="00866074" w:rsidRPr="00191C35" w14:paraId="5558B548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6233CFCA" w14:textId="77777777" w:rsidR="00866074" w:rsidRDefault="00866074" w:rsidP="006050CF">
            <w:pPr>
              <w:pStyle w:val="Marginlie"/>
              <w:spacing w:after="120"/>
            </w:pPr>
            <w:r>
              <w:lastRenderedPageBreak/>
              <w:t>Silný loňský růst počtu ekonomicky neaktivních se letos zastavil.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78B751C5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2BC8E728" w14:textId="77777777" w:rsidR="00866074" w:rsidRPr="008A4534" w:rsidRDefault="00866074" w:rsidP="00FC077B">
            <w:pPr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Růst počtu ekonomicky neaktivních osob se po silném loňském vzedmutí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6"/>
            </w:r>
            <w:r>
              <w:rPr>
                <w:color w:val="0D0D0D" w:themeColor="text1" w:themeTint="F2"/>
                <w:spacing w:val="-4"/>
              </w:rPr>
              <w:t xml:space="preserve"> zastavil. V 1. i 2. čtvrtletí jejich počet meziročně stagnoval. K návratu na předkrizovou úroveň by pomohla vyšší nabídka flexibilnějších forem pracovních úvazků cílená zejména na potenciální pracovníky v obou krajních věkových spektrech produktivního věku. </w:t>
            </w:r>
            <w:r w:rsidRPr="00630775">
              <w:rPr>
                <w:spacing w:val="-4"/>
              </w:rPr>
              <w:t>Počet všech neaktivních nehledajících práci, ale chtějících pracovat</w:t>
            </w:r>
            <w:r>
              <w:rPr>
                <w:spacing w:val="-4"/>
              </w:rPr>
              <w:t xml:space="preserve"> činil ve 2. čtvrtletí 114 tis. osob</w:t>
            </w:r>
            <w:r>
              <w:rPr>
                <w:rStyle w:val="Znakapoznpodarou"/>
                <w:spacing w:val="-4"/>
              </w:rPr>
              <w:footnoteReference w:id="17"/>
            </w:r>
            <w:r>
              <w:rPr>
                <w:spacing w:val="-4"/>
              </w:rPr>
              <w:t xml:space="preserve"> a meziročně se mírně zvýšil podruhé v řadě.</w:t>
            </w:r>
          </w:p>
        </w:tc>
      </w:tr>
      <w:tr w:rsidR="00866074" w:rsidRPr="00191C35" w14:paraId="29A8DEE3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472F7D7F" w14:textId="77777777" w:rsidR="00866074" w:rsidRDefault="00866074" w:rsidP="006050CF">
            <w:pPr>
              <w:pStyle w:val="Marginlie"/>
              <w:spacing w:after="120"/>
            </w:pPr>
            <w:r>
              <w:t>Meziroční růst průměrné mzdy ve 2. čtvrtletí vlivem mimořádných faktorů akceleroval.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03EE5206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68CD5E55" w14:textId="77777777" w:rsidR="00866074" w:rsidRPr="00647EE5" w:rsidRDefault="00866074" w:rsidP="00FC077B">
            <w:pPr>
              <w:rPr>
                <w:spacing w:val="-4"/>
              </w:rPr>
            </w:pPr>
            <w:r w:rsidRPr="00647EE5">
              <w:rPr>
                <w:spacing w:val="-4"/>
              </w:rPr>
              <w:t>Mzdový růst v ekonomice byl během pandemické</w:t>
            </w:r>
            <w:r>
              <w:rPr>
                <w:spacing w:val="-4"/>
              </w:rPr>
              <w:t>ho</w:t>
            </w:r>
            <w:r w:rsidRPr="00647EE5">
              <w:rPr>
                <w:spacing w:val="-4"/>
              </w:rPr>
              <w:t xml:space="preserve"> období rozkolísaný, především vlivem rozdílného počtu odpracovaných hodin. Zatímco v 1.</w:t>
            </w:r>
            <w:r>
              <w:rPr>
                <w:spacing w:val="-4"/>
              </w:rPr>
              <w:t> čtvrtlet</w:t>
            </w:r>
            <w:r w:rsidRPr="00647EE5">
              <w:rPr>
                <w:spacing w:val="-4"/>
              </w:rPr>
              <w:t>í 2021 se průměrná mzda ve srovnání s ještě standardní loňskou základnou zvýšila nominálně o</w:t>
            </w:r>
            <w:r>
              <w:rPr>
                <w:spacing w:val="-4"/>
              </w:rPr>
              <w:t> </w:t>
            </w:r>
            <w:r w:rsidRPr="00647EE5">
              <w:rPr>
                <w:spacing w:val="-4"/>
              </w:rPr>
              <w:t>3,3</w:t>
            </w:r>
            <w:r>
              <w:rPr>
                <w:spacing w:val="-4"/>
              </w:rPr>
              <w:t> %</w:t>
            </w:r>
            <w:r w:rsidRPr="00647EE5">
              <w:rPr>
                <w:spacing w:val="-4"/>
              </w:rPr>
              <w:t>, ve 2.</w:t>
            </w:r>
            <w:r>
              <w:rPr>
                <w:spacing w:val="-4"/>
              </w:rPr>
              <w:t> čtvrtlet</w:t>
            </w:r>
            <w:r w:rsidRPr="00647EE5">
              <w:rPr>
                <w:spacing w:val="-4"/>
              </w:rPr>
              <w:t>í její tempo akcelerovalo na 11,3</w:t>
            </w:r>
            <w:r>
              <w:rPr>
                <w:spacing w:val="-4"/>
              </w:rPr>
              <w:t> %</w:t>
            </w:r>
            <w:r w:rsidRPr="00647EE5">
              <w:rPr>
                <w:spacing w:val="-4"/>
              </w:rPr>
              <w:t xml:space="preserve">. Hrubá měsíční mzda tak činila </w:t>
            </w:r>
            <w:r w:rsidRPr="00647EE5">
              <w:rPr>
                <w:rFonts w:cs="Arial"/>
                <w:bCs/>
              </w:rPr>
              <w:t>38 275</w:t>
            </w:r>
            <w:r>
              <w:rPr>
                <w:rFonts w:cs="Arial"/>
                <w:bCs/>
              </w:rPr>
              <w:t> </w:t>
            </w:r>
            <w:r w:rsidRPr="00647EE5">
              <w:rPr>
                <w:rFonts w:cs="Arial"/>
                <w:bCs/>
              </w:rPr>
              <w:t xml:space="preserve">korun. </w:t>
            </w:r>
            <w:r w:rsidRPr="00647EE5">
              <w:rPr>
                <w:bCs/>
                <w:spacing w:val="-4"/>
              </w:rPr>
              <w:t>I</w:t>
            </w:r>
            <w:r>
              <w:rPr>
                <w:bCs/>
                <w:spacing w:val="-4"/>
              </w:rPr>
              <w:t> </w:t>
            </w:r>
            <w:r w:rsidRPr="00647EE5">
              <w:rPr>
                <w:bCs/>
                <w:spacing w:val="-4"/>
              </w:rPr>
              <w:t>po zohlednění svižného růstu spotřebitelských cen se mzda reálně zvýšila o rekordních 8,2</w:t>
            </w:r>
            <w:r w:rsidRPr="00647EE5">
              <w:rPr>
                <w:rFonts w:cs="Arial"/>
                <w:bCs/>
                <w:spacing w:val="-4"/>
              </w:rPr>
              <w:t> </w:t>
            </w:r>
            <w:r w:rsidRPr="00647EE5">
              <w:rPr>
                <w:bCs/>
                <w:spacing w:val="-4"/>
              </w:rPr>
              <w:t xml:space="preserve">%. Evidenční počet zaměstnanců </w:t>
            </w:r>
            <w:r>
              <w:rPr>
                <w:bCs/>
                <w:spacing w:val="-4"/>
              </w:rPr>
              <w:t xml:space="preserve">souběžně </w:t>
            </w:r>
            <w:r w:rsidRPr="00647EE5">
              <w:rPr>
                <w:bCs/>
                <w:spacing w:val="-4"/>
              </w:rPr>
              <w:t>narostl (o</w:t>
            </w:r>
            <w:r>
              <w:rPr>
                <w:bCs/>
                <w:spacing w:val="-4"/>
              </w:rPr>
              <w:t> </w:t>
            </w:r>
            <w:r w:rsidRPr="00647EE5">
              <w:rPr>
                <w:bCs/>
                <w:spacing w:val="-4"/>
              </w:rPr>
              <w:t>0,7</w:t>
            </w:r>
            <w:r>
              <w:rPr>
                <w:bCs/>
                <w:spacing w:val="-4"/>
              </w:rPr>
              <w:t> %</w:t>
            </w:r>
            <w:r w:rsidRPr="00647EE5">
              <w:rPr>
                <w:bCs/>
                <w:spacing w:val="-4"/>
              </w:rPr>
              <w:t>, resp. 29</w:t>
            </w:r>
            <w:r>
              <w:rPr>
                <w:bCs/>
                <w:spacing w:val="-4"/>
              </w:rPr>
              <w:t> tis.</w:t>
            </w:r>
            <w:r w:rsidRPr="00647EE5">
              <w:rPr>
                <w:bCs/>
                <w:spacing w:val="-4"/>
              </w:rPr>
              <w:t>), poprvé od počátku roku 2019. Výrazně nerovnoměrný dopad pandemické krize, rozdílná rychlost následného hospodářského oživení, jakož i</w:t>
            </w:r>
            <w:r>
              <w:rPr>
                <w:bCs/>
                <w:spacing w:val="-4"/>
              </w:rPr>
              <w:t> </w:t>
            </w:r>
            <w:r w:rsidRPr="00647EE5">
              <w:rPr>
                <w:bCs/>
                <w:spacing w:val="-4"/>
              </w:rPr>
              <w:t>způsob odměňování v rozpočtové sféře vedly k tomu, že mzdové rozdíly mezi odvětvími a</w:t>
            </w:r>
            <w:r>
              <w:rPr>
                <w:bCs/>
                <w:spacing w:val="-4"/>
              </w:rPr>
              <w:t> </w:t>
            </w:r>
            <w:r w:rsidRPr="00647EE5">
              <w:rPr>
                <w:bCs/>
                <w:spacing w:val="-4"/>
              </w:rPr>
              <w:t>patrně i</w:t>
            </w:r>
            <w:r>
              <w:rPr>
                <w:bCs/>
                <w:spacing w:val="-4"/>
              </w:rPr>
              <w:t> </w:t>
            </w:r>
            <w:r w:rsidRPr="00647EE5">
              <w:rPr>
                <w:bCs/>
                <w:spacing w:val="-4"/>
              </w:rPr>
              <w:t>uvnitř mnohých z nich se prohloubily.</w:t>
            </w:r>
          </w:p>
        </w:tc>
      </w:tr>
      <w:tr w:rsidR="00866074" w:rsidRPr="00191C35" w14:paraId="0884092F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4E7B758B" w14:textId="77777777" w:rsidR="00866074" w:rsidRDefault="00866074" w:rsidP="006050CF">
            <w:pPr>
              <w:pStyle w:val="Marginlie"/>
              <w:spacing w:after="120"/>
            </w:pPr>
            <w:r>
              <w:t>Mezikvartální růst průměrné mzdy se mírně zvýšil.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71592F7B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057F87A9" w14:textId="77777777" w:rsidR="00866074" w:rsidRPr="009E7043" w:rsidRDefault="00866074" w:rsidP="00FC077B">
            <w:pPr>
              <w:rPr>
                <w:bCs/>
                <w:spacing w:val="-4"/>
              </w:rPr>
            </w:pPr>
            <w:r w:rsidRPr="009E7043">
              <w:rPr>
                <w:rFonts w:cs="Arial"/>
                <w:spacing w:val="-4"/>
              </w:rPr>
              <w:t>Průměrná mzda po očištění od sezónních vlivů vzrostla oproti 1.</w:t>
            </w:r>
            <w:r>
              <w:rPr>
                <w:rFonts w:cs="Arial"/>
                <w:spacing w:val="-4"/>
              </w:rPr>
              <w:t> čtvrtlet</w:t>
            </w:r>
            <w:r w:rsidRPr="009E7043">
              <w:rPr>
                <w:rFonts w:cs="Arial"/>
                <w:spacing w:val="-4"/>
              </w:rPr>
              <w:t>í 2021 o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1,2</w:t>
            </w:r>
            <w:r>
              <w:rPr>
                <w:rFonts w:cs="Arial"/>
                <w:spacing w:val="-4"/>
              </w:rPr>
              <w:t> %</w:t>
            </w:r>
            <w:r w:rsidRPr="009E7043">
              <w:rPr>
                <w:rFonts w:cs="Arial"/>
                <w:spacing w:val="-4"/>
              </w:rPr>
              <w:t>, tedy nepatrně více než v předchozích dvou kvartálech (0,9</w:t>
            </w:r>
            <w:r>
              <w:rPr>
                <w:rFonts w:cs="Arial"/>
                <w:spacing w:val="-4"/>
              </w:rPr>
              <w:t> %</w:t>
            </w:r>
            <w:r w:rsidRPr="009E7043">
              <w:rPr>
                <w:rFonts w:cs="Arial"/>
                <w:spacing w:val="-4"/>
              </w:rPr>
              <w:t>, 1,1</w:t>
            </w:r>
            <w:r>
              <w:rPr>
                <w:rFonts w:cs="Arial"/>
                <w:spacing w:val="-4"/>
              </w:rPr>
              <w:t> %</w:t>
            </w:r>
            <w:r w:rsidRPr="009E7043">
              <w:rPr>
                <w:rFonts w:cs="Arial"/>
                <w:spacing w:val="-4"/>
              </w:rPr>
              <w:t>). Částečně se projevil efekt ústupu pandemie a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návratu většiny provozoven obchodů i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dalších služeb k běžnému režimu.</w:t>
            </w:r>
            <w:r w:rsidRPr="009E7043">
              <w:rPr>
                <w:bCs/>
                <w:spacing w:val="-4"/>
              </w:rPr>
              <w:t xml:space="preserve"> </w:t>
            </w:r>
            <w:r w:rsidRPr="009E7043">
              <w:rPr>
                <w:rFonts w:cs="Arial"/>
                <w:spacing w:val="-4"/>
              </w:rPr>
              <w:t>Počet odpracovaných hodin u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zaměstnanců ve 2.</w:t>
            </w:r>
            <w:r>
              <w:rPr>
                <w:rFonts w:cs="Arial"/>
                <w:spacing w:val="-4"/>
              </w:rPr>
              <w:t> čtvrtlet</w:t>
            </w:r>
            <w:r w:rsidRPr="009E7043">
              <w:rPr>
                <w:rFonts w:cs="Arial"/>
                <w:spacing w:val="-4"/>
              </w:rPr>
              <w:t>í ovšem</w:t>
            </w:r>
            <w:r>
              <w:rPr>
                <w:rFonts w:cs="Arial"/>
                <w:spacing w:val="-4"/>
              </w:rPr>
              <w:t xml:space="preserve"> stále zaostával z</w:t>
            </w:r>
            <w:r w:rsidRPr="009E7043">
              <w:rPr>
                <w:rFonts w:cs="Arial"/>
                <w:spacing w:val="-4"/>
              </w:rPr>
              <w:t>a předkrizovou úrovní (z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2. čtvrtletí 2019) o</w:t>
            </w:r>
            <w:r w:rsidRPr="009E7043">
              <w:rPr>
                <w:rFonts w:cs="Arial"/>
                <w:spacing w:val="-2"/>
              </w:rPr>
              <w:t> </w:t>
            </w:r>
            <w:r w:rsidRPr="009E7043">
              <w:rPr>
                <w:rFonts w:cs="Arial"/>
                <w:spacing w:val="-4"/>
              </w:rPr>
              <w:t>3,5</w:t>
            </w:r>
            <w:r>
              <w:rPr>
                <w:rFonts w:cs="Arial"/>
                <w:spacing w:val="-4"/>
              </w:rPr>
              <w:t> %</w:t>
            </w:r>
            <w:r>
              <w:rPr>
                <w:rStyle w:val="Znakapoznpodarou"/>
                <w:spacing w:val="-4"/>
              </w:rPr>
              <w:footnoteReference w:id="18"/>
            </w:r>
            <w:r w:rsidRPr="009E7043">
              <w:rPr>
                <w:rFonts w:cs="Arial"/>
                <w:spacing w:val="-4"/>
              </w:rPr>
              <w:t>. Zvláště patrné to bylo v odvětví těsně spjatém s cestovním ruchem – v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 xml:space="preserve">obchodě, </w:t>
            </w:r>
            <w:r>
              <w:rPr>
                <w:rFonts w:cs="Arial"/>
                <w:spacing w:val="-4"/>
              </w:rPr>
              <w:t xml:space="preserve">dopravě, </w:t>
            </w:r>
            <w:r w:rsidRPr="009E7043">
              <w:rPr>
                <w:rFonts w:cs="Arial"/>
                <w:spacing w:val="-4"/>
              </w:rPr>
              <w:t>pohostinství a</w:t>
            </w:r>
            <w:r w:rsidRPr="009E7043">
              <w:rPr>
                <w:rFonts w:cs="Arial"/>
                <w:spacing w:val="-2"/>
              </w:rPr>
              <w:t> </w:t>
            </w:r>
            <w:r w:rsidRPr="009E7043">
              <w:rPr>
                <w:rFonts w:cs="Arial"/>
                <w:spacing w:val="-4"/>
              </w:rPr>
              <w:t>ubytování (10</w:t>
            </w:r>
            <w:r>
              <w:rPr>
                <w:rFonts w:cs="Arial"/>
                <w:spacing w:val="-4"/>
              </w:rPr>
              <w:t> %</w:t>
            </w:r>
            <w:r w:rsidRPr="009E7043">
              <w:rPr>
                <w:rFonts w:cs="Arial"/>
                <w:spacing w:val="-4"/>
              </w:rPr>
              <w:t>), dále v t</w:t>
            </w:r>
            <w:r>
              <w:rPr>
                <w:rFonts w:cs="Arial"/>
                <w:spacing w:val="-4"/>
              </w:rPr>
              <w:t>akzvaných</w:t>
            </w:r>
            <w:r w:rsidRPr="009E7043">
              <w:rPr>
                <w:rFonts w:cs="Arial"/>
                <w:spacing w:val="-4"/>
              </w:rPr>
              <w:t xml:space="preserve"> ostatních službách (např. kadeřnictví, opravy výrobků pro domácnosti, 18</w:t>
            </w:r>
            <w:r>
              <w:rPr>
                <w:rFonts w:cs="Arial"/>
                <w:spacing w:val="-4"/>
              </w:rPr>
              <w:t> %</w:t>
            </w:r>
            <w:r w:rsidRPr="009E7043">
              <w:rPr>
                <w:rFonts w:cs="Arial"/>
                <w:spacing w:val="-4"/>
              </w:rPr>
              <w:t>) a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v menší míře i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ve finančnictví či zpracovatelském průmyslu.</w:t>
            </w:r>
          </w:p>
        </w:tc>
      </w:tr>
      <w:tr w:rsidR="00866074" w:rsidRPr="00191C35" w14:paraId="49D607F4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4C60F8AF" w14:textId="77777777" w:rsidR="00866074" w:rsidRDefault="00866074" w:rsidP="006050CF">
            <w:pPr>
              <w:pStyle w:val="Marginlie"/>
              <w:spacing w:after="120"/>
            </w:pPr>
            <w:r>
              <w:t>Mzdové tempo ovlivňoval mix protisměrně působících faktorů.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3F313CA6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5EF0756F" w14:textId="77777777" w:rsidR="00866074" w:rsidRPr="00647EE5" w:rsidRDefault="00866074" w:rsidP="00FC077B">
            <w:pPr>
              <w:rPr>
                <w:rFonts w:cs="Arial"/>
                <w:spacing w:val="-4"/>
              </w:rPr>
            </w:pPr>
            <w:r w:rsidRPr="009E7043">
              <w:rPr>
                <w:rFonts w:cs="Arial"/>
                <w:spacing w:val="-4"/>
              </w:rPr>
              <w:t>Prorůstově působilo na výši mezd napětí na pracovním trhu spojené s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nízkou nezaměstnaností a vysokým počtem dlouhodobě neobsazených pracovních míst. Nedostatek zaměstnanců tak limitoval produkci v řadě významných odvětví. Opačný vliv mělo patrně snížení efektivního zdanění u pracovníků, jež firmám umožnilo udržet vysokou zaměstnanost při nižším tlaku na růst nákladů práce. Část zaměstnavatelů zejména v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tržních odvětvích tak zohlednila fakt, že lidem stoupnou čisté výdělky i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bez zvyšování hrubých</w:t>
            </w:r>
            <w:r>
              <w:rPr>
                <w:rFonts w:cs="Arial"/>
                <w:spacing w:val="-4"/>
              </w:rPr>
              <w:t xml:space="preserve"> </w:t>
            </w:r>
            <w:r w:rsidRPr="009E7043">
              <w:rPr>
                <w:rFonts w:cs="Arial"/>
                <w:spacing w:val="-4"/>
              </w:rPr>
              <w:t>mezd. Mzdovou úroveň navíc stále ovlivňoval i</w:t>
            </w:r>
            <w:r>
              <w:rPr>
                <w:rFonts w:cs="Arial"/>
                <w:spacing w:val="-4"/>
              </w:rPr>
              <w:t> </w:t>
            </w:r>
            <w:r w:rsidRPr="009E7043">
              <w:rPr>
                <w:rFonts w:cs="Arial"/>
                <w:spacing w:val="-4"/>
              </w:rPr>
              <w:t>výpadek mzdy zaměstnanců pobírajících ošetřovné či náhradu mzdy během karantény.</w:t>
            </w:r>
          </w:p>
        </w:tc>
      </w:tr>
      <w:tr w:rsidR="00866074" w:rsidRPr="00191C35" w14:paraId="659D091F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32FBF34F" w14:textId="77777777" w:rsidR="00866074" w:rsidRDefault="00866074" w:rsidP="006050CF">
            <w:pPr>
              <w:pStyle w:val="Marginlie"/>
              <w:spacing w:after="120"/>
            </w:pPr>
            <w:r>
              <w:t>Bezprecedentní mzdový růst ve zdravotní a sociální péči souvisel s výplatou mimořádných odměn.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06B1E51C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71AF1A9E" w14:textId="77777777" w:rsidR="00866074" w:rsidRPr="00605AA3" w:rsidRDefault="00866074" w:rsidP="00FC077B">
            <w:pPr>
              <w:rPr>
                <w:rFonts w:cs="Arial"/>
                <w:spacing w:val="-3"/>
              </w:rPr>
            </w:pPr>
            <w:r>
              <w:rPr>
                <w:bCs/>
                <w:spacing w:val="-3"/>
              </w:rPr>
              <w:t>V meziročním srovnání</w:t>
            </w:r>
            <w:r w:rsidRPr="009E7043">
              <w:rPr>
                <w:bCs/>
                <w:spacing w:val="-3"/>
              </w:rPr>
              <w:t xml:space="preserve"> se </w:t>
            </w:r>
            <w:r>
              <w:rPr>
                <w:bCs/>
                <w:spacing w:val="-3"/>
              </w:rPr>
              <w:t xml:space="preserve">ve 2. čtvrtletí </w:t>
            </w:r>
            <w:r w:rsidRPr="009E7043">
              <w:rPr>
                <w:bCs/>
                <w:spacing w:val="-3"/>
              </w:rPr>
              <w:t>projevila nízká srovnávací základna</w:t>
            </w:r>
            <w:r>
              <w:rPr>
                <w:bCs/>
                <w:spacing w:val="-3"/>
              </w:rPr>
              <w:t xml:space="preserve"> mezd</w:t>
            </w:r>
            <w:r w:rsidRPr="009E7043">
              <w:rPr>
                <w:bCs/>
                <w:spacing w:val="-3"/>
              </w:rPr>
              <w:t>, a</w:t>
            </w:r>
            <w:r>
              <w:rPr>
                <w:bCs/>
                <w:spacing w:val="-3"/>
              </w:rPr>
              <w:t> </w:t>
            </w:r>
            <w:r w:rsidRPr="009E7043">
              <w:rPr>
                <w:bCs/>
                <w:spacing w:val="-3"/>
              </w:rPr>
              <w:t xml:space="preserve">to </w:t>
            </w:r>
            <w:r w:rsidRPr="009E7043">
              <w:rPr>
                <w:rFonts w:cs="Arial"/>
                <w:spacing w:val="-3"/>
              </w:rPr>
              <w:t>vinou loňské uzávěry části ekonomiky a</w:t>
            </w:r>
            <w:r>
              <w:rPr>
                <w:rFonts w:cs="Arial"/>
                <w:spacing w:val="-3"/>
              </w:rPr>
              <w:t> </w:t>
            </w:r>
            <w:r w:rsidRPr="009E7043">
              <w:rPr>
                <w:rFonts w:cs="Arial"/>
                <w:spacing w:val="-3"/>
              </w:rPr>
              <w:t xml:space="preserve">propadu celkového počtu odpracovaných hodin </w:t>
            </w:r>
            <w:r>
              <w:rPr>
                <w:rFonts w:cs="Arial"/>
                <w:spacing w:val="-3"/>
              </w:rPr>
              <w:t>u</w:t>
            </w:r>
            <w:r w:rsidRPr="009E7043">
              <w:rPr>
                <w:rFonts w:cs="Arial"/>
                <w:spacing w:val="-3"/>
              </w:rPr>
              <w:t> zaměstnanců – meziročně o</w:t>
            </w:r>
            <w:r>
              <w:rPr>
                <w:rFonts w:cs="Arial"/>
                <w:spacing w:val="-3"/>
              </w:rPr>
              <w:t> </w:t>
            </w:r>
            <w:r w:rsidRPr="009E7043">
              <w:rPr>
                <w:rFonts w:cs="Arial"/>
                <w:spacing w:val="-3"/>
              </w:rPr>
              <w:t>rovných 10</w:t>
            </w:r>
            <w:r>
              <w:rPr>
                <w:rFonts w:cs="Arial"/>
                <w:spacing w:val="-3"/>
              </w:rPr>
              <w:t> %</w:t>
            </w:r>
            <w:r w:rsidRPr="009E7043">
              <w:rPr>
                <w:rFonts w:cs="Arial"/>
                <w:spacing w:val="-3"/>
              </w:rPr>
              <w:t>. S pandemií těsně souvisí i</w:t>
            </w:r>
            <w:r>
              <w:rPr>
                <w:rFonts w:cs="Arial"/>
                <w:spacing w:val="-3"/>
              </w:rPr>
              <w:t> </w:t>
            </w:r>
            <w:r w:rsidRPr="009E7043">
              <w:rPr>
                <w:rFonts w:cs="Arial"/>
                <w:spacing w:val="-3"/>
              </w:rPr>
              <w:t>letošní výplata mimořádných odměn zdravotníkům, jež vedla k bezprecedentnímu růstu průměrné nominální mzdy v odvětví zdravotní a</w:t>
            </w:r>
            <w:r>
              <w:rPr>
                <w:rFonts w:cs="Arial"/>
                <w:spacing w:val="-3"/>
              </w:rPr>
              <w:t> </w:t>
            </w:r>
            <w:r w:rsidRPr="009E7043">
              <w:rPr>
                <w:rFonts w:cs="Arial"/>
                <w:spacing w:val="-3"/>
              </w:rPr>
              <w:t>sociální péče o</w:t>
            </w:r>
            <w:r>
              <w:rPr>
                <w:rFonts w:cs="Arial"/>
                <w:spacing w:val="-3"/>
              </w:rPr>
              <w:t> </w:t>
            </w:r>
            <w:r w:rsidRPr="009E7043">
              <w:rPr>
                <w:rFonts w:cs="Arial"/>
                <w:spacing w:val="-3"/>
              </w:rPr>
              <w:t>43,8</w:t>
            </w:r>
            <w:r>
              <w:rPr>
                <w:rFonts w:cs="Arial"/>
                <w:spacing w:val="-3"/>
              </w:rPr>
              <w:t> %</w:t>
            </w:r>
            <w:r w:rsidRPr="009E7043">
              <w:rPr>
                <w:rFonts w:cs="Arial"/>
                <w:spacing w:val="-3"/>
              </w:rPr>
              <w:t>. Bez tohoto odvětví by mzdy ve zbylé části</w:t>
            </w:r>
            <w:r>
              <w:rPr>
                <w:rFonts w:cs="Arial"/>
                <w:spacing w:val="-3"/>
              </w:rPr>
              <w:t xml:space="preserve"> </w:t>
            </w:r>
            <w:r w:rsidRPr="009E7043">
              <w:rPr>
                <w:rFonts w:cs="Arial"/>
                <w:spacing w:val="-3"/>
              </w:rPr>
              <w:t>ekonomiky ve 2.</w:t>
            </w:r>
            <w:r>
              <w:rPr>
                <w:rFonts w:cs="Arial"/>
                <w:spacing w:val="-3"/>
              </w:rPr>
              <w:t> čtvrtlet</w:t>
            </w:r>
            <w:r w:rsidRPr="009E7043">
              <w:rPr>
                <w:rFonts w:cs="Arial"/>
                <w:spacing w:val="-3"/>
              </w:rPr>
              <w:t xml:space="preserve">í meziročně posílily „jen“ </w:t>
            </w:r>
            <w:r>
              <w:rPr>
                <w:rFonts w:cs="Arial"/>
                <w:spacing w:val="-3"/>
              </w:rPr>
              <w:t>o </w:t>
            </w:r>
            <w:r w:rsidRPr="009E7043">
              <w:rPr>
                <w:rFonts w:cs="Arial"/>
                <w:spacing w:val="-3"/>
              </w:rPr>
              <w:t>8,5</w:t>
            </w:r>
            <w:r>
              <w:rPr>
                <w:rFonts w:cs="Arial"/>
                <w:spacing w:val="-3"/>
              </w:rPr>
              <w:t> %</w:t>
            </w:r>
            <w:r w:rsidRPr="009E7043">
              <w:rPr>
                <w:rFonts w:cs="Arial"/>
                <w:spacing w:val="-3"/>
              </w:rPr>
              <w:t>.</w:t>
            </w:r>
          </w:p>
        </w:tc>
      </w:tr>
      <w:tr w:rsidR="00866074" w:rsidRPr="00191C35" w14:paraId="3C61FF01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5473CF7D" w14:textId="77777777" w:rsidR="00866074" w:rsidRDefault="00866074" w:rsidP="006050CF">
            <w:pPr>
              <w:pStyle w:val="Marginlie"/>
              <w:spacing w:after="120"/>
            </w:pPr>
            <w:r>
              <w:t>Mimo zdravotnictví rostly průměrné mzdy nejvíce v odvětvích, která byla loni silně zasažena dopady první pandemické vlny.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79EBD775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67B596AB" w14:textId="77777777" w:rsidR="00866074" w:rsidRPr="00605AA3" w:rsidRDefault="00866074" w:rsidP="00FC077B">
            <w:pPr>
              <w:rPr>
                <w:bCs/>
                <w:spacing w:val="-3"/>
              </w:rPr>
            </w:pPr>
            <w:r w:rsidRPr="00605AA3">
              <w:rPr>
                <w:rFonts w:cs="Arial"/>
                <w:spacing w:val="-4"/>
              </w:rPr>
              <w:t>Mimo zdravotnictví vzrostly letos ve 2.</w:t>
            </w:r>
            <w:r>
              <w:rPr>
                <w:rFonts w:cs="Arial"/>
                <w:spacing w:val="-4"/>
              </w:rPr>
              <w:t> čtvrtlet</w:t>
            </w:r>
            <w:r w:rsidRPr="00605AA3">
              <w:rPr>
                <w:rFonts w:cs="Arial"/>
                <w:spacing w:val="-4"/>
              </w:rPr>
              <w:t>í meziročně průměrné mzdy nejvíce vesměs v odvětvích, kter</w:t>
            </w:r>
            <w:r>
              <w:rPr>
                <w:rFonts w:cs="Arial"/>
                <w:spacing w:val="-4"/>
              </w:rPr>
              <w:t>á</w:t>
            </w:r>
            <w:r w:rsidRPr="00605AA3">
              <w:rPr>
                <w:rFonts w:cs="Arial"/>
                <w:spacing w:val="-4"/>
              </w:rPr>
              <w:t xml:space="preserve"> byl</w:t>
            </w:r>
            <w:r>
              <w:rPr>
                <w:rFonts w:cs="Arial"/>
                <w:spacing w:val="-4"/>
              </w:rPr>
              <w:t>a</w:t>
            </w:r>
            <w:r w:rsidRPr="00605AA3">
              <w:rPr>
                <w:rFonts w:cs="Arial"/>
                <w:spacing w:val="-4"/>
              </w:rPr>
              <w:t xml:space="preserve"> vloni nejcitelněji zasažen</w:t>
            </w:r>
            <w:r>
              <w:rPr>
                <w:rFonts w:cs="Arial"/>
                <w:spacing w:val="-4"/>
              </w:rPr>
              <w:t>a</w:t>
            </w:r>
            <w:r w:rsidRPr="00605AA3">
              <w:rPr>
                <w:rFonts w:cs="Arial"/>
                <w:spacing w:val="-4"/>
              </w:rPr>
              <w:t xml:space="preserve"> nastupující pandemií – ubytování, stravování a</w:t>
            </w:r>
            <w:r>
              <w:rPr>
                <w:rFonts w:cs="Arial"/>
                <w:spacing w:val="-4"/>
              </w:rPr>
              <w:t> </w:t>
            </w:r>
            <w:r w:rsidRPr="00605AA3">
              <w:rPr>
                <w:rFonts w:cs="Arial"/>
                <w:spacing w:val="-4"/>
              </w:rPr>
              <w:t>pohostinství (+17,3 %), ostatní činnosti (+19,2</w:t>
            </w:r>
            <w:r>
              <w:rPr>
                <w:rFonts w:cs="Arial"/>
                <w:spacing w:val="-4"/>
              </w:rPr>
              <w:t> %</w:t>
            </w:r>
            <w:r w:rsidRPr="00605AA3">
              <w:rPr>
                <w:rFonts w:cs="Arial"/>
                <w:spacing w:val="-4"/>
              </w:rPr>
              <w:t>), administrativní a</w:t>
            </w:r>
            <w:r>
              <w:rPr>
                <w:rFonts w:cs="Arial"/>
                <w:spacing w:val="-4"/>
              </w:rPr>
              <w:t> </w:t>
            </w:r>
            <w:r w:rsidRPr="00605AA3">
              <w:rPr>
                <w:rFonts w:cs="Arial"/>
                <w:spacing w:val="-4"/>
              </w:rPr>
              <w:t>podpůrné činnosti (+12,3</w:t>
            </w:r>
            <w:r>
              <w:rPr>
                <w:rFonts w:cs="Arial"/>
                <w:spacing w:val="-4"/>
              </w:rPr>
              <w:t> %</w:t>
            </w:r>
            <w:r w:rsidRPr="00605AA3">
              <w:rPr>
                <w:rFonts w:cs="Arial"/>
                <w:spacing w:val="-4"/>
              </w:rPr>
              <w:t xml:space="preserve">) </w:t>
            </w:r>
            <w:r w:rsidRPr="006C2B51">
              <w:rPr>
                <w:rFonts w:cs="Arial"/>
                <w:spacing w:val="-4"/>
                <w:szCs w:val="20"/>
              </w:rPr>
              <w:t>a zpracovatelský průmysl (+11,3 %). Výjimkou byly kulturní, zábavní a</w:t>
            </w:r>
            <w:r>
              <w:rPr>
                <w:rFonts w:cs="Arial"/>
                <w:spacing w:val="-4"/>
                <w:szCs w:val="20"/>
              </w:rPr>
              <w:t> </w:t>
            </w:r>
            <w:r w:rsidRPr="006C2B51">
              <w:rPr>
                <w:rFonts w:cs="Arial"/>
                <w:spacing w:val="-4"/>
                <w:szCs w:val="20"/>
              </w:rPr>
              <w:t xml:space="preserve">rekreační činnosti, kde podprůměrné mzdové tempo přetrvalo. Situace ve většině odvětví </w:t>
            </w:r>
            <w:r w:rsidRPr="006C2B51">
              <w:rPr>
                <w:rFonts w:cs="Arial"/>
                <w:spacing w:val="-4"/>
                <w:szCs w:val="20"/>
              </w:rPr>
              <w:lastRenderedPageBreak/>
              <w:t>vázaných na cestovní ruch je ale stále obtížná, o</w:t>
            </w:r>
            <w:r>
              <w:rPr>
                <w:rFonts w:cs="Arial"/>
                <w:spacing w:val="-4"/>
                <w:szCs w:val="20"/>
              </w:rPr>
              <w:t> </w:t>
            </w:r>
            <w:r w:rsidRPr="006C2B51">
              <w:rPr>
                <w:rFonts w:cs="Arial"/>
                <w:spacing w:val="-4"/>
                <w:szCs w:val="20"/>
              </w:rPr>
              <w:t>čemž svědčí pokračující pokles počtu zaměstnanců i</w:t>
            </w:r>
            <w:r>
              <w:rPr>
                <w:rFonts w:cs="Arial"/>
                <w:spacing w:val="-4"/>
                <w:szCs w:val="20"/>
              </w:rPr>
              <w:t> </w:t>
            </w:r>
            <w:r w:rsidRPr="006C2B51">
              <w:rPr>
                <w:rFonts w:cs="Arial"/>
                <w:spacing w:val="-4"/>
                <w:szCs w:val="20"/>
              </w:rPr>
              <w:t xml:space="preserve">skromnější navýšení mezd oproti předpandemické </w:t>
            </w:r>
            <w:r w:rsidRPr="006C2B51">
              <w:rPr>
                <w:rFonts w:cs="Arial"/>
                <w:spacing w:val="-5"/>
                <w:szCs w:val="20"/>
              </w:rPr>
              <w:t>úrovni</w:t>
            </w:r>
            <w:r w:rsidRPr="006C2B51">
              <w:rPr>
                <w:rStyle w:val="Znakapoznpodarou"/>
                <w:spacing w:val="-5"/>
                <w:szCs w:val="20"/>
              </w:rPr>
              <w:footnoteReference w:id="19"/>
            </w:r>
            <w:r w:rsidRPr="006C2B51">
              <w:rPr>
                <w:rFonts w:cs="Arial"/>
                <w:spacing w:val="-5"/>
                <w:szCs w:val="20"/>
              </w:rPr>
              <w:t>. I</w:t>
            </w:r>
            <w:r>
              <w:rPr>
                <w:rFonts w:cs="Arial"/>
                <w:spacing w:val="-5"/>
                <w:szCs w:val="20"/>
              </w:rPr>
              <w:t> </w:t>
            </w:r>
            <w:r w:rsidRPr="006C2B51">
              <w:rPr>
                <w:rFonts w:cs="Arial"/>
                <w:spacing w:val="-5"/>
                <w:szCs w:val="20"/>
              </w:rPr>
              <w:t>dosažená výše mezd se v těchto odvětvích stále nachází citelně pod hladinou celé ekonomiky a</w:t>
            </w:r>
            <w:r>
              <w:rPr>
                <w:rFonts w:cs="Arial"/>
                <w:spacing w:val="-5"/>
                <w:szCs w:val="20"/>
              </w:rPr>
              <w:t> </w:t>
            </w:r>
            <w:r w:rsidRPr="006C2B51">
              <w:rPr>
                <w:rFonts w:cs="Arial"/>
                <w:spacing w:val="-5"/>
                <w:szCs w:val="20"/>
              </w:rPr>
              <w:t>např</w:t>
            </w:r>
            <w:r>
              <w:rPr>
                <w:rFonts w:cs="Arial"/>
                <w:spacing w:val="-5"/>
              </w:rPr>
              <w:t>. v ubytování, stravování a pohostinství byla oproti finančnictví jen na třetinové úrovni.</w:t>
            </w:r>
          </w:p>
        </w:tc>
      </w:tr>
      <w:tr w:rsidR="00866074" w:rsidRPr="00191C35" w14:paraId="0181A723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16809DE3" w14:textId="77777777" w:rsidR="00866074" w:rsidRDefault="00866074" w:rsidP="006050CF">
            <w:pPr>
              <w:pStyle w:val="Marginlie"/>
              <w:spacing w:after="120"/>
            </w:pPr>
            <w:r>
              <w:lastRenderedPageBreak/>
              <w:t>Ve vzdělávání překonala díky svižnému růstu mezd jejich úroveň mírně hladinu celé ekonomiky.</w:t>
            </w:r>
          </w:p>
          <w:p w14:paraId="5F35BCBE" w14:textId="77777777" w:rsidR="00866074" w:rsidRDefault="00866074" w:rsidP="006050CF">
            <w:pPr>
              <w:pStyle w:val="Marginlie"/>
              <w:spacing w:after="120"/>
            </w:pPr>
          </w:p>
          <w:p w14:paraId="2B96B677" w14:textId="77777777" w:rsidR="00866074" w:rsidRDefault="00866074" w:rsidP="006050CF">
            <w:pPr>
              <w:pStyle w:val="Marginlie"/>
              <w:spacing w:after="120"/>
            </w:pPr>
          </w:p>
          <w:p w14:paraId="4FE2CD38" w14:textId="77777777" w:rsidR="00866074" w:rsidRDefault="00866074" w:rsidP="006050CF">
            <w:pPr>
              <w:pStyle w:val="Marginlie"/>
              <w:spacing w:after="120"/>
            </w:pPr>
          </w:p>
          <w:p w14:paraId="4AE7BCF4" w14:textId="77777777" w:rsidR="00866074" w:rsidRDefault="00866074" w:rsidP="006050CF">
            <w:pPr>
              <w:pStyle w:val="Marginlie"/>
              <w:spacing w:after="120"/>
            </w:pPr>
            <w:r>
              <w:t>Růst průměrných mezd v průmyslu, stavebnictví dopravě a skladování byl v úhrnu za poslední dva roky umírněný.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3748ADCA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7A3FED5B" w14:textId="77777777" w:rsidR="00866074" w:rsidRPr="006C2B51" w:rsidRDefault="00866074" w:rsidP="00FC077B">
            <w:pPr>
              <w:rPr>
                <w:bCs/>
                <w:spacing w:val="-4"/>
              </w:rPr>
            </w:pPr>
            <w:r w:rsidRPr="00E02A77">
              <w:rPr>
                <w:bCs/>
                <w:spacing w:val="-4"/>
              </w:rPr>
              <w:t>Ve vzdělávání pokračoval růst platových tarifů z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posledních let. Průměrná mzda zde stoupla meziročně o desetinu a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těsně překonala úroveň výdělků v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celé ekonomice. Naopak ve veřejné správě, obraně i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sociálním zabezpečení se mzdový růst prakticky zastavil. Zatímco v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obchodě se hospodářské oživení ve 2.</w:t>
            </w:r>
            <w:r>
              <w:rPr>
                <w:bCs/>
                <w:spacing w:val="-4"/>
              </w:rPr>
              <w:t> čtvrtlet</w:t>
            </w:r>
            <w:r w:rsidRPr="00E02A77">
              <w:rPr>
                <w:bCs/>
                <w:spacing w:val="-4"/>
              </w:rPr>
              <w:t xml:space="preserve">í promítlo ve mzdové oblasti </w:t>
            </w:r>
            <w:r>
              <w:rPr>
                <w:bCs/>
                <w:spacing w:val="-4"/>
              </w:rPr>
              <w:t>(+9,4 %) i</w:t>
            </w:r>
            <w:r w:rsidRPr="00E02A77">
              <w:rPr>
                <w:bCs/>
                <w:spacing w:val="-4"/>
              </w:rPr>
              <w:t> </w:t>
            </w:r>
            <w:r>
              <w:rPr>
                <w:bCs/>
                <w:spacing w:val="-4"/>
              </w:rPr>
              <w:t>v </w:t>
            </w:r>
            <w:r w:rsidRPr="00E02A77">
              <w:rPr>
                <w:bCs/>
                <w:spacing w:val="-4"/>
              </w:rPr>
              <w:t>zaměstnanosti (+1,5</w:t>
            </w:r>
            <w:r>
              <w:rPr>
                <w:bCs/>
                <w:spacing w:val="-4"/>
              </w:rPr>
              <w:t> %</w:t>
            </w:r>
            <w:r w:rsidRPr="00E02A77">
              <w:rPr>
                <w:bCs/>
                <w:spacing w:val="-4"/>
              </w:rPr>
              <w:t>), v dopravě a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skladování rostly jen průměrné mzdy (+7,6</w:t>
            </w:r>
            <w:r>
              <w:rPr>
                <w:bCs/>
                <w:spacing w:val="-4"/>
              </w:rPr>
              <w:t> %</w:t>
            </w:r>
            <w:r w:rsidRPr="00E02A77">
              <w:rPr>
                <w:bCs/>
                <w:spacing w:val="-4"/>
              </w:rPr>
              <w:t>). To peněžnictví a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pojišťovnictví zaznamenalo mírný pokles v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obou oblastech, i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 xml:space="preserve">tak </w:t>
            </w:r>
            <w:r>
              <w:rPr>
                <w:bCs/>
                <w:spacing w:val="-4"/>
              </w:rPr>
              <w:t>ovšem</w:t>
            </w:r>
            <w:r w:rsidRPr="00E02A77">
              <w:rPr>
                <w:bCs/>
                <w:spacing w:val="-4"/>
              </w:rPr>
              <w:t xml:space="preserve"> výší průměrných </w:t>
            </w:r>
            <w:r>
              <w:rPr>
                <w:bCs/>
                <w:spacing w:val="-4"/>
              </w:rPr>
              <w:t xml:space="preserve">měsíčních </w:t>
            </w:r>
            <w:r w:rsidRPr="00E02A77">
              <w:rPr>
                <w:bCs/>
                <w:spacing w:val="-4"/>
              </w:rPr>
              <w:t>mezd (63,5</w:t>
            </w:r>
            <w:r>
              <w:rPr>
                <w:bCs/>
                <w:spacing w:val="-4"/>
              </w:rPr>
              <w:t> tis.</w:t>
            </w:r>
            <w:r w:rsidRPr="00E02A77">
              <w:rPr>
                <w:bCs/>
                <w:spacing w:val="-4"/>
              </w:rPr>
              <w:t xml:space="preserve"> korun) předčilo všechna hlavní odvětví ekonomiky. V těsném závěsu figurovaly informační a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komunikační činnosti (62,7</w:t>
            </w:r>
            <w:r>
              <w:rPr>
                <w:bCs/>
                <w:spacing w:val="-4"/>
              </w:rPr>
              <w:t> tis.</w:t>
            </w:r>
            <w:r w:rsidRPr="00E02A77">
              <w:rPr>
                <w:bCs/>
                <w:spacing w:val="-4"/>
              </w:rPr>
              <w:t xml:space="preserve"> korun), které patří k nejvíce vytíženým odvětvím během pandemie, což se projevuje i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v nepřetržitém růstu zaměstnanosti. Nedostatečnou poptávkou příliš netrpí ani stavebnictví. Růst průměrných mezd zde byl ale za celé pandemické období</w:t>
            </w:r>
            <w:r>
              <w:rPr>
                <w:bCs/>
                <w:spacing w:val="-4"/>
              </w:rPr>
              <w:t xml:space="preserve"> dosti </w:t>
            </w:r>
            <w:r w:rsidRPr="00E02A77">
              <w:rPr>
                <w:bCs/>
                <w:spacing w:val="-4"/>
              </w:rPr>
              <w:t>umírněný, shodně jako v průmyslu, dopravě i</w:t>
            </w:r>
            <w:r>
              <w:rPr>
                <w:bCs/>
                <w:spacing w:val="-4"/>
              </w:rPr>
              <w:t> </w:t>
            </w:r>
            <w:r w:rsidRPr="00E02A77">
              <w:rPr>
                <w:bCs/>
                <w:spacing w:val="-4"/>
              </w:rPr>
              <w:t>skladování.</w:t>
            </w:r>
          </w:p>
        </w:tc>
      </w:tr>
      <w:tr w:rsidR="00866074" w:rsidRPr="00191C35" w14:paraId="37B4D4C2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65F58C8E" w14:textId="77777777" w:rsidR="00866074" w:rsidRDefault="00866074" w:rsidP="006050CF">
            <w:pPr>
              <w:pStyle w:val="Marginlie"/>
              <w:spacing w:after="120"/>
            </w:pP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181E0F30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54395D15" w14:textId="77777777" w:rsidR="00866074" w:rsidRPr="00716203" w:rsidRDefault="00866074" w:rsidP="006050CF">
            <w:pPr>
              <w:spacing w:after="0"/>
              <w:rPr>
                <w:spacing w:val="-4"/>
              </w:rPr>
            </w:pPr>
            <w:r>
              <w:rPr>
                <w:b/>
                <w:spacing w:val="-4"/>
              </w:rPr>
              <w:t>Graf č. 14</w:t>
            </w:r>
            <w:r w:rsidRPr="003E01D3">
              <w:rPr>
                <w:b/>
                <w:spacing w:val="-4"/>
              </w:rPr>
              <w:t xml:space="preserve">  Průměrná nominální</w:t>
            </w:r>
            <w:r>
              <w:rPr>
                <w:b/>
                <w:spacing w:val="-4"/>
              </w:rPr>
              <w:t xml:space="preserve"> a </w:t>
            </w:r>
            <w:r w:rsidRPr="003E01D3">
              <w:rPr>
                <w:b/>
                <w:spacing w:val="-4"/>
              </w:rPr>
              <w:t>reálná mzda a</w:t>
            </w:r>
            <w:r>
              <w:rPr>
                <w:b/>
                <w:spacing w:val="-4"/>
              </w:rPr>
              <w:t> </w:t>
            </w:r>
            <w:r w:rsidRPr="003E01D3">
              <w:rPr>
                <w:b/>
                <w:spacing w:val="-4"/>
              </w:rPr>
              <w:t>mzdový medián</w:t>
            </w:r>
            <w:r>
              <w:rPr>
                <w:spacing w:val="-4"/>
              </w:rPr>
              <w:t xml:space="preserve"> </w:t>
            </w:r>
            <w:r w:rsidRPr="003E01D3">
              <w:rPr>
                <w:spacing w:val="-4"/>
              </w:rPr>
              <w:t>(meziročně, v %)</w:t>
            </w:r>
          </w:p>
        </w:tc>
      </w:tr>
      <w:tr w:rsidR="00866074" w:rsidRPr="00191C35" w14:paraId="219E392F" w14:textId="77777777" w:rsidTr="006050CF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792" w:type="dxa"/>
            <w:shd w:val="clear" w:color="auto" w:fill="auto"/>
          </w:tcPr>
          <w:p w14:paraId="2F52E00F" w14:textId="77777777" w:rsidR="00866074" w:rsidRDefault="00866074" w:rsidP="006050CF">
            <w:pPr>
              <w:pStyle w:val="Marginlie"/>
              <w:spacing w:after="120"/>
            </w:pPr>
          </w:p>
        </w:tc>
        <w:tc>
          <w:tcPr>
            <w:tcW w:w="216" w:type="dxa"/>
            <w:shd w:val="clear" w:color="auto" w:fill="auto"/>
          </w:tcPr>
          <w:p w14:paraId="196A612A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</w:tcPr>
          <w:p w14:paraId="211E4733" w14:textId="77777777" w:rsidR="00866074" w:rsidRPr="003E01D3" w:rsidRDefault="00866074" w:rsidP="006050CF">
            <w:pPr>
              <w:spacing w:after="0"/>
              <w:rPr>
                <w:b/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48AC9FB1" wp14:editId="21772DDB">
                  <wp:extent cx="4726305" cy="3581400"/>
                  <wp:effectExtent l="0" t="0" r="0" b="0"/>
                  <wp:docPr id="4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66074" w:rsidRPr="00191C35" w14:paraId="551D4EBC" w14:textId="77777777" w:rsidTr="006050CF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4E0488C1" w14:textId="77777777" w:rsidR="00866074" w:rsidRDefault="00866074" w:rsidP="006050CF">
            <w:pPr>
              <w:pStyle w:val="Marginlie"/>
              <w:spacing w:after="120"/>
            </w:pP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1EFF354C" w14:textId="77777777" w:rsidR="00866074" w:rsidRPr="00B43216" w:rsidRDefault="00866074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3FAC6EA4" w14:textId="77777777" w:rsidR="00866074" w:rsidRPr="00F6560A" w:rsidRDefault="00866074" w:rsidP="00FC077B">
            <w:pPr>
              <w:tabs>
                <w:tab w:val="right" w:pos="7683"/>
              </w:tabs>
              <w:rPr>
                <w:noProof/>
                <w:sz w:val="14"/>
                <w:szCs w:val="14"/>
              </w:rPr>
            </w:pPr>
            <w:r w:rsidRPr="00F6560A">
              <w:rPr>
                <w:bCs/>
                <w:sz w:val="14"/>
                <w:szCs w:val="14"/>
              </w:rPr>
              <w:t>*Zahrnuje odvětví s významnou rolí státu: Veřejná správa a obrana, povinné sociální zabezpečení; Vzdělávání; Zdravotní a sociální péče; Kulturní, zábavní a rekreační činnosti.</w:t>
            </w:r>
            <w:r w:rsidRPr="00F6560A">
              <w:rPr>
                <w:bCs/>
                <w:sz w:val="14"/>
                <w:szCs w:val="14"/>
              </w:rPr>
              <w:tab/>
            </w:r>
            <w:r w:rsidRPr="00F6560A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</w:t>
            </w:r>
          </w:p>
        </w:tc>
      </w:tr>
      <w:bookmarkEnd w:id="3"/>
      <w:bookmarkEnd w:id="4"/>
      <w:tr w:rsidR="00FC077B" w14:paraId="75CA5435" w14:textId="77777777" w:rsidTr="00FC077B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6062753C" w14:textId="77777777" w:rsidR="00FC077B" w:rsidRDefault="00FC077B" w:rsidP="006050CF">
            <w:pPr>
              <w:pStyle w:val="Marginlie"/>
              <w:spacing w:after="120"/>
            </w:pPr>
            <w:r>
              <w:t>Pražský pracovní trh nadále charakterizuje nižší procentní růst průměrných mezd v kombinaci s vyšší tvorbou nových pracovních míst.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3C387110" w14:textId="77777777" w:rsidR="00FC077B" w:rsidRPr="00B43216" w:rsidRDefault="00FC077B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5C564CBA" w14:textId="77777777" w:rsidR="00FC077B" w:rsidRPr="00FC077B" w:rsidRDefault="00FC077B" w:rsidP="00FC077B">
            <w:pPr>
              <w:tabs>
                <w:tab w:val="right" w:pos="7683"/>
              </w:tabs>
              <w:rPr>
                <w:bCs/>
                <w:szCs w:val="20"/>
              </w:rPr>
            </w:pPr>
            <w:r w:rsidRPr="00FC077B">
              <w:rPr>
                <w:bCs/>
                <w:szCs w:val="20"/>
              </w:rPr>
              <w:t xml:space="preserve">Průměrné mzdy vzrostly ve 2. čtvrtletí meziročně nejvíce v Karlovarském, Libereckém a Královéhradeckém kraji (vždy mírně přes 14 %), nejméně pak v Praze (8,0 %) a středních Čechách (9,6 %), tedy v regionech, kde zároveň za stejné období přibylo relativně nejvíce zaměstnanců. Nižší relativní mzdový růst v Praze kompenzovaný vyšší tvorbou pracovních míst byl typický i v konjunkturním období před pandemií. Větší regionální nerovnosti ve mzdových tempech mohly být letos ovlivněny rozmístěním zdravotnických zařízení (výplata mimořádných odměn), rozdíly v dynamice zaměstnanosti a pak i zastoupením těžebního průmyslu a navazujících oborů, což </w:t>
            </w:r>
            <w:r w:rsidRPr="00FC077B">
              <w:rPr>
                <w:bCs/>
                <w:szCs w:val="20"/>
              </w:rPr>
              <w:lastRenderedPageBreak/>
              <w:t>naznačuje skutečnost, že počet zaměstnanců klesl oproti 2. čtvrtletí 2020 jen v Karlovarském, Ústeckém a Moravskoslezském kraji.</w:t>
            </w:r>
          </w:p>
        </w:tc>
      </w:tr>
      <w:tr w:rsidR="00FC077B" w:rsidRPr="00376E4D" w14:paraId="5F03862B" w14:textId="77777777" w:rsidTr="00FC077B">
        <w:trPr>
          <w:trHeight w:val="145"/>
        </w:trPr>
        <w:tc>
          <w:tcPr>
            <w:tcW w:w="1792" w:type="dxa"/>
            <w:shd w:val="clear" w:color="auto" w:fill="auto"/>
            <w:tcMar>
              <w:left w:w="0" w:type="dxa"/>
            </w:tcMar>
          </w:tcPr>
          <w:p w14:paraId="6E0D70E2" w14:textId="77777777" w:rsidR="00FC077B" w:rsidRDefault="00FC077B" w:rsidP="006050CF">
            <w:pPr>
              <w:pStyle w:val="Marginlie"/>
              <w:spacing w:after="120"/>
            </w:pPr>
            <w:r>
              <w:lastRenderedPageBreak/>
              <w:t>Mzdy žen se nadále zvyšovaly rychleji než u mužů.</w:t>
            </w:r>
          </w:p>
        </w:tc>
        <w:tc>
          <w:tcPr>
            <w:tcW w:w="216" w:type="dxa"/>
            <w:shd w:val="clear" w:color="auto" w:fill="auto"/>
            <w:tcMar>
              <w:left w:w="0" w:type="dxa"/>
            </w:tcMar>
          </w:tcPr>
          <w:p w14:paraId="14B08338" w14:textId="77777777" w:rsidR="00FC077B" w:rsidRPr="00B43216" w:rsidRDefault="00FC077B" w:rsidP="006050CF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52A6AB39" w14:textId="77777777" w:rsidR="00FC077B" w:rsidRPr="00FC077B" w:rsidRDefault="00FC077B" w:rsidP="00FC077B">
            <w:pPr>
              <w:tabs>
                <w:tab w:val="right" w:pos="7683"/>
              </w:tabs>
              <w:spacing w:after="0"/>
              <w:rPr>
                <w:bCs/>
                <w:szCs w:val="20"/>
              </w:rPr>
            </w:pPr>
            <w:r w:rsidRPr="00FC077B">
              <w:rPr>
                <w:bCs/>
                <w:szCs w:val="20"/>
              </w:rPr>
              <w:t>Medián mezd čítal ve 2. čtvrtletí u mužů 34,5 tis. korun, u žen 30,0 tis. korun. Meziročně nadále posilovaly více výdělky žen (13,2 %) než mužů (10,1 %), zejména vlivem rychlého růstu v oblasti vzdělávání, zdravotní a sociální péče. Podobně jako v předchozích dvou čtvrtletích se výdělky vysokopříjmových zaměstnanců meziročně navýšily relativně svižněji než nízkopříjmových. Celková mzdová diferenciace se tak dále mírně prohlubovala.</w:t>
            </w:r>
          </w:p>
        </w:tc>
      </w:tr>
    </w:tbl>
    <w:p w14:paraId="39E9959F" w14:textId="77777777" w:rsidR="000663F0" w:rsidRPr="00E42054" w:rsidRDefault="000663F0" w:rsidP="00826114">
      <w:pPr>
        <w:pStyle w:val="Nadpis11"/>
        <w:rPr>
          <w:b w:val="0"/>
          <w:sz w:val="2"/>
          <w:szCs w:val="2"/>
        </w:rPr>
      </w:pPr>
      <w:bookmarkStart w:id="5" w:name="_GoBack"/>
      <w:bookmarkEnd w:id="0"/>
      <w:bookmarkEnd w:id="1"/>
      <w:bookmarkEnd w:id="5"/>
    </w:p>
    <w:sectPr w:rsidR="000663F0" w:rsidRPr="00E42054" w:rsidSect="00826114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2BED5" w14:textId="77777777" w:rsidR="00A93CD3" w:rsidRDefault="00A93CD3" w:rsidP="00E71A58">
      <w:r>
        <w:separator/>
      </w:r>
    </w:p>
  </w:endnote>
  <w:endnote w:type="continuationSeparator" w:id="0">
    <w:p w14:paraId="65F942C7" w14:textId="77777777" w:rsidR="00A93CD3" w:rsidRDefault="00A93CD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79E65856" w:rsidR="00C872AA" w:rsidRPr="00932443" w:rsidRDefault="00C872A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826114">
      <w:rPr>
        <w:szCs w:val="16"/>
      </w:rPr>
      <w:t>28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38AB6EEB" w:rsidR="00C872AA" w:rsidRPr="00932443" w:rsidRDefault="00C872AA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pololetí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826114">
      <w:rPr>
        <w:rStyle w:val="ZpatChar"/>
        <w:szCs w:val="16"/>
      </w:rPr>
      <w:t>29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5534" w14:textId="77777777" w:rsidR="00A93CD3" w:rsidRDefault="00A93CD3" w:rsidP="00A21B4D">
      <w:pPr>
        <w:spacing w:after="0"/>
      </w:pPr>
      <w:r>
        <w:separator/>
      </w:r>
    </w:p>
  </w:footnote>
  <w:footnote w:type="continuationSeparator" w:id="0">
    <w:p w14:paraId="0B410984" w14:textId="77777777" w:rsidR="00A93CD3" w:rsidRDefault="00A93CD3" w:rsidP="00E71A58">
      <w:r>
        <w:continuationSeparator/>
      </w:r>
    </w:p>
  </w:footnote>
  <w:footnote w:id="1">
    <w:p w14:paraId="19177BCA" w14:textId="77777777" w:rsidR="0070658E" w:rsidRPr="003A1DD6" w:rsidRDefault="0070658E" w:rsidP="0070658E">
      <w:pPr>
        <w:pStyle w:val="Textpoznpodarou"/>
        <w:jc w:val="both"/>
        <w:rPr>
          <w:spacing w:val="-2"/>
          <w:sz w:val="16"/>
          <w:szCs w:val="16"/>
        </w:rPr>
      </w:pPr>
      <w:r w:rsidRPr="00CD5EBC"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</w:t>
      </w:r>
      <w:r w:rsidRPr="00CD5EBC">
        <w:rPr>
          <w:spacing w:val="-2"/>
          <w:sz w:val="16"/>
          <w:szCs w:val="16"/>
        </w:rPr>
        <w:t>Není-li uvedeno jinak, jsou údaje o zaměstnanosti v této kapitole vyjádřeny v pojetí národních účtů po očištění o sezónní vlivy.</w:t>
      </w:r>
    </w:p>
  </w:footnote>
  <w:footnote w:id="2">
    <w:p w14:paraId="34F4BE30" w14:textId="77777777" w:rsidR="0070658E" w:rsidRPr="001C0D8B" w:rsidRDefault="0070658E" w:rsidP="0070658E">
      <w:pPr>
        <w:pStyle w:val="Textpoznpodarou"/>
        <w:rPr>
          <w:sz w:val="16"/>
          <w:szCs w:val="16"/>
        </w:rPr>
      </w:pPr>
      <w:r w:rsidRPr="001C0D8B">
        <w:rPr>
          <w:rStyle w:val="Znakapoznpodarou"/>
          <w:sz w:val="16"/>
          <w:szCs w:val="16"/>
        </w:rPr>
        <w:footnoteRef/>
      </w:r>
      <w:r w:rsidRPr="001C0D8B">
        <w:rPr>
          <w:sz w:val="16"/>
          <w:szCs w:val="16"/>
        </w:rPr>
        <w:t xml:space="preserve"> Ve srovnání s dosud rekordní výš</w:t>
      </w:r>
      <w:r>
        <w:rPr>
          <w:sz w:val="16"/>
          <w:szCs w:val="16"/>
        </w:rPr>
        <w:t>í</w:t>
      </w:r>
      <w:r w:rsidRPr="001C0D8B">
        <w:rPr>
          <w:sz w:val="16"/>
          <w:szCs w:val="16"/>
        </w:rPr>
        <w:t xml:space="preserve"> zaměstnanosti </w:t>
      </w:r>
      <w:r>
        <w:rPr>
          <w:sz w:val="16"/>
          <w:szCs w:val="16"/>
        </w:rPr>
        <w:t>z </w:t>
      </w:r>
      <w:r w:rsidRPr="001C0D8B">
        <w:rPr>
          <w:sz w:val="16"/>
          <w:szCs w:val="16"/>
        </w:rPr>
        <w:t>2.</w:t>
      </w:r>
      <w:r>
        <w:rPr>
          <w:sz w:val="16"/>
          <w:szCs w:val="16"/>
        </w:rPr>
        <w:t> čtvrtlet</w:t>
      </w:r>
      <w:r w:rsidRPr="001C0D8B">
        <w:rPr>
          <w:sz w:val="16"/>
          <w:szCs w:val="16"/>
        </w:rPr>
        <w:t>í 2019 (5,45</w:t>
      </w:r>
      <w:r>
        <w:rPr>
          <w:sz w:val="16"/>
          <w:szCs w:val="16"/>
        </w:rPr>
        <w:t> mil.</w:t>
      </w:r>
      <w:r w:rsidRPr="001C0D8B">
        <w:rPr>
          <w:sz w:val="16"/>
          <w:szCs w:val="16"/>
        </w:rPr>
        <w:t xml:space="preserve"> osob) to však </w:t>
      </w:r>
      <w:r>
        <w:rPr>
          <w:sz w:val="16"/>
          <w:szCs w:val="16"/>
        </w:rPr>
        <w:t xml:space="preserve">bylo </w:t>
      </w:r>
      <w:r w:rsidRPr="001C0D8B">
        <w:rPr>
          <w:sz w:val="16"/>
          <w:szCs w:val="16"/>
        </w:rPr>
        <w:t>stále o</w:t>
      </w:r>
      <w:r>
        <w:rPr>
          <w:sz w:val="16"/>
          <w:szCs w:val="16"/>
        </w:rPr>
        <w:t> </w:t>
      </w:r>
      <w:r w:rsidRPr="001C0D8B">
        <w:rPr>
          <w:sz w:val="16"/>
          <w:szCs w:val="16"/>
        </w:rPr>
        <w:t>téměř 2</w:t>
      </w:r>
      <w:r>
        <w:rPr>
          <w:sz w:val="16"/>
          <w:szCs w:val="16"/>
        </w:rPr>
        <w:t> %</w:t>
      </w:r>
      <w:r w:rsidRPr="001C0D8B">
        <w:rPr>
          <w:sz w:val="16"/>
          <w:szCs w:val="16"/>
        </w:rPr>
        <w:t xml:space="preserve"> méně. </w:t>
      </w:r>
      <w:r>
        <w:rPr>
          <w:sz w:val="16"/>
          <w:szCs w:val="16"/>
        </w:rPr>
        <w:t>Nejhlubší dvouletý pokles držely mezi hlavními odvětvími zpracovatelský průmysl (5,2 %) a uskupení o</w:t>
      </w:r>
      <w:r w:rsidRPr="001C0D8B">
        <w:rPr>
          <w:sz w:val="16"/>
          <w:szCs w:val="16"/>
        </w:rPr>
        <w:t>bchod, doprava, ubytování a</w:t>
      </w:r>
      <w:r>
        <w:rPr>
          <w:sz w:val="16"/>
          <w:szCs w:val="16"/>
        </w:rPr>
        <w:t> </w:t>
      </w:r>
      <w:r w:rsidRPr="001C0D8B">
        <w:rPr>
          <w:sz w:val="16"/>
          <w:szCs w:val="16"/>
        </w:rPr>
        <w:t>pohostinství</w:t>
      </w:r>
      <w:r>
        <w:rPr>
          <w:sz w:val="16"/>
          <w:szCs w:val="16"/>
        </w:rPr>
        <w:t xml:space="preserve"> (6,2 %). Naopak pracovníků v i</w:t>
      </w:r>
      <w:r w:rsidRPr="001C0D8B">
        <w:rPr>
          <w:sz w:val="16"/>
          <w:szCs w:val="16"/>
        </w:rPr>
        <w:t>nformační</w:t>
      </w:r>
      <w:r>
        <w:rPr>
          <w:sz w:val="16"/>
          <w:szCs w:val="16"/>
        </w:rPr>
        <w:t>ch</w:t>
      </w:r>
      <w:r w:rsidRPr="001C0D8B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1C0D8B">
        <w:rPr>
          <w:sz w:val="16"/>
          <w:szCs w:val="16"/>
        </w:rPr>
        <w:t>komunikační</w:t>
      </w:r>
      <w:r>
        <w:rPr>
          <w:sz w:val="16"/>
          <w:szCs w:val="16"/>
        </w:rPr>
        <w:t>ch činnostech oproti předpandemické úrovni o více než desetinu přibylo.</w:t>
      </w:r>
    </w:p>
  </w:footnote>
  <w:footnote w:id="3">
    <w:p w14:paraId="2C31198F" w14:textId="77777777" w:rsidR="0070658E" w:rsidRPr="003A1DD6" w:rsidRDefault="0070658E" w:rsidP="0070658E">
      <w:pPr>
        <w:pStyle w:val="Textpoznpodarou"/>
        <w:rPr>
          <w:spacing w:val="-2"/>
          <w:sz w:val="16"/>
          <w:szCs w:val="16"/>
        </w:rPr>
      </w:pPr>
      <w:r w:rsidRPr="003A1DD6">
        <w:rPr>
          <w:rStyle w:val="Znakapoznpodarou"/>
          <w:spacing w:val="-2"/>
          <w:sz w:val="16"/>
          <w:szCs w:val="16"/>
        </w:rPr>
        <w:footnoteRef/>
      </w:r>
      <w:r w:rsidRPr="003A1DD6">
        <w:rPr>
          <w:spacing w:val="-2"/>
          <w:sz w:val="16"/>
          <w:szCs w:val="16"/>
        </w:rPr>
        <w:t xml:space="preserve"> Průměrný týdenní počet odpracovaných hodin v hlavním zaměstnání byl</w:t>
      </w:r>
      <w:r>
        <w:rPr>
          <w:spacing w:val="-2"/>
          <w:sz w:val="16"/>
          <w:szCs w:val="16"/>
        </w:rPr>
        <w:t xml:space="preserve"> </w:t>
      </w:r>
      <w:r w:rsidRPr="003A1DD6">
        <w:rPr>
          <w:spacing w:val="-2"/>
          <w:sz w:val="16"/>
          <w:szCs w:val="16"/>
        </w:rPr>
        <w:t>letos v</w:t>
      </w:r>
      <w:r>
        <w:rPr>
          <w:spacing w:val="-2"/>
          <w:sz w:val="16"/>
          <w:szCs w:val="16"/>
        </w:rPr>
        <w:t> </w:t>
      </w:r>
      <w:r w:rsidRPr="003A1DD6">
        <w:rPr>
          <w:spacing w:val="-2"/>
          <w:sz w:val="16"/>
          <w:szCs w:val="16"/>
        </w:rPr>
        <w:t>červnu</w:t>
      </w:r>
      <w:r>
        <w:rPr>
          <w:spacing w:val="-2"/>
          <w:sz w:val="16"/>
          <w:szCs w:val="16"/>
        </w:rPr>
        <w:t xml:space="preserve"> dle údajů Výběrového šetření pracovních sil</w:t>
      </w:r>
      <w:r w:rsidRPr="003A1DD6">
        <w:rPr>
          <w:spacing w:val="-2"/>
          <w:sz w:val="16"/>
          <w:szCs w:val="16"/>
        </w:rPr>
        <w:t xml:space="preserve"> u</w:t>
      </w:r>
      <w:r>
        <w:rPr>
          <w:spacing w:val="-2"/>
          <w:sz w:val="16"/>
          <w:szCs w:val="16"/>
        </w:rPr>
        <w:t> </w:t>
      </w:r>
      <w:r w:rsidRPr="003A1DD6">
        <w:rPr>
          <w:spacing w:val="-2"/>
          <w:sz w:val="16"/>
          <w:szCs w:val="16"/>
        </w:rPr>
        <w:t>podnikatelů i</w:t>
      </w:r>
      <w:r>
        <w:rPr>
          <w:spacing w:val="-2"/>
          <w:sz w:val="16"/>
          <w:szCs w:val="16"/>
        </w:rPr>
        <w:t> </w:t>
      </w:r>
      <w:r w:rsidRPr="003A1DD6">
        <w:rPr>
          <w:spacing w:val="-2"/>
          <w:sz w:val="16"/>
          <w:szCs w:val="16"/>
        </w:rPr>
        <w:t>zaměstnanců sice shodně meziročně o 1</w:t>
      </w:r>
      <w:r>
        <w:rPr>
          <w:spacing w:val="-2"/>
          <w:sz w:val="16"/>
          <w:szCs w:val="16"/>
        </w:rPr>
        <w:t> %</w:t>
      </w:r>
      <w:r w:rsidRPr="003A1DD6">
        <w:rPr>
          <w:spacing w:val="-2"/>
          <w:sz w:val="16"/>
          <w:szCs w:val="16"/>
        </w:rPr>
        <w:t xml:space="preserve"> vyšší, ve srovnání s červnem 2019 ale odpracovali podnikatelé o</w:t>
      </w:r>
      <w:r>
        <w:rPr>
          <w:spacing w:val="-2"/>
          <w:sz w:val="16"/>
          <w:szCs w:val="16"/>
        </w:rPr>
        <w:t> </w:t>
      </w:r>
      <w:r w:rsidRPr="003A1DD6">
        <w:rPr>
          <w:spacing w:val="-2"/>
          <w:sz w:val="16"/>
          <w:szCs w:val="16"/>
        </w:rPr>
        <w:t>5</w:t>
      </w:r>
      <w:r>
        <w:rPr>
          <w:spacing w:val="-2"/>
          <w:sz w:val="16"/>
          <w:szCs w:val="16"/>
        </w:rPr>
        <w:t> %</w:t>
      </w:r>
      <w:r w:rsidRPr="003A1DD6">
        <w:rPr>
          <w:spacing w:val="-2"/>
          <w:sz w:val="16"/>
          <w:szCs w:val="16"/>
        </w:rPr>
        <w:t xml:space="preserve"> méně, zatímco u</w:t>
      </w:r>
      <w:r>
        <w:rPr>
          <w:spacing w:val="-2"/>
          <w:sz w:val="16"/>
          <w:szCs w:val="16"/>
        </w:rPr>
        <w:t> </w:t>
      </w:r>
      <w:r w:rsidRPr="003A1DD6">
        <w:rPr>
          <w:spacing w:val="-2"/>
          <w:sz w:val="16"/>
          <w:szCs w:val="16"/>
        </w:rPr>
        <w:t>zaměstnanců se čas strávený v hlavním zaměstnání prakticky nezměnil.</w:t>
      </w:r>
    </w:p>
  </w:footnote>
  <w:footnote w:id="4">
    <w:p w14:paraId="72AE442C" w14:textId="77777777" w:rsidR="0070658E" w:rsidRPr="003A1DD6" w:rsidRDefault="0070658E" w:rsidP="0070658E">
      <w:pPr>
        <w:pStyle w:val="Textpoznpodarou"/>
        <w:rPr>
          <w:spacing w:val="-2"/>
          <w:sz w:val="16"/>
          <w:szCs w:val="16"/>
        </w:rPr>
      </w:pPr>
      <w:r w:rsidRPr="003A1DD6">
        <w:rPr>
          <w:rStyle w:val="Znakapoznpodarou"/>
          <w:spacing w:val="-2"/>
          <w:sz w:val="16"/>
          <w:szCs w:val="16"/>
        </w:rPr>
        <w:footnoteRef/>
      </w:r>
      <w:r w:rsidRPr="003A1DD6">
        <w:rPr>
          <w:spacing w:val="-2"/>
          <w:sz w:val="16"/>
          <w:szCs w:val="16"/>
        </w:rPr>
        <w:t xml:space="preserve"> Počet registrovaných pracovníků z Ukrajiny se tak zvýšil ze 133,1</w:t>
      </w:r>
      <w:r>
        <w:rPr>
          <w:spacing w:val="-2"/>
          <w:sz w:val="16"/>
          <w:szCs w:val="16"/>
        </w:rPr>
        <w:t> tis.</w:t>
      </w:r>
      <w:r w:rsidRPr="003A1DD6">
        <w:rPr>
          <w:spacing w:val="-2"/>
          <w:sz w:val="16"/>
          <w:szCs w:val="16"/>
        </w:rPr>
        <w:t xml:space="preserve"> na 191,6</w:t>
      </w:r>
      <w:r>
        <w:rPr>
          <w:spacing w:val="-2"/>
          <w:sz w:val="16"/>
          <w:szCs w:val="16"/>
        </w:rPr>
        <w:t> tis.</w:t>
      </w:r>
      <w:r w:rsidRPr="003A1DD6">
        <w:rPr>
          <w:spacing w:val="-2"/>
          <w:sz w:val="16"/>
          <w:szCs w:val="16"/>
        </w:rPr>
        <w:t>, především díky vyššímu počtu osob s povolením k zaměstn</w:t>
      </w:r>
      <w:r>
        <w:rPr>
          <w:spacing w:val="-2"/>
          <w:sz w:val="16"/>
          <w:szCs w:val="16"/>
        </w:rPr>
        <w:t>á</w:t>
      </w:r>
      <w:r w:rsidRPr="003A1DD6">
        <w:rPr>
          <w:spacing w:val="-2"/>
          <w:sz w:val="16"/>
          <w:szCs w:val="16"/>
        </w:rPr>
        <w:t>ní (+43,7</w:t>
      </w:r>
      <w:r>
        <w:rPr>
          <w:spacing w:val="-2"/>
          <w:sz w:val="16"/>
          <w:szCs w:val="16"/>
        </w:rPr>
        <w:t> tis.</w:t>
      </w:r>
      <w:r w:rsidRPr="003A1DD6">
        <w:rPr>
          <w:spacing w:val="-2"/>
          <w:sz w:val="16"/>
          <w:szCs w:val="16"/>
        </w:rPr>
        <w:t>) a</w:t>
      </w:r>
      <w:r>
        <w:rPr>
          <w:spacing w:val="-2"/>
          <w:sz w:val="16"/>
          <w:szCs w:val="16"/>
        </w:rPr>
        <w:t> </w:t>
      </w:r>
      <w:r w:rsidRPr="003A1DD6">
        <w:rPr>
          <w:spacing w:val="-2"/>
          <w:sz w:val="16"/>
          <w:szCs w:val="16"/>
        </w:rPr>
        <w:t>držitelů zaměstnaneckých karet (+10,7</w:t>
      </w:r>
      <w:r>
        <w:rPr>
          <w:spacing w:val="-2"/>
          <w:sz w:val="16"/>
          <w:szCs w:val="16"/>
        </w:rPr>
        <w:t> tis.</w:t>
      </w:r>
      <w:r w:rsidRPr="003A1DD6">
        <w:rPr>
          <w:spacing w:val="-2"/>
          <w:sz w:val="16"/>
          <w:szCs w:val="16"/>
        </w:rPr>
        <w:t>). Nejvýznamnější zaměstnaneckou skupin</w:t>
      </w:r>
      <w:r>
        <w:rPr>
          <w:spacing w:val="-2"/>
          <w:sz w:val="16"/>
          <w:szCs w:val="16"/>
        </w:rPr>
        <w:t>o</w:t>
      </w:r>
      <w:r w:rsidRPr="003A1DD6">
        <w:rPr>
          <w:spacing w:val="-2"/>
          <w:sz w:val="16"/>
          <w:szCs w:val="16"/>
        </w:rPr>
        <w:t>u cizinců v Česku ale stále zůstávají Slováci (204,5</w:t>
      </w:r>
      <w:r>
        <w:rPr>
          <w:spacing w:val="-2"/>
          <w:sz w:val="16"/>
          <w:szCs w:val="16"/>
        </w:rPr>
        <w:t> tis.</w:t>
      </w:r>
      <w:r w:rsidRPr="003A1DD6">
        <w:rPr>
          <w:spacing w:val="-2"/>
          <w:sz w:val="16"/>
          <w:szCs w:val="16"/>
        </w:rPr>
        <w:t>), a</w:t>
      </w:r>
      <w:r>
        <w:rPr>
          <w:spacing w:val="-2"/>
          <w:sz w:val="16"/>
          <w:szCs w:val="16"/>
        </w:rPr>
        <w:t> </w:t>
      </w:r>
      <w:r w:rsidRPr="003A1DD6">
        <w:rPr>
          <w:spacing w:val="-2"/>
          <w:sz w:val="16"/>
          <w:szCs w:val="16"/>
        </w:rPr>
        <w:t>to navzdory faktu, že jich oproti loňskému červnu přibylo jen mírně přes 5</w:t>
      </w:r>
      <w:r>
        <w:rPr>
          <w:spacing w:val="-2"/>
          <w:sz w:val="16"/>
          <w:szCs w:val="16"/>
        </w:rPr>
        <w:t> tisíc.</w:t>
      </w:r>
    </w:p>
  </w:footnote>
  <w:footnote w:id="5">
    <w:p w14:paraId="227A3D8A" w14:textId="77777777" w:rsidR="0070658E" w:rsidRPr="00A87505" w:rsidRDefault="0070658E" w:rsidP="0070658E">
      <w:pPr>
        <w:pStyle w:val="Textpoznpodarou"/>
        <w:rPr>
          <w:sz w:val="16"/>
          <w:szCs w:val="16"/>
        </w:rPr>
      </w:pPr>
      <w:r w:rsidRPr="00A87505">
        <w:rPr>
          <w:rStyle w:val="Znakapoznpodarou"/>
          <w:sz w:val="16"/>
          <w:szCs w:val="16"/>
        </w:rPr>
        <w:footnoteRef/>
      </w:r>
      <w:r w:rsidRPr="00A87505">
        <w:rPr>
          <w:sz w:val="16"/>
          <w:szCs w:val="16"/>
        </w:rPr>
        <w:t xml:space="preserve"> Celé uskupení táhly dolů hlavně obory těsně spjaté s cestovním ruchem. Naopak zaměstnanců v samotném obchodu dle údajů podnikových statistik oproti 2.</w:t>
      </w:r>
      <w:r>
        <w:rPr>
          <w:sz w:val="16"/>
          <w:szCs w:val="16"/>
        </w:rPr>
        <w:t> čtvrtlet</w:t>
      </w:r>
      <w:r w:rsidRPr="00A87505">
        <w:rPr>
          <w:sz w:val="16"/>
          <w:szCs w:val="16"/>
        </w:rPr>
        <w:t>í 2020 o</w:t>
      </w:r>
      <w:r>
        <w:rPr>
          <w:sz w:val="16"/>
          <w:szCs w:val="16"/>
        </w:rPr>
        <w:t> </w:t>
      </w:r>
      <w:r w:rsidRPr="00A87505">
        <w:rPr>
          <w:sz w:val="16"/>
          <w:szCs w:val="16"/>
        </w:rPr>
        <w:t>1,5</w:t>
      </w:r>
      <w:r>
        <w:rPr>
          <w:sz w:val="16"/>
          <w:szCs w:val="16"/>
        </w:rPr>
        <w:t> %</w:t>
      </w:r>
      <w:r w:rsidRPr="00A87505">
        <w:rPr>
          <w:sz w:val="16"/>
          <w:szCs w:val="16"/>
        </w:rPr>
        <w:t xml:space="preserve"> přibylo.</w:t>
      </w:r>
    </w:p>
  </w:footnote>
  <w:footnote w:id="6">
    <w:p w14:paraId="4697A86E" w14:textId="77777777" w:rsidR="0070658E" w:rsidRPr="003A1DD6" w:rsidRDefault="0070658E" w:rsidP="0070658E">
      <w:pPr>
        <w:pStyle w:val="Textpoznpodarou"/>
        <w:rPr>
          <w:sz w:val="16"/>
          <w:szCs w:val="16"/>
        </w:rPr>
      </w:pPr>
      <w:r w:rsidRPr="003A1DD6">
        <w:rPr>
          <w:rStyle w:val="Znakapoznpodarou"/>
          <w:sz w:val="16"/>
          <w:szCs w:val="16"/>
        </w:rPr>
        <w:footnoteRef/>
      </w:r>
      <w:r w:rsidRPr="003A1DD6">
        <w:rPr>
          <w:sz w:val="16"/>
          <w:szCs w:val="16"/>
        </w:rPr>
        <w:t xml:space="preserve"> </w:t>
      </w:r>
      <w:r w:rsidRPr="003A1DD6">
        <w:rPr>
          <w:spacing w:val="-3"/>
          <w:sz w:val="16"/>
          <w:szCs w:val="16"/>
        </w:rPr>
        <w:t>Na počátku července 2021 zmínila nedostatek pracovníků jako jeden z hlavních limitujících faktorů více než čtvrtina průmyslových podniků. Nejpalčivěji se projevoval v gumárenství, plastikářství, elektrotechnice, strojírenství, výrobě dopravních prostředků (mimo automobilový průmysl), výrobě stavebních materiálů a</w:t>
      </w:r>
      <w:r>
        <w:rPr>
          <w:spacing w:val="-3"/>
          <w:sz w:val="16"/>
          <w:szCs w:val="16"/>
        </w:rPr>
        <w:t> </w:t>
      </w:r>
      <w:r w:rsidRPr="003A1DD6">
        <w:rPr>
          <w:spacing w:val="-3"/>
          <w:sz w:val="16"/>
          <w:szCs w:val="16"/>
        </w:rPr>
        <w:t>též v některých malých oborech s nižší mzdovou úrovní (textilní a</w:t>
      </w:r>
      <w:r>
        <w:rPr>
          <w:spacing w:val="-3"/>
          <w:sz w:val="16"/>
          <w:szCs w:val="16"/>
        </w:rPr>
        <w:t> </w:t>
      </w:r>
      <w:r w:rsidRPr="003A1DD6">
        <w:rPr>
          <w:spacing w:val="-3"/>
          <w:sz w:val="16"/>
          <w:szCs w:val="16"/>
        </w:rPr>
        <w:t>kožedělný průmysl).</w:t>
      </w:r>
    </w:p>
  </w:footnote>
  <w:footnote w:id="7">
    <w:p w14:paraId="432560DF" w14:textId="77777777" w:rsidR="0070658E" w:rsidRPr="004E68B1" w:rsidRDefault="0070658E" w:rsidP="0070658E">
      <w:pPr>
        <w:pStyle w:val="Textpoznpodarou"/>
        <w:jc w:val="both"/>
        <w:rPr>
          <w:spacing w:val="-3"/>
          <w:sz w:val="16"/>
          <w:szCs w:val="16"/>
        </w:rPr>
      </w:pPr>
      <w:r w:rsidRPr="004E68B1">
        <w:rPr>
          <w:rStyle w:val="Znakapoznpodarou"/>
          <w:spacing w:val="-3"/>
          <w:sz w:val="16"/>
          <w:szCs w:val="16"/>
        </w:rPr>
        <w:footnoteRef/>
      </w:r>
      <w:r>
        <w:rPr>
          <w:spacing w:val="-3"/>
          <w:sz w:val="16"/>
          <w:szCs w:val="16"/>
        </w:rPr>
        <w:t xml:space="preserve"> Není-li uvedeno jinak, vycházejí v</w:t>
      </w:r>
      <w:r w:rsidRPr="004E68B1">
        <w:rPr>
          <w:spacing w:val="-3"/>
          <w:sz w:val="16"/>
          <w:szCs w:val="16"/>
        </w:rPr>
        <w:t>šechny údaje o </w:t>
      </w:r>
      <w:r>
        <w:rPr>
          <w:spacing w:val="-3"/>
          <w:sz w:val="16"/>
          <w:szCs w:val="16"/>
        </w:rPr>
        <w:t xml:space="preserve">mírách </w:t>
      </w:r>
      <w:r w:rsidRPr="004E68B1">
        <w:rPr>
          <w:spacing w:val="-3"/>
          <w:sz w:val="16"/>
          <w:szCs w:val="16"/>
        </w:rPr>
        <w:t>nezaměstnanosti z</w:t>
      </w:r>
      <w:r>
        <w:rPr>
          <w:spacing w:val="-3"/>
          <w:sz w:val="16"/>
          <w:szCs w:val="16"/>
        </w:rPr>
        <w:t> VŠPS a jsou očištěny o sezónní vlivy.</w:t>
      </w:r>
    </w:p>
  </w:footnote>
  <w:footnote w:id="8">
    <w:p w14:paraId="0C022DD8" w14:textId="77777777" w:rsidR="0070658E" w:rsidRPr="00230562" w:rsidRDefault="0070658E" w:rsidP="0070658E">
      <w:pPr>
        <w:pStyle w:val="Textpoznpodarou"/>
        <w:rPr>
          <w:sz w:val="16"/>
          <w:szCs w:val="16"/>
        </w:rPr>
      </w:pPr>
      <w:r w:rsidRPr="00C420DC">
        <w:rPr>
          <w:rStyle w:val="Znakapoznpodarou"/>
          <w:color w:val="0D0D0D" w:themeColor="text1" w:themeTint="F2"/>
          <w:sz w:val="16"/>
          <w:szCs w:val="16"/>
        </w:rPr>
        <w:footnoteRef/>
      </w:r>
      <w:r w:rsidRPr="00C420DC">
        <w:rPr>
          <w:color w:val="0D0D0D" w:themeColor="text1" w:themeTint="F2"/>
          <w:sz w:val="16"/>
          <w:szCs w:val="16"/>
        </w:rPr>
        <w:t xml:space="preserve"> To řadilo Česko do čela států</w:t>
      </w:r>
      <w:r>
        <w:rPr>
          <w:color w:val="0D0D0D" w:themeColor="text1" w:themeTint="F2"/>
          <w:sz w:val="16"/>
          <w:szCs w:val="16"/>
        </w:rPr>
        <w:t xml:space="preserve"> EU s nejnižší nezaměstnaností. Nižší</w:t>
      </w:r>
      <w:r w:rsidRPr="00C420DC">
        <w:rPr>
          <w:color w:val="0D0D0D" w:themeColor="text1" w:themeTint="F2"/>
          <w:sz w:val="16"/>
          <w:szCs w:val="16"/>
        </w:rPr>
        <w:t xml:space="preserve"> než v tuzemsku </w:t>
      </w:r>
      <w:r>
        <w:rPr>
          <w:color w:val="0D0D0D" w:themeColor="text1" w:themeTint="F2"/>
          <w:sz w:val="16"/>
          <w:szCs w:val="16"/>
        </w:rPr>
        <w:t xml:space="preserve">byla </w:t>
      </w:r>
      <w:r w:rsidRPr="00C420DC">
        <w:rPr>
          <w:color w:val="0D0D0D" w:themeColor="text1" w:themeTint="F2"/>
          <w:sz w:val="16"/>
          <w:szCs w:val="16"/>
        </w:rPr>
        <w:t>pouze u</w:t>
      </w:r>
      <w:r>
        <w:rPr>
          <w:color w:val="0D0D0D" w:themeColor="text1" w:themeTint="F2"/>
          <w:sz w:val="16"/>
          <w:szCs w:val="16"/>
        </w:rPr>
        <w:t> </w:t>
      </w:r>
      <w:r w:rsidRPr="00C420DC">
        <w:rPr>
          <w:color w:val="0D0D0D" w:themeColor="text1" w:themeTint="F2"/>
          <w:sz w:val="16"/>
          <w:szCs w:val="16"/>
        </w:rPr>
        <w:t>žen v</w:t>
      </w:r>
      <w:r>
        <w:rPr>
          <w:color w:val="0D0D0D" w:themeColor="text1" w:themeTint="F2"/>
          <w:sz w:val="16"/>
          <w:szCs w:val="16"/>
        </w:rPr>
        <w:t> </w:t>
      </w:r>
      <w:r w:rsidRPr="00C420DC">
        <w:rPr>
          <w:color w:val="0D0D0D" w:themeColor="text1" w:themeTint="F2"/>
          <w:sz w:val="16"/>
          <w:szCs w:val="16"/>
        </w:rPr>
        <w:t>Německu</w:t>
      </w:r>
      <w:r>
        <w:rPr>
          <w:color w:val="0D0D0D" w:themeColor="text1" w:themeTint="F2"/>
          <w:sz w:val="16"/>
          <w:szCs w:val="16"/>
        </w:rPr>
        <w:t xml:space="preserve"> a Nizozemsku</w:t>
      </w:r>
      <w:r w:rsidRPr="00C420DC">
        <w:rPr>
          <w:color w:val="0D0D0D" w:themeColor="text1" w:themeTint="F2"/>
          <w:sz w:val="16"/>
          <w:szCs w:val="16"/>
        </w:rPr>
        <w:t xml:space="preserve"> (</w:t>
      </w:r>
      <w:r w:rsidRPr="00FB4D22">
        <w:rPr>
          <w:color w:val="0D0D0D" w:themeColor="text1" w:themeTint="F2"/>
          <w:sz w:val="16"/>
          <w:szCs w:val="16"/>
        </w:rPr>
        <w:t>shodně 3,3</w:t>
      </w:r>
      <w:r>
        <w:rPr>
          <w:color w:val="0D0D0D" w:themeColor="text1" w:themeTint="F2"/>
          <w:sz w:val="16"/>
          <w:szCs w:val="16"/>
        </w:rPr>
        <w:t> %</w:t>
      </w:r>
      <w:r w:rsidRPr="00FB4D22">
        <w:rPr>
          <w:color w:val="0D0D0D" w:themeColor="text1" w:themeTint="F2"/>
          <w:sz w:val="16"/>
          <w:szCs w:val="16"/>
        </w:rPr>
        <w:t>, v</w:t>
      </w:r>
      <w:r>
        <w:rPr>
          <w:color w:val="0D0D0D" w:themeColor="text1" w:themeTint="F2"/>
          <w:sz w:val="16"/>
          <w:szCs w:val="16"/>
        </w:rPr>
        <w:t> </w:t>
      </w:r>
      <w:r w:rsidRPr="00FB4D22">
        <w:rPr>
          <w:color w:val="0D0D0D" w:themeColor="text1" w:themeTint="F2"/>
          <w:sz w:val="16"/>
          <w:szCs w:val="16"/>
        </w:rPr>
        <w:t>širší věkové skupině 15</w:t>
      </w:r>
      <w:r>
        <w:rPr>
          <w:color w:val="0D0D0D" w:themeColor="text1" w:themeTint="F2"/>
          <w:sz w:val="16"/>
          <w:szCs w:val="16"/>
        </w:rPr>
        <w:t> </w:t>
      </w:r>
      <w:r w:rsidRPr="00FB4D22">
        <w:rPr>
          <w:color w:val="0D0D0D" w:themeColor="text1" w:themeTint="F2"/>
          <w:sz w:val="16"/>
          <w:szCs w:val="16"/>
        </w:rPr>
        <w:t>až 74</w:t>
      </w:r>
      <w:r>
        <w:rPr>
          <w:color w:val="0D0D0D" w:themeColor="text1" w:themeTint="F2"/>
          <w:sz w:val="16"/>
          <w:szCs w:val="16"/>
        </w:rPr>
        <w:t> </w:t>
      </w:r>
      <w:r w:rsidRPr="00FB4D22">
        <w:rPr>
          <w:color w:val="0D0D0D" w:themeColor="text1" w:themeTint="F2"/>
          <w:sz w:val="16"/>
          <w:szCs w:val="16"/>
        </w:rPr>
        <w:t>let). V celé Unii činila míra nezaměstnanosti u</w:t>
      </w:r>
      <w:r>
        <w:rPr>
          <w:color w:val="0D0D0D" w:themeColor="text1" w:themeTint="F2"/>
          <w:sz w:val="16"/>
          <w:szCs w:val="16"/>
        </w:rPr>
        <w:t> </w:t>
      </w:r>
      <w:r w:rsidRPr="00FB4D22">
        <w:rPr>
          <w:color w:val="0D0D0D" w:themeColor="text1" w:themeTint="F2"/>
          <w:sz w:val="16"/>
          <w:szCs w:val="16"/>
        </w:rPr>
        <w:t>žen 7,5</w:t>
      </w:r>
      <w:r>
        <w:rPr>
          <w:color w:val="0D0D0D" w:themeColor="text1" w:themeTint="F2"/>
          <w:sz w:val="16"/>
          <w:szCs w:val="16"/>
        </w:rPr>
        <w:t> %</w:t>
      </w:r>
      <w:r w:rsidRPr="00FB4D22">
        <w:rPr>
          <w:color w:val="0D0D0D" w:themeColor="text1" w:themeTint="F2"/>
          <w:sz w:val="16"/>
          <w:szCs w:val="16"/>
        </w:rPr>
        <w:t>, u</w:t>
      </w:r>
      <w:r>
        <w:rPr>
          <w:color w:val="0D0D0D" w:themeColor="text1" w:themeTint="F2"/>
          <w:sz w:val="16"/>
          <w:szCs w:val="16"/>
        </w:rPr>
        <w:t> </w:t>
      </w:r>
      <w:r w:rsidRPr="00FB4D22">
        <w:rPr>
          <w:color w:val="0D0D0D" w:themeColor="text1" w:themeTint="F2"/>
          <w:sz w:val="16"/>
          <w:szCs w:val="16"/>
        </w:rPr>
        <w:t>mužů 6,7</w:t>
      </w:r>
      <w:r>
        <w:rPr>
          <w:color w:val="0D0D0D" w:themeColor="text1" w:themeTint="F2"/>
          <w:sz w:val="16"/>
          <w:szCs w:val="16"/>
        </w:rPr>
        <w:t> %</w:t>
      </w:r>
      <w:r w:rsidRPr="00FB4D22">
        <w:rPr>
          <w:color w:val="0D0D0D" w:themeColor="text1" w:themeTint="F2"/>
          <w:sz w:val="16"/>
          <w:szCs w:val="16"/>
        </w:rPr>
        <w:t>. Během května a</w:t>
      </w:r>
      <w:r>
        <w:rPr>
          <w:color w:val="0D0D0D" w:themeColor="text1" w:themeTint="F2"/>
          <w:sz w:val="16"/>
          <w:szCs w:val="16"/>
        </w:rPr>
        <w:t> </w:t>
      </w:r>
      <w:r w:rsidRPr="00FB4D22">
        <w:rPr>
          <w:color w:val="0D0D0D" w:themeColor="text1" w:themeTint="F2"/>
          <w:sz w:val="16"/>
          <w:szCs w:val="16"/>
        </w:rPr>
        <w:t xml:space="preserve">června v souvislosti </w:t>
      </w:r>
      <w:r>
        <w:rPr>
          <w:color w:val="0D0D0D" w:themeColor="text1" w:themeTint="F2"/>
          <w:sz w:val="16"/>
          <w:szCs w:val="16"/>
        </w:rPr>
        <w:t>s </w:t>
      </w:r>
      <w:r w:rsidRPr="00FB4D22">
        <w:rPr>
          <w:spacing w:val="-4"/>
          <w:sz w:val="16"/>
          <w:szCs w:val="16"/>
        </w:rPr>
        <w:t>postupným uvolňováním protipandemických opatření a</w:t>
      </w:r>
      <w:r>
        <w:rPr>
          <w:spacing w:val="-4"/>
          <w:sz w:val="16"/>
          <w:szCs w:val="16"/>
        </w:rPr>
        <w:t> </w:t>
      </w:r>
      <w:r w:rsidRPr="00FB4D22">
        <w:rPr>
          <w:spacing w:val="-4"/>
          <w:sz w:val="16"/>
          <w:szCs w:val="16"/>
        </w:rPr>
        <w:t xml:space="preserve">celkovým oživením ekonomické aktivity </w:t>
      </w:r>
      <w:r w:rsidRPr="00FB4D22">
        <w:rPr>
          <w:color w:val="0D0D0D" w:themeColor="text1" w:themeTint="F2"/>
          <w:sz w:val="16"/>
          <w:szCs w:val="16"/>
        </w:rPr>
        <w:t>nezaměstnanost ve většině států Unie meziměsíčně klesla.</w:t>
      </w:r>
    </w:p>
  </w:footnote>
  <w:footnote w:id="9">
    <w:p w14:paraId="4AA58159" w14:textId="77777777" w:rsidR="0070658E" w:rsidRPr="00E81E7C" w:rsidRDefault="0070658E" w:rsidP="0070658E">
      <w:pPr>
        <w:pStyle w:val="Textpoznpodarou"/>
        <w:rPr>
          <w:sz w:val="16"/>
          <w:szCs w:val="16"/>
        </w:rPr>
      </w:pPr>
      <w:r w:rsidRPr="00E81E7C">
        <w:rPr>
          <w:rStyle w:val="Znakapoznpodarou"/>
          <w:sz w:val="16"/>
          <w:szCs w:val="16"/>
        </w:rPr>
        <w:footnoteRef/>
      </w:r>
      <w:r w:rsidRPr="00E81E7C">
        <w:rPr>
          <w:sz w:val="16"/>
          <w:szCs w:val="16"/>
        </w:rPr>
        <w:t xml:space="preserve"> </w:t>
      </w:r>
      <w:r>
        <w:rPr>
          <w:sz w:val="16"/>
          <w:szCs w:val="16"/>
        </w:rPr>
        <w:t>Např. p</w:t>
      </w:r>
      <w:r w:rsidRPr="00E81E7C">
        <w:rPr>
          <w:sz w:val="16"/>
          <w:szCs w:val="16"/>
        </w:rPr>
        <w:t>rogram Antivirus byl ke konci května 2021 fakticky ukončen. V červnu dobíhal v omezeném reži</w:t>
      </w:r>
      <w:r>
        <w:rPr>
          <w:sz w:val="16"/>
          <w:szCs w:val="16"/>
        </w:rPr>
        <w:t>mu,</w:t>
      </w:r>
      <w:r w:rsidRPr="00E81E7C">
        <w:rPr>
          <w:sz w:val="16"/>
          <w:szCs w:val="16"/>
        </w:rPr>
        <w:t xml:space="preserve"> </w:t>
      </w:r>
      <w:r>
        <w:rPr>
          <w:sz w:val="16"/>
          <w:szCs w:val="16"/>
        </w:rPr>
        <w:t>v němž p</w:t>
      </w:r>
      <w:r w:rsidRPr="00E81E7C">
        <w:rPr>
          <w:sz w:val="16"/>
          <w:szCs w:val="16"/>
        </w:rPr>
        <w:t xml:space="preserve">říspěvek zaměstnavatelům na kompenzaci mzdových nákladů </w:t>
      </w:r>
      <w:r>
        <w:rPr>
          <w:sz w:val="16"/>
          <w:szCs w:val="16"/>
        </w:rPr>
        <w:t>byl</w:t>
      </w:r>
      <w:r w:rsidRPr="00E81E7C">
        <w:rPr>
          <w:sz w:val="16"/>
          <w:szCs w:val="16"/>
        </w:rPr>
        <w:t xml:space="preserve"> poskytnut jen z důvodu nařízení karantény nebo izolace zaměstnance.</w:t>
      </w:r>
      <w:r>
        <w:rPr>
          <w:sz w:val="16"/>
          <w:szCs w:val="16"/>
        </w:rPr>
        <w:t xml:space="preserve"> Rovněž čerpání ošetřovného (při péči o dítě z důvodu mimořádného uzavření škol) mělo během 2. čtvrtletí sestupnou tendenci.</w:t>
      </w:r>
    </w:p>
  </w:footnote>
  <w:footnote w:id="10">
    <w:p w14:paraId="4A6010EB" w14:textId="77777777" w:rsidR="0070658E" w:rsidRPr="00041ABB" w:rsidRDefault="0070658E" w:rsidP="0070658E">
      <w:pPr>
        <w:pStyle w:val="Textpoznpodarou"/>
        <w:rPr>
          <w:sz w:val="16"/>
          <w:szCs w:val="16"/>
        </w:rPr>
      </w:pPr>
      <w:r w:rsidRPr="00041ABB">
        <w:rPr>
          <w:rStyle w:val="Znakapoznpodarou"/>
          <w:sz w:val="16"/>
          <w:szCs w:val="16"/>
        </w:rPr>
        <w:footnoteRef/>
      </w:r>
      <w:r w:rsidRPr="00041ABB">
        <w:rPr>
          <w:sz w:val="16"/>
          <w:szCs w:val="16"/>
        </w:rPr>
        <w:t xml:space="preserve"> Zatímco v 1.</w:t>
      </w:r>
      <w:r>
        <w:rPr>
          <w:sz w:val="16"/>
          <w:szCs w:val="16"/>
        </w:rPr>
        <w:t> čtvrtlet</w:t>
      </w:r>
      <w:r w:rsidRPr="00041ABB">
        <w:rPr>
          <w:sz w:val="16"/>
          <w:szCs w:val="16"/>
        </w:rPr>
        <w:t>í 2019 pracovalo na zkrácené úvazky 12,3 % žen ve věku 15 a</w:t>
      </w:r>
      <w:r>
        <w:rPr>
          <w:sz w:val="16"/>
          <w:szCs w:val="16"/>
        </w:rPr>
        <w:t> </w:t>
      </w:r>
      <w:r w:rsidRPr="00041ABB">
        <w:rPr>
          <w:sz w:val="16"/>
          <w:szCs w:val="16"/>
        </w:rPr>
        <w:t>více let, o</w:t>
      </w:r>
      <w:r>
        <w:rPr>
          <w:sz w:val="16"/>
          <w:szCs w:val="16"/>
        </w:rPr>
        <w:t> </w:t>
      </w:r>
      <w:r w:rsidRPr="00041ABB">
        <w:rPr>
          <w:sz w:val="16"/>
          <w:szCs w:val="16"/>
        </w:rPr>
        <w:t>dva roky později jen 10,8</w:t>
      </w:r>
      <w:r>
        <w:rPr>
          <w:sz w:val="16"/>
          <w:szCs w:val="16"/>
        </w:rPr>
        <w:t> %</w:t>
      </w:r>
      <w:r w:rsidRPr="00041ABB">
        <w:rPr>
          <w:sz w:val="16"/>
          <w:szCs w:val="16"/>
        </w:rPr>
        <w:t xml:space="preserve">. Mezi ženami ve skupině </w:t>
      </w:r>
      <w:r>
        <w:rPr>
          <w:sz w:val="16"/>
          <w:szCs w:val="16"/>
        </w:rPr>
        <w:t xml:space="preserve">15 až 29 let byl </w:t>
      </w:r>
      <w:r w:rsidRPr="00041ABB">
        <w:rPr>
          <w:sz w:val="16"/>
          <w:szCs w:val="16"/>
        </w:rPr>
        <w:t xml:space="preserve">v tomto období </w:t>
      </w:r>
      <w:r>
        <w:rPr>
          <w:sz w:val="16"/>
          <w:szCs w:val="16"/>
        </w:rPr>
        <w:t xml:space="preserve">pokles </w:t>
      </w:r>
      <w:r w:rsidRPr="00041ABB">
        <w:rPr>
          <w:sz w:val="16"/>
          <w:szCs w:val="16"/>
        </w:rPr>
        <w:t>ještě viditelnější (z</w:t>
      </w:r>
      <w:r>
        <w:rPr>
          <w:sz w:val="16"/>
          <w:szCs w:val="16"/>
        </w:rPr>
        <w:t> </w:t>
      </w:r>
      <w:r w:rsidRPr="00041ABB">
        <w:rPr>
          <w:sz w:val="16"/>
          <w:szCs w:val="16"/>
        </w:rPr>
        <w:t>15,0</w:t>
      </w:r>
      <w:r>
        <w:rPr>
          <w:sz w:val="16"/>
          <w:szCs w:val="16"/>
        </w:rPr>
        <w:t xml:space="preserve"> </w:t>
      </w:r>
      <w:r w:rsidRPr="00041ABB">
        <w:rPr>
          <w:sz w:val="16"/>
          <w:szCs w:val="16"/>
        </w:rPr>
        <w:t>na 11,0</w:t>
      </w:r>
      <w:r>
        <w:rPr>
          <w:sz w:val="16"/>
          <w:szCs w:val="16"/>
        </w:rPr>
        <w:t> %</w:t>
      </w:r>
      <w:r w:rsidRPr="00041ABB">
        <w:rPr>
          <w:sz w:val="16"/>
          <w:szCs w:val="16"/>
        </w:rPr>
        <w:t>).</w:t>
      </w:r>
    </w:p>
  </w:footnote>
  <w:footnote w:id="11">
    <w:p w14:paraId="6275DC30" w14:textId="77777777" w:rsidR="00866074" w:rsidRPr="00131F99" w:rsidRDefault="00866074" w:rsidP="0070658E">
      <w:pPr>
        <w:pStyle w:val="Textpoznpodarou"/>
        <w:rPr>
          <w:sz w:val="16"/>
          <w:szCs w:val="16"/>
        </w:rPr>
      </w:pPr>
      <w:r w:rsidRPr="00131F99">
        <w:rPr>
          <w:rStyle w:val="Znakapoznpodarou"/>
          <w:sz w:val="16"/>
          <w:szCs w:val="16"/>
        </w:rPr>
        <w:footnoteRef/>
      </w:r>
      <w:r w:rsidRPr="00131F99">
        <w:rPr>
          <w:sz w:val="16"/>
          <w:szCs w:val="16"/>
        </w:rPr>
        <w:t xml:space="preserve"> </w:t>
      </w:r>
      <w:r>
        <w:rPr>
          <w:sz w:val="16"/>
          <w:szCs w:val="16"/>
        </w:rPr>
        <w:t>Přírůstek byl tažen zejména Prahou (+22 tis.) a Středočeským krajem (+9 tis.), naopak za poslední dva roky místa nejvíce ztrácely Plzeňský a Pardubický kraj (oba shodně o 6 tis.) a v menší míře též většina moravských krajů.</w:t>
      </w:r>
    </w:p>
  </w:footnote>
  <w:footnote w:id="12">
    <w:p w14:paraId="5E8D0EF4" w14:textId="77777777" w:rsidR="00866074" w:rsidRPr="00F403D6" w:rsidRDefault="00866074" w:rsidP="0070658E">
      <w:pPr>
        <w:pStyle w:val="Textpoznpodarou"/>
        <w:rPr>
          <w:sz w:val="16"/>
          <w:szCs w:val="16"/>
        </w:rPr>
      </w:pPr>
      <w:r w:rsidRPr="00F403D6">
        <w:rPr>
          <w:rStyle w:val="Znakapoznpodarou"/>
          <w:sz w:val="16"/>
          <w:szCs w:val="16"/>
        </w:rPr>
        <w:footnoteRef/>
      </w:r>
      <w:r w:rsidRPr="00F403D6">
        <w:rPr>
          <w:sz w:val="16"/>
          <w:szCs w:val="16"/>
        </w:rPr>
        <w:t xml:space="preserve"> Na konci 2.</w:t>
      </w:r>
      <w:r>
        <w:rPr>
          <w:sz w:val="16"/>
          <w:szCs w:val="16"/>
        </w:rPr>
        <w:t> čtvrtlet</w:t>
      </w:r>
      <w:r w:rsidRPr="00F403D6">
        <w:rPr>
          <w:sz w:val="16"/>
          <w:szCs w:val="16"/>
        </w:rPr>
        <w:t>í 2021 bylo 43</w:t>
      </w:r>
      <w:r>
        <w:rPr>
          <w:sz w:val="16"/>
          <w:szCs w:val="16"/>
        </w:rPr>
        <w:t> %</w:t>
      </w:r>
      <w:r w:rsidRPr="00F403D6">
        <w:rPr>
          <w:sz w:val="16"/>
          <w:szCs w:val="16"/>
        </w:rPr>
        <w:t xml:space="preserve"> všech nabízených míst </w:t>
      </w:r>
      <w:r>
        <w:rPr>
          <w:sz w:val="16"/>
          <w:szCs w:val="16"/>
        </w:rPr>
        <w:t xml:space="preserve">v ČR </w:t>
      </w:r>
      <w:r w:rsidRPr="00F403D6">
        <w:rPr>
          <w:sz w:val="16"/>
          <w:szCs w:val="16"/>
        </w:rPr>
        <w:t>neobsazeno déle než šest měsíců</w:t>
      </w:r>
      <w:r>
        <w:rPr>
          <w:sz w:val="16"/>
          <w:szCs w:val="16"/>
        </w:rPr>
        <w:t xml:space="preserve"> (nejvíce ve Středočeském a Královéhradeckém kraji, nejméně v Praze)</w:t>
      </w:r>
      <w:r w:rsidRPr="00F403D6">
        <w:rPr>
          <w:sz w:val="16"/>
          <w:szCs w:val="16"/>
        </w:rPr>
        <w:t>. Na přelomu let 2019 a</w:t>
      </w:r>
      <w:r>
        <w:rPr>
          <w:sz w:val="16"/>
          <w:szCs w:val="16"/>
        </w:rPr>
        <w:t> </w:t>
      </w:r>
      <w:r w:rsidRPr="00F403D6">
        <w:rPr>
          <w:sz w:val="16"/>
          <w:szCs w:val="16"/>
        </w:rPr>
        <w:t>2020 šlo dokonce o</w:t>
      </w:r>
      <w:r>
        <w:rPr>
          <w:sz w:val="16"/>
          <w:szCs w:val="16"/>
        </w:rPr>
        <w:t> </w:t>
      </w:r>
      <w:r w:rsidRPr="00F403D6">
        <w:rPr>
          <w:sz w:val="16"/>
          <w:szCs w:val="16"/>
        </w:rPr>
        <w:t>téměř polovinu míst.</w:t>
      </w:r>
    </w:p>
  </w:footnote>
  <w:footnote w:id="13">
    <w:p w14:paraId="64838799" w14:textId="77777777" w:rsidR="00866074" w:rsidRPr="00E8783D" w:rsidRDefault="00866074" w:rsidP="0070658E">
      <w:pPr>
        <w:pStyle w:val="Textpoznpodarou"/>
        <w:rPr>
          <w:spacing w:val="-2"/>
          <w:sz w:val="16"/>
          <w:szCs w:val="16"/>
        </w:rPr>
      </w:pPr>
      <w:r w:rsidRPr="00E8783D">
        <w:rPr>
          <w:rStyle w:val="Znakapoznpodarou"/>
          <w:spacing w:val="-2"/>
          <w:sz w:val="16"/>
          <w:szCs w:val="16"/>
        </w:rPr>
        <w:footnoteRef/>
      </w:r>
      <w:r w:rsidRPr="00E8783D">
        <w:rPr>
          <w:spacing w:val="-2"/>
          <w:sz w:val="16"/>
          <w:szCs w:val="16"/>
        </w:rPr>
        <w:t xml:space="preserve"> Výrazněji nižší zastoupení těchto míst vykazovaly jen Moravskoslezský </w:t>
      </w:r>
      <w:r>
        <w:rPr>
          <w:spacing w:val="-2"/>
          <w:sz w:val="16"/>
          <w:szCs w:val="16"/>
        </w:rPr>
        <w:t>a </w:t>
      </w:r>
      <w:r w:rsidRPr="00E8783D">
        <w:rPr>
          <w:spacing w:val="-2"/>
          <w:sz w:val="16"/>
          <w:szCs w:val="16"/>
        </w:rPr>
        <w:t>Olomouck</w:t>
      </w:r>
      <w:r>
        <w:rPr>
          <w:spacing w:val="-2"/>
          <w:sz w:val="16"/>
          <w:szCs w:val="16"/>
        </w:rPr>
        <w:t>ý</w:t>
      </w:r>
      <w:r w:rsidRPr="00E8783D">
        <w:rPr>
          <w:spacing w:val="-2"/>
          <w:sz w:val="16"/>
          <w:szCs w:val="16"/>
        </w:rPr>
        <w:t xml:space="preserve"> kraj (shodně 54</w:t>
      </w:r>
      <w:r>
        <w:rPr>
          <w:spacing w:val="-2"/>
          <w:sz w:val="16"/>
          <w:szCs w:val="16"/>
        </w:rPr>
        <w:t> %</w:t>
      </w:r>
      <w:r w:rsidRPr="00E8783D">
        <w:rPr>
          <w:spacing w:val="-2"/>
          <w:sz w:val="16"/>
          <w:szCs w:val="16"/>
        </w:rPr>
        <w:t>) a</w:t>
      </w:r>
      <w:r>
        <w:rPr>
          <w:spacing w:val="-2"/>
          <w:sz w:val="16"/>
          <w:szCs w:val="16"/>
        </w:rPr>
        <w:t> </w:t>
      </w:r>
      <w:r w:rsidRPr="00E8783D">
        <w:rPr>
          <w:spacing w:val="-2"/>
          <w:sz w:val="16"/>
          <w:szCs w:val="16"/>
        </w:rPr>
        <w:t>také Karlovarský kraj (63</w:t>
      </w:r>
      <w:r>
        <w:rPr>
          <w:spacing w:val="-2"/>
          <w:sz w:val="16"/>
          <w:szCs w:val="16"/>
        </w:rPr>
        <w:t> %</w:t>
      </w:r>
      <w:r w:rsidRPr="00E8783D">
        <w:rPr>
          <w:spacing w:val="-2"/>
          <w:sz w:val="16"/>
          <w:szCs w:val="16"/>
        </w:rPr>
        <w:t>).</w:t>
      </w:r>
    </w:p>
  </w:footnote>
  <w:footnote w:id="14">
    <w:p w14:paraId="24F5D412" w14:textId="77777777" w:rsidR="00866074" w:rsidRPr="00BA7014" w:rsidRDefault="00866074" w:rsidP="0070658E">
      <w:pPr>
        <w:pStyle w:val="Textpoznpodarou"/>
        <w:rPr>
          <w:sz w:val="16"/>
          <w:szCs w:val="16"/>
        </w:rPr>
      </w:pPr>
      <w:r w:rsidRPr="00BA7014">
        <w:rPr>
          <w:rStyle w:val="Znakapoznpodarou"/>
          <w:sz w:val="16"/>
          <w:szCs w:val="16"/>
        </w:rPr>
        <w:footnoteRef/>
      </w:r>
      <w:r w:rsidRPr="00BA7014">
        <w:rPr>
          <w:sz w:val="16"/>
          <w:szCs w:val="16"/>
        </w:rPr>
        <w:t xml:space="preserve"> Meziročně vzrostla nejvíce nabídka míst v kategorii obsluha strojů a</w:t>
      </w:r>
      <w:r>
        <w:rPr>
          <w:sz w:val="16"/>
          <w:szCs w:val="16"/>
        </w:rPr>
        <w:t> </w:t>
      </w:r>
      <w:r w:rsidRPr="00BA7014">
        <w:rPr>
          <w:sz w:val="16"/>
          <w:szCs w:val="16"/>
        </w:rPr>
        <w:t>zařízení, montéři (+14,5</w:t>
      </w:r>
      <w:r>
        <w:rPr>
          <w:sz w:val="16"/>
          <w:szCs w:val="16"/>
        </w:rPr>
        <w:t> tis.</w:t>
      </w:r>
      <w:r w:rsidRPr="00BA7014">
        <w:rPr>
          <w:sz w:val="16"/>
          <w:szCs w:val="16"/>
        </w:rPr>
        <w:t>, na 115,2</w:t>
      </w:r>
      <w:r>
        <w:rPr>
          <w:sz w:val="16"/>
          <w:szCs w:val="16"/>
        </w:rPr>
        <w:t> </w:t>
      </w:r>
      <w:r w:rsidRPr="00BA7014">
        <w:rPr>
          <w:sz w:val="16"/>
          <w:szCs w:val="16"/>
        </w:rPr>
        <w:t>tis</w:t>
      </w:r>
      <w:r>
        <w:rPr>
          <w:sz w:val="16"/>
          <w:szCs w:val="16"/>
        </w:rPr>
        <w:t>.</w:t>
      </w:r>
      <w:r w:rsidRPr="00BA7014">
        <w:rPr>
          <w:sz w:val="16"/>
          <w:szCs w:val="16"/>
        </w:rPr>
        <w:t>), oproti červenci 2019 pak u</w:t>
      </w:r>
      <w:r>
        <w:rPr>
          <w:sz w:val="16"/>
          <w:szCs w:val="16"/>
        </w:rPr>
        <w:t> </w:t>
      </w:r>
      <w:r w:rsidRPr="00BA7014">
        <w:rPr>
          <w:sz w:val="16"/>
          <w:szCs w:val="16"/>
        </w:rPr>
        <w:t>řemeslníků a</w:t>
      </w:r>
      <w:r>
        <w:rPr>
          <w:sz w:val="16"/>
          <w:szCs w:val="16"/>
        </w:rPr>
        <w:t> </w:t>
      </w:r>
      <w:r w:rsidRPr="00BA7014">
        <w:rPr>
          <w:sz w:val="16"/>
          <w:szCs w:val="16"/>
        </w:rPr>
        <w:t>opravářů (o</w:t>
      </w:r>
      <w:r>
        <w:rPr>
          <w:sz w:val="16"/>
          <w:szCs w:val="16"/>
        </w:rPr>
        <w:t> </w:t>
      </w:r>
      <w:r w:rsidRPr="00BA7014">
        <w:rPr>
          <w:sz w:val="16"/>
          <w:szCs w:val="16"/>
        </w:rPr>
        <w:t>5,2</w:t>
      </w:r>
      <w:r>
        <w:rPr>
          <w:sz w:val="16"/>
          <w:szCs w:val="16"/>
        </w:rPr>
        <w:t> tis.</w:t>
      </w:r>
      <w:r w:rsidRPr="00BA7014">
        <w:rPr>
          <w:sz w:val="16"/>
          <w:szCs w:val="16"/>
        </w:rPr>
        <w:t>, na 75,0</w:t>
      </w:r>
      <w:r>
        <w:rPr>
          <w:sz w:val="16"/>
          <w:szCs w:val="16"/>
        </w:rPr>
        <w:t> tis.</w:t>
      </w:r>
      <w:r w:rsidRPr="00BA7014">
        <w:rPr>
          <w:sz w:val="16"/>
          <w:szCs w:val="16"/>
        </w:rPr>
        <w:t>).</w:t>
      </w:r>
    </w:p>
  </w:footnote>
  <w:footnote w:id="15">
    <w:p w14:paraId="05D58811" w14:textId="77777777" w:rsidR="00866074" w:rsidRPr="00B27FB0" w:rsidRDefault="00866074" w:rsidP="0070658E">
      <w:pPr>
        <w:pStyle w:val="Textpoznpodarou"/>
        <w:rPr>
          <w:spacing w:val="-2"/>
          <w:sz w:val="16"/>
          <w:szCs w:val="16"/>
        </w:rPr>
      </w:pPr>
      <w:r w:rsidRPr="00B27FB0">
        <w:rPr>
          <w:rStyle w:val="Znakapoznpodarou"/>
          <w:spacing w:val="-2"/>
          <w:sz w:val="16"/>
          <w:szCs w:val="16"/>
        </w:rPr>
        <w:footnoteRef/>
      </w:r>
      <w:r w:rsidRPr="00B27FB0">
        <w:rPr>
          <w:spacing w:val="-2"/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> </w:t>
      </w:r>
      <w:r w:rsidRPr="00B27FB0">
        <w:rPr>
          <w:spacing w:val="-2"/>
          <w:sz w:val="16"/>
          <w:szCs w:val="16"/>
        </w:rPr>
        <w:t>okrese Karviná připadalo letos na 1</w:t>
      </w:r>
      <w:r>
        <w:rPr>
          <w:spacing w:val="-2"/>
          <w:sz w:val="16"/>
          <w:szCs w:val="16"/>
        </w:rPr>
        <w:t> </w:t>
      </w:r>
      <w:r w:rsidRPr="00B27FB0">
        <w:rPr>
          <w:spacing w:val="-2"/>
          <w:sz w:val="16"/>
          <w:szCs w:val="16"/>
        </w:rPr>
        <w:t xml:space="preserve">volné místo více než </w:t>
      </w:r>
      <w:r>
        <w:rPr>
          <w:spacing w:val="-2"/>
          <w:sz w:val="16"/>
          <w:szCs w:val="16"/>
        </w:rPr>
        <w:t>10 </w:t>
      </w:r>
      <w:r w:rsidRPr="00B27FB0">
        <w:rPr>
          <w:spacing w:val="-2"/>
          <w:sz w:val="16"/>
          <w:szCs w:val="16"/>
        </w:rPr>
        <w:t>uchazečů. Vyšší přetlak zde byl naposledy v první polovině roku 2017.</w:t>
      </w:r>
    </w:p>
  </w:footnote>
  <w:footnote w:id="16">
    <w:p w14:paraId="6BD19943" w14:textId="77777777" w:rsidR="00866074" w:rsidRPr="00BA6FA1" w:rsidRDefault="00866074" w:rsidP="0070658E">
      <w:pPr>
        <w:pStyle w:val="Textpoznpodarou"/>
        <w:rPr>
          <w:spacing w:val="-2"/>
          <w:sz w:val="16"/>
          <w:szCs w:val="16"/>
        </w:rPr>
      </w:pPr>
      <w:r w:rsidRPr="00BA6FA1">
        <w:rPr>
          <w:rStyle w:val="Znakapoznpodarou"/>
          <w:spacing w:val="-2"/>
          <w:sz w:val="16"/>
          <w:szCs w:val="16"/>
        </w:rPr>
        <w:footnoteRef/>
      </w:r>
      <w:r w:rsidRPr="00BA6FA1">
        <w:rPr>
          <w:spacing w:val="-2"/>
          <w:sz w:val="16"/>
          <w:szCs w:val="16"/>
        </w:rPr>
        <w:t xml:space="preserve"> Za celý rok 2020 se počet neaktivních navýšil o</w:t>
      </w:r>
      <w:r>
        <w:rPr>
          <w:spacing w:val="-2"/>
          <w:sz w:val="16"/>
          <w:szCs w:val="16"/>
        </w:rPr>
        <w:t> </w:t>
      </w:r>
      <w:r w:rsidRPr="00BA6FA1">
        <w:rPr>
          <w:spacing w:val="-2"/>
          <w:sz w:val="16"/>
          <w:szCs w:val="16"/>
        </w:rPr>
        <w:t>1,7</w:t>
      </w:r>
      <w:r>
        <w:rPr>
          <w:spacing w:val="-2"/>
          <w:sz w:val="16"/>
          <w:szCs w:val="16"/>
        </w:rPr>
        <w:t> %</w:t>
      </w:r>
      <w:r w:rsidRPr="00BA6FA1">
        <w:rPr>
          <w:spacing w:val="-2"/>
          <w:sz w:val="16"/>
          <w:szCs w:val="16"/>
        </w:rPr>
        <w:t xml:space="preserve"> (podobným tempem pro muže i</w:t>
      </w:r>
      <w:r>
        <w:rPr>
          <w:spacing w:val="-2"/>
          <w:sz w:val="16"/>
          <w:szCs w:val="16"/>
        </w:rPr>
        <w:t> </w:t>
      </w:r>
      <w:r w:rsidRPr="00BA6FA1">
        <w:rPr>
          <w:spacing w:val="-2"/>
          <w:sz w:val="16"/>
          <w:szCs w:val="16"/>
        </w:rPr>
        <w:t>ženy), což bylo nejvíce za posledních dvanáct let.</w:t>
      </w:r>
    </w:p>
  </w:footnote>
  <w:footnote w:id="17">
    <w:p w14:paraId="62F19C2B" w14:textId="77777777" w:rsidR="00866074" w:rsidRPr="00410EF0" w:rsidRDefault="00866074" w:rsidP="0070658E">
      <w:pPr>
        <w:pStyle w:val="Textpoznpodarou"/>
        <w:rPr>
          <w:sz w:val="16"/>
          <w:szCs w:val="16"/>
        </w:rPr>
      </w:pPr>
      <w:r w:rsidRPr="00410EF0">
        <w:rPr>
          <w:rStyle w:val="Znakapoznpodarou"/>
          <w:sz w:val="16"/>
          <w:szCs w:val="16"/>
        </w:rPr>
        <w:footnoteRef/>
      </w:r>
      <w:r w:rsidRPr="00410EF0">
        <w:rPr>
          <w:sz w:val="16"/>
          <w:szCs w:val="16"/>
        </w:rPr>
        <w:t xml:space="preserve"> Nejpozději do dvou týdn</w:t>
      </w:r>
      <w:r>
        <w:rPr>
          <w:sz w:val="16"/>
          <w:szCs w:val="16"/>
        </w:rPr>
        <w:t>ů</w:t>
      </w:r>
      <w:r w:rsidRPr="00410EF0">
        <w:rPr>
          <w:sz w:val="16"/>
          <w:szCs w:val="16"/>
        </w:rPr>
        <w:t xml:space="preserve"> byla ale schopna do práce nastoupit pouze necelá polovina z nich.</w:t>
      </w:r>
    </w:p>
  </w:footnote>
  <w:footnote w:id="18">
    <w:p w14:paraId="6A010F23" w14:textId="77777777" w:rsidR="00866074" w:rsidRPr="00186827" w:rsidRDefault="00866074" w:rsidP="0070658E">
      <w:pPr>
        <w:pStyle w:val="Textpoznpodarou"/>
        <w:rPr>
          <w:sz w:val="16"/>
          <w:szCs w:val="16"/>
        </w:rPr>
      </w:pPr>
      <w:r w:rsidRPr="00186827">
        <w:rPr>
          <w:rStyle w:val="Znakapoznpodarou"/>
          <w:sz w:val="16"/>
          <w:szCs w:val="16"/>
        </w:rPr>
        <w:footnoteRef/>
      </w:r>
      <w:r w:rsidRPr="00186827">
        <w:rPr>
          <w:sz w:val="16"/>
          <w:szCs w:val="16"/>
        </w:rPr>
        <w:t xml:space="preserve"> </w:t>
      </w:r>
      <w:r>
        <w:rPr>
          <w:sz w:val="16"/>
          <w:szCs w:val="16"/>
        </w:rPr>
        <w:t>Níže uvedené ú</w:t>
      </w:r>
      <w:r w:rsidRPr="00186827">
        <w:rPr>
          <w:sz w:val="16"/>
          <w:szCs w:val="16"/>
        </w:rPr>
        <w:t xml:space="preserve">daje </w:t>
      </w:r>
      <w:r>
        <w:rPr>
          <w:sz w:val="16"/>
          <w:szCs w:val="16"/>
        </w:rPr>
        <w:t xml:space="preserve">o odpracované době </w:t>
      </w:r>
      <w:r w:rsidRPr="00186827">
        <w:rPr>
          <w:sz w:val="16"/>
          <w:szCs w:val="16"/>
        </w:rPr>
        <w:t>vycház</w:t>
      </w:r>
      <w:r>
        <w:rPr>
          <w:sz w:val="16"/>
          <w:szCs w:val="16"/>
        </w:rPr>
        <w:t>ej</w:t>
      </w:r>
      <w:r w:rsidRPr="00186827">
        <w:rPr>
          <w:sz w:val="16"/>
          <w:szCs w:val="16"/>
        </w:rPr>
        <w:t>í z národních účtů a</w:t>
      </w:r>
      <w:r>
        <w:rPr>
          <w:sz w:val="16"/>
          <w:szCs w:val="16"/>
        </w:rPr>
        <w:t> </w:t>
      </w:r>
      <w:r w:rsidRPr="00186827">
        <w:rPr>
          <w:sz w:val="16"/>
          <w:szCs w:val="16"/>
        </w:rPr>
        <w:t xml:space="preserve">jsou očištěny </w:t>
      </w:r>
      <w:r w:rsidRPr="00186827">
        <w:rPr>
          <w:rFonts w:cs="Arial"/>
          <w:color w:val="0D0D0D" w:themeColor="text1" w:themeTint="F2"/>
          <w:spacing w:val="-2"/>
          <w:sz w:val="16"/>
          <w:szCs w:val="16"/>
        </w:rPr>
        <w:t>o sezónní a kalendářní vlivy.</w:t>
      </w:r>
    </w:p>
  </w:footnote>
  <w:footnote w:id="19">
    <w:p w14:paraId="45AE92AC" w14:textId="77777777" w:rsidR="00866074" w:rsidRPr="00376E4D" w:rsidRDefault="00866074" w:rsidP="0070658E">
      <w:pPr>
        <w:pStyle w:val="Textpoznpodarou"/>
        <w:rPr>
          <w:sz w:val="16"/>
          <w:szCs w:val="16"/>
        </w:rPr>
      </w:pPr>
      <w:r w:rsidRPr="00376E4D">
        <w:rPr>
          <w:rStyle w:val="Znakapoznpodarou"/>
          <w:sz w:val="16"/>
          <w:szCs w:val="16"/>
        </w:rPr>
        <w:footnoteRef/>
      </w:r>
      <w:r w:rsidRPr="00376E4D">
        <w:rPr>
          <w:sz w:val="16"/>
          <w:szCs w:val="16"/>
        </w:rPr>
        <w:t xml:space="preserve"> Ve srovnání se 2.</w:t>
      </w:r>
      <w:r>
        <w:rPr>
          <w:sz w:val="16"/>
          <w:szCs w:val="16"/>
        </w:rPr>
        <w:t> čtvrtlet</w:t>
      </w:r>
      <w:r w:rsidRPr="00376E4D">
        <w:rPr>
          <w:sz w:val="16"/>
          <w:szCs w:val="16"/>
        </w:rPr>
        <w:t xml:space="preserve">ím 2019 </w:t>
      </w:r>
      <w:r>
        <w:rPr>
          <w:sz w:val="16"/>
          <w:szCs w:val="16"/>
        </w:rPr>
        <w:t>činil růst průměrných mezd v ubytování, stravování a pohostinství jen 0,9 %. Ani ne poloviční tempo oproti celé ekonomice (10,7 %) vykázaly zpracovatelský průmysl či doprava a skladování.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872AA" w:rsidRDefault="00C872AA" w:rsidP="00937AE2">
    <w:pPr>
      <w:pStyle w:val="Zhlav"/>
    </w:pPr>
    <w:r>
      <w:t>Vývoj ekonomiky České republiky</w:t>
    </w:r>
  </w:p>
  <w:p w14:paraId="3E881AB3" w14:textId="77777777" w:rsidR="00C872AA" w:rsidRPr="006F5416" w:rsidRDefault="00C872AA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872AA" w:rsidRDefault="00C872AA" w:rsidP="00937AE2">
    <w:pPr>
      <w:pStyle w:val="Zhlav"/>
    </w:pPr>
    <w:r>
      <w:t>Vývoj ekonomiky České republiky</w:t>
    </w:r>
  </w:p>
  <w:p w14:paraId="57266714" w14:textId="77777777" w:rsidR="00C872AA" w:rsidRPr="006F5416" w:rsidRDefault="00C872AA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2196"/>
    <w:rsid w:val="000D3058"/>
    <w:rsid w:val="000D310A"/>
    <w:rsid w:val="000D3EF4"/>
    <w:rsid w:val="000D4DC0"/>
    <w:rsid w:val="000D55BA"/>
    <w:rsid w:val="000D5637"/>
    <w:rsid w:val="000D5A03"/>
    <w:rsid w:val="000D5ED3"/>
    <w:rsid w:val="000D6F4E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6A6F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52C86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085B"/>
    <w:rsid w:val="001E149B"/>
    <w:rsid w:val="001E15CB"/>
    <w:rsid w:val="001E3306"/>
    <w:rsid w:val="001E504C"/>
    <w:rsid w:val="001E5A17"/>
    <w:rsid w:val="001E74C5"/>
    <w:rsid w:val="001F1236"/>
    <w:rsid w:val="001F2F90"/>
    <w:rsid w:val="001F4597"/>
    <w:rsid w:val="001F4826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52D4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47E1"/>
    <w:rsid w:val="00324B59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30C96"/>
    <w:rsid w:val="0043174F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E0"/>
    <w:rsid w:val="005A28FF"/>
    <w:rsid w:val="005A2C09"/>
    <w:rsid w:val="005A3778"/>
    <w:rsid w:val="005A37B0"/>
    <w:rsid w:val="005A3DF8"/>
    <w:rsid w:val="005A5549"/>
    <w:rsid w:val="005A566A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114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4BA6"/>
    <w:rsid w:val="00825C4D"/>
    <w:rsid w:val="00826114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3CD3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528"/>
    <w:rsid w:val="00B34CC9"/>
    <w:rsid w:val="00B34CDA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F4"/>
    <w:rsid w:val="00BD6659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72AA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822"/>
    <w:rsid w:val="00D72076"/>
    <w:rsid w:val="00D721B4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450F"/>
    <w:rsid w:val="00DE5CA6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8D7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D57"/>
    <w:rsid w:val="00F62BFF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Q-makro-1.%20pololet&#237;-2021\Trh%20pr&#225;ce\Grafy-trh%20pr&#225;ce-2021-1.po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Q-makro-1.%20pololet&#237;-2021\Trh%20pr&#225;ce\Grafy-trh%20pr&#225;ce-2021-1.po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Q-makro-1.%20pololet&#237;-2021\Trh%20pr&#225;ce\Grafy-trh%20pr&#225;ce-2021-1.p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88731014312048E-2"/>
          <c:y val="1.4522051060224651E-2"/>
          <c:w val="0.83420125451377358"/>
          <c:h val="0.666428203037915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'Trh práce 1-SNÚ'!$AC$7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1-SNÚ'!$AC$28:$AC$54</c:f>
              <c:numCache>
                <c:formatCode>#\ ##0.0</c:formatCode>
                <c:ptCount val="27"/>
                <c:pt idx="0">
                  <c:v>-5.6677054184560781E-2</c:v>
                </c:pt>
                <c:pt idx="1">
                  <c:v>-5.1607322824015513E-2</c:v>
                </c:pt>
                <c:pt idx="2">
                  <c:v>-6.9891278713406377E-2</c:v>
                </c:pt>
                <c:pt idx="3">
                  <c:v>-0.14152766500586728</c:v>
                </c:pt>
                <c:pt idx="4">
                  <c:v>-0.11957614913941057</c:v>
                </c:pt>
                <c:pt idx="5">
                  <c:v>-3.02348639604662E-2</c:v>
                </c:pt>
                <c:pt idx="6">
                  <c:v>-4.7646022434106698E-2</c:v>
                </c:pt>
                <c:pt idx="7">
                  <c:v>5.3596790651858295E-2</c:v>
                </c:pt>
                <c:pt idx="8">
                  <c:v>0.10353112845488527</c:v>
                </c:pt>
                <c:pt idx="9">
                  <c:v>3.4547187522400186E-2</c:v>
                </c:pt>
                <c:pt idx="10">
                  <c:v>1.7808989286696726E-2</c:v>
                </c:pt>
                <c:pt idx="11">
                  <c:v>-9.5124644980561279E-2</c:v>
                </c:pt>
                <c:pt idx="12">
                  <c:v>3.2050098392482823E-2</c:v>
                </c:pt>
                <c:pt idx="13">
                  <c:v>2.9656752150723571E-2</c:v>
                </c:pt>
                <c:pt idx="14">
                  <c:v>1.6015798281392987E-2</c:v>
                </c:pt>
                <c:pt idx="15">
                  <c:v>8.185225491141454E-2</c:v>
                </c:pt>
                <c:pt idx="16">
                  <c:v>-3.1059507716079723E-2</c:v>
                </c:pt>
                <c:pt idx="17">
                  <c:v>-9.207748512930998E-2</c:v>
                </c:pt>
                <c:pt idx="18">
                  <c:v>-0.12566979454251256</c:v>
                </c:pt>
                <c:pt idx="19">
                  <c:v>-0.13346654214698095</c:v>
                </c:pt>
                <c:pt idx="20">
                  <c:v>-0.11113022567347482</c:v>
                </c:pt>
                <c:pt idx="21">
                  <c:v>-3.5074130368155279E-2</c:v>
                </c:pt>
                <c:pt idx="22">
                  <c:v>5.2773986790109355E-2</c:v>
                </c:pt>
                <c:pt idx="23">
                  <c:v>4.443918031608541E-2</c:v>
                </c:pt>
                <c:pt idx="24">
                  <c:v>1.2047216935347455E-2</c:v>
                </c:pt>
                <c:pt idx="25">
                  <c:v>-5.8656540063489492E-2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94-4B72-89EB-A0FF247B4373}"/>
            </c:ext>
          </c:extLst>
        </c:ser>
        <c:ser>
          <c:idx val="1"/>
          <c:order val="1"/>
          <c:tx>
            <c:strRef>
              <c:f>'Trh práce 1-SNÚ'!$AD$7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1-SNÚ'!$AD$28:$AD$54</c:f>
              <c:numCache>
                <c:formatCode>#\ ##0.0</c:formatCode>
                <c:ptCount val="27"/>
                <c:pt idx="0">
                  <c:v>0.8973211837957854</c:v>
                </c:pt>
                <c:pt idx="1">
                  <c:v>0.93240500328089182</c:v>
                </c:pt>
                <c:pt idx="2">
                  <c:v>0.78322390473214842</c:v>
                </c:pt>
                <c:pt idx="3">
                  <c:v>0.92856953615549465</c:v>
                </c:pt>
                <c:pt idx="4">
                  <c:v>0.86888766422551245</c:v>
                </c:pt>
                <c:pt idx="5">
                  <c:v>0.63466218902728611</c:v>
                </c:pt>
                <c:pt idx="6">
                  <c:v>0.67030166755296461</c:v>
                </c:pt>
                <c:pt idx="7">
                  <c:v>0.52226112325646856</c:v>
                </c:pt>
                <c:pt idx="8">
                  <c:v>0.25692544860143091</c:v>
                </c:pt>
                <c:pt idx="9">
                  <c:v>0.4029301034533323</c:v>
                </c:pt>
                <c:pt idx="10">
                  <c:v>0.49305079188297163</c:v>
                </c:pt>
                <c:pt idx="11">
                  <c:v>0.4790569189501015</c:v>
                </c:pt>
                <c:pt idx="12">
                  <c:v>0.34915953751387369</c:v>
                </c:pt>
                <c:pt idx="13">
                  <c:v>0.29129979245897197</c:v>
                </c:pt>
                <c:pt idx="14">
                  <c:v>9.8459913388051989E-2</c:v>
                </c:pt>
                <c:pt idx="15">
                  <c:v>8.7027357678158501E-2</c:v>
                </c:pt>
                <c:pt idx="16">
                  <c:v>0.15622524191719908</c:v>
                </c:pt>
                <c:pt idx="17">
                  <c:v>-1.4335858201041258E-2</c:v>
                </c:pt>
                <c:pt idx="18">
                  <c:v>-0.16956473525850688</c:v>
                </c:pt>
                <c:pt idx="19">
                  <c:v>-0.55893946933332894</c:v>
                </c:pt>
                <c:pt idx="20">
                  <c:v>-0.94324538896959609</c:v>
                </c:pt>
                <c:pt idx="21">
                  <c:v>-1.2295778121418541</c:v>
                </c:pt>
                <c:pt idx="22">
                  <c:v>-1.2343771039367566</c:v>
                </c:pt>
                <c:pt idx="23">
                  <c:v>-1.0657457809109596</c:v>
                </c:pt>
                <c:pt idx="24">
                  <c:v>-0.57050059151835375</c:v>
                </c:pt>
                <c:pt idx="25">
                  <c:v>-0.16123981086550393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94-4B72-89EB-A0FF247B4373}"/>
            </c:ext>
          </c:extLst>
        </c:ser>
        <c:ser>
          <c:idx val="2"/>
          <c:order val="2"/>
          <c:tx>
            <c:strRef>
              <c:f>'Trh práce 1-SNÚ'!$AE$7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48AEE7"/>
            </a:solidFill>
            <a:ln w="19050">
              <a:noFill/>
            </a:ln>
          </c:spPr>
          <c:invertIfNegative val="0"/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1-SNÚ'!$AE$28:$AE$54</c:f>
              <c:numCache>
                <c:formatCode>#\ ##0.0</c:formatCode>
                <c:ptCount val="27"/>
                <c:pt idx="0">
                  <c:v>-0.10869652798016841</c:v>
                </c:pt>
                <c:pt idx="1">
                  <c:v>-0.10209615994424059</c:v>
                </c:pt>
                <c:pt idx="2">
                  <c:v>-0.16545690470928856</c:v>
                </c:pt>
                <c:pt idx="3">
                  <c:v>-0.17895019005421842</c:v>
                </c:pt>
                <c:pt idx="4">
                  <c:v>-0.11373322367009846</c:v>
                </c:pt>
                <c:pt idx="5">
                  <c:v>-0.12545154650943438</c:v>
                </c:pt>
                <c:pt idx="6">
                  <c:v>-3.1860386360670866E-2</c:v>
                </c:pt>
                <c:pt idx="7">
                  <c:v>1.8032205750158924E-2</c:v>
                </c:pt>
                <c:pt idx="8">
                  <c:v>-1.9444350441111414E-2</c:v>
                </c:pt>
                <c:pt idx="9">
                  <c:v>1.8614032242393937E-2</c:v>
                </c:pt>
                <c:pt idx="10">
                  <c:v>7.0286650681611176E-2</c:v>
                </c:pt>
                <c:pt idx="11">
                  <c:v>-6.0221710983330345E-2</c:v>
                </c:pt>
                <c:pt idx="12">
                  <c:v>9.978678488335628E-2</c:v>
                </c:pt>
                <c:pt idx="13">
                  <c:v>7.2735902872823929E-2</c:v>
                </c:pt>
                <c:pt idx="14">
                  <c:v>5.9649537087560163E-2</c:v>
                </c:pt>
                <c:pt idx="15">
                  <c:v>0.1162536574759572</c:v>
                </c:pt>
                <c:pt idx="16">
                  <c:v>2.9352533576366864E-2</c:v>
                </c:pt>
                <c:pt idx="17">
                  <c:v>9.3127798647895263E-2</c:v>
                </c:pt>
                <c:pt idx="18">
                  <c:v>0.10007825071187611</c:v>
                </c:pt>
                <c:pt idx="19">
                  <c:v>0.12319422069622019</c:v>
                </c:pt>
                <c:pt idx="20">
                  <c:v>0.21637275727153377</c:v>
                </c:pt>
                <c:pt idx="21">
                  <c:v>-8.4471727588227383E-3</c:v>
                </c:pt>
                <c:pt idx="22">
                  <c:v>7.7604469929050846E-2</c:v>
                </c:pt>
                <c:pt idx="23">
                  <c:v>0.12629596568001819</c:v>
                </c:pt>
                <c:pt idx="24">
                  <c:v>-5.7659833670562981E-2</c:v>
                </c:pt>
                <c:pt idx="25">
                  <c:v>0.15465361586797199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94-4B72-89EB-A0FF247B4373}"/>
            </c:ext>
          </c:extLst>
        </c:ser>
        <c:ser>
          <c:idx val="3"/>
          <c:order val="3"/>
          <c:tx>
            <c:strRef>
              <c:f>'Trh práce 1-SNÚ'!$AF$7</c:f>
              <c:strCache>
                <c:ptCount val="1"/>
                <c:pt idx="0">
                  <c:v>Obchod, doprava, ubytování a pohost.</c:v>
                </c:pt>
              </c:strCache>
            </c:strRef>
          </c:tx>
          <c:spPr>
            <a:solidFill>
              <a:srgbClr val="FDDEB3"/>
            </a:solidFill>
            <a:ln w="19050">
              <a:noFill/>
            </a:ln>
          </c:spPr>
          <c:invertIfNegative val="0"/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1-SNÚ'!$AF$28:$AF$54</c:f>
              <c:numCache>
                <c:formatCode>#\ ##0.0</c:formatCode>
                <c:ptCount val="27"/>
                <c:pt idx="0">
                  <c:v>0.21725549029484031</c:v>
                </c:pt>
                <c:pt idx="1">
                  <c:v>0.47973225414506893</c:v>
                </c:pt>
                <c:pt idx="2">
                  <c:v>0.31856511270432697</c:v>
                </c:pt>
                <c:pt idx="3">
                  <c:v>0.19833353853058974</c:v>
                </c:pt>
                <c:pt idx="4">
                  <c:v>6.3068653986030024E-2</c:v>
                </c:pt>
                <c:pt idx="5">
                  <c:v>0.14785774033727989</c:v>
                </c:pt>
                <c:pt idx="6">
                  <c:v>6.688175479221287E-3</c:v>
                </c:pt>
                <c:pt idx="7">
                  <c:v>0.15925244395982574</c:v>
                </c:pt>
                <c:pt idx="8">
                  <c:v>0.19450086237701714</c:v>
                </c:pt>
                <c:pt idx="9">
                  <c:v>-6.8447922443940921E-4</c:v>
                </c:pt>
                <c:pt idx="10">
                  <c:v>0.33618739157733363</c:v>
                </c:pt>
                <c:pt idx="11">
                  <c:v>0.18398562829243031</c:v>
                </c:pt>
                <c:pt idx="12">
                  <c:v>0.17924314286166321</c:v>
                </c:pt>
                <c:pt idx="13">
                  <c:v>0.42149330932798285</c:v>
                </c:pt>
                <c:pt idx="14">
                  <c:v>0.20459251153416669</c:v>
                </c:pt>
                <c:pt idx="15">
                  <c:v>0.19123680116101013</c:v>
                </c:pt>
                <c:pt idx="16">
                  <c:v>0.41047161840073582</c:v>
                </c:pt>
                <c:pt idx="17">
                  <c:v>0.14533022317687969</c:v>
                </c:pt>
                <c:pt idx="18">
                  <c:v>-1.374599866894316E-2</c:v>
                </c:pt>
                <c:pt idx="19">
                  <c:v>-5.1195924649759174E-2</c:v>
                </c:pt>
                <c:pt idx="20">
                  <c:v>-0.41094264742004311</c:v>
                </c:pt>
                <c:pt idx="21">
                  <c:v>-0.95188618940507708</c:v>
                </c:pt>
                <c:pt idx="22">
                  <c:v>-0.76136376823580798</c:v>
                </c:pt>
                <c:pt idx="23">
                  <c:v>-1.2617401200430671</c:v>
                </c:pt>
                <c:pt idx="24">
                  <c:v>-1.1431696820850703</c:v>
                </c:pt>
                <c:pt idx="25">
                  <c:v>-0.49946250269032738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94-4B72-89EB-A0FF247B4373}"/>
            </c:ext>
          </c:extLst>
        </c:ser>
        <c:ser>
          <c:idx val="4"/>
          <c:order val="4"/>
          <c:tx>
            <c:strRef>
              <c:f>'Trh práce 1-SNÚ'!$AG$7</c:f>
              <c:strCache>
                <c:ptCount val="1"/>
                <c:pt idx="0">
                  <c:v>Informační a komunikační činnosti</c:v>
                </c:pt>
              </c:strCache>
            </c:strRef>
          </c:tx>
          <c:spPr>
            <a:solidFill>
              <a:srgbClr val="F8A124"/>
            </a:solidFill>
            <a:ln w="19050">
              <a:noFill/>
            </a:ln>
          </c:spPr>
          <c:invertIfNegative val="0"/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1-SNÚ'!$AG$28:$AG$54</c:f>
              <c:numCache>
                <c:formatCode>#\ ##0.0</c:formatCode>
                <c:ptCount val="27"/>
                <c:pt idx="0">
                  <c:v>7.5857638402359439E-3</c:v>
                </c:pt>
                <c:pt idx="1">
                  <c:v>5.8337859602965066E-2</c:v>
                </c:pt>
                <c:pt idx="2">
                  <c:v>7.3076148277366471E-2</c:v>
                </c:pt>
                <c:pt idx="3">
                  <c:v>0.101592122918871</c:v>
                </c:pt>
                <c:pt idx="4">
                  <c:v>0.11899379776373163</c:v>
                </c:pt>
                <c:pt idx="5">
                  <c:v>0.11409419008550926</c:v>
                </c:pt>
                <c:pt idx="6">
                  <c:v>0.12987010483859668</c:v>
                </c:pt>
                <c:pt idx="7">
                  <c:v>0.16669217063926228</c:v>
                </c:pt>
                <c:pt idx="8">
                  <c:v>0.14027846527673005</c:v>
                </c:pt>
                <c:pt idx="9">
                  <c:v>0.1351276068914134</c:v>
                </c:pt>
                <c:pt idx="10">
                  <c:v>0.13451672611540119</c:v>
                </c:pt>
                <c:pt idx="11">
                  <c:v>0.11997176069642783</c:v>
                </c:pt>
                <c:pt idx="12">
                  <c:v>0.11565167779721315</c:v>
                </c:pt>
                <c:pt idx="13">
                  <c:v>0.13697970162157849</c:v>
                </c:pt>
                <c:pt idx="14">
                  <c:v>0.12890855314395611</c:v>
                </c:pt>
                <c:pt idx="15">
                  <c:v>0.14791858483650214</c:v>
                </c:pt>
                <c:pt idx="16">
                  <c:v>0.14590918081197787</c:v>
                </c:pt>
                <c:pt idx="17">
                  <c:v>8.1482217178668936E-2</c:v>
                </c:pt>
                <c:pt idx="18">
                  <c:v>0.13404655077835173</c:v>
                </c:pt>
                <c:pt idx="19">
                  <c:v>0.14640819444068129</c:v>
                </c:pt>
                <c:pt idx="20">
                  <c:v>0.19847048747347235</c:v>
                </c:pt>
                <c:pt idx="21">
                  <c:v>0.15449144439125151</c:v>
                </c:pt>
                <c:pt idx="22">
                  <c:v>0.16384803228552275</c:v>
                </c:pt>
                <c:pt idx="23">
                  <c:v>0.13435229940883867</c:v>
                </c:pt>
                <c:pt idx="24">
                  <c:v>0.11113094268360513</c:v>
                </c:pt>
                <c:pt idx="25">
                  <c:v>0.16767589315653939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94-4B72-89EB-A0FF247B4373}"/>
            </c:ext>
          </c:extLst>
        </c:ser>
        <c:ser>
          <c:idx val="5"/>
          <c:order val="5"/>
          <c:tx>
            <c:strRef>
              <c:f>'Trh práce 1-SNÚ'!$AH$7</c:f>
              <c:strCache>
                <c:ptCount val="1"/>
                <c:pt idx="0">
                  <c:v>Profesní, vědecké techn. a admin. čin.</c:v>
                </c:pt>
              </c:strCache>
            </c:strRef>
          </c:tx>
          <c:spPr>
            <a:solidFill>
              <a:srgbClr val="E8C0BE"/>
            </a:solidFill>
            <a:ln w="19050">
              <a:noFill/>
            </a:ln>
          </c:spPr>
          <c:invertIfNegative val="0"/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1-SNÚ'!$AH$28:$AH$54</c:f>
              <c:numCache>
                <c:formatCode>#\ ##0.0</c:formatCode>
                <c:ptCount val="27"/>
                <c:pt idx="0">
                  <c:v>0.10653478180808044</c:v>
                </c:pt>
                <c:pt idx="1">
                  <c:v>0.12599643340418387</c:v>
                </c:pt>
                <c:pt idx="2">
                  <c:v>0.26797844214547623</c:v>
                </c:pt>
                <c:pt idx="3">
                  <c:v>0.33512738074273013</c:v>
                </c:pt>
                <c:pt idx="4">
                  <c:v>0.23895818115359482</c:v>
                </c:pt>
                <c:pt idx="5">
                  <c:v>0.24936049791884499</c:v>
                </c:pt>
                <c:pt idx="6">
                  <c:v>0.24520740186355397</c:v>
                </c:pt>
                <c:pt idx="7">
                  <c:v>0.26629223246396738</c:v>
                </c:pt>
                <c:pt idx="8">
                  <c:v>0.40401039249864829</c:v>
                </c:pt>
                <c:pt idx="9">
                  <c:v>0.35370463922906481</c:v>
                </c:pt>
                <c:pt idx="10">
                  <c:v>0.31524569095555699</c:v>
                </c:pt>
                <c:pt idx="11">
                  <c:v>0.14696965180455621</c:v>
                </c:pt>
                <c:pt idx="12">
                  <c:v>0.1718005862096757</c:v>
                </c:pt>
                <c:pt idx="13">
                  <c:v>0.14108515593321466</c:v>
                </c:pt>
                <c:pt idx="14">
                  <c:v>9.7714992537754661E-2</c:v>
                </c:pt>
                <c:pt idx="15">
                  <c:v>0.19309834891883168</c:v>
                </c:pt>
                <c:pt idx="16">
                  <c:v>-1.7477930865320849E-2</c:v>
                </c:pt>
                <c:pt idx="17">
                  <c:v>-1.9200468181857312E-2</c:v>
                </c:pt>
                <c:pt idx="18">
                  <c:v>-2.754735035266059E-2</c:v>
                </c:pt>
                <c:pt idx="19">
                  <c:v>-0.21095077330513856</c:v>
                </c:pt>
                <c:pt idx="20">
                  <c:v>-0.16110202913856714</c:v>
                </c:pt>
                <c:pt idx="21">
                  <c:v>-0.27232950437682868</c:v>
                </c:pt>
                <c:pt idx="22">
                  <c:v>-0.38977227241839929</c:v>
                </c:pt>
                <c:pt idx="23">
                  <c:v>-0.21911010402833297</c:v>
                </c:pt>
                <c:pt idx="24">
                  <c:v>-0.23000917256563372</c:v>
                </c:pt>
                <c:pt idx="25">
                  <c:v>0.11656251659449672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A94-4B72-89EB-A0FF247B4373}"/>
            </c:ext>
          </c:extLst>
        </c:ser>
        <c:ser>
          <c:idx val="6"/>
          <c:order val="6"/>
          <c:tx>
            <c:strRef>
              <c:f>'Trh práce 1-SNÚ'!$AI$7</c:f>
              <c:strCache>
                <c:ptCount val="1"/>
                <c:pt idx="0">
                  <c:v>Veř.spr.,obrana, vzděl.,zdrav.a soc.péče</c:v>
                </c:pt>
              </c:strCache>
            </c:strRef>
          </c:tx>
          <c:spPr>
            <a:solidFill>
              <a:srgbClr val="D58D8B"/>
            </a:solidFill>
            <a:ln>
              <a:noFill/>
            </a:ln>
          </c:spPr>
          <c:invertIfNegative val="0"/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1-SNÚ'!$AI$28:$AI$54</c:f>
              <c:numCache>
                <c:formatCode>#\ ##0.0</c:formatCode>
                <c:ptCount val="27"/>
                <c:pt idx="0">
                  <c:v>0.22808387339320821</c:v>
                </c:pt>
                <c:pt idx="1">
                  <c:v>0.23731519476564394</c:v>
                </c:pt>
                <c:pt idx="2">
                  <c:v>0.11834818987059058</c:v>
                </c:pt>
                <c:pt idx="3">
                  <c:v>0.11257926718085437</c:v>
                </c:pt>
                <c:pt idx="4">
                  <c:v>0.34574201174059122</c:v>
                </c:pt>
                <c:pt idx="5">
                  <c:v>0.35302288864044334</c:v>
                </c:pt>
                <c:pt idx="6">
                  <c:v>0.44180506724700391</c:v>
                </c:pt>
                <c:pt idx="7">
                  <c:v>0.52441422245051739</c:v>
                </c:pt>
                <c:pt idx="8">
                  <c:v>0.4402223883053985</c:v>
                </c:pt>
                <c:pt idx="9">
                  <c:v>0.48225364024114387</c:v>
                </c:pt>
                <c:pt idx="10">
                  <c:v>0.54201601935673571</c:v>
                </c:pt>
                <c:pt idx="11">
                  <c:v>0.53510914430457346</c:v>
                </c:pt>
                <c:pt idx="12">
                  <c:v>0.4041402471607079</c:v>
                </c:pt>
                <c:pt idx="13">
                  <c:v>0.44415766669222101</c:v>
                </c:pt>
                <c:pt idx="14">
                  <c:v>0.30949599027729074</c:v>
                </c:pt>
                <c:pt idx="15">
                  <c:v>0.28546834866193815</c:v>
                </c:pt>
                <c:pt idx="16">
                  <c:v>0.18663535729751846</c:v>
                </c:pt>
                <c:pt idx="17">
                  <c:v>0.12854363343247277</c:v>
                </c:pt>
                <c:pt idx="18">
                  <c:v>0.15565267754524093</c:v>
                </c:pt>
                <c:pt idx="19">
                  <c:v>0.18823384737281104</c:v>
                </c:pt>
                <c:pt idx="20">
                  <c:v>0.3994248458850107</c:v>
                </c:pt>
                <c:pt idx="21">
                  <c:v>0.35002513033895699</c:v>
                </c:pt>
                <c:pt idx="22">
                  <c:v>0.49047572295296393</c:v>
                </c:pt>
                <c:pt idx="23">
                  <c:v>0.42689329847921881</c:v>
                </c:pt>
                <c:pt idx="24">
                  <c:v>0.43987169157938644</c:v>
                </c:pt>
                <c:pt idx="25">
                  <c:v>0.55749982783951901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A94-4B72-89EB-A0FF247B4373}"/>
            </c:ext>
          </c:extLst>
        </c:ser>
        <c:ser>
          <c:idx val="7"/>
          <c:order val="7"/>
          <c:tx>
            <c:strRef>
              <c:f>'Trh práce 1-SNÚ'!$AJ$7</c:f>
              <c:strCache>
                <c:ptCount val="1"/>
                <c:pt idx="0">
                  <c:v>Ostatní odvětví*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</c:spPr>
          <c:invertIfNegative val="0"/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1-SNÚ'!$AJ$28:$AJ$54</c:f>
              <c:numCache>
                <c:formatCode>#\ ##0.0</c:formatCode>
                <c:ptCount val="27"/>
                <c:pt idx="0">
                  <c:v>-5.233390960245677E-2</c:v>
                </c:pt>
                <c:pt idx="1">
                  <c:v>8.3788315003249514E-2</c:v>
                </c:pt>
                <c:pt idx="2">
                  <c:v>4.7987973307275944E-2</c:v>
                </c:pt>
                <c:pt idx="3">
                  <c:v>-2.0669078124050264E-2</c:v>
                </c:pt>
                <c:pt idx="4">
                  <c:v>0.12695259989801055</c:v>
                </c:pt>
                <c:pt idx="5">
                  <c:v>7.2154885803612609E-2</c:v>
                </c:pt>
                <c:pt idx="6">
                  <c:v>0.1033294200118309</c:v>
                </c:pt>
                <c:pt idx="7">
                  <c:v>0.18514730658825221</c:v>
                </c:pt>
                <c:pt idx="8">
                  <c:v>-4.7740946953249951E-2</c:v>
                </c:pt>
                <c:pt idx="9">
                  <c:v>-2.5097571562778392E-3</c:v>
                </c:pt>
                <c:pt idx="10">
                  <c:v>4.0668288968128352E-2</c:v>
                </c:pt>
                <c:pt idx="11">
                  <c:v>3.8449826749381966E-2</c:v>
                </c:pt>
                <c:pt idx="12">
                  <c:v>0.19957356976671253</c:v>
                </c:pt>
                <c:pt idx="13">
                  <c:v>0.1982053353284452</c:v>
                </c:pt>
                <c:pt idx="14">
                  <c:v>1.7449770918215368E-2</c:v>
                </c:pt>
                <c:pt idx="15">
                  <c:v>1.7777781087196014E-2</c:v>
                </c:pt>
                <c:pt idx="16">
                  <c:v>-3.7497768873474988E-2</c:v>
                </c:pt>
                <c:pt idx="17">
                  <c:v>2.0932564159875149E-2</c:v>
                </c:pt>
                <c:pt idx="18">
                  <c:v>0.11376889636604499</c:v>
                </c:pt>
                <c:pt idx="19">
                  <c:v>0.12518241194475455</c:v>
                </c:pt>
                <c:pt idx="20">
                  <c:v>8.3034885507349665E-2</c:v>
                </c:pt>
                <c:pt idx="21">
                  <c:v>-0.1425001317575314</c:v>
                </c:pt>
                <c:pt idx="22">
                  <c:v>-0.13695448229824189</c:v>
                </c:pt>
                <c:pt idx="23">
                  <c:v>-0.22635341325241007</c:v>
                </c:pt>
                <c:pt idx="24">
                  <c:v>-0.19247745826705126</c:v>
                </c:pt>
                <c:pt idx="25">
                  <c:v>9.4946286859007335E-3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A94-4B72-89EB-A0FF247B4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overlap val="100"/>
        <c:axId val="216182144"/>
        <c:axId val="266011776"/>
      </c:barChart>
      <c:lineChart>
        <c:grouping val="standard"/>
        <c:varyColors val="0"/>
        <c:ser>
          <c:idx val="8"/>
          <c:order val="8"/>
          <c:tx>
            <c:strRef>
              <c:f>'Trh práce 1-SNÚ'!$AK$7</c:f>
              <c:strCache>
                <c:ptCount val="1"/>
                <c:pt idx="0">
                  <c:v>Zaměstnanost celkem</c:v>
                </c:pt>
              </c:strCache>
            </c:strRef>
          </c:tx>
          <c:spPr>
            <a:ln w="22225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1-SNÚ'!$AK$28:$AK$54</c:f>
              <c:numCache>
                <c:formatCode>#\ ##0.0</c:formatCode>
                <c:ptCount val="27"/>
                <c:pt idx="0">
                  <c:v>1.2390736013649644</c:v>
                </c:pt>
                <c:pt idx="1">
                  <c:v>1.763871577433747</c:v>
                </c:pt>
                <c:pt idx="2">
                  <c:v>1.3738315876144895</c:v>
                </c:pt>
                <c:pt idx="3">
                  <c:v>1.335054912344404</c:v>
                </c:pt>
                <c:pt idx="4">
                  <c:v>1.5292935359579616</c:v>
                </c:pt>
                <c:pt idx="5">
                  <c:v>1.4154659813430754</c:v>
                </c:pt>
                <c:pt idx="6">
                  <c:v>1.5176954281983939</c:v>
                </c:pt>
                <c:pt idx="7">
                  <c:v>1.8956884957603108</c:v>
                </c:pt>
                <c:pt idx="8">
                  <c:v>1.4722833881197488</c:v>
                </c:pt>
                <c:pt idx="9">
                  <c:v>1.4239829731990312</c:v>
                </c:pt>
                <c:pt idx="10">
                  <c:v>1.9497805488244353</c:v>
                </c:pt>
                <c:pt idx="11">
                  <c:v>1.3481965748335796</c:v>
                </c:pt>
                <c:pt idx="12">
                  <c:v>1.5514056445856852</c:v>
                </c:pt>
                <c:pt idx="13">
                  <c:v>1.7356136163859617</c:v>
                </c:pt>
                <c:pt idx="14">
                  <c:v>0.93228706716838872</c:v>
                </c:pt>
                <c:pt idx="15">
                  <c:v>1.1206331347310083</c:v>
                </c:pt>
                <c:pt idx="16">
                  <c:v>0.84255872454892256</c:v>
                </c:pt>
                <c:pt idx="17">
                  <c:v>0.34380262508358328</c:v>
                </c:pt>
                <c:pt idx="18">
                  <c:v>0.16701849657889056</c:v>
                </c:pt>
                <c:pt idx="19">
                  <c:v>-0.37153403498074056</c:v>
                </c:pt>
                <c:pt idx="20">
                  <c:v>-0.72911731506431465</c:v>
                </c:pt>
                <c:pt idx="21">
                  <c:v>-2.1352983660780609</c:v>
                </c:pt>
                <c:pt idx="22">
                  <c:v>-1.7377654149315589</c:v>
                </c:pt>
                <c:pt idx="23">
                  <c:v>-2.0409686743506086</c:v>
                </c:pt>
                <c:pt idx="24">
                  <c:v>-1.6307668869083329</c:v>
                </c:pt>
                <c:pt idx="25">
                  <c:v>0.28652762852510705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A94-4B72-89EB-A0FF247B4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182144"/>
        <c:axId val="266011776"/>
      </c:lineChart>
      <c:lineChart>
        <c:grouping val="standard"/>
        <c:varyColors val="0"/>
        <c:ser>
          <c:idx val="9"/>
          <c:order val="9"/>
          <c:tx>
            <c:strRef>
              <c:f>'Trh práce 1-SNÚ'!$AL$7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1-SNÚ'!$AL$28:$AL$54</c:f>
              <c:numCache>
                <c:formatCode>General</c:formatCode>
                <c:ptCount val="2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A94-4B72-89EB-A0FF247B4373}"/>
            </c:ext>
          </c:extLst>
        </c:ser>
        <c:ser>
          <c:idx val="10"/>
          <c:order val="10"/>
          <c:tx>
            <c:strRef>
              <c:f>'Trh práce 1-SNÚ'!$AM$7</c:f>
              <c:strCache>
                <c:ptCount val="1"/>
                <c:pt idx="0">
                  <c:v>Očekávání zaměstnanosti (průmysl)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1-SNÚ'!$AM$28:$AM$54</c:f>
              <c:numCache>
                <c:formatCode>General</c:formatCode>
                <c:ptCount val="27"/>
                <c:pt idx="0">
                  <c:v>-1.9</c:v>
                </c:pt>
                <c:pt idx="1">
                  <c:v>4.0999999999999996</c:v>
                </c:pt>
                <c:pt idx="2">
                  <c:v>4.7</c:v>
                </c:pt>
                <c:pt idx="3">
                  <c:v>8.8000000000000007</c:v>
                </c:pt>
                <c:pt idx="4">
                  <c:v>9.8000000000000007</c:v>
                </c:pt>
                <c:pt idx="5">
                  <c:v>10</c:v>
                </c:pt>
                <c:pt idx="6">
                  <c:v>4.2</c:v>
                </c:pt>
                <c:pt idx="7">
                  <c:v>9.1999999999999993</c:v>
                </c:pt>
                <c:pt idx="8">
                  <c:v>12.1</c:v>
                </c:pt>
                <c:pt idx="9">
                  <c:v>5.9</c:v>
                </c:pt>
                <c:pt idx="10">
                  <c:v>8.9</c:v>
                </c:pt>
                <c:pt idx="11">
                  <c:v>7.2</c:v>
                </c:pt>
                <c:pt idx="12">
                  <c:v>10.8</c:v>
                </c:pt>
                <c:pt idx="13">
                  <c:v>10.4</c:v>
                </c:pt>
                <c:pt idx="14">
                  <c:v>8.3000000000000007</c:v>
                </c:pt>
                <c:pt idx="15">
                  <c:v>6.5</c:v>
                </c:pt>
                <c:pt idx="16">
                  <c:v>3.1</c:v>
                </c:pt>
                <c:pt idx="17">
                  <c:v>2.5</c:v>
                </c:pt>
                <c:pt idx="18">
                  <c:v>1.6</c:v>
                </c:pt>
                <c:pt idx="19">
                  <c:v>-2.7</c:v>
                </c:pt>
                <c:pt idx="20">
                  <c:v>1.5</c:v>
                </c:pt>
                <c:pt idx="21">
                  <c:v>-17.399999999999999</c:v>
                </c:pt>
                <c:pt idx="22">
                  <c:v>-11.6</c:v>
                </c:pt>
                <c:pt idx="23">
                  <c:v>-5.9</c:v>
                </c:pt>
                <c:pt idx="24">
                  <c:v>0.1</c:v>
                </c:pt>
                <c:pt idx="25">
                  <c:v>9.4</c:v>
                </c:pt>
                <c:pt idx="26" formatCode="#\ ##0.0">
                  <c:v>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DA94-4B72-89EB-A0FF247B4373}"/>
            </c:ext>
          </c:extLst>
        </c:ser>
        <c:ser>
          <c:idx val="11"/>
          <c:order val="11"/>
          <c:tx>
            <c:strRef>
              <c:f>'Trh práce 1-SNÚ'!$AN$7</c:f>
              <c:strCache>
                <c:ptCount val="1"/>
                <c:pt idx="0">
                  <c:v>Očekávání zaměstnanosti (stavebnictví)</c:v>
                </c:pt>
              </c:strCache>
            </c:strRef>
          </c:tx>
          <c:spPr>
            <a:ln w="15875">
              <a:solidFill>
                <a:srgbClr val="00B0F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1-SNÚ'!$AN$28:$AN$54</c:f>
              <c:numCache>
                <c:formatCode>General</c:formatCode>
                <c:ptCount val="27"/>
                <c:pt idx="0">
                  <c:v>-1.9</c:v>
                </c:pt>
                <c:pt idx="1">
                  <c:v>7.3</c:v>
                </c:pt>
                <c:pt idx="2">
                  <c:v>0.6</c:v>
                </c:pt>
                <c:pt idx="3">
                  <c:v>2.2999999999999998</c:v>
                </c:pt>
                <c:pt idx="4">
                  <c:v>-0.9</c:v>
                </c:pt>
                <c:pt idx="5">
                  <c:v>-8</c:v>
                </c:pt>
                <c:pt idx="6">
                  <c:v>-6.3</c:v>
                </c:pt>
                <c:pt idx="7">
                  <c:v>-7.2</c:v>
                </c:pt>
                <c:pt idx="8">
                  <c:v>-7.7</c:v>
                </c:pt>
                <c:pt idx="9">
                  <c:v>-15.4</c:v>
                </c:pt>
                <c:pt idx="10">
                  <c:v>-9.3000000000000007</c:v>
                </c:pt>
                <c:pt idx="11">
                  <c:v>-3.2</c:v>
                </c:pt>
                <c:pt idx="12">
                  <c:v>4.3</c:v>
                </c:pt>
                <c:pt idx="13">
                  <c:v>4.3</c:v>
                </c:pt>
                <c:pt idx="14">
                  <c:v>8</c:v>
                </c:pt>
                <c:pt idx="15">
                  <c:v>11.4</c:v>
                </c:pt>
                <c:pt idx="16">
                  <c:v>8.8000000000000007</c:v>
                </c:pt>
                <c:pt idx="17">
                  <c:v>10</c:v>
                </c:pt>
                <c:pt idx="18">
                  <c:v>3.9</c:v>
                </c:pt>
                <c:pt idx="19">
                  <c:v>10.9</c:v>
                </c:pt>
                <c:pt idx="20">
                  <c:v>6.7</c:v>
                </c:pt>
                <c:pt idx="21">
                  <c:v>-3.6</c:v>
                </c:pt>
                <c:pt idx="22">
                  <c:v>-0.6</c:v>
                </c:pt>
                <c:pt idx="23">
                  <c:v>-3.1</c:v>
                </c:pt>
                <c:pt idx="24">
                  <c:v>2.1</c:v>
                </c:pt>
                <c:pt idx="25">
                  <c:v>3.6</c:v>
                </c:pt>
                <c:pt idx="26" formatCode="#\ ##0.0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DA94-4B72-89EB-A0FF247B4373}"/>
            </c:ext>
          </c:extLst>
        </c:ser>
        <c:ser>
          <c:idx val="12"/>
          <c:order val="12"/>
          <c:tx>
            <c:strRef>
              <c:f>'Trh práce 1-SNÚ'!$AO$7</c:f>
              <c:strCache>
                <c:ptCount val="1"/>
                <c:pt idx="0">
                  <c:v>Očekávání zaměstnanosti (obchod)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1-SNÚ'!$AO$28:$AO$54</c:f>
              <c:numCache>
                <c:formatCode>General</c:formatCode>
                <c:ptCount val="27"/>
                <c:pt idx="0">
                  <c:v>15.5</c:v>
                </c:pt>
                <c:pt idx="1">
                  <c:v>5.4</c:v>
                </c:pt>
                <c:pt idx="2">
                  <c:v>3.4</c:v>
                </c:pt>
                <c:pt idx="3">
                  <c:v>-2.4</c:v>
                </c:pt>
                <c:pt idx="4">
                  <c:v>15.7</c:v>
                </c:pt>
                <c:pt idx="5">
                  <c:v>19.600000000000001</c:v>
                </c:pt>
                <c:pt idx="6">
                  <c:v>20.9</c:v>
                </c:pt>
                <c:pt idx="7">
                  <c:v>18.399999999999999</c:v>
                </c:pt>
                <c:pt idx="8">
                  <c:v>15.8</c:v>
                </c:pt>
                <c:pt idx="9">
                  <c:v>19.3</c:v>
                </c:pt>
                <c:pt idx="10">
                  <c:v>19.899999999999999</c:v>
                </c:pt>
                <c:pt idx="11">
                  <c:v>13.8</c:v>
                </c:pt>
                <c:pt idx="12">
                  <c:v>26.7</c:v>
                </c:pt>
                <c:pt idx="13">
                  <c:v>31.9</c:v>
                </c:pt>
                <c:pt idx="14">
                  <c:v>28.3</c:v>
                </c:pt>
                <c:pt idx="15">
                  <c:v>18.2</c:v>
                </c:pt>
                <c:pt idx="16">
                  <c:v>11.7</c:v>
                </c:pt>
                <c:pt idx="17">
                  <c:v>13.7</c:v>
                </c:pt>
                <c:pt idx="18">
                  <c:v>12.9</c:v>
                </c:pt>
                <c:pt idx="19">
                  <c:v>14.5</c:v>
                </c:pt>
                <c:pt idx="20">
                  <c:v>11.1</c:v>
                </c:pt>
                <c:pt idx="21">
                  <c:v>-6.9</c:v>
                </c:pt>
                <c:pt idx="22">
                  <c:v>-4.8</c:v>
                </c:pt>
                <c:pt idx="23">
                  <c:v>1.3</c:v>
                </c:pt>
                <c:pt idx="24">
                  <c:v>4.2</c:v>
                </c:pt>
                <c:pt idx="25">
                  <c:v>11.5</c:v>
                </c:pt>
                <c:pt idx="26" formatCode="#\ ##0.0">
                  <c:v>10.199999999999999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DA94-4B72-89EB-A0FF247B4373}"/>
            </c:ext>
          </c:extLst>
        </c:ser>
        <c:ser>
          <c:idx val="13"/>
          <c:order val="13"/>
          <c:tx>
            <c:strRef>
              <c:f>'Trh práce 1-SNÚ'!$AP$7</c:f>
              <c:strCache>
                <c:ptCount val="1"/>
                <c:pt idx="0">
                  <c:v>Očekávání zaměstnanosti (vybr. služby)</c:v>
                </c:pt>
              </c:strCache>
            </c:strRef>
          </c:tx>
          <c:spPr>
            <a:ln w="15875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1-SNÚ'!$AA$28:$AB$54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1-SNÚ'!$AP$28:$AP$54</c:f>
              <c:numCache>
                <c:formatCode>General</c:formatCode>
                <c:ptCount val="27"/>
                <c:pt idx="0">
                  <c:v>-15.7</c:v>
                </c:pt>
                <c:pt idx="1">
                  <c:v>-21.3</c:v>
                </c:pt>
                <c:pt idx="2">
                  <c:v>2.6</c:v>
                </c:pt>
                <c:pt idx="3">
                  <c:v>3.8</c:v>
                </c:pt>
                <c:pt idx="4">
                  <c:v>2.6</c:v>
                </c:pt>
                <c:pt idx="5">
                  <c:v>24.7</c:v>
                </c:pt>
                <c:pt idx="6">
                  <c:v>-1.7</c:v>
                </c:pt>
                <c:pt idx="7">
                  <c:v>7.2</c:v>
                </c:pt>
                <c:pt idx="8">
                  <c:v>11.7</c:v>
                </c:pt>
                <c:pt idx="9">
                  <c:v>11.5</c:v>
                </c:pt>
                <c:pt idx="10">
                  <c:v>19.8</c:v>
                </c:pt>
                <c:pt idx="11">
                  <c:v>2.8</c:v>
                </c:pt>
                <c:pt idx="12">
                  <c:v>14.9</c:v>
                </c:pt>
                <c:pt idx="13">
                  <c:v>10.5</c:v>
                </c:pt>
                <c:pt idx="14">
                  <c:v>9</c:v>
                </c:pt>
                <c:pt idx="15">
                  <c:v>-5.2</c:v>
                </c:pt>
                <c:pt idx="16">
                  <c:v>-8.1</c:v>
                </c:pt>
                <c:pt idx="17">
                  <c:v>-6.9</c:v>
                </c:pt>
                <c:pt idx="18">
                  <c:v>-8.3000000000000007</c:v>
                </c:pt>
                <c:pt idx="19">
                  <c:v>-11.7</c:v>
                </c:pt>
                <c:pt idx="20">
                  <c:v>-20.3</c:v>
                </c:pt>
                <c:pt idx="21">
                  <c:v>-33.700000000000003</c:v>
                </c:pt>
                <c:pt idx="22">
                  <c:v>-33.299999999999997</c:v>
                </c:pt>
                <c:pt idx="23">
                  <c:v>-27.3</c:v>
                </c:pt>
                <c:pt idx="24">
                  <c:v>-28</c:v>
                </c:pt>
                <c:pt idx="25">
                  <c:v>-29.7</c:v>
                </c:pt>
                <c:pt idx="26" formatCode="#\ ##0.0">
                  <c:v>-16.899999999999999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A94-4B72-89EB-A0FF247B4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6024064"/>
        <c:axId val="266013696"/>
      </c:lineChart>
      <c:catAx>
        <c:axId val="21618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66011776"/>
        <c:crosses val="autoZero"/>
        <c:auto val="1"/>
        <c:lblAlgn val="ctr"/>
        <c:lblOffset val="10"/>
        <c:noMultiLvlLbl val="0"/>
      </c:catAx>
      <c:valAx>
        <c:axId val="266011776"/>
        <c:scaling>
          <c:orientation val="minMax"/>
          <c:max val="2"/>
          <c:min val="-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Příspěvek k růstu zaměstnanosti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16182144"/>
        <c:crosses val="autoZero"/>
        <c:crossBetween val="between"/>
        <c:majorUnit val="0.5"/>
      </c:valAx>
      <c:valAx>
        <c:axId val="266013696"/>
        <c:scaling>
          <c:orientation val="minMax"/>
          <c:max val="100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Očekávání vývoje zaměstnanosti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266024064"/>
        <c:crosses val="max"/>
        <c:crossBetween val="between"/>
        <c:majorUnit val="10"/>
      </c:valAx>
      <c:catAx>
        <c:axId val="266024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6013696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2.3576686416751938E-2"/>
          <c:y val="0.77697787537182894"/>
          <c:w val="0.96005692595618608"/>
          <c:h val="0.21194623399347809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397366722205891E-2"/>
          <c:y val="1.6081916099773243E-2"/>
          <c:w val="0.83584199323558972"/>
          <c:h val="0.753935090702947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'Trh práce-2b'!$A$29</c:f>
              <c:strCache>
                <c:ptCount val="1"/>
                <c:pt idx="0">
                  <c:v>Míra nezaměstnanosti mužů (levá osa)</c:v>
                </c:pt>
              </c:strCache>
            </c:strRef>
          </c:tx>
          <c:spPr>
            <a:solidFill>
              <a:srgbClr val="BCBCBC"/>
            </a:solidFill>
          </c:spPr>
          <c:invertIfNegative val="0"/>
          <c:cat>
            <c:multiLvlStrRef>
              <c:f>'Trh práce-2b'!$B$27:$AB$28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práce-2b'!$B$29:$AB$29</c:f>
              <c:numCache>
                <c:formatCode>0.0</c:formatCode>
                <c:ptCount val="27"/>
                <c:pt idx="0">
                  <c:v>5.0279442811649515</c:v>
                </c:pt>
                <c:pt idx="1">
                  <c:v>4.3132022848917435</c:v>
                </c:pt>
                <c:pt idx="2">
                  <c:v>4.0493220315169971</c:v>
                </c:pt>
                <c:pt idx="3">
                  <c:v>3.796297064946359</c:v>
                </c:pt>
                <c:pt idx="4">
                  <c:v>3.6579593231451923</c:v>
                </c:pt>
                <c:pt idx="5">
                  <c:v>3.5625192464593023</c:v>
                </c:pt>
                <c:pt idx="6">
                  <c:v>3.3812822208883007</c:v>
                </c:pt>
                <c:pt idx="7">
                  <c:v>3.1604955590050579</c:v>
                </c:pt>
                <c:pt idx="8">
                  <c:v>2.7018943335334851</c:v>
                </c:pt>
                <c:pt idx="9">
                  <c:v>2.4843960569492856</c:v>
                </c:pt>
                <c:pt idx="10">
                  <c:v>2.2430057716347727</c:v>
                </c:pt>
                <c:pt idx="11">
                  <c:v>2.086614723505777</c:v>
                </c:pt>
                <c:pt idx="12">
                  <c:v>1.900186791646451</c:v>
                </c:pt>
                <c:pt idx="13">
                  <c:v>1.8247057320577735</c:v>
                </c:pt>
                <c:pt idx="14">
                  <c:v>1.8814809605942038</c:v>
                </c:pt>
                <c:pt idx="15">
                  <c:v>1.6838644007455752</c:v>
                </c:pt>
                <c:pt idx="16">
                  <c:v>1.8091345291598684</c:v>
                </c:pt>
                <c:pt idx="17">
                  <c:v>1.6718639728590583</c:v>
                </c:pt>
                <c:pt idx="18">
                  <c:v>1.7587593615374626</c:v>
                </c:pt>
                <c:pt idx="19">
                  <c:v>1.8616281034094877</c:v>
                </c:pt>
                <c:pt idx="20">
                  <c:v>1.8410741776178936</c:v>
                </c:pt>
                <c:pt idx="21">
                  <c:v>2.2754756502617295</c:v>
                </c:pt>
                <c:pt idx="22">
                  <c:v>2.5091675379318219</c:v>
                </c:pt>
                <c:pt idx="23">
                  <c:v>2.5723824172069443</c:v>
                </c:pt>
                <c:pt idx="24">
                  <c:v>2.651781005746761</c:v>
                </c:pt>
                <c:pt idx="25">
                  <c:v>2.5404279199666977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57-4494-9490-10B80D4F9BA5}"/>
            </c:ext>
          </c:extLst>
        </c:ser>
        <c:ser>
          <c:idx val="1"/>
          <c:order val="1"/>
          <c:tx>
            <c:strRef>
              <c:f>'Trh práce-2b'!$A$30</c:f>
              <c:strCache>
                <c:ptCount val="1"/>
                <c:pt idx="0">
                  <c:v>Míra nezaměstnanosti žen (levá osa)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multiLvlStrRef>
              <c:f>'Trh práce-2b'!$B$27:$AB$28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práce-2b'!$B$30:$AB$30</c:f>
              <c:numCache>
                <c:formatCode>0.0</c:formatCode>
                <c:ptCount val="27"/>
                <c:pt idx="0">
                  <c:v>6.9457408606984989</c:v>
                </c:pt>
                <c:pt idx="1">
                  <c:v>6.177648448786127</c:v>
                </c:pt>
                <c:pt idx="2">
                  <c:v>5.9674466507578154</c:v>
                </c:pt>
                <c:pt idx="3">
                  <c:v>5.6521751054305609</c:v>
                </c:pt>
                <c:pt idx="4">
                  <c:v>5.0891718315980876</c:v>
                </c:pt>
                <c:pt idx="5">
                  <c:v>4.8062266995652889</c:v>
                </c:pt>
                <c:pt idx="6">
                  <c:v>4.7750484852108821</c:v>
                </c:pt>
                <c:pt idx="7">
                  <c:v>4.3473349153216212</c:v>
                </c:pt>
                <c:pt idx="8">
                  <c:v>4.2801462931522218</c:v>
                </c:pt>
                <c:pt idx="9">
                  <c:v>3.9213812677822548</c:v>
                </c:pt>
                <c:pt idx="10">
                  <c:v>3.3888114698518668</c:v>
                </c:pt>
                <c:pt idx="11">
                  <c:v>2.9905820242198646</c:v>
                </c:pt>
                <c:pt idx="12">
                  <c:v>2.9402559950808258</c:v>
                </c:pt>
                <c:pt idx="13">
                  <c:v>2.9353227379584781</c:v>
                </c:pt>
                <c:pt idx="14">
                  <c:v>2.8604233097151144</c:v>
                </c:pt>
                <c:pt idx="15">
                  <c:v>2.6486774454254731</c:v>
                </c:pt>
                <c:pt idx="16">
                  <c:v>2.2492984850555064</c:v>
                </c:pt>
                <c:pt idx="17">
                  <c:v>2.5011272609131612</c:v>
                </c:pt>
                <c:pt idx="18">
                  <c:v>2.5456393371021431</c:v>
                </c:pt>
                <c:pt idx="19">
                  <c:v>2.4415807173650577</c:v>
                </c:pt>
                <c:pt idx="20">
                  <c:v>2.0566841853223692</c:v>
                </c:pt>
                <c:pt idx="21">
                  <c:v>2.82816978795117</c:v>
                </c:pt>
                <c:pt idx="22">
                  <c:v>3.3522399552982236</c:v>
                </c:pt>
                <c:pt idx="23">
                  <c:v>3.8729626098048868</c:v>
                </c:pt>
                <c:pt idx="24">
                  <c:v>4.1616383855050296</c:v>
                </c:pt>
                <c:pt idx="25">
                  <c:v>3.9284936184524777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57-4494-9490-10B80D4F9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235803776"/>
        <c:axId val="235805696"/>
      </c:barChart>
      <c:lineChart>
        <c:grouping val="standard"/>
        <c:varyColors val="0"/>
        <c:ser>
          <c:idx val="2"/>
          <c:order val="2"/>
          <c:tx>
            <c:strRef>
              <c:f>'Trh práce-2b'!$A$31</c:f>
              <c:strCache>
                <c:ptCount val="1"/>
                <c:pt idx="0">
                  <c:v>Podíl nezam. déle než 1 rok (pravá osa)</c:v>
                </c:pt>
              </c:strCache>
            </c:strRef>
          </c:tx>
          <c:spPr>
            <a:ln w="19050">
              <a:solidFill>
                <a:srgbClr val="663300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práce-2b'!$B$27:$AB$28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práce-2b'!$B$31:$AB$31</c:f>
              <c:numCache>
                <c:formatCode>0.0</c:formatCode>
                <c:ptCount val="27"/>
                <c:pt idx="0">
                  <c:v>45.762175838077162</c:v>
                </c:pt>
                <c:pt idx="1">
                  <c:v>46.715049656226128</c:v>
                </c:pt>
                <c:pt idx="2">
                  <c:v>48.521400778210108</c:v>
                </c:pt>
                <c:pt idx="3">
                  <c:v>48.542458808618512</c:v>
                </c:pt>
                <c:pt idx="4">
                  <c:v>45.847750865051907</c:v>
                </c:pt>
                <c:pt idx="5">
                  <c:v>43.490701001430608</c:v>
                </c:pt>
                <c:pt idx="6">
                  <c:v>39.295774647887328</c:v>
                </c:pt>
                <c:pt idx="7">
                  <c:v>39.196242171189979</c:v>
                </c:pt>
                <c:pt idx="8">
                  <c:v>37.093275488069416</c:v>
                </c:pt>
                <c:pt idx="9">
                  <c:v>37.366099558916197</c:v>
                </c:pt>
                <c:pt idx="10">
                  <c:v>32.798931195724784</c:v>
                </c:pt>
                <c:pt idx="11">
                  <c:v>31.546231546231553</c:v>
                </c:pt>
                <c:pt idx="12">
                  <c:v>31.741140215716484</c:v>
                </c:pt>
                <c:pt idx="13">
                  <c:v>30.28764805414551</c:v>
                </c:pt>
                <c:pt idx="14">
                  <c:v>28.796223446105422</c:v>
                </c:pt>
                <c:pt idx="15">
                  <c:v>31.317689530685922</c:v>
                </c:pt>
                <c:pt idx="16">
                  <c:v>32.360984503190522</c:v>
                </c:pt>
                <c:pt idx="17">
                  <c:v>32.2265625</c:v>
                </c:pt>
                <c:pt idx="18">
                  <c:v>26.979982593559615</c:v>
                </c:pt>
                <c:pt idx="19">
                  <c:v>28.623853211009177</c:v>
                </c:pt>
                <c:pt idx="20">
                  <c:v>29.4</c:v>
                </c:pt>
                <c:pt idx="21">
                  <c:v>20.823436262866192</c:v>
                </c:pt>
                <c:pt idx="22">
                  <c:v>20.012995451591941</c:v>
                </c:pt>
                <c:pt idx="23">
                  <c:v>21.521335807050093</c:v>
                </c:pt>
                <c:pt idx="24">
                  <c:v>19.387186629526461</c:v>
                </c:pt>
                <c:pt idx="25">
                  <c:v>28.499369482976043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C57-4494-9490-10B80D4F9BA5}"/>
            </c:ext>
          </c:extLst>
        </c:ser>
        <c:ser>
          <c:idx val="3"/>
          <c:order val="3"/>
          <c:tx>
            <c:strRef>
              <c:f>'Trh práce-2b'!$A$32</c:f>
              <c:strCache>
                <c:ptCount val="1"/>
                <c:pt idx="0">
                  <c:v>Podíl osob do 25 let mezi nezam. (pr. osa)</c:v>
                </c:pt>
              </c:strCache>
            </c:strRef>
          </c:tx>
          <c:spPr>
            <a:ln w="19050">
              <a:solidFill>
                <a:srgbClr val="00B050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práce-2b'!$B$27:$AB$28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práce-2b'!$B$32:$AB$32</c:f>
              <c:numCache>
                <c:formatCode>0.0</c:formatCode>
                <c:ptCount val="27"/>
                <c:pt idx="0">
                  <c:v>15.528146742567998</c:v>
                </c:pt>
                <c:pt idx="1">
                  <c:v>15.699006875477464</c:v>
                </c:pt>
                <c:pt idx="2">
                  <c:v>17.548638132295721</c:v>
                </c:pt>
                <c:pt idx="3">
                  <c:v>16.603295310519645</c:v>
                </c:pt>
                <c:pt idx="4">
                  <c:v>13.711072664359861</c:v>
                </c:pt>
                <c:pt idx="5">
                  <c:v>15.450643776824036</c:v>
                </c:pt>
                <c:pt idx="6">
                  <c:v>18.122065727699532</c:v>
                </c:pt>
                <c:pt idx="7">
                  <c:v>18.684759916492691</c:v>
                </c:pt>
                <c:pt idx="8">
                  <c:v>14.75054229934924</c:v>
                </c:pt>
                <c:pt idx="9">
                  <c:v>16.320100819155638</c:v>
                </c:pt>
                <c:pt idx="10">
                  <c:v>18.837675350701407</c:v>
                </c:pt>
                <c:pt idx="11">
                  <c:v>14.996114996114999</c:v>
                </c:pt>
                <c:pt idx="12">
                  <c:v>14.560862865947611</c:v>
                </c:pt>
                <c:pt idx="13">
                  <c:v>17.00507614213198</c:v>
                </c:pt>
                <c:pt idx="14">
                  <c:v>18.09598741148702</c:v>
                </c:pt>
                <c:pt idx="15">
                  <c:v>16.15523465703971</c:v>
                </c:pt>
                <c:pt idx="16">
                  <c:v>14.311759343664537</c:v>
                </c:pt>
                <c:pt idx="17">
                  <c:v>15.52734375</c:v>
                </c:pt>
                <c:pt idx="18">
                  <c:v>15.491731940818102</c:v>
                </c:pt>
                <c:pt idx="19">
                  <c:v>13.761467889908257</c:v>
                </c:pt>
                <c:pt idx="20">
                  <c:v>13.477851083883131</c:v>
                </c:pt>
                <c:pt idx="21">
                  <c:v>14.251781472684085</c:v>
                </c:pt>
                <c:pt idx="22">
                  <c:v>16.829109811565949</c:v>
                </c:pt>
                <c:pt idx="23">
                  <c:v>15.779702970297031</c:v>
                </c:pt>
                <c:pt idx="24">
                  <c:v>14.166201896263244</c:v>
                </c:pt>
                <c:pt idx="25">
                  <c:v>11.368421052631577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C57-4494-9490-10B80D4F9BA5}"/>
            </c:ext>
          </c:extLst>
        </c:ser>
        <c:ser>
          <c:idx val="6"/>
          <c:order val="4"/>
          <c:tx>
            <c:strRef>
              <c:f>'Trh práce-2b'!$A$33</c:f>
              <c:strCache>
                <c:ptCount val="1"/>
                <c:pt idx="0">
                  <c:v>Podíl osob nad 50 let mezi nezam. (pr. osa)</c:v>
                </c:pt>
              </c:strCache>
            </c:strRef>
          </c:tx>
          <c:spPr>
            <a:ln w="19050">
              <a:solidFill>
                <a:srgbClr val="0070C0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práce-2b'!$B$27:$AB$28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práce-2b'!$B$33:$AB$33</c:f>
              <c:numCache>
                <c:formatCode>0.0</c:formatCode>
                <c:ptCount val="27"/>
                <c:pt idx="0">
                  <c:v>23.213156230234031</c:v>
                </c:pt>
                <c:pt idx="1">
                  <c:v>24.140565317035907</c:v>
                </c:pt>
                <c:pt idx="2">
                  <c:v>22.451361867704282</c:v>
                </c:pt>
                <c:pt idx="3">
                  <c:v>23.954372623574148</c:v>
                </c:pt>
                <c:pt idx="4">
                  <c:v>28.157439446366784</c:v>
                </c:pt>
                <c:pt idx="5">
                  <c:v>26.180257510729614</c:v>
                </c:pt>
                <c:pt idx="6">
                  <c:v>22.86384976525822</c:v>
                </c:pt>
                <c:pt idx="7">
                  <c:v>24.947807933194156</c:v>
                </c:pt>
                <c:pt idx="8">
                  <c:v>26.138828633405641</c:v>
                </c:pt>
                <c:pt idx="9">
                  <c:v>24.763705103969755</c:v>
                </c:pt>
                <c:pt idx="10">
                  <c:v>23.380093520374086</c:v>
                </c:pt>
                <c:pt idx="11">
                  <c:v>23.931623931623935</c:v>
                </c:pt>
                <c:pt idx="12">
                  <c:v>25.808936825885976</c:v>
                </c:pt>
                <c:pt idx="13">
                  <c:v>24.957698815566832</c:v>
                </c:pt>
                <c:pt idx="14">
                  <c:v>24.311565696302122</c:v>
                </c:pt>
                <c:pt idx="15">
                  <c:v>23.285198555956679</c:v>
                </c:pt>
                <c:pt idx="16">
                  <c:v>26.253418413855972</c:v>
                </c:pt>
                <c:pt idx="17">
                  <c:v>24.609374999999996</c:v>
                </c:pt>
                <c:pt idx="18">
                  <c:v>26.02262837249782</c:v>
                </c:pt>
                <c:pt idx="19">
                  <c:v>25.596330275229356</c:v>
                </c:pt>
                <c:pt idx="20">
                  <c:v>24.976437323279928</c:v>
                </c:pt>
                <c:pt idx="21">
                  <c:v>21.61520190023753</c:v>
                </c:pt>
                <c:pt idx="22">
                  <c:v>22.157244964262507</c:v>
                </c:pt>
                <c:pt idx="23">
                  <c:v>20.544554455445546</c:v>
                </c:pt>
                <c:pt idx="24">
                  <c:v>23.145566090351366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C57-4494-9490-10B80D4F9BA5}"/>
            </c:ext>
          </c:extLst>
        </c:ser>
        <c:ser>
          <c:idx val="7"/>
          <c:order val="5"/>
          <c:tx>
            <c:strRef>
              <c:f>'Trh práce-2b'!$A$34</c:f>
              <c:strCache>
                <c:ptCount val="1"/>
                <c:pt idx="0">
                  <c:v>Ekon. neaktiv. chtějící pracovat (pr. osa)</c:v>
                </c:pt>
              </c:strCache>
            </c:strRef>
          </c:tx>
          <c:spPr>
            <a:ln w="19050">
              <a:solidFill>
                <a:schemeClr val="accent2">
                  <a:lumMod val="60000"/>
                  <a:lumOff val="40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'Trh práce-2b'!$B$27:$AB$28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práce-2b'!$B$34:$AB$34</c:f>
              <c:numCache>
                <c:formatCode>General</c:formatCode>
                <c:ptCount val="27"/>
                <c:pt idx="0">
                  <c:v>138.5</c:v>
                </c:pt>
                <c:pt idx="1">
                  <c:v>141.4</c:v>
                </c:pt>
                <c:pt idx="2">
                  <c:v>137.1</c:v>
                </c:pt>
                <c:pt idx="3">
                  <c:v>130.4</c:v>
                </c:pt>
                <c:pt idx="4">
                  <c:v>141</c:v>
                </c:pt>
                <c:pt idx="5">
                  <c:v>126.4</c:v>
                </c:pt>
                <c:pt idx="6">
                  <c:v>129.69999999999999</c:v>
                </c:pt>
                <c:pt idx="7">
                  <c:v>127.1</c:v>
                </c:pt>
                <c:pt idx="8" formatCode="0.0">
                  <c:v>133.1</c:v>
                </c:pt>
                <c:pt idx="9" formatCode="0.0">
                  <c:v>120.1</c:v>
                </c:pt>
                <c:pt idx="10" formatCode="0.0">
                  <c:v>121.3</c:v>
                </c:pt>
                <c:pt idx="11" formatCode="0.0">
                  <c:v>119.1</c:v>
                </c:pt>
                <c:pt idx="12" formatCode="0.0">
                  <c:v>113.5</c:v>
                </c:pt>
                <c:pt idx="13" formatCode="0.0">
                  <c:v>108.4</c:v>
                </c:pt>
                <c:pt idx="14" formatCode="0.0">
                  <c:v>110.3</c:v>
                </c:pt>
                <c:pt idx="15" formatCode="0.0">
                  <c:v>101.7</c:v>
                </c:pt>
                <c:pt idx="16" formatCode="0.0">
                  <c:v>104.6</c:v>
                </c:pt>
                <c:pt idx="17" formatCode="0.0">
                  <c:v>104.6</c:v>
                </c:pt>
                <c:pt idx="18" formatCode="0.0">
                  <c:v>97.6</c:v>
                </c:pt>
                <c:pt idx="19" formatCode="0.0">
                  <c:v>99.9</c:v>
                </c:pt>
                <c:pt idx="20" formatCode="0.0">
                  <c:v>93.4</c:v>
                </c:pt>
                <c:pt idx="21" formatCode="0.0">
                  <c:v>109.3</c:v>
                </c:pt>
                <c:pt idx="22" formatCode="0.0">
                  <c:v>98.8</c:v>
                </c:pt>
                <c:pt idx="23" formatCode="0.0">
                  <c:v>95.7</c:v>
                </c:pt>
                <c:pt idx="24" formatCode="0.0">
                  <c:v>108</c:v>
                </c:pt>
                <c:pt idx="25" formatCode="0.0">
                  <c:v>113.5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C57-4494-9490-10B80D4F9BA5}"/>
            </c:ext>
          </c:extLst>
        </c:ser>
        <c:ser>
          <c:idx val="4"/>
          <c:order val="6"/>
          <c:tx>
            <c:strRef>
              <c:f>'Trh práce-2b'!$A$35</c:f>
              <c:strCache>
                <c:ptCount val="1"/>
                <c:pt idx="0">
                  <c:v>Očekávání vývoje nezam. (pravá osa)</c:v>
                </c:pt>
              </c:strCache>
            </c:strRef>
          </c:tx>
          <c:spPr>
            <a:ln w="952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circle"/>
            <c:size val="4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</c:marker>
          <c:cat>
            <c:multiLvlStrRef>
              <c:f>'Trh práce-2b'!$B$27:$AB$28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práce-2b'!$B$35:$AB$35</c:f>
              <c:numCache>
                <c:formatCode>#\ ##0.0</c:formatCode>
                <c:ptCount val="27"/>
                <c:pt idx="0">
                  <c:v>12.2</c:v>
                </c:pt>
                <c:pt idx="1">
                  <c:v>7.3</c:v>
                </c:pt>
                <c:pt idx="2">
                  <c:v>12.3</c:v>
                </c:pt>
                <c:pt idx="3">
                  <c:v>4.9000000000000004</c:v>
                </c:pt>
                <c:pt idx="4">
                  <c:v>1.1000000000000001</c:v>
                </c:pt>
                <c:pt idx="5">
                  <c:v>8.5</c:v>
                </c:pt>
                <c:pt idx="6">
                  <c:v>7</c:v>
                </c:pt>
                <c:pt idx="7">
                  <c:v>3.6</c:v>
                </c:pt>
                <c:pt idx="8">
                  <c:v>-1.6</c:v>
                </c:pt>
                <c:pt idx="9">
                  <c:v>-4.0999999999999996</c:v>
                </c:pt>
                <c:pt idx="10">
                  <c:v>3.5</c:v>
                </c:pt>
                <c:pt idx="11">
                  <c:v>-0.2</c:v>
                </c:pt>
                <c:pt idx="12">
                  <c:v>-2.8</c:v>
                </c:pt>
                <c:pt idx="13">
                  <c:v>-3.4</c:v>
                </c:pt>
                <c:pt idx="14">
                  <c:v>1.7</c:v>
                </c:pt>
                <c:pt idx="15">
                  <c:v>5.5</c:v>
                </c:pt>
                <c:pt idx="16">
                  <c:v>6</c:v>
                </c:pt>
                <c:pt idx="17">
                  <c:v>6.8</c:v>
                </c:pt>
                <c:pt idx="18">
                  <c:v>13.9</c:v>
                </c:pt>
                <c:pt idx="19">
                  <c:v>12.8</c:v>
                </c:pt>
                <c:pt idx="20">
                  <c:v>16.2</c:v>
                </c:pt>
                <c:pt idx="21">
                  <c:v>48.6</c:v>
                </c:pt>
                <c:pt idx="22">
                  <c:v>46.7</c:v>
                </c:pt>
                <c:pt idx="23">
                  <c:v>59.5</c:v>
                </c:pt>
                <c:pt idx="24">
                  <c:v>51.5</c:v>
                </c:pt>
                <c:pt idx="25">
                  <c:v>17.8</c:v>
                </c:pt>
                <c:pt idx="26">
                  <c:v>14.2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C57-4494-9490-10B80D4F9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809792"/>
        <c:axId val="235807872"/>
      </c:lineChart>
      <c:catAx>
        <c:axId val="23580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35805696"/>
        <c:crossesAt val="-50"/>
        <c:auto val="1"/>
        <c:lblAlgn val="ctr"/>
        <c:lblOffset val="0"/>
        <c:noMultiLvlLbl val="0"/>
      </c:catAx>
      <c:valAx>
        <c:axId val="235805696"/>
        <c:scaling>
          <c:orientation val="minMax"/>
          <c:max val="7.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</a:t>
                </a:r>
                <a:r>
                  <a:rPr lang="cs-CZ" sz="700" b="0" i="1" baseline="0"/>
                  <a:t> nezaměstnanosti</a:t>
                </a:r>
                <a:endParaRPr lang="cs-CZ" sz="700" b="0" i="1"/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35803776"/>
        <c:crosses val="autoZero"/>
        <c:crossBetween val="between"/>
        <c:majorUnit val="0.5"/>
      </c:valAx>
      <c:valAx>
        <c:axId val="235807872"/>
        <c:scaling>
          <c:orientation val="minMax"/>
          <c:max val="142"/>
          <c:min val="-1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 u="none" strike="noStrike" baseline="0">
                    <a:effectLst/>
                  </a:rPr>
                  <a:t>Ekon. neaktivní, </a:t>
                </a:r>
                <a:r>
                  <a:rPr lang="cs-CZ" sz="700" b="0" i="1" baseline="0"/>
                  <a:t>vybr. skupiny nezam., očekávání nezaměstnanosti</a:t>
                </a:r>
                <a:endParaRPr lang="cs-CZ" sz="700" b="0" i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235809792"/>
        <c:crosses val="max"/>
        <c:crossBetween val="between"/>
        <c:majorUnit val="10"/>
      </c:valAx>
      <c:catAx>
        <c:axId val="235809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5807872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9661976872503594E-3"/>
          <c:y val="0.85929280045351475"/>
          <c:w val="0.98428486364480727"/>
          <c:h val="0.13700935374149659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7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91348527306885E-2"/>
          <c:y val="1.6549886621315273E-2"/>
          <c:w val="0.94100987714831696"/>
          <c:h val="0.76395209750566906"/>
        </c:manualLayout>
      </c:layout>
      <c:barChart>
        <c:barDir val="col"/>
        <c:grouping val="clustered"/>
        <c:varyColors val="0"/>
        <c:ser>
          <c:idx val="4"/>
          <c:order val="1"/>
          <c:tx>
            <c:strRef>
              <c:f>Mzdy!$D$8</c:f>
              <c:strCache>
                <c:ptCount val="1"/>
                <c:pt idx="0">
                  <c:v>Průměrná mzda celkem (reálně)</c:v>
                </c:pt>
              </c:strCache>
            </c:strRef>
          </c:tx>
          <c:spPr>
            <a:solidFill>
              <a:srgbClr val="DBDBDB"/>
            </a:solidFill>
            <a:ln w="19050">
              <a:noFill/>
            </a:ln>
          </c:spPr>
          <c:invertIfNegative val="0"/>
          <c:cat>
            <c:multiLvlStrRef>
              <c:f>Mzdy!$A$29:$B$54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Mzdy!$D$29:$D$54</c:f>
              <c:numCache>
                <c:formatCode>#\ ##0.0</c:formatCode>
                <c:ptCount val="26"/>
                <c:pt idx="0">
                  <c:v>2.2000000000000028</c:v>
                </c:pt>
                <c:pt idx="1">
                  <c:v>2.5999999999999943</c:v>
                </c:pt>
                <c:pt idx="2">
                  <c:v>3.0999999999999943</c:v>
                </c:pt>
                <c:pt idx="3">
                  <c:v>3.5999999999999943</c:v>
                </c:pt>
                <c:pt idx="4">
                  <c:v>4.2000000000000028</c:v>
                </c:pt>
                <c:pt idx="5">
                  <c:v>3.7999999999999972</c:v>
                </c:pt>
                <c:pt idx="6">
                  <c:v>4.2000000000000028</c:v>
                </c:pt>
                <c:pt idx="7">
                  <c:v>3</c:v>
                </c:pt>
                <c:pt idx="8">
                  <c:v>2.5999999999999943</c:v>
                </c:pt>
                <c:pt idx="9">
                  <c:v>4.9000000000000057</c:v>
                </c:pt>
                <c:pt idx="10">
                  <c:v>4.0999999999999943</c:v>
                </c:pt>
                <c:pt idx="11">
                  <c:v>5.0999999999999943</c:v>
                </c:pt>
                <c:pt idx="12">
                  <c:v>6.5</c:v>
                </c:pt>
                <c:pt idx="13">
                  <c:v>6.2999999999999972</c:v>
                </c:pt>
                <c:pt idx="14">
                  <c:v>5.9000000000000057</c:v>
                </c:pt>
                <c:pt idx="15">
                  <c:v>4.9000000000000057</c:v>
                </c:pt>
                <c:pt idx="16">
                  <c:v>5.5</c:v>
                </c:pt>
                <c:pt idx="17">
                  <c:v>5.0999999999999943</c:v>
                </c:pt>
                <c:pt idx="18">
                  <c:v>4.7999999999999972</c:v>
                </c:pt>
                <c:pt idx="19">
                  <c:v>4.5</c:v>
                </c:pt>
                <c:pt idx="20">
                  <c:v>0.20000000000000284</c:v>
                </c:pt>
                <c:pt idx="21">
                  <c:v>-3.5999999999999943</c:v>
                </c:pt>
                <c:pt idx="22">
                  <c:v>0.70000000000000284</c:v>
                </c:pt>
                <c:pt idx="23">
                  <c:v>2.5999999999999943</c:v>
                </c:pt>
                <c:pt idx="24">
                  <c:v>1.0999999999999943</c:v>
                </c:pt>
                <c:pt idx="25">
                  <c:v>8.2000000000000028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B4-4CB6-BFA3-11351BAF5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"/>
        <c:axId val="133744896"/>
        <c:axId val="133751168"/>
      </c:barChart>
      <c:lineChart>
        <c:grouping val="standard"/>
        <c:varyColors val="0"/>
        <c:ser>
          <c:idx val="0"/>
          <c:order val="0"/>
          <c:tx>
            <c:strRef>
              <c:f>Mzdy!$C$8</c:f>
              <c:strCache>
                <c:ptCount val="1"/>
                <c:pt idx="0">
                  <c:v>Průměrná mzda celkem (nominálně)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Mzdy!$A$29:$B$54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Mzdy!$C$29:$C$54</c:f>
              <c:numCache>
                <c:formatCode>0.0</c:formatCode>
                <c:ptCount val="26"/>
                <c:pt idx="0">
                  <c:v>2.2702659339777824</c:v>
                </c:pt>
                <c:pt idx="1">
                  <c:v>3.2813172200711875</c:v>
                </c:pt>
                <c:pt idx="2">
                  <c:v>3.4969737726967054</c:v>
                </c:pt>
                <c:pt idx="3">
                  <c:v>3.657239279556876</c:v>
                </c:pt>
                <c:pt idx="4">
                  <c:v>4.6515276307016507</c:v>
                </c:pt>
                <c:pt idx="5">
                  <c:v>3.9533474704634983</c:v>
                </c:pt>
                <c:pt idx="6">
                  <c:v>4.7127622979016053</c:v>
                </c:pt>
                <c:pt idx="7">
                  <c:v>4.3633661264066887</c:v>
                </c:pt>
                <c:pt idx="8">
                  <c:v>5.0631488213469282</c:v>
                </c:pt>
                <c:pt idx="9">
                  <c:v>7.2125892466851269</c:v>
                </c:pt>
                <c:pt idx="10">
                  <c:v>6.7090086143962679</c:v>
                </c:pt>
                <c:pt idx="11">
                  <c:v>7.8362890373334153</c:v>
                </c:pt>
                <c:pt idx="12">
                  <c:v>8.5360633516444295</c:v>
                </c:pt>
                <c:pt idx="13">
                  <c:v>8.7353900516444725</c:v>
                </c:pt>
                <c:pt idx="14">
                  <c:v>8.3840733392624998</c:v>
                </c:pt>
                <c:pt idx="15">
                  <c:v>7.090749009496264</c:v>
                </c:pt>
                <c:pt idx="16">
                  <c:v>8.2952640746705129</c:v>
                </c:pt>
                <c:pt idx="17">
                  <c:v>8.0398712620691697</c:v>
                </c:pt>
                <c:pt idx="18">
                  <c:v>7.7071169323023554</c:v>
                </c:pt>
                <c:pt idx="19">
                  <c:v>7.5667263704965109</c:v>
                </c:pt>
                <c:pt idx="20">
                  <c:v>3.7813723407483764</c:v>
                </c:pt>
                <c:pt idx="21">
                  <c:v>-0.56108283202220832</c:v>
                </c:pt>
                <c:pt idx="22">
                  <c:v>3.985114425528181</c:v>
                </c:pt>
                <c:pt idx="23">
                  <c:v>5.3229240596167386</c:v>
                </c:pt>
                <c:pt idx="24">
                  <c:v>3.3394742228850589</c:v>
                </c:pt>
                <c:pt idx="25">
                  <c:v>11.322785178290971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B4-4CB6-BFA3-11351BAF5B04}"/>
            </c:ext>
          </c:extLst>
        </c:ser>
        <c:ser>
          <c:idx val="5"/>
          <c:order val="2"/>
          <c:tx>
            <c:strRef>
              <c:f>Mzdy!$E$8</c:f>
              <c:strCache>
                <c:ptCount val="1"/>
                <c:pt idx="0">
                  <c:v>Prům. mzda v průmyslu (nominálně)</c:v>
                </c:pt>
              </c:strCache>
            </c:strRef>
          </c:tx>
          <c:spPr>
            <a:ln w="9525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Mzdy!$A$29:$B$54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Mzdy!$E$29:$E$54</c:f>
              <c:numCache>
                <c:formatCode>0.0</c:formatCode>
                <c:ptCount val="26"/>
                <c:pt idx="0">
                  <c:v>1.6381118189372046</c:v>
                </c:pt>
                <c:pt idx="1">
                  <c:v>2.6920877025738719</c:v>
                </c:pt>
                <c:pt idx="2">
                  <c:v>3.010059729644766</c:v>
                </c:pt>
                <c:pt idx="3">
                  <c:v>2.9788308269320822</c:v>
                </c:pt>
                <c:pt idx="4">
                  <c:v>4.6482656596722052</c:v>
                </c:pt>
                <c:pt idx="5">
                  <c:v>3.9508373250157831</c:v>
                </c:pt>
                <c:pt idx="6">
                  <c:v>4.6540016784924205</c:v>
                </c:pt>
                <c:pt idx="7">
                  <c:v>3.8977412011906836</c:v>
                </c:pt>
                <c:pt idx="8">
                  <c:v>5.1746586808526445</c:v>
                </c:pt>
                <c:pt idx="9">
                  <c:v>8.0728701553848907</c:v>
                </c:pt>
                <c:pt idx="10">
                  <c:v>6.8272945979441602</c:v>
                </c:pt>
                <c:pt idx="11">
                  <c:v>7.0884454631252538</c:v>
                </c:pt>
                <c:pt idx="12">
                  <c:v>7.9018109790605564</c:v>
                </c:pt>
                <c:pt idx="13">
                  <c:v>8.1936869938853221</c:v>
                </c:pt>
                <c:pt idx="14">
                  <c:v>7.3566042242467802</c:v>
                </c:pt>
                <c:pt idx="15">
                  <c:v>7.6170092222467076</c:v>
                </c:pt>
                <c:pt idx="16">
                  <c:v>7.1985838851373387</c:v>
                </c:pt>
                <c:pt idx="17">
                  <c:v>7.0904869554591556</c:v>
                </c:pt>
                <c:pt idx="18">
                  <c:v>6.753964974732213</c:v>
                </c:pt>
                <c:pt idx="19">
                  <c:v>5.6242870930946793</c:v>
                </c:pt>
                <c:pt idx="20">
                  <c:v>3.2413919637942712</c:v>
                </c:pt>
                <c:pt idx="21">
                  <c:v>-4.9579232634431634</c:v>
                </c:pt>
                <c:pt idx="22">
                  <c:v>1.4528998451827988</c:v>
                </c:pt>
                <c:pt idx="23">
                  <c:v>2.5087223791327489</c:v>
                </c:pt>
                <c:pt idx="24">
                  <c:v>2.3606421420532087</c:v>
                </c:pt>
                <c:pt idx="25">
                  <c:v>10.679232824083812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DB4-4CB6-BFA3-11351BAF5B04}"/>
            </c:ext>
          </c:extLst>
        </c:ser>
        <c:ser>
          <c:idx val="1"/>
          <c:order val="3"/>
          <c:tx>
            <c:strRef>
              <c:f>Mzdy!$F$8</c:f>
              <c:strCache>
                <c:ptCount val="1"/>
                <c:pt idx="0">
                  <c:v>Prům. mzda v obchodu (nominálně)</c:v>
                </c:pt>
              </c:strCache>
            </c:strRef>
          </c:tx>
          <c:spPr>
            <a:ln w="9525">
              <a:solidFill>
                <a:srgbClr val="0070C0"/>
              </a:solidFill>
              <a:prstDash val="solid"/>
            </a:ln>
          </c:spPr>
          <c:marker>
            <c:symbol val="none"/>
          </c:marker>
          <c:cat>
            <c:multiLvlStrRef>
              <c:f>Mzdy!$A$29:$B$54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Mzdy!$F$29:$F$54</c:f>
              <c:numCache>
                <c:formatCode>0.0</c:formatCode>
                <c:ptCount val="26"/>
                <c:pt idx="0">
                  <c:v>3.1055099144049194</c:v>
                </c:pt>
                <c:pt idx="1">
                  <c:v>3.9141414141414117</c:v>
                </c:pt>
                <c:pt idx="2">
                  <c:v>3.949146815340427</c:v>
                </c:pt>
                <c:pt idx="3">
                  <c:v>5.7916298497871423</c:v>
                </c:pt>
                <c:pt idx="4">
                  <c:v>5.6443202202661524</c:v>
                </c:pt>
                <c:pt idx="5">
                  <c:v>3.9570676387201189</c:v>
                </c:pt>
                <c:pt idx="6">
                  <c:v>4.9977652269310511</c:v>
                </c:pt>
                <c:pt idx="7">
                  <c:v>4.4950645406226215</c:v>
                </c:pt>
                <c:pt idx="8">
                  <c:v>5.6231243089559229</c:v>
                </c:pt>
                <c:pt idx="9">
                  <c:v>7.9284684614485457</c:v>
                </c:pt>
                <c:pt idx="10">
                  <c:v>7.693200727526019</c:v>
                </c:pt>
                <c:pt idx="11">
                  <c:v>8.3926754832146457</c:v>
                </c:pt>
                <c:pt idx="12">
                  <c:v>7.2416629280693883</c:v>
                </c:pt>
                <c:pt idx="13">
                  <c:v>7.0392029456356937</c:v>
                </c:pt>
                <c:pt idx="14">
                  <c:v>6.8381903769449082</c:v>
                </c:pt>
                <c:pt idx="15">
                  <c:v>6.6970570490044992</c:v>
                </c:pt>
                <c:pt idx="16">
                  <c:v>9.5345999651385682</c:v>
                </c:pt>
                <c:pt idx="17">
                  <c:v>7.4227708080399282</c:v>
                </c:pt>
                <c:pt idx="18">
                  <c:v>8.1629221041302316</c:v>
                </c:pt>
                <c:pt idx="19">
                  <c:v>6.3018346318170444</c:v>
                </c:pt>
                <c:pt idx="20">
                  <c:v>3.0935709739019757</c:v>
                </c:pt>
                <c:pt idx="21">
                  <c:v>-2.0939942862524816</c:v>
                </c:pt>
                <c:pt idx="22">
                  <c:v>1.6200752510961109</c:v>
                </c:pt>
                <c:pt idx="23">
                  <c:v>-0.64424611383651609</c:v>
                </c:pt>
                <c:pt idx="24">
                  <c:v>2.1085453198320607</c:v>
                </c:pt>
                <c:pt idx="25">
                  <c:v>9.4433399602385606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DB4-4CB6-BFA3-11351BAF5B04}"/>
            </c:ext>
          </c:extLst>
        </c:ser>
        <c:ser>
          <c:idx val="2"/>
          <c:order val="4"/>
          <c:tx>
            <c:strRef>
              <c:f>Mzdy!$G$8</c:f>
              <c:strCache>
                <c:ptCount val="1"/>
                <c:pt idx="0">
                  <c:v>Prům. mzda ve veř. službách (nominálně)*</c:v>
                </c:pt>
              </c:strCache>
            </c:strRef>
          </c:tx>
          <c:spPr>
            <a:ln w="952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Mzdy!$A$29:$B$54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Mzdy!$G$29:$G$54</c:f>
              <c:numCache>
                <c:formatCode>0.0</c:formatCode>
                <c:ptCount val="26"/>
                <c:pt idx="0">
                  <c:v>3.2925091204842687</c:v>
                </c:pt>
                <c:pt idx="1">
                  <c:v>4.3135889286729565</c:v>
                </c:pt>
                <c:pt idx="2">
                  <c:v>3.8145419077079765</c:v>
                </c:pt>
                <c:pt idx="3">
                  <c:v>3.6381766938736746</c:v>
                </c:pt>
                <c:pt idx="4">
                  <c:v>4.64178325585614</c:v>
                </c:pt>
                <c:pt idx="5">
                  <c:v>3.8061258933532116</c:v>
                </c:pt>
                <c:pt idx="6">
                  <c:v>4.8526374704253925</c:v>
                </c:pt>
                <c:pt idx="7">
                  <c:v>6.1351981806606233</c:v>
                </c:pt>
                <c:pt idx="8">
                  <c:v>5.4566112929362163</c:v>
                </c:pt>
                <c:pt idx="9">
                  <c:v>7.3192456135909225</c:v>
                </c:pt>
                <c:pt idx="10">
                  <c:v>7.9981713137873953</c:v>
                </c:pt>
                <c:pt idx="11">
                  <c:v>10.484072576559427</c:v>
                </c:pt>
                <c:pt idx="12">
                  <c:v>12.179699393983398</c:v>
                </c:pt>
                <c:pt idx="13">
                  <c:v>11.89217733254111</c:v>
                </c:pt>
                <c:pt idx="14">
                  <c:v>11.361326321628667</c:v>
                </c:pt>
                <c:pt idx="15">
                  <c:v>6.1282038917470629</c:v>
                </c:pt>
                <c:pt idx="16">
                  <c:v>9.4162908795776019</c:v>
                </c:pt>
                <c:pt idx="17">
                  <c:v>9.3022383570098555</c:v>
                </c:pt>
                <c:pt idx="18">
                  <c:v>8.3925247282538464</c:v>
                </c:pt>
                <c:pt idx="19">
                  <c:v>11.041060141001239</c:v>
                </c:pt>
                <c:pt idx="20">
                  <c:v>4.0761706440969334</c:v>
                </c:pt>
                <c:pt idx="21">
                  <c:v>3.8609569062914204</c:v>
                </c:pt>
                <c:pt idx="22">
                  <c:v>7.6176258951069542</c:v>
                </c:pt>
                <c:pt idx="23">
                  <c:v>12.682983973452551</c:v>
                </c:pt>
                <c:pt idx="24">
                  <c:v>4.9345963778913102</c:v>
                </c:pt>
                <c:pt idx="25">
                  <c:v>17.753622086318074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DB4-4CB6-BFA3-11351BAF5B04}"/>
            </c:ext>
          </c:extLst>
        </c:ser>
        <c:ser>
          <c:idx val="3"/>
          <c:order val="5"/>
          <c:tx>
            <c:strRef>
              <c:f>Mzdy!$H$8</c:f>
              <c:strCache>
                <c:ptCount val="1"/>
                <c:pt idx="0">
                  <c:v>Mediánová mzda celkem (nominálně)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Mzdy!$A$29:$B$54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Mzdy!$H$29:$H$54</c:f>
              <c:numCache>
                <c:formatCode>0.0</c:formatCode>
                <c:ptCount val="26"/>
                <c:pt idx="0">
                  <c:v>0.70000000000000284</c:v>
                </c:pt>
                <c:pt idx="1">
                  <c:v>2.2999999999999972</c:v>
                </c:pt>
                <c:pt idx="2">
                  <c:v>3.7999999999999972</c:v>
                </c:pt>
                <c:pt idx="3">
                  <c:v>4.7000000000000028</c:v>
                </c:pt>
                <c:pt idx="4">
                  <c:v>6.7000000000000028</c:v>
                </c:pt>
                <c:pt idx="5">
                  <c:v>4.5999999999999943</c:v>
                </c:pt>
                <c:pt idx="6">
                  <c:v>5.2999999999999972</c:v>
                </c:pt>
                <c:pt idx="7">
                  <c:v>6.2000000000000028</c:v>
                </c:pt>
                <c:pt idx="8">
                  <c:v>4.9000000000000057</c:v>
                </c:pt>
                <c:pt idx="9">
                  <c:v>7.7000000000000028</c:v>
                </c:pt>
                <c:pt idx="10">
                  <c:v>7</c:v>
                </c:pt>
                <c:pt idx="11">
                  <c:v>8.9000000000000057</c:v>
                </c:pt>
                <c:pt idx="12">
                  <c:v>8.7000000000000028</c:v>
                </c:pt>
                <c:pt idx="13">
                  <c:v>9.7000000000000028</c:v>
                </c:pt>
                <c:pt idx="14">
                  <c:v>9.2999999999999972</c:v>
                </c:pt>
                <c:pt idx="15">
                  <c:v>6.7000000000000028</c:v>
                </c:pt>
                <c:pt idx="16">
                  <c:v>8.7000000000000028</c:v>
                </c:pt>
                <c:pt idx="17">
                  <c:v>8</c:v>
                </c:pt>
                <c:pt idx="18">
                  <c:v>8.5999999999999943</c:v>
                </c:pt>
                <c:pt idx="19">
                  <c:v>8</c:v>
                </c:pt>
                <c:pt idx="20">
                  <c:v>3.5</c:v>
                </c:pt>
                <c:pt idx="21">
                  <c:v>-1.7999999999999972</c:v>
                </c:pt>
                <c:pt idx="22">
                  <c:v>4</c:v>
                </c:pt>
                <c:pt idx="23">
                  <c:v>4.0999999999999943</c:v>
                </c:pt>
                <c:pt idx="24">
                  <c:v>2.5999999999999943</c:v>
                </c:pt>
                <c:pt idx="25">
                  <c:v>11.5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DB4-4CB6-BFA3-11351BAF5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44896"/>
        <c:axId val="133751168"/>
      </c:lineChart>
      <c:catAx>
        <c:axId val="13374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33751168"/>
        <c:crosses val="autoZero"/>
        <c:auto val="1"/>
        <c:lblAlgn val="ctr"/>
        <c:lblOffset val="0"/>
        <c:tickMarkSkip val="4"/>
        <c:noMultiLvlLbl val="0"/>
      </c:catAx>
      <c:valAx>
        <c:axId val="133751168"/>
        <c:scaling>
          <c:orientation val="minMax"/>
          <c:max val="18"/>
          <c:min val="-6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33744896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2.5777042272800643E-2"/>
          <c:y val="0.87578174603174608"/>
          <c:w val="0.9607966303114982"/>
          <c:h val="0.11341893424036281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C2EA-9D54-4F8F-A708-05207BD6C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F4FBE-E8BA-4B2C-A4D5-89EFE865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6</Pages>
  <Words>2251</Words>
  <Characters>13286</Characters>
  <Application>Microsoft Office Word</Application>
  <DocSecurity>0</DocSecurity>
  <Lines>110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15506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3</cp:revision>
  <cp:lastPrinted>2019-04-08T10:52:00Z</cp:lastPrinted>
  <dcterms:created xsi:type="dcterms:W3CDTF">2021-09-14T08:33:00Z</dcterms:created>
  <dcterms:modified xsi:type="dcterms:W3CDTF">2021-09-14T08:47:00Z</dcterms:modified>
</cp:coreProperties>
</file>