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AD1" w:rsidRPr="00AE453F" w:rsidRDefault="00B15AD1" w:rsidP="00DE2F64">
      <w:pPr>
        <w:spacing w:after="230"/>
        <w:jc w:val="both"/>
      </w:pPr>
      <w:bookmarkStart w:id="0" w:name="page17"/>
      <w:bookmarkStart w:id="1" w:name="_Toc482790848"/>
      <w:bookmarkStart w:id="2" w:name="_Toc514227080"/>
      <w:bookmarkStart w:id="3" w:name="_Toc9259644"/>
      <w:bookmarkStart w:id="4" w:name="_Toc9259688"/>
      <w:bookmarkStart w:id="5" w:name="_Toc9434271"/>
      <w:bookmarkStart w:id="6" w:name="_Toc9434879"/>
      <w:bookmarkStart w:id="7" w:name="_Toc9435214"/>
      <w:bookmarkEnd w:id="0"/>
      <w:r w:rsidRPr="00B15AD1">
        <w:rPr>
          <w:rStyle w:val="Nadpis1Char"/>
        </w:rPr>
        <w:t>3. Závěr</w:t>
      </w:r>
      <w:bookmarkEnd w:id="1"/>
      <w:bookmarkEnd w:id="2"/>
      <w:bookmarkEnd w:id="3"/>
      <w:bookmarkEnd w:id="4"/>
      <w:bookmarkEnd w:id="5"/>
      <w:bookmarkEnd w:id="6"/>
      <w:bookmarkEnd w:id="7"/>
    </w:p>
    <w:p w:rsidR="00B15AD1" w:rsidRPr="00FC07A8" w:rsidRDefault="00B15AD1" w:rsidP="008D2567">
      <w:pPr>
        <w:jc w:val="both"/>
      </w:pPr>
      <w:r w:rsidRPr="00FC07A8">
        <w:t>V</w:t>
      </w:r>
      <w:r>
        <w:t> roce 2017</w:t>
      </w:r>
      <w:r w:rsidRPr="00FC07A8">
        <w:t xml:space="preserve"> byl analyzován </w:t>
      </w:r>
      <w:hyperlink r:id="rId8" w:history="1">
        <w:r w:rsidRPr="00B15AD1">
          <w:rPr>
            <w:rStyle w:val="Hypertextovodkaz"/>
          </w:rPr>
          <w:t>vývoj výsledků satelitního účtu kultury za období let 2010 – 2015</w:t>
        </w:r>
      </w:hyperlink>
      <w:r>
        <w:t>.</w:t>
      </w:r>
      <w:r w:rsidRPr="00FC07A8">
        <w:t xml:space="preserve"> Mezi nejvýznamnější závěry této analýzy patří poznatek o mírnějším a opožděnějším prů</w:t>
      </w:r>
      <w:r w:rsidRPr="00FC07A8">
        <w:softHyphen/>
        <w:t>běhu ekonomické krize v období po roce 2008 v oblasti kultury s tím, že reálný vzestup na úrovni makro i mikroekonomiky nastal až v roce 2014. Lze říci, že ekonomické výsledky kultury v roce 201</w:t>
      </w:r>
      <w:r>
        <w:t>7</w:t>
      </w:r>
      <w:r w:rsidRPr="00FC07A8">
        <w:t xml:space="preserve"> vzestupný trend vývoje</w:t>
      </w:r>
      <w:r>
        <w:t xml:space="preserve"> v zásadě </w:t>
      </w:r>
      <w:r w:rsidRPr="00FC07A8">
        <w:t>potvrzují.</w:t>
      </w:r>
      <w:r>
        <w:t xml:space="preserve"> I v tomto roce však pokračovaly náznaky poklesu efektivnosti hospodaření.</w:t>
      </w:r>
      <w:r w:rsidRPr="00FC07A8">
        <w:t xml:space="preserve"> V porovnání s rokem 201</w:t>
      </w:r>
      <w:r>
        <w:t>6</w:t>
      </w:r>
      <w:r w:rsidR="004942B7">
        <w:t xml:space="preserve"> </w:t>
      </w:r>
      <w:r w:rsidRPr="00FC07A8">
        <w:t>se význam</w:t>
      </w:r>
      <w:r w:rsidRPr="00FC07A8">
        <w:softHyphen/>
        <w:t>něji zvýšily např. finanční zdroje vstupující do kultury</w:t>
      </w:r>
      <w:r>
        <w:t xml:space="preserve"> (o 8,3 %)</w:t>
      </w:r>
      <w:r w:rsidRPr="00FC07A8">
        <w:t>, podobně tak i </w:t>
      </w:r>
      <w:r>
        <w:t>tržby</w:t>
      </w:r>
      <w:r w:rsidR="004942B7">
        <w:t xml:space="preserve"> </w:t>
      </w:r>
      <w:r w:rsidRPr="00FC07A8">
        <w:t>za vlastní vý</w:t>
      </w:r>
      <w:r w:rsidRPr="00FC07A8">
        <w:softHyphen/>
        <w:t>kony</w:t>
      </w:r>
      <w:r>
        <w:t xml:space="preserve"> (o 8,2 %)</w:t>
      </w:r>
      <w:r w:rsidRPr="00FC07A8">
        <w:t>, stupeň soběstačnosti</w:t>
      </w:r>
      <w:r>
        <w:t xml:space="preserve"> (o 0,9 </w:t>
      </w:r>
      <w:r w:rsidR="00AD0057">
        <w:t>p. b.) a v neposlední</w:t>
      </w:r>
      <w:r w:rsidRPr="00FC07A8">
        <w:t xml:space="preserve"> řadě také hrubá přidaná hod</w:t>
      </w:r>
      <w:r w:rsidRPr="00FC07A8">
        <w:softHyphen/>
        <w:t>nota</w:t>
      </w:r>
      <w:r>
        <w:t xml:space="preserve"> (o 2,6 %)</w:t>
      </w:r>
      <w:r w:rsidRPr="00FC07A8">
        <w:t>.</w:t>
      </w:r>
      <w:r w:rsidR="004942B7">
        <w:t xml:space="preserve"> </w:t>
      </w:r>
      <w:r w:rsidRPr="00FC07A8">
        <w:t>Příznivě se meziročně vyvíjely i ukazatele zaměstnanosti a průměrných mezd</w:t>
      </w:r>
      <w:r>
        <w:t xml:space="preserve"> (meziroční zvýšení o 5,2 %). Naopak s ohledem na předstih nákladů před výnosy poklesla zisková marže (o 0,7 </w:t>
      </w:r>
      <w:r w:rsidR="00AD0057">
        <w:t>p. b.) a snížily</w:t>
      </w:r>
      <w:r>
        <w:t xml:space="preserve"> se investiční výdaje (o necelá 4 %).</w:t>
      </w:r>
    </w:p>
    <w:p w:rsidR="00B15AD1" w:rsidRDefault="00B15AD1" w:rsidP="008D2567">
      <w:pPr>
        <w:jc w:val="both"/>
      </w:pPr>
      <w:r w:rsidRPr="00FC07A8">
        <w:t>Dalším poznatkem výše uvedené analýzy bylo zjištění, že oblasti tradiční kultury zaměřené spíše na publikum (kulturní dědictví, scénické a výtvarné umění) překonaly ekonomickou krizi snadněji než oblasti zaměřené především na trh (kulturní a kreativní průmysly). Také tomuto závěru uvedené dlouhodobé analýzy dal vývoj v roce 201</w:t>
      </w:r>
      <w:r>
        <w:t>7</w:t>
      </w:r>
      <w:r w:rsidRPr="00FC07A8">
        <w:t xml:space="preserve"> za pravdu. Zatímco v le</w:t>
      </w:r>
      <w:r w:rsidRPr="00FC07A8">
        <w:softHyphen/>
        <w:t>tech 2011-13 dosahovala průměrná dynamika růstu hrubé přidané hodnoty v tradiční kul</w:t>
      </w:r>
      <w:r w:rsidRPr="00FC07A8">
        <w:softHyphen/>
        <w:t xml:space="preserve">tuře </w:t>
      </w:r>
      <w:r>
        <w:t>6,0</w:t>
      </w:r>
      <w:r w:rsidRPr="00FC07A8">
        <w:t xml:space="preserve"> %, tak v tržně orientovaných odvětvích to bylo jen </w:t>
      </w:r>
      <w:r>
        <w:t>0,1</w:t>
      </w:r>
      <w:r w:rsidRPr="00FC07A8">
        <w:t> %, v období 201</w:t>
      </w:r>
      <w:r>
        <w:t>2</w:t>
      </w:r>
      <w:r w:rsidRPr="00FC07A8">
        <w:t>-1</w:t>
      </w:r>
      <w:r>
        <w:t>7</w:t>
      </w:r>
      <w:r w:rsidRPr="00FC07A8">
        <w:t xml:space="preserve"> se tato tempa růstu sblížila na </w:t>
      </w:r>
      <w:r>
        <w:t>5,6 %</w:t>
      </w:r>
      <w:r w:rsidRPr="00FC07A8">
        <w:t xml:space="preserve"> a </w:t>
      </w:r>
      <w:r>
        <w:t>2,9 %.</w:t>
      </w:r>
    </w:p>
    <w:p w:rsidR="00B15AD1" w:rsidRPr="00FC07A8" w:rsidRDefault="00B15AD1" w:rsidP="008D2567">
      <w:pPr>
        <w:jc w:val="both"/>
      </w:pPr>
      <w:r w:rsidRPr="00FC07A8">
        <w:t>Základní otázkou, na kterou by měl dát</w:t>
      </w:r>
      <w:r>
        <w:t xml:space="preserve"> satelitní </w:t>
      </w:r>
      <w:r w:rsidRPr="00FC07A8">
        <w:t>účet kultury odpověď, je původ, rozsah a užití fi</w:t>
      </w:r>
      <w:r w:rsidRPr="00FC07A8">
        <w:softHyphen/>
        <w:t>nančních zdrojů v sektoru kultury. Z administrativních dat bylo zjištěno, že veřejný sektor se v roce 201</w:t>
      </w:r>
      <w:r>
        <w:t>7</w:t>
      </w:r>
      <w:r w:rsidRPr="00FC07A8">
        <w:t xml:space="preserve"> podílel na příjmech kulturních institucí částkou 3</w:t>
      </w:r>
      <w:r>
        <w:t>5,8</w:t>
      </w:r>
      <w:r w:rsidRPr="00FC07A8">
        <w:t> mld. Kč (tj. 14,</w:t>
      </w:r>
      <w:r>
        <w:t>2</w:t>
      </w:r>
      <w:r w:rsidRPr="00FC07A8">
        <w:t> %) s tím, že tyto prostředky plynuly zejména do oblasti kulturního dědictví, živé umělecké tvorby a do uměleckého vzdělávání. Podle šetření v domácnostech vzrostly výdaje směřu</w:t>
      </w:r>
      <w:r w:rsidRPr="00FC07A8">
        <w:softHyphen/>
        <w:t>jící z rodinných rozpočtů do kultury, zejména do oblasti médií a živé tvorby a dosáhly 4</w:t>
      </w:r>
      <w:r>
        <w:t>9</w:t>
      </w:r>
      <w:r w:rsidRPr="00FC07A8">
        <w:t>,</w:t>
      </w:r>
      <w:r>
        <w:t>8</w:t>
      </w:r>
      <w:r w:rsidRPr="00FC07A8">
        <w:t> mld. Kč (tj. </w:t>
      </w:r>
      <w:r>
        <w:t>19</w:t>
      </w:r>
      <w:r w:rsidRPr="00FC07A8">
        <w:t>,</w:t>
      </w:r>
      <w:r>
        <w:t>7</w:t>
      </w:r>
      <w:r w:rsidRPr="00FC07A8">
        <w:t xml:space="preserve"> % celkových zdrojů). </w:t>
      </w:r>
      <w:r>
        <w:t>Na rozdíl od</w:t>
      </w:r>
      <w:r w:rsidR="004942B7">
        <w:t xml:space="preserve"> </w:t>
      </w:r>
      <w:r w:rsidRPr="00FC07A8">
        <w:t>poklesu</w:t>
      </w:r>
      <w:r>
        <w:t xml:space="preserve"> podílu</w:t>
      </w:r>
      <w:r w:rsidR="004942B7">
        <w:t xml:space="preserve"> </w:t>
      </w:r>
      <w:r w:rsidRPr="00FC07A8">
        <w:t xml:space="preserve">veřejných zdrojů </w:t>
      </w:r>
      <w:r>
        <w:t>(o 0,2 p.</w:t>
      </w:r>
      <w:r w:rsidR="00AD0057">
        <w:t xml:space="preserve"> </w:t>
      </w:r>
      <w:proofErr w:type="spellStart"/>
      <w:r>
        <w:t>b</w:t>
      </w:r>
      <w:proofErr w:type="spellEnd"/>
      <w:r>
        <w:t xml:space="preserve">.) </w:t>
      </w:r>
      <w:r w:rsidRPr="00FC07A8">
        <w:t>a</w:t>
      </w:r>
      <w:r w:rsidR="004942B7">
        <w:t xml:space="preserve"> </w:t>
      </w:r>
      <w:r w:rsidRPr="00FC07A8">
        <w:t>zdrojů</w:t>
      </w:r>
      <w:r w:rsidR="004942B7">
        <w:t xml:space="preserve"> </w:t>
      </w:r>
      <w:r>
        <w:t>neziskových institucí (také o 0,2 p.</w:t>
      </w:r>
      <w:r w:rsidR="00AD0057">
        <w:t xml:space="preserve"> </w:t>
      </w:r>
      <w:proofErr w:type="spellStart"/>
      <w:r>
        <w:t>b</w:t>
      </w:r>
      <w:proofErr w:type="spellEnd"/>
      <w:r>
        <w:t xml:space="preserve">.) </w:t>
      </w:r>
      <w:r w:rsidRPr="00FC07A8">
        <w:t>se zvýšily</w:t>
      </w:r>
      <w:r>
        <w:t xml:space="preserve"> absolutně i relativně</w:t>
      </w:r>
      <w:r w:rsidR="004942B7">
        <w:t xml:space="preserve"> </w:t>
      </w:r>
      <w:r w:rsidRPr="00FC07A8">
        <w:t>zdroje vytvořené v podnicích (</w:t>
      </w:r>
      <w:r>
        <w:t xml:space="preserve">na </w:t>
      </w:r>
      <w:r w:rsidRPr="00FC07A8">
        <w:t>1</w:t>
      </w:r>
      <w:r>
        <w:t>59</w:t>
      </w:r>
      <w:r w:rsidRPr="00FC07A8">
        <w:t>,3 mld. Kč,</w:t>
      </w:r>
      <w:r w:rsidR="00AD0057">
        <w:t xml:space="preserve"> a 1,7 p. </w:t>
      </w:r>
      <w:proofErr w:type="spellStart"/>
      <w:r>
        <w:t>b</w:t>
      </w:r>
      <w:proofErr w:type="spellEnd"/>
      <w:r>
        <w:t xml:space="preserve">. </w:t>
      </w:r>
      <w:proofErr w:type="gramStart"/>
      <w:r>
        <w:t>na</w:t>
      </w:r>
      <w:proofErr w:type="gramEnd"/>
      <w:r>
        <w:t xml:space="preserve"> </w:t>
      </w:r>
      <w:r w:rsidRPr="00FC07A8">
        <w:t>6</w:t>
      </w:r>
      <w:r>
        <w:t>3</w:t>
      </w:r>
      <w:r w:rsidRPr="00FC07A8">
        <w:t>,</w:t>
      </w:r>
      <w:r>
        <w:t>2</w:t>
      </w:r>
      <w:r w:rsidRPr="00FC07A8">
        <w:t> % z celkových zdrojů)</w:t>
      </w:r>
      <w:r>
        <w:t xml:space="preserve">. </w:t>
      </w:r>
      <w:r w:rsidRPr="00FC07A8">
        <w:t>Zdroje pocházející ze zahraničí (</w:t>
      </w:r>
      <w:r>
        <w:t>1</w:t>
      </w:r>
      <w:r w:rsidRPr="00FC07A8">
        <w:t>,</w:t>
      </w:r>
      <w:r>
        <w:t>7</w:t>
      </w:r>
      <w:r w:rsidRPr="00FC07A8">
        <w:t xml:space="preserve"> mld. Kč) </w:t>
      </w:r>
      <w:r>
        <w:t xml:space="preserve">se </w:t>
      </w:r>
      <w:r w:rsidRPr="00FC07A8">
        <w:t>v porovnání s rokem 201</w:t>
      </w:r>
      <w:r>
        <w:t>6 téměř o 15 % snížily.</w:t>
      </w:r>
      <w:r w:rsidRPr="00FC07A8">
        <w:t xml:space="preserve"> Celkové finanční zdroje uplatněné v kulturních institucích však celkově o </w:t>
      </w:r>
      <w:r>
        <w:t>8</w:t>
      </w:r>
      <w:r w:rsidRPr="00FC07A8">
        <w:t>,</w:t>
      </w:r>
      <w:r>
        <w:t>3</w:t>
      </w:r>
      <w:r w:rsidRPr="00FC07A8">
        <w:t> % (o </w:t>
      </w:r>
      <w:r>
        <w:t>19</w:t>
      </w:r>
      <w:r w:rsidRPr="00FC07A8">
        <w:t>,3 mld. Kč) meziročně vzrostly.</w:t>
      </w:r>
    </w:p>
    <w:p w:rsidR="00B15AD1" w:rsidRPr="00FC07A8" w:rsidRDefault="00B15AD1" w:rsidP="008D2567">
      <w:pPr>
        <w:jc w:val="both"/>
      </w:pPr>
      <w:r w:rsidRPr="00FC07A8">
        <w:t>Výsledky roku 201</w:t>
      </w:r>
      <w:r>
        <w:t>7</w:t>
      </w:r>
      <w:r w:rsidRPr="00FC07A8">
        <w:t xml:space="preserve"> dále potvrzují, že se jednotlivé kulturní oblasti významně liší stupněm uplatnění tržních principů a v této souvislosti také úrovní hospodaření, s tím související výší průměrných mezd, investiční aktivitou atd. Případné prohlubování této diferenciace bude zřejmě záviset na technickém rozvoji na straně jedné a rozsahem podpory neziskových ak</w:t>
      </w:r>
      <w:r w:rsidRPr="00FC07A8">
        <w:softHyphen/>
        <w:t>ti</w:t>
      </w:r>
      <w:r w:rsidRPr="00FC07A8">
        <w:softHyphen/>
        <w:t>v</w:t>
      </w:r>
      <w:proofErr w:type="spellStart"/>
      <w:r w:rsidRPr="00FC07A8">
        <w:t>it</w:t>
      </w:r>
      <w:proofErr w:type="spellEnd"/>
      <w:r w:rsidRPr="00FC07A8">
        <w:t xml:space="preserve"> (kulturní dědictví a část živé tvorby) z ve</w:t>
      </w:r>
      <w:r w:rsidR="00DE2F64">
        <w:t>řejných zdrojů na straně druhé.</w:t>
      </w:r>
    </w:p>
    <w:p w:rsidR="00B15AD1" w:rsidRDefault="00B15AD1" w:rsidP="008D2567">
      <w:pPr>
        <w:jc w:val="both"/>
      </w:pPr>
      <w:r w:rsidRPr="00FC07A8">
        <w:t xml:space="preserve">Ekonomické výsledky je </w:t>
      </w:r>
      <w:r>
        <w:t>namístě</w:t>
      </w:r>
      <w:r w:rsidR="004942B7">
        <w:t xml:space="preserve"> </w:t>
      </w:r>
      <w:r w:rsidRPr="00FC07A8">
        <w:t>– s ohledem na omezené mož</w:t>
      </w:r>
      <w:r w:rsidRPr="00FC07A8">
        <w:softHyphen/>
        <w:t>nosti finančních ukazatelů pro vyjádření rozsahu a kvality výkonu některých činností (např. péče o kulturní dědictví, vzdě</w:t>
      </w:r>
      <w:r w:rsidRPr="00FC07A8">
        <w:softHyphen/>
        <w:t>lávací činnost kulturních institucí, působení kultury a jejích hodnot na jedince i společ</w:t>
      </w:r>
      <w:r w:rsidRPr="00FC07A8">
        <w:softHyphen/>
        <w:t>nost) - doplnit ukazateli naturálními. Jako nejvhodnější mezi nimi se pro svou komplexnost jeví ukazatel počtu návštěv</w:t>
      </w:r>
      <w:r w:rsidRPr="00FC07A8">
        <w:softHyphen/>
        <w:t>ník</w:t>
      </w:r>
      <w:proofErr w:type="spellStart"/>
      <w:r w:rsidRPr="00FC07A8">
        <w:t>ů</w:t>
      </w:r>
      <w:proofErr w:type="spellEnd"/>
      <w:r w:rsidRPr="00FC07A8">
        <w:t>. Nutno dodat, že celková návštěvnost kulturních institucí v porovnání s rokem 201</w:t>
      </w:r>
      <w:r>
        <w:t>6 mírně</w:t>
      </w:r>
      <w:r w:rsidR="004942B7">
        <w:t xml:space="preserve"> </w:t>
      </w:r>
      <w:r w:rsidRPr="00FC07A8">
        <w:t xml:space="preserve">vzrostla (o </w:t>
      </w:r>
      <w:r>
        <w:t>0,2</w:t>
      </w:r>
      <w:r w:rsidRPr="00FC07A8">
        <w:t xml:space="preserve"> %, viz tab. </w:t>
      </w:r>
      <w:proofErr w:type="gramStart"/>
      <w:r w:rsidRPr="00FC07A8">
        <w:t>č.</w:t>
      </w:r>
      <w:proofErr w:type="gramEnd"/>
      <w:r w:rsidRPr="00FC07A8">
        <w:t> 13). Zvýšení návštěvnosti se týkalo většiny významných poskytovatelů služeb tradiční kultury</w:t>
      </w:r>
      <w:r>
        <w:t>.</w:t>
      </w:r>
      <w:r w:rsidRPr="00FC07A8">
        <w:t xml:space="preserve"> Hospodářské výsledky roku 201</w:t>
      </w:r>
      <w:r>
        <w:t>7</w:t>
      </w:r>
      <w:r w:rsidRPr="00FC07A8">
        <w:t xml:space="preserve"> jsou v porovnání s předcházejícím rokem </w:t>
      </w:r>
      <w:r>
        <w:t>provázeny</w:t>
      </w:r>
      <w:r w:rsidR="004942B7">
        <w:t xml:space="preserve"> </w:t>
      </w:r>
      <w:r>
        <w:t>mírně vyšší</w:t>
      </w:r>
      <w:r w:rsidR="004942B7">
        <w:t xml:space="preserve"> </w:t>
      </w:r>
      <w:r w:rsidRPr="00FC07A8">
        <w:t>tvorbou zisku (</w:t>
      </w:r>
      <w:r>
        <w:t>zvýšení z</w:t>
      </w:r>
      <w:r w:rsidR="004942B7">
        <w:t xml:space="preserve"> </w:t>
      </w:r>
      <w:r w:rsidRPr="00FC07A8">
        <w:t>15,3</w:t>
      </w:r>
      <w:r>
        <w:t xml:space="preserve"> na 15,6</w:t>
      </w:r>
      <w:r w:rsidRPr="00FC07A8">
        <w:t xml:space="preserve"> mld. Kč </w:t>
      </w:r>
      <w:r w:rsidR="00AD0057">
        <w:t>tj. o 2 %), avšak</w:t>
      </w:r>
      <w:r w:rsidR="004942B7">
        <w:t xml:space="preserve"> </w:t>
      </w:r>
      <w:r w:rsidRPr="00FC07A8">
        <w:t>snížením zis</w:t>
      </w:r>
      <w:r w:rsidRPr="00FC07A8">
        <w:softHyphen/>
        <w:t>kové marže (z </w:t>
      </w:r>
      <w:r>
        <w:t>6,</w:t>
      </w:r>
      <w:r w:rsidRPr="00FC07A8">
        <w:t>8 % na 6,</w:t>
      </w:r>
      <w:r>
        <w:t>1</w:t>
      </w:r>
      <w:r w:rsidRPr="00FC07A8">
        <w:t> %, tj. o </w:t>
      </w:r>
      <w:r>
        <w:t>0,7</w:t>
      </w:r>
      <w:r w:rsidRPr="00FC07A8">
        <w:t xml:space="preserve"> </w:t>
      </w:r>
      <w:r w:rsidR="00AD0057">
        <w:t xml:space="preserve">p. </w:t>
      </w:r>
      <w:proofErr w:type="spellStart"/>
      <w:r w:rsidR="00AD0057">
        <w:t>b</w:t>
      </w:r>
      <w:proofErr w:type="spellEnd"/>
      <w:r w:rsidR="00AD0057">
        <w:t>.</w:t>
      </w:r>
      <w:r w:rsidRPr="00FC07A8">
        <w:t xml:space="preserve"> – viz tab. </w:t>
      </w:r>
      <w:proofErr w:type="gramStart"/>
      <w:r w:rsidRPr="00FC07A8">
        <w:t>č.</w:t>
      </w:r>
      <w:proofErr w:type="gramEnd"/>
      <w:r w:rsidRPr="00FC07A8">
        <w:t> 3 a 10). Meziroční tempo celkových výdajů bylo vyšší než tempo příjmů (</w:t>
      </w:r>
      <w:r>
        <w:t xml:space="preserve">7,1 </w:t>
      </w:r>
      <w:r w:rsidRPr="00FC07A8">
        <w:t xml:space="preserve">% oproti </w:t>
      </w:r>
      <w:r>
        <w:t>6</w:t>
      </w:r>
      <w:r w:rsidRPr="00FC07A8">
        <w:t>,</w:t>
      </w:r>
      <w:r>
        <w:t>7</w:t>
      </w:r>
      <w:r w:rsidRPr="00FC07A8">
        <w:t xml:space="preserve"> %). Při </w:t>
      </w:r>
      <w:r>
        <w:t>mírně vyšších</w:t>
      </w:r>
      <w:r w:rsidRPr="00FC07A8">
        <w:t xml:space="preserve"> osob</w:t>
      </w:r>
      <w:r w:rsidRPr="00FC07A8">
        <w:softHyphen/>
        <w:t>ních náklad</w:t>
      </w:r>
      <w:r>
        <w:t xml:space="preserve">ech (o 3,5%) </w:t>
      </w:r>
      <w:r w:rsidRPr="00FC07A8">
        <w:t xml:space="preserve">se zvýšila </w:t>
      </w:r>
      <w:r>
        <w:t xml:space="preserve">výrazněji </w:t>
      </w:r>
      <w:proofErr w:type="spellStart"/>
      <w:r w:rsidRPr="00FC07A8">
        <w:t>mezispotřeba</w:t>
      </w:r>
      <w:proofErr w:type="spellEnd"/>
      <w:r w:rsidR="004942B7">
        <w:t xml:space="preserve"> </w:t>
      </w:r>
      <w:r w:rsidRPr="00FC07A8">
        <w:t xml:space="preserve">(o </w:t>
      </w:r>
      <w:r>
        <w:t>5,1</w:t>
      </w:r>
      <w:r w:rsidRPr="00FC07A8">
        <w:t>%)</w:t>
      </w:r>
      <w:r>
        <w:t xml:space="preserve"> a zejména ostatní</w:t>
      </w:r>
      <w:r w:rsidR="004942B7">
        <w:t xml:space="preserve"> </w:t>
      </w:r>
      <w:r>
        <w:t>nákladové položky (15,5 %). Příznivý byl naopak</w:t>
      </w:r>
      <w:r w:rsidR="004942B7">
        <w:t xml:space="preserve"> </w:t>
      </w:r>
      <w:r>
        <w:t>nárůst</w:t>
      </w:r>
      <w:r w:rsidR="004942B7">
        <w:t xml:space="preserve"> </w:t>
      </w:r>
      <w:r>
        <w:t>tržeb za vlastní výkony</w:t>
      </w:r>
      <w:r w:rsidRPr="00FC07A8">
        <w:t xml:space="preserve"> (o </w:t>
      </w:r>
      <w:r>
        <w:t>8,2</w:t>
      </w:r>
      <w:r w:rsidRPr="00FC07A8">
        <w:t> %)</w:t>
      </w:r>
      <w:r>
        <w:t>, který pozitivně</w:t>
      </w:r>
      <w:r w:rsidR="004942B7">
        <w:t xml:space="preserve"> </w:t>
      </w:r>
      <w:r>
        <w:t>ovlivnil zvýšení</w:t>
      </w:r>
      <w:r w:rsidR="004942B7">
        <w:t xml:space="preserve"> </w:t>
      </w:r>
      <w:r>
        <w:t>stupně soběstačnosti (o 0,9 p.</w:t>
      </w:r>
      <w:r w:rsidR="00AD0057">
        <w:t xml:space="preserve"> </w:t>
      </w:r>
      <w:proofErr w:type="spellStart"/>
      <w:r w:rsidR="00AD0057">
        <w:t>b</w:t>
      </w:r>
      <w:proofErr w:type="spellEnd"/>
      <w:r w:rsidR="00AD0057">
        <w:t>.).</w:t>
      </w:r>
    </w:p>
    <w:p w:rsidR="00B15AD1" w:rsidRPr="00FC07A8" w:rsidRDefault="00B15AD1" w:rsidP="008D2567">
      <w:pPr>
        <w:jc w:val="both"/>
      </w:pPr>
      <w:r w:rsidRPr="00FC07A8">
        <w:lastRenderedPageBreak/>
        <w:t>Z od</w:t>
      </w:r>
      <w:r w:rsidRPr="00FC07A8">
        <w:softHyphen/>
        <w:t xml:space="preserve">větvového pohledu byly celkové hospodářské výsledky ovlivněny zejména </w:t>
      </w:r>
      <w:r>
        <w:t xml:space="preserve">dalším </w:t>
      </w:r>
      <w:r w:rsidRPr="00FC07A8">
        <w:t>meziročním sní</w:t>
      </w:r>
      <w:r w:rsidRPr="00FC07A8">
        <w:softHyphen/>
        <w:t>žením efektivnosti v kulturních průmyslech (tisk, audiovizuální a interaktivní média).</w:t>
      </w:r>
    </w:p>
    <w:p w:rsidR="00B15AD1" w:rsidRDefault="00B15AD1" w:rsidP="008D2567">
      <w:pPr>
        <w:jc w:val="both"/>
      </w:pPr>
      <w:r w:rsidRPr="00FC07A8">
        <w:t>V </w:t>
      </w:r>
      <w:proofErr w:type="spellStart"/>
      <w:r w:rsidRPr="00FC07A8">
        <w:t>makroukazatelích</w:t>
      </w:r>
      <w:proofErr w:type="spellEnd"/>
      <w:r w:rsidRPr="00FC07A8">
        <w:t xml:space="preserve"> se porovnání se zpřesněnými údaji za rok 201</w:t>
      </w:r>
      <w:r>
        <w:t>6 p</w:t>
      </w:r>
      <w:r w:rsidRPr="00FC07A8">
        <w:t>ři dynamickém růstu produkce (o</w:t>
      </w:r>
      <w:r w:rsidR="008F1841">
        <w:t> </w:t>
      </w:r>
      <w:r>
        <w:t>3,8</w:t>
      </w:r>
      <w:r w:rsidRPr="00FC07A8">
        <w:t> %) se</w:t>
      </w:r>
      <w:r w:rsidR="004942B7">
        <w:t xml:space="preserve"> </w:t>
      </w:r>
      <w:r>
        <w:t>ještě rychleji</w:t>
      </w:r>
      <w:r w:rsidR="004942B7">
        <w:t xml:space="preserve"> </w:t>
      </w:r>
      <w:r>
        <w:t>zvyšovala</w:t>
      </w:r>
      <w:r w:rsidR="004942B7">
        <w:t xml:space="preserve"> </w:t>
      </w:r>
      <w:proofErr w:type="spellStart"/>
      <w:r w:rsidRPr="00FC07A8">
        <w:t>mezispotřeba</w:t>
      </w:r>
      <w:proofErr w:type="spellEnd"/>
      <w:r w:rsidRPr="00FC07A8">
        <w:t xml:space="preserve"> (o </w:t>
      </w:r>
      <w:r>
        <w:t>4,7</w:t>
      </w:r>
      <w:r w:rsidRPr="00FC07A8">
        <w:t> %) a hrubá při</w:t>
      </w:r>
      <w:r w:rsidRPr="00FC07A8">
        <w:softHyphen/>
        <w:t xml:space="preserve">daná hodnota tak vzrostla jen o necelé </w:t>
      </w:r>
      <w:r>
        <w:t xml:space="preserve">2,6 </w:t>
      </w:r>
      <w:r w:rsidRPr="00FC07A8">
        <w:t>%.</w:t>
      </w:r>
    </w:p>
    <w:p w:rsidR="00B15AD1" w:rsidRPr="00FC07A8" w:rsidRDefault="00B15AD1" w:rsidP="008D2567">
      <w:pPr>
        <w:jc w:val="both"/>
      </w:pPr>
      <w:r>
        <w:t>O postavení</w:t>
      </w:r>
      <w:r w:rsidR="004942B7">
        <w:t xml:space="preserve"> kultury v ekonomice jako celku</w:t>
      </w:r>
      <w:r>
        <w:t xml:space="preserve"> s</w:t>
      </w:r>
      <w:r w:rsidR="004942B7">
        <w:t>vědčí skutečnost, že její podíl v</w:t>
      </w:r>
      <w:r>
        <w:t xml:space="preserve"> </w:t>
      </w:r>
      <w:r w:rsidRPr="00FC07A8">
        <w:t>několika význam</w:t>
      </w:r>
      <w:r w:rsidRPr="00FC07A8">
        <w:softHyphen/>
        <w:t>ných ukazatelích osciluje (v poměr</w:t>
      </w:r>
      <w:r w:rsidRPr="00FC07A8">
        <w:softHyphen/>
        <w:t>ně širokém rozmezí) od 1,4 do 4,</w:t>
      </w:r>
      <w:r>
        <w:t>3</w:t>
      </w:r>
      <w:r w:rsidRPr="00FC07A8">
        <w:t> %.</w:t>
      </w:r>
    </w:p>
    <w:p w:rsidR="00B15AD1" w:rsidRPr="00FC07A8" w:rsidRDefault="00B15AD1" w:rsidP="008D2567">
      <w:pPr>
        <w:jc w:val="both"/>
      </w:pPr>
      <w:r w:rsidRPr="00FC07A8">
        <w:t>Veřejné zdroje věnované kultuře představují 1,9</w:t>
      </w:r>
      <w:r>
        <w:t>9</w:t>
      </w:r>
      <w:r w:rsidRPr="00FC07A8">
        <w:t> % celkových konsolidovaných výdajů ve</w:t>
      </w:r>
      <w:r w:rsidRPr="00FC07A8">
        <w:softHyphen/>
        <w:t>řejných rozpočtů a podíl výdajů domácností na kulturu k celkovým výdajům domácností do</w:t>
      </w:r>
      <w:r w:rsidRPr="00FC07A8">
        <w:softHyphen/>
        <w:t>sahuje 3,</w:t>
      </w:r>
      <w:r>
        <w:t>7</w:t>
      </w:r>
      <w:r w:rsidRPr="00FC07A8">
        <w:t xml:space="preserve"> %. Rozsah vynaložené živé práce v kultuře lze uvažovat v rozmezí od </w:t>
      </w:r>
      <w:r>
        <w:t xml:space="preserve">1,8 % </w:t>
      </w:r>
      <w:r w:rsidRPr="00FC07A8">
        <w:t xml:space="preserve">(měřeno mzdovými náklady) až po </w:t>
      </w:r>
      <w:r>
        <w:t>4,3 %</w:t>
      </w:r>
      <w:r w:rsidRPr="00FC07A8">
        <w:t xml:space="preserve"> (měřeno počtem všech osob pracujících v kultur</w:t>
      </w:r>
      <w:r w:rsidRPr="00FC07A8">
        <w:softHyphen/>
        <w:t>ních institucích a činnostech). Konečně předběžně odhadovaný podíl hrubé přidané hod</w:t>
      </w:r>
      <w:r w:rsidRPr="00FC07A8">
        <w:softHyphen/>
        <w:t>noty a produkce v</w:t>
      </w:r>
      <w:r>
        <w:t> </w:t>
      </w:r>
      <w:r w:rsidRPr="00FC07A8">
        <w:t>kultuře</w:t>
      </w:r>
      <w:r>
        <w:t xml:space="preserve"> dosáhl 2,1</w:t>
      </w:r>
      <w:r w:rsidRPr="00FC07A8">
        <w:t> % a</w:t>
      </w:r>
      <w:r>
        <w:t xml:space="preserve"> 2,03 %</w:t>
      </w:r>
      <w:r w:rsidRPr="00FC07A8">
        <w:t>, za</w:t>
      </w:r>
      <w:r w:rsidRPr="00FC07A8">
        <w:softHyphen/>
        <w:t>tímco podíl odhadované úrovně hrubého domácího produktu kultury svou výší tuto úroveň nedosahuje (</w:t>
      </w:r>
      <w:r>
        <w:t xml:space="preserve">1,37 </w:t>
      </w:r>
      <w:r w:rsidRPr="00FC07A8">
        <w:t>% celostátního ukazatele). Jak je zřejmé z porovnání podílu kultury na ukazatelích vstupů (rozsahu živé práce) a výstupů (HPH a HDP), tento sektor v úrovni pro</w:t>
      </w:r>
      <w:r w:rsidRPr="00FC07A8">
        <w:softHyphen/>
        <w:t>duktivity z</w:t>
      </w:r>
      <w:r w:rsidR="00DE2F64">
        <w:t>a ostatními odvětvími zaostává.</w:t>
      </w:r>
    </w:p>
    <w:p w:rsidR="003C7B12" w:rsidRPr="001328C6" w:rsidRDefault="00B15AD1" w:rsidP="00DC2F2F">
      <w:pPr>
        <w:jc w:val="both"/>
      </w:pPr>
      <w:r w:rsidRPr="00FC07A8">
        <w:t>Pokud bychom však přidali na pomyslnou misku vah neměřitelnou část výkonů a společen</w:t>
      </w:r>
      <w:r w:rsidRPr="00FC07A8">
        <w:softHyphen/>
        <w:t>ského dosahu sektoru kultury, byl by jeho podíl jistě mnohem vyšší. To, co nelze finančně vyjádřit je však mimo naše možnosti. Je třeba se zabývat tím, co doká</w:t>
      </w:r>
      <w:r w:rsidRPr="00FC07A8">
        <w:softHyphen/>
        <w:t>žeme ovlivnit a pro</w:t>
      </w:r>
      <w:r w:rsidRPr="00FC07A8">
        <w:softHyphen/>
        <w:t xml:space="preserve">vádět žádoucí změny </w:t>
      </w:r>
      <w:r>
        <w:rPr>
          <w:rStyle w:val="st"/>
        </w:rPr>
        <w:t>–</w:t>
      </w:r>
      <w:r w:rsidRPr="00FC07A8">
        <w:t xml:space="preserve"> zejména v obl</w:t>
      </w:r>
      <w:r w:rsidR="008F1841">
        <w:t xml:space="preserve">asti statistických zjišťování, </w:t>
      </w:r>
      <w:r w:rsidRPr="00FC07A8">
        <w:t>která nám umožní po</w:t>
      </w:r>
      <w:r w:rsidRPr="00FC07A8">
        <w:softHyphen/>
        <w:t>stupně zvyšovat rozsah kulturních aktivit zahrnutých do satelitního kulturního účtu a naopak snižovat stupeň jeho nepřesnosti.</w:t>
      </w:r>
    </w:p>
    <w:sectPr w:rsidR="003C7B12" w:rsidRPr="001328C6" w:rsidSect="003749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387" w:right="1134" w:bottom="1418" w:left="1134" w:header="680" w:footer="680" w:gutter="0"/>
      <w:pgNumType w:start="1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98B" w:rsidRDefault="00D2598B" w:rsidP="00E71A58">
      <w:r>
        <w:separator/>
      </w:r>
    </w:p>
  </w:endnote>
  <w:endnote w:type="continuationSeparator" w:id="0">
    <w:p w:rsidR="00D2598B" w:rsidRDefault="00D2598B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67C" w:rsidRPr="00932443" w:rsidRDefault="00004896" w:rsidP="002405CB">
    <w:pPr>
      <w:pStyle w:val="Zpat"/>
      <w:tabs>
        <w:tab w:val="clear" w:pos="9639"/>
      </w:tabs>
      <w:rPr>
        <w:szCs w:val="16"/>
      </w:rPr>
    </w:pPr>
    <w:r>
      <w:rPr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margin-left:-173.7pt;margin-top:-5.1pt;width:33.75pt;height:15.85pt;z-index:2;mso-position-horizontal:right">
          <v:imagedata r:id="rId1" o:title="CSU RGB CZ logo-01"/>
        </v:shape>
      </w:pict>
    </w:r>
    <w:r w:rsidRPr="00932443">
      <w:rPr>
        <w:szCs w:val="16"/>
      </w:rPr>
      <w:fldChar w:fldCharType="begin"/>
    </w:r>
    <w:r w:rsidR="00E3067C"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3749C0">
      <w:rPr>
        <w:szCs w:val="16"/>
      </w:rPr>
      <w:t>16</w:t>
    </w:r>
    <w:r w:rsidRPr="00932443">
      <w:rPr>
        <w:szCs w:val="16"/>
      </w:rPr>
      <w:fldChar w:fldCharType="end"/>
    </w:r>
    <w:r w:rsidR="00E3067C" w:rsidRPr="00932443">
      <w:rPr>
        <w:szCs w:val="16"/>
      </w:rPr>
      <w:tab/>
    </w:r>
    <w:r w:rsidR="00E3067C">
      <w:rPr>
        <w:szCs w:val="16"/>
      </w:rPr>
      <w:t>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67C" w:rsidRPr="00932443" w:rsidRDefault="00004896" w:rsidP="002405CB">
    <w:pPr>
      <w:pStyle w:val="Zpat"/>
      <w:tabs>
        <w:tab w:val="clear" w:pos="4820"/>
        <w:tab w:val="clear" w:pos="9639"/>
        <w:tab w:val="left" w:pos="4253"/>
        <w:tab w:val="left" w:pos="4536"/>
        <w:tab w:val="left" w:pos="9356"/>
        <w:tab w:val="left" w:pos="13750"/>
      </w:tabs>
      <w:rPr>
        <w:szCs w:val="16"/>
      </w:rPr>
    </w:pPr>
    <w:r>
      <w:rPr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0;margin-top:-9.65pt;width:40.2pt;height:21.45pt;z-index:1;mso-position-horizontal:left">
          <v:imagedata r:id="rId1" o:title="CSU RGB CZ logo-02"/>
        </v:shape>
      </w:pict>
    </w:r>
    <w:r w:rsidR="00E3067C" w:rsidRPr="00932443">
      <w:rPr>
        <w:szCs w:val="16"/>
      </w:rPr>
      <w:tab/>
    </w:r>
    <w:r w:rsidR="00E3067C">
      <w:rPr>
        <w:szCs w:val="16"/>
      </w:rPr>
      <w:tab/>
    </w:r>
    <w:r w:rsidR="00E3067C">
      <w:rPr>
        <w:rStyle w:val="ZpatChar"/>
        <w:szCs w:val="16"/>
      </w:rPr>
      <w:t>2017</w:t>
    </w:r>
    <w:r w:rsidR="00E3067C"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="00E3067C"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3749C0">
      <w:rPr>
        <w:rStyle w:val="ZpatChar"/>
        <w:szCs w:val="16"/>
      </w:rPr>
      <w:t>17</w:t>
    </w:r>
    <w:r w:rsidRPr="00932443">
      <w:rPr>
        <w:rStyle w:val="ZpatChar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9C0" w:rsidRDefault="003749C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98B" w:rsidRPr="00311229" w:rsidRDefault="00D2598B" w:rsidP="00311229">
      <w:pPr>
        <w:pStyle w:val="Zpat"/>
      </w:pPr>
    </w:p>
  </w:footnote>
  <w:footnote w:type="continuationSeparator" w:id="0">
    <w:p w:rsidR="00D2598B" w:rsidRPr="00311229" w:rsidRDefault="00D2598B" w:rsidP="00311229">
      <w:pPr>
        <w:pStyle w:val="Zpa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67C" w:rsidRPr="006F5416" w:rsidRDefault="00E3067C" w:rsidP="00CE08A5">
    <w:pPr>
      <w:pStyle w:val="Zhlav"/>
    </w:pPr>
    <w:r>
      <w:t>Satelitní účet kultury</w:t>
    </w:r>
  </w:p>
  <w:p w:rsidR="00E3067C" w:rsidRDefault="00E3067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67C" w:rsidRPr="006F5416" w:rsidRDefault="00E3067C" w:rsidP="00CE08A5">
    <w:pPr>
      <w:pStyle w:val="Zhlav"/>
    </w:pPr>
    <w:r>
      <w:t>Satelitní účet kultury</w:t>
    </w:r>
  </w:p>
  <w:p w:rsidR="00E3067C" w:rsidRDefault="00E3067C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9C0" w:rsidRDefault="003749C0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5pt;height:11.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149A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29"/>
    <w:multiLevelType w:val="hybridMultilevel"/>
    <w:tmpl w:val="61545646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2CD6"/>
    <w:multiLevelType w:val="hybridMultilevel"/>
    <w:tmpl w:val="000072AE"/>
    <w:lvl w:ilvl="0" w:tplc="00006952">
      <w:start w:val="2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15C5CB5"/>
    <w:multiLevelType w:val="hybridMultilevel"/>
    <w:tmpl w:val="902449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A836952"/>
    <w:multiLevelType w:val="hybridMultilevel"/>
    <w:tmpl w:val="7BF86E04"/>
    <w:lvl w:ilvl="0" w:tplc="2A80F076">
      <w:start w:val="1"/>
      <w:numFmt w:val="decimal"/>
      <w:lvlText w:val="%1)"/>
      <w:lvlJc w:val="left"/>
      <w:pPr>
        <w:ind w:left="-349" w:hanging="360"/>
      </w:pPr>
      <w:rPr>
        <w:rFonts w:cs="Arial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371" w:hanging="360"/>
      </w:pPr>
    </w:lvl>
    <w:lvl w:ilvl="2" w:tplc="0405001B" w:tentative="1">
      <w:start w:val="1"/>
      <w:numFmt w:val="lowerRoman"/>
      <w:lvlText w:val="%3."/>
      <w:lvlJc w:val="right"/>
      <w:pPr>
        <w:ind w:left="1091" w:hanging="180"/>
      </w:pPr>
    </w:lvl>
    <w:lvl w:ilvl="3" w:tplc="0405000F" w:tentative="1">
      <w:start w:val="1"/>
      <w:numFmt w:val="decimal"/>
      <w:lvlText w:val="%4."/>
      <w:lvlJc w:val="left"/>
      <w:pPr>
        <w:ind w:left="1811" w:hanging="360"/>
      </w:pPr>
    </w:lvl>
    <w:lvl w:ilvl="4" w:tplc="04050019" w:tentative="1">
      <w:start w:val="1"/>
      <w:numFmt w:val="lowerLetter"/>
      <w:lvlText w:val="%5."/>
      <w:lvlJc w:val="left"/>
      <w:pPr>
        <w:ind w:left="2531" w:hanging="360"/>
      </w:pPr>
    </w:lvl>
    <w:lvl w:ilvl="5" w:tplc="0405001B" w:tentative="1">
      <w:start w:val="1"/>
      <w:numFmt w:val="lowerRoman"/>
      <w:lvlText w:val="%6."/>
      <w:lvlJc w:val="right"/>
      <w:pPr>
        <w:ind w:left="3251" w:hanging="180"/>
      </w:pPr>
    </w:lvl>
    <w:lvl w:ilvl="6" w:tplc="0405000F" w:tentative="1">
      <w:start w:val="1"/>
      <w:numFmt w:val="decimal"/>
      <w:lvlText w:val="%7."/>
      <w:lvlJc w:val="left"/>
      <w:pPr>
        <w:ind w:left="3971" w:hanging="360"/>
      </w:pPr>
    </w:lvl>
    <w:lvl w:ilvl="7" w:tplc="04050019" w:tentative="1">
      <w:start w:val="1"/>
      <w:numFmt w:val="lowerLetter"/>
      <w:lvlText w:val="%8."/>
      <w:lvlJc w:val="left"/>
      <w:pPr>
        <w:ind w:left="4691" w:hanging="360"/>
      </w:pPr>
    </w:lvl>
    <w:lvl w:ilvl="8" w:tplc="040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0C53742F"/>
    <w:multiLevelType w:val="hybridMultilevel"/>
    <w:tmpl w:val="E668DF54"/>
    <w:lvl w:ilvl="0" w:tplc="164A6B68">
      <w:start w:val="1"/>
      <w:numFmt w:val="decimal"/>
      <w:lvlText w:val="%1)"/>
      <w:lvlJc w:val="left"/>
      <w:pPr>
        <w:ind w:left="11" w:hanging="360"/>
      </w:pPr>
      <w:rPr>
        <w:rFonts w:cs="Arial" w:hint="default"/>
        <w:sz w:val="18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6">
    <w:nsid w:val="11FB7699"/>
    <w:multiLevelType w:val="hybridMultilevel"/>
    <w:tmpl w:val="48B6C3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6B14236"/>
    <w:multiLevelType w:val="hybridMultilevel"/>
    <w:tmpl w:val="12E2E4EA"/>
    <w:lvl w:ilvl="0" w:tplc="02E21B48">
      <w:start w:val="22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2463E7"/>
    <w:multiLevelType w:val="hybridMultilevel"/>
    <w:tmpl w:val="CCEC13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FC25D0"/>
    <w:multiLevelType w:val="hybridMultilevel"/>
    <w:tmpl w:val="9FC82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E740A2"/>
    <w:multiLevelType w:val="hybridMultilevel"/>
    <w:tmpl w:val="B09E4A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33044EEC"/>
    <w:multiLevelType w:val="hybridMultilevel"/>
    <w:tmpl w:val="8B3E32C4"/>
    <w:lvl w:ilvl="0" w:tplc="C2862074">
      <w:start w:val="1"/>
      <w:numFmt w:val="decimal"/>
      <w:lvlText w:val="%1)"/>
      <w:lvlJc w:val="left"/>
      <w:pPr>
        <w:ind w:left="212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932" w:hanging="360"/>
      </w:pPr>
    </w:lvl>
    <w:lvl w:ilvl="2" w:tplc="0405001B" w:tentative="1">
      <w:start w:val="1"/>
      <w:numFmt w:val="lowerRoman"/>
      <w:lvlText w:val="%3."/>
      <w:lvlJc w:val="right"/>
      <w:pPr>
        <w:ind w:left="1652" w:hanging="180"/>
      </w:pPr>
    </w:lvl>
    <w:lvl w:ilvl="3" w:tplc="0405000F" w:tentative="1">
      <w:start w:val="1"/>
      <w:numFmt w:val="decimal"/>
      <w:lvlText w:val="%4."/>
      <w:lvlJc w:val="left"/>
      <w:pPr>
        <w:ind w:left="2372" w:hanging="360"/>
      </w:pPr>
    </w:lvl>
    <w:lvl w:ilvl="4" w:tplc="04050019" w:tentative="1">
      <w:start w:val="1"/>
      <w:numFmt w:val="lowerLetter"/>
      <w:lvlText w:val="%5."/>
      <w:lvlJc w:val="left"/>
      <w:pPr>
        <w:ind w:left="3092" w:hanging="360"/>
      </w:pPr>
    </w:lvl>
    <w:lvl w:ilvl="5" w:tplc="0405001B" w:tentative="1">
      <w:start w:val="1"/>
      <w:numFmt w:val="lowerRoman"/>
      <w:lvlText w:val="%6."/>
      <w:lvlJc w:val="right"/>
      <w:pPr>
        <w:ind w:left="3812" w:hanging="180"/>
      </w:pPr>
    </w:lvl>
    <w:lvl w:ilvl="6" w:tplc="0405000F" w:tentative="1">
      <w:start w:val="1"/>
      <w:numFmt w:val="decimal"/>
      <w:lvlText w:val="%7."/>
      <w:lvlJc w:val="left"/>
      <w:pPr>
        <w:ind w:left="4532" w:hanging="360"/>
      </w:pPr>
    </w:lvl>
    <w:lvl w:ilvl="7" w:tplc="04050019" w:tentative="1">
      <w:start w:val="1"/>
      <w:numFmt w:val="lowerLetter"/>
      <w:lvlText w:val="%8."/>
      <w:lvlJc w:val="left"/>
      <w:pPr>
        <w:ind w:left="5252" w:hanging="360"/>
      </w:pPr>
    </w:lvl>
    <w:lvl w:ilvl="8" w:tplc="0405001B" w:tentative="1">
      <w:start w:val="1"/>
      <w:numFmt w:val="lowerRoman"/>
      <w:lvlText w:val="%9."/>
      <w:lvlJc w:val="right"/>
      <w:pPr>
        <w:ind w:left="5972" w:hanging="180"/>
      </w:pPr>
    </w:lvl>
  </w:abstractNum>
  <w:abstractNum w:abstractNumId="23">
    <w:nsid w:val="428E0569"/>
    <w:multiLevelType w:val="hybridMultilevel"/>
    <w:tmpl w:val="94449E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2632FB"/>
    <w:multiLevelType w:val="hybridMultilevel"/>
    <w:tmpl w:val="CA3AB02C"/>
    <w:lvl w:ilvl="0" w:tplc="28F81CD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CE7A50"/>
    <w:multiLevelType w:val="hybridMultilevel"/>
    <w:tmpl w:val="707A9686"/>
    <w:lvl w:ilvl="0" w:tplc="2A0A20F6">
      <w:start w:val="1"/>
      <w:numFmt w:val="decimal"/>
      <w:lvlText w:val="%1)"/>
      <w:lvlJc w:val="left"/>
      <w:pPr>
        <w:ind w:left="-207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9"/>
  </w:num>
  <w:num w:numId="13">
    <w:abstractNumId w:val="25"/>
  </w:num>
  <w:num w:numId="14">
    <w:abstractNumId w:val="10"/>
  </w:num>
  <w:num w:numId="15">
    <w:abstractNumId w:val="12"/>
  </w:num>
  <w:num w:numId="16">
    <w:abstractNumId w:val="11"/>
  </w:num>
  <w:num w:numId="17">
    <w:abstractNumId w:val="21"/>
  </w:num>
  <w:num w:numId="18">
    <w:abstractNumId w:val="23"/>
  </w:num>
  <w:num w:numId="19">
    <w:abstractNumId w:val="26"/>
  </w:num>
  <w:num w:numId="20">
    <w:abstractNumId w:val="17"/>
  </w:num>
  <w:num w:numId="21">
    <w:abstractNumId w:val="22"/>
  </w:num>
  <w:num w:numId="22">
    <w:abstractNumId w:val="14"/>
  </w:num>
  <w:num w:numId="23">
    <w:abstractNumId w:val="15"/>
  </w:num>
  <w:num w:numId="24">
    <w:abstractNumId w:val="27"/>
  </w:num>
  <w:num w:numId="25">
    <w:abstractNumId w:val="18"/>
  </w:num>
  <w:num w:numId="26">
    <w:abstractNumId w:val="16"/>
  </w:num>
  <w:num w:numId="27">
    <w:abstractNumId w:val="20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attachedTemplate r:id="rId1"/>
  <w:stylePaneFormatFilter w:val="1001"/>
  <w:stylePaneSortMethod w:val="0004"/>
  <w:doNotTrackMoves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6146">
      <o:colormru v:ext="edit" colors="#ecf4dd,#eaecee,#fcec0a,#fcecdb,#f1daf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6382"/>
    <w:rsid w:val="0000209D"/>
    <w:rsid w:val="00004721"/>
    <w:rsid w:val="00004896"/>
    <w:rsid w:val="00004D5A"/>
    <w:rsid w:val="000056D5"/>
    <w:rsid w:val="0000767A"/>
    <w:rsid w:val="00010702"/>
    <w:rsid w:val="000234D6"/>
    <w:rsid w:val="00023D29"/>
    <w:rsid w:val="00026389"/>
    <w:rsid w:val="00031AE0"/>
    <w:rsid w:val="000322EF"/>
    <w:rsid w:val="00033FCD"/>
    <w:rsid w:val="00041CEC"/>
    <w:rsid w:val="00044667"/>
    <w:rsid w:val="0004694F"/>
    <w:rsid w:val="000522E4"/>
    <w:rsid w:val="00054B4E"/>
    <w:rsid w:val="000610E1"/>
    <w:rsid w:val="00062EC5"/>
    <w:rsid w:val="00062F22"/>
    <w:rsid w:val="00064869"/>
    <w:rsid w:val="000712B3"/>
    <w:rsid w:val="0008263E"/>
    <w:rsid w:val="00082C19"/>
    <w:rsid w:val="00085395"/>
    <w:rsid w:val="00087569"/>
    <w:rsid w:val="00087634"/>
    <w:rsid w:val="00087F2B"/>
    <w:rsid w:val="000974D1"/>
    <w:rsid w:val="0009799E"/>
    <w:rsid w:val="000A1183"/>
    <w:rsid w:val="000A256D"/>
    <w:rsid w:val="000A3A2C"/>
    <w:rsid w:val="000A5BF9"/>
    <w:rsid w:val="000C3408"/>
    <w:rsid w:val="000C6AFD"/>
    <w:rsid w:val="000C7FDC"/>
    <w:rsid w:val="000D418C"/>
    <w:rsid w:val="000D5637"/>
    <w:rsid w:val="000E48B4"/>
    <w:rsid w:val="000E6FBD"/>
    <w:rsid w:val="00100F5C"/>
    <w:rsid w:val="00104C4C"/>
    <w:rsid w:val="00107E8D"/>
    <w:rsid w:val="001205D8"/>
    <w:rsid w:val="0012192F"/>
    <w:rsid w:val="00122C5F"/>
    <w:rsid w:val="00125D69"/>
    <w:rsid w:val="001328C6"/>
    <w:rsid w:val="001405FA"/>
    <w:rsid w:val="001425C3"/>
    <w:rsid w:val="0016169F"/>
    <w:rsid w:val="0016256B"/>
    <w:rsid w:val="001630AD"/>
    <w:rsid w:val="00163793"/>
    <w:rsid w:val="001669D2"/>
    <w:rsid w:val="001706D6"/>
    <w:rsid w:val="001714F2"/>
    <w:rsid w:val="00176E42"/>
    <w:rsid w:val="0017712F"/>
    <w:rsid w:val="00184B08"/>
    <w:rsid w:val="00185010"/>
    <w:rsid w:val="00186071"/>
    <w:rsid w:val="001A552F"/>
    <w:rsid w:val="001B2CA9"/>
    <w:rsid w:val="001B3110"/>
    <w:rsid w:val="001B4729"/>
    <w:rsid w:val="001B6C09"/>
    <w:rsid w:val="001C04F5"/>
    <w:rsid w:val="001C05CD"/>
    <w:rsid w:val="001C06B8"/>
    <w:rsid w:val="001C795A"/>
    <w:rsid w:val="001D68B2"/>
    <w:rsid w:val="001F0986"/>
    <w:rsid w:val="001F4597"/>
    <w:rsid w:val="00207D23"/>
    <w:rsid w:val="002118B9"/>
    <w:rsid w:val="0021685C"/>
    <w:rsid w:val="00216B43"/>
    <w:rsid w:val="00217C5B"/>
    <w:rsid w:val="0022139E"/>
    <w:rsid w:val="00224971"/>
    <w:rsid w:val="002252E0"/>
    <w:rsid w:val="002255F6"/>
    <w:rsid w:val="002269AB"/>
    <w:rsid w:val="00227850"/>
    <w:rsid w:val="00227A53"/>
    <w:rsid w:val="00230C6E"/>
    <w:rsid w:val="002315E3"/>
    <w:rsid w:val="00236443"/>
    <w:rsid w:val="002405CB"/>
    <w:rsid w:val="002436BA"/>
    <w:rsid w:val="00244A15"/>
    <w:rsid w:val="00247319"/>
    <w:rsid w:val="0024799E"/>
    <w:rsid w:val="00253C0F"/>
    <w:rsid w:val="00266532"/>
    <w:rsid w:val="00271465"/>
    <w:rsid w:val="00275A70"/>
    <w:rsid w:val="00285412"/>
    <w:rsid w:val="002861DF"/>
    <w:rsid w:val="0028655A"/>
    <w:rsid w:val="002A00BE"/>
    <w:rsid w:val="002A16D4"/>
    <w:rsid w:val="002A230C"/>
    <w:rsid w:val="002C43BD"/>
    <w:rsid w:val="002D0E59"/>
    <w:rsid w:val="002E02A1"/>
    <w:rsid w:val="002E4E4C"/>
    <w:rsid w:val="002E6C5B"/>
    <w:rsid w:val="00302A92"/>
    <w:rsid w:val="00304771"/>
    <w:rsid w:val="003052D4"/>
    <w:rsid w:val="00306C5B"/>
    <w:rsid w:val="00311229"/>
    <w:rsid w:val="003209D6"/>
    <w:rsid w:val="00321924"/>
    <w:rsid w:val="0032656E"/>
    <w:rsid w:val="00332190"/>
    <w:rsid w:val="00344668"/>
    <w:rsid w:val="003462D9"/>
    <w:rsid w:val="00360C86"/>
    <w:rsid w:val="0036184D"/>
    <w:rsid w:val="003657F3"/>
    <w:rsid w:val="00367EFB"/>
    <w:rsid w:val="003749C0"/>
    <w:rsid w:val="003818DC"/>
    <w:rsid w:val="0038246B"/>
    <w:rsid w:val="00384327"/>
    <w:rsid w:val="00385D98"/>
    <w:rsid w:val="003A2B4D"/>
    <w:rsid w:val="003A3673"/>
    <w:rsid w:val="003A478C"/>
    <w:rsid w:val="003A5525"/>
    <w:rsid w:val="003A6B38"/>
    <w:rsid w:val="003B3C90"/>
    <w:rsid w:val="003B4B72"/>
    <w:rsid w:val="003B5A32"/>
    <w:rsid w:val="003C3490"/>
    <w:rsid w:val="003C7B12"/>
    <w:rsid w:val="003D6920"/>
    <w:rsid w:val="003E4C91"/>
    <w:rsid w:val="003F313C"/>
    <w:rsid w:val="003F4B2C"/>
    <w:rsid w:val="003F551C"/>
    <w:rsid w:val="003F7D23"/>
    <w:rsid w:val="0040293A"/>
    <w:rsid w:val="00407C13"/>
    <w:rsid w:val="00407D42"/>
    <w:rsid w:val="00410638"/>
    <w:rsid w:val="00432A58"/>
    <w:rsid w:val="00434617"/>
    <w:rsid w:val="00435C42"/>
    <w:rsid w:val="00440900"/>
    <w:rsid w:val="004441A0"/>
    <w:rsid w:val="004576AF"/>
    <w:rsid w:val="00460FB3"/>
    <w:rsid w:val="00476240"/>
    <w:rsid w:val="00476439"/>
    <w:rsid w:val="0047735C"/>
    <w:rsid w:val="004776BC"/>
    <w:rsid w:val="0048139F"/>
    <w:rsid w:val="00481E40"/>
    <w:rsid w:val="00484ECE"/>
    <w:rsid w:val="004900FF"/>
    <w:rsid w:val="004915CB"/>
    <w:rsid w:val="004924DC"/>
    <w:rsid w:val="004942B7"/>
    <w:rsid w:val="004A067D"/>
    <w:rsid w:val="004A14E4"/>
    <w:rsid w:val="004A3212"/>
    <w:rsid w:val="004A61C5"/>
    <w:rsid w:val="004A77DF"/>
    <w:rsid w:val="004B1417"/>
    <w:rsid w:val="004B55B7"/>
    <w:rsid w:val="004B6468"/>
    <w:rsid w:val="004B6594"/>
    <w:rsid w:val="004C0490"/>
    <w:rsid w:val="004C384C"/>
    <w:rsid w:val="004C3867"/>
    <w:rsid w:val="004C4CD0"/>
    <w:rsid w:val="004C70DC"/>
    <w:rsid w:val="004D0211"/>
    <w:rsid w:val="004D0794"/>
    <w:rsid w:val="004D7B74"/>
    <w:rsid w:val="004E414D"/>
    <w:rsid w:val="004F06F5"/>
    <w:rsid w:val="004F2578"/>
    <w:rsid w:val="004F33A0"/>
    <w:rsid w:val="004F69CE"/>
    <w:rsid w:val="00500A8A"/>
    <w:rsid w:val="00503E39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324C"/>
    <w:rsid w:val="00534A28"/>
    <w:rsid w:val="00541508"/>
    <w:rsid w:val="00544C52"/>
    <w:rsid w:val="00546B1B"/>
    <w:rsid w:val="0055599F"/>
    <w:rsid w:val="00556D68"/>
    <w:rsid w:val="00557456"/>
    <w:rsid w:val="005647BF"/>
    <w:rsid w:val="005733B9"/>
    <w:rsid w:val="0057364B"/>
    <w:rsid w:val="00574773"/>
    <w:rsid w:val="0057704F"/>
    <w:rsid w:val="00583FFD"/>
    <w:rsid w:val="00584309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C7D37"/>
    <w:rsid w:val="005D38C8"/>
    <w:rsid w:val="005D5802"/>
    <w:rsid w:val="005D7890"/>
    <w:rsid w:val="005E7C78"/>
    <w:rsid w:val="005F1BB0"/>
    <w:rsid w:val="005F3EB1"/>
    <w:rsid w:val="005F5469"/>
    <w:rsid w:val="005F5FA2"/>
    <w:rsid w:val="00600392"/>
    <w:rsid w:val="0060269C"/>
    <w:rsid w:val="00604307"/>
    <w:rsid w:val="0060487F"/>
    <w:rsid w:val="00604EAD"/>
    <w:rsid w:val="006104FB"/>
    <w:rsid w:val="00612A2F"/>
    <w:rsid w:val="00616E05"/>
    <w:rsid w:val="006214EF"/>
    <w:rsid w:val="00624093"/>
    <w:rsid w:val="006404A7"/>
    <w:rsid w:val="006451E4"/>
    <w:rsid w:val="00645B33"/>
    <w:rsid w:val="00646A76"/>
    <w:rsid w:val="006516CB"/>
    <w:rsid w:val="00652859"/>
    <w:rsid w:val="00657E87"/>
    <w:rsid w:val="00664803"/>
    <w:rsid w:val="00665BA4"/>
    <w:rsid w:val="00667AF2"/>
    <w:rsid w:val="006710C9"/>
    <w:rsid w:val="00674D89"/>
    <w:rsid w:val="00675E37"/>
    <w:rsid w:val="00677D30"/>
    <w:rsid w:val="0068174E"/>
    <w:rsid w:val="00681DCE"/>
    <w:rsid w:val="0068260E"/>
    <w:rsid w:val="00695BEF"/>
    <w:rsid w:val="006977F6"/>
    <w:rsid w:val="00697A13"/>
    <w:rsid w:val="006A0277"/>
    <w:rsid w:val="006A109C"/>
    <w:rsid w:val="006B20E5"/>
    <w:rsid w:val="006B344A"/>
    <w:rsid w:val="006B78D8"/>
    <w:rsid w:val="006B7B66"/>
    <w:rsid w:val="006C113F"/>
    <w:rsid w:val="006C123E"/>
    <w:rsid w:val="006C56D4"/>
    <w:rsid w:val="006C6924"/>
    <w:rsid w:val="006C7CA6"/>
    <w:rsid w:val="006D3E8A"/>
    <w:rsid w:val="006D61F6"/>
    <w:rsid w:val="006E279A"/>
    <w:rsid w:val="006E313B"/>
    <w:rsid w:val="006E4CC9"/>
    <w:rsid w:val="006F3860"/>
    <w:rsid w:val="006F41CA"/>
    <w:rsid w:val="006F5416"/>
    <w:rsid w:val="006F7137"/>
    <w:rsid w:val="00706AD4"/>
    <w:rsid w:val="007140BE"/>
    <w:rsid w:val="00715C9D"/>
    <w:rsid w:val="007211F5"/>
    <w:rsid w:val="00722C25"/>
    <w:rsid w:val="00725BB5"/>
    <w:rsid w:val="00730AE8"/>
    <w:rsid w:val="00741493"/>
    <w:rsid w:val="00752180"/>
    <w:rsid w:val="00755202"/>
    <w:rsid w:val="00755D3A"/>
    <w:rsid w:val="007578D3"/>
    <w:rsid w:val="007609C6"/>
    <w:rsid w:val="0076175D"/>
    <w:rsid w:val="0076521E"/>
    <w:rsid w:val="007661E9"/>
    <w:rsid w:val="00776169"/>
    <w:rsid w:val="00776527"/>
    <w:rsid w:val="00780EF1"/>
    <w:rsid w:val="00790764"/>
    <w:rsid w:val="0079453C"/>
    <w:rsid w:val="00794677"/>
    <w:rsid w:val="00794C02"/>
    <w:rsid w:val="007A0F41"/>
    <w:rsid w:val="007B57DF"/>
    <w:rsid w:val="007B6689"/>
    <w:rsid w:val="007B7C7D"/>
    <w:rsid w:val="007D40DF"/>
    <w:rsid w:val="007E667A"/>
    <w:rsid w:val="007E7E61"/>
    <w:rsid w:val="007F0845"/>
    <w:rsid w:val="007F4399"/>
    <w:rsid w:val="007F4532"/>
    <w:rsid w:val="00807C82"/>
    <w:rsid w:val="00816905"/>
    <w:rsid w:val="00821FF6"/>
    <w:rsid w:val="00825C4D"/>
    <w:rsid w:val="0083143E"/>
    <w:rsid w:val="00831CDE"/>
    <w:rsid w:val="00834304"/>
    <w:rsid w:val="00834FAA"/>
    <w:rsid w:val="00836086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701E4"/>
    <w:rsid w:val="00875A32"/>
    <w:rsid w:val="00876086"/>
    <w:rsid w:val="00882FF9"/>
    <w:rsid w:val="008873D4"/>
    <w:rsid w:val="00893E85"/>
    <w:rsid w:val="00894031"/>
    <w:rsid w:val="008B7C02"/>
    <w:rsid w:val="008B7D2B"/>
    <w:rsid w:val="008C0049"/>
    <w:rsid w:val="008C0E88"/>
    <w:rsid w:val="008C684C"/>
    <w:rsid w:val="008D1E6A"/>
    <w:rsid w:val="008D2567"/>
    <w:rsid w:val="008D2A16"/>
    <w:rsid w:val="008D6516"/>
    <w:rsid w:val="008E2C57"/>
    <w:rsid w:val="008E31FF"/>
    <w:rsid w:val="008E6F06"/>
    <w:rsid w:val="008F029B"/>
    <w:rsid w:val="008F1841"/>
    <w:rsid w:val="008F3FC9"/>
    <w:rsid w:val="008F585B"/>
    <w:rsid w:val="008F7AD4"/>
    <w:rsid w:val="009003A8"/>
    <w:rsid w:val="00901FF2"/>
    <w:rsid w:val="00902500"/>
    <w:rsid w:val="00902EFF"/>
    <w:rsid w:val="00906401"/>
    <w:rsid w:val="0091155E"/>
    <w:rsid w:val="00912A92"/>
    <w:rsid w:val="0091728D"/>
    <w:rsid w:val="0092180B"/>
    <w:rsid w:val="00921E78"/>
    <w:rsid w:val="00921F14"/>
    <w:rsid w:val="00924AC8"/>
    <w:rsid w:val="0092597A"/>
    <w:rsid w:val="00932443"/>
    <w:rsid w:val="00937AE2"/>
    <w:rsid w:val="0094427A"/>
    <w:rsid w:val="009446EA"/>
    <w:rsid w:val="00944A3B"/>
    <w:rsid w:val="00947A2C"/>
    <w:rsid w:val="00947ADA"/>
    <w:rsid w:val="00954DD8"/>
    <w:rsid w:val="00963BD2"/>
    <w:rsid w:val="00963C66"/>
    <w:rsid w:val="00974923"/>
    <w:rsid w:val="00975D76"/>
    <w:rsid w:val="0097636A"/>
    <w:rsid w:val="00980D3D"/>
    <w:rsid w:val="009826B4"/>
    <w:rsid w:val="00987A30"/>
    <w:rsid w:val="009908DA"/>
    <w:rsid w:val="00992CF3"/>
    <w:rsid w:val="009968D6"/>
    <w:rsid w:val="009A1CAB"/>
    <w:rsid w:val="009A60D1"/>
    <w:rsid w:val="009B6FD3"/>
    <w:rsid w:val="009C1750"/>
    <w:rsid w:val="009C2E29"/>
    <w:rsid w:val="009C554B"/>
    <w:rsid w:val="009C719E"/>
    <w:rsid w:val="009D3ACD"/>
    <w:rsid w:val="009D3F47"/>
    <w:rsid w:val="009E5273"/>
    <w:rsid w:val="009E5DDB"/>
    <w:rsid w:val="009F4CA7"/>
    <w:rsid w:val="00A0058F"/>
    <w:rsid w:val="00A0370B"/>
    <w:rsid w:val="00A04B0F"/>
    <w:rsid w:val="00A10D66"/>
    <w:rsid w:val="00A125E5"/>
    <w:rsid w:val="00A12C6B"/>
    <w:rsid w:val="00A14114"/>
    <w:rsid w:val="00A16413"/>
    <w:rsid w:val="00A23E43"/>
    <w:rsid w:val="00A30F65"/>
    <w:rsid w:val="00A344E4"/>
    <w:rsid w:val="00A40930"/>
    <w:rsid w:val="00A418BC"/>
    <w:rsid w:val="00A46DE0"/>
    <w:rsid w:val="00A50D73"/>
    <w:rsid w:val="00A52CAD"/>
    <w:rsid w:val="00A53FC7"/>
    <w:rsid w:val="00A62CE1"/>
    <w:rsid w:val="00A6741E"/>
    <w:rsid w:val="00A75E40"/>
    <w:rsid w:val="00A77D1D"/>
    <w:rsid w:val="00A857C0"/>
    <w:rsid w:val="00A97EFA"/>
    <w:rsid w:val="00AA015E"/>
    <w:rsid w:val="00AA2996"/>
    <w:rsid w:val="00AA52BF"/>
    <w:rsid w:val="00AA559A"/>
    <w:rsid w:val="00AB2AF1"/>
    <w:rsid w:val="00AD0057"/>
    <w:rsid w:val="00AD306C"/>
    <w:rsid w:val="00AE09B3"/>
    <w:rsid w:val="00AE1A83"/>
    <w:rsid w:val="00AE1CDC"/>
    <w:rsid w:val="00AE670B"/>
    <w:rsid w:val="00AF6470"/>
    <w:rsid w:val="00AF7F4A"/>
    <w:rsid w:val="00B00913"/>
    <w:rsid w:val="00B01593"/>
    <w:rsid w:val="00B0245A"/>
    <w:rsid w:val="00B10A4D"/>
    <w:rsid w:val="00B1159B"/>
    <w:rsid w:val="00B1557F"/>
    <w:rsid w:val="00B15659"/>
    <w:rsid w:val="00B15AD1"/>
    <w:rsid w:val="00B17E71"/>
    <w:rsid w:val="00B17FDE"/>
    <w:rsid w:val="00B21295"/>
    <w:rsid w:val="00B2379C"/>
    <w:rsid w:val="00B261B7"/>
    <w:rsid w:val="00B2687D"/>
    <w:rsid w:val="00B307F6"/>
    <w:rsid w:val="00B32DDB"/>
    <w:rsid w:val="00B34528"/>
    <w:rsid w:val="00B402FC"/>
    <w:rsid w:val="00B405D1"/>
    <w:rsid w:val="00B41E17"/>
    <w:rsid w:val="00B46604"/>
    <w:rsid w:val="00B530CD"/>
    <w:rsid w:val="00B55F5E"/>
    <w:rsid w:val="00B5752E"/>
    <w:rsid w:val="00B63A11"/>
    <w:rsid w:val="00B64C24"/>
    <w:rsid w:val="00B6608F"/>
    <w:rsid w:val="00B66950"/>
    <w:rsid w:val="00B679FB"/>
    <w:rsid w:val="00B76D1E"/>
    <w:rsid w:val="00B80EC6"/>
    <w:rsid w:val="00B8513E"/>
    <w:rsid w:val="00B86977"/>
    <w:rsid w:val="00B91411"/>
    <w:rsid w:val="00B92583"/>
    <w:rsid w:val="00B92D1D"/>
    <w:rsid w:val="00B938C5"/>
    <w:rsid w:val="00B95940"/>
    <w:rsid w:val="00BB46F3"/>
    <w:rsid w:val="00BB4CB1"/>
    <w:rsid w:val="00BB4F98"/>
    <w:rsid w:val="00BC7154"/>
    <w:rsid w:val="00BD366B"/>
    <w:rsid w:val="00BD6D50"/>
    <w:rsid w:val="00BE18B9"/>
    <w:rsid w:val="00BE2495"/>
    <w:rsid w:val="00BE7698"/>
    <w:rsid w:val="00BF1578"/>
    <w:rsid w:val="00C02D1D"/>
    <w:rsid w:val="00C21F94"/>
    <w:rsid w:val="00C22E9E"/>
    <w:rsid w:val="00C27913"/>
    <w:rsid w:val="00C27ECC"/>
    <w:rsid w:val="00C33B68"/>
    <w:rsid w:val="00C36A79"/>
    <w:rsid w:val="00C405D4"/>
    <w:rsid w:val="00C4513B"/>
    <w:rsid w:val="00C54697"/>
    <w:rsid w:val="00C73885"/>
    <w:rsid w:val="00C747B1"/>
    <w:rsid w:val="00C82191"/>
    <w:rsid w:val="00C8600F"/>
    <w:rsid w:val="00C90CF4"/>
    <w:rsid w:val="00C92EB6"/>
    <w:rsid w:val="00C93389"/>
    <w:rsid w:val="00C94A55"/>
    <w:rsid w:val="00CA1BEC"/>
    <w:rsid w:val="00CB2C21"/>
    <w:rsid w:val="00CB3041"/>
    <w:rsid w:val="00CB489F"/>
    <w:rsid w:val="00CB4930"/>
    <w:rsid w:val="00CC2E7D"/>
    <w:rsid w:val="00CD10A5"/>
    <w:rsid w:val="00CD2076"/>
    <w:rsid w:val="00CD3593"/>
    <w:rsid w:val="00CD67B6"/>
    <w:rsid w:val="00CE08A5"/>
    <w:rsid w:val="00CE670B"/>
    <w:rsid w:val="00CF51EC"/>
    <w:rsid w:val="00CF73AE"/>
    <w:rsid w:val="00D040DD"/>
    <w:rsid w:val="00D059A6"/>
    <w:rsid w:val="00D13986"/>
    <w:rsid w:val="00D14FA7"/>
    <w:rsid w:val="00D157AD"/>
    <w:rsid w:val="00D16837"/>
    <w:rsid w:val="00D22DB3"/>
    <w:rsid w:val="00D235B7"/>
    <w:rsid w:val="00D2598B"/>
    <w:rsid w:val="00D25F28"/>
    <w:rsid w:val="00D27973"/>
    <w:rsid w:val="00D302C9"/>
    <w:rsid w:val="00D50F46"/>
    <w:rsid w:val="00D66223"/>
    <w:rsid w:val="00D7626D"/>
    <w:rsid w:val="00D8084C"/>
    <w:rsid w:val="00D83178"/>
    <w:rsid w:val="00D8415C"/>
    <w:rsid w:val="00D90076"/>
    <w:rsid w:val="00D9786F"/>
    <w:rsid w:val="00DA3849"/>
    <w:rsid w:val="00DA7C0C"/>
    <w:rsid w:val="00DB2EC8"/>
    <w:rsid w:val="00DB6382"/>
    <w:rsid w:val="00DC2F2F"/>
    <w:rsid w:val="00DC5B3B"/>
    <w:rsid w:val="00DD129F"/>
    <w:rsid w:val="00DE2F64"/>
    <w:rsid w:val="00DF1EE5"/>
    <w:rsid w:val="00DF42FF"/>
    <w:rsid w:val="00DF5C19"/>
    <w:rsid w:val="00E01C0E"/>
    <w:rsid w:val="00E03F9A"/>
    <w:rsid w:val="00E04694"/>
    <w:rsid w:val="00E12B1E"/>
    <w:rsid w:val="00E15B1F"/>
    <w:rsid w:val="00E16AE6"/>
    <w:rsid w:val="00E17262"/>
    <w:rsid w:val="00E253A2"/>
    <w:rsid w:val="00E3067C"/>
    <w:rsid w:val="00E3309D"/>
    <w:rsid w:val="00E450D9"/>
    <w:rsid w:val="00E50156"/>
    <w:rsid w:val="00E506B2"/>
    <w:rsid w:val="00E53470"/>
    <w:rsid w:val="00E539F6"/>
    <w:rsid w:val="00E61ADE"/>
    <w:rsid w:val="00E6519D"/>
    <w:rsid w:val="00E67696"/>
    <w:rsid w:val="00E71A58"/>
    <w:rsid w:val="00E72A7A"/>
    <w:rsid w:val="00E75C94"/>
    <w:rsid w:val="00E8591F"/>
    <w:rsid w:val="00E90EA6"/>
    <w:rsid w:val="00E93820"/>
    <w:rsid w:val="00EA0C68"/>
    <w:rsid w:val="00EA2D0C"/>
    <w:rsid w:val="00EA32BC"/>
    <w:rsid w:val="00EB4511"/>
    <w:rsid w:val="00EC03D7"/>
    <w:rsid w:val="00EC42F4"/>
    <w:rsid w:val="00ED62C6"/>
    <w:rsid w:val="00ED64C1"/>
    <w:rsid w:val="00EE3446"/>
    <w:rsid w:val="00EE3E78"/>
    <w:rsid w:val="00EE4B1B"/>
    <w:rsid w:val="00EE6FF8"/>
    <w:rsid w:val="00EF150D"/>
    <w:rsid w:val="00EF1710"/>
    <w:rsid w:val="00EF1F5A"/>
    <w:rsid w:val="00EF47BF"/>
    <w:rsid w:val="00F04811"/>
    <w:rsid w:val="00F0488C"/>
    <w:rsid w:val="00F05F5E"/>
    <w:rsid w:val="00F10F11"/>
    <w:rsid w:val="00F1429D"/>
    <w:rsid w:val="00F1498D"/>
    <w:rsid w:val="00F15AAA"/>
    <w:rsid w:val="00F15BEF"/>
    <w:rsid w:val="00F17074"/>
    <w:rsid w:val="00F24407"/>
    <w:rsid w:val="00F24FAA"/>
    <w:rsid w:val="00F3364D"/>
    <w:rsid w:val="00F40D51"/>
    <w:rsid w:val="00F437CC"/>
    <w:rsid w:val="00F47067"/>
    <w:rsid w:val="00F51E97"/>
    <w:rsid w:val="00F525EB"/>
    <w:rsid w:val="00F63DDE"/>
    <w:rsid w:val="00F63FB7"/>
    <w:rsid w:val="00F649D2"/>
    <w:rsid w:val="00F6602B"/>
    <w:rsid w:val="00F7260E"/>
    <w:rsid w:val="00F73A0C"/>
    <w:rsid w:val="00F756DB"/>
    <w:rsid w:val="00F85066"/>
    <w:rsid w:val="00F85E8C"/>
    <w:rsid w:val="00F91A78"/>
    <w:rsid w:val="00F92349"/>
    <w:rsid w:val="00F9539D"/>
    <w:rsid w:val="00FA5D25"/>
    <w:rsid w:val="00FA5D4D"/>
    <w:rsid w:val="00FA7A35"/>
    <w:rsid w:val="00FB02A7"/>
    <w:rsid w:val="00FB0EE2"/>
    <w:rsid w:val="00FB2021"/>
    <w:rsid w:val="00FB542E"/>
    <w:rsid w:val="00FC0E5F"/>
    <w:rsid w:val="00FC1A95"/>
    <w:rsid w:val="00FC2440"/>
    <w:rsid w:val="00FC56DE"/>
    <w:rsid w:val="00FC684B"/>
    <w:rsid w:val="00FC73E3"/>
    <w:rsid w:val="00FD2298"/>
    <w:rsid w:val="00FD3265"/>
    <w:rsid w:val="00FE2F78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semiHidden="0" w:unhideWhenUsed="0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19" w:unhideWhenUsed="0" w:qFormat="1"/>
    <w:lsdException w:name="Intense Emphasis" w:semiHidden="0" w:uiPriority="66" w:unhideWhenUsed="0"/>
    <w:lsdException w:name="Subtle Reference" w:semiHidden="0" w:uiPriority="67" w:unhideWhenUsed="0"/>
    <w:lsdException w:name="Intense Reference" w:semiHidden="0" w:uiPriority="68" w:unhideWhenUsed="0"/>
    <w:lsdException w:name="Book Title" w:semiHidden="0" w:uiPriority="69" w:unhideWhenUsed="0"/>
    <w:lsdException w:name="Bibliography" w:semiHidden="0" w:uiPriority="70" w:unhideWhenUsed="0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4900FF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544C52"/>
    <w:pPr>
      <w:keepNext/>
      <w:keepLines/>
      <w:spacing w:before="240" w:after="240"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900FF"/>
    <w:rPr>
      <w:rFonts w:ascii="Arial" w:eastAsia="MS Gothic" w:hAnsi="Arial"/>
      <w:b/>
      <w:bCs/>
      <w:color w:val="C00000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544C52"/>
    <w:rPr>
      <w:rFonts w:ascii="Arial" w:eastAsia="MS Gothic" w:hAnsi="Arial"/>
      <w:b/>
      <w:bCs/>
      <w:color w:val="BC091B"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  <w:lang w:bidi="ar-SA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 w:bidi="ar-SA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/>
      <w:noProof/>
      <w:sz w:val="16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/>
      <w:color w:val="000000"/>
      <w:szCs w:val="24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/>
      <w:color w:val="000000"/>
      <w:szCs w:val="24"/>
      <w:lang w:bidi="ar-SA"/>
    </w:rPr>
  </w:style>
  <w:style w:type="paragraph" w:styleId="Obsah1">
    <w:name w:val="toc 1"/>
    <w:basedOn w:val="Obsahpoloky"/>
    <w:next w:val="Obsahpoloky"/>
    <w:autoRedefine/>
    <w:uiPriority w:val="39"/>
    <w:unhideWhenUsed/>
    <w:rsid w:val="00F9539D"/>
    <w:pPr>
      <w:tabs>
        <w:tab w:val="clear" w:pos="9639"/>
      </w:tabs>
      <w:spacing w:before="240" w:after="120"/>
    </w:pPr>
    <w:rPr>
      <w:rFonts w:ascii="Calibri" w:hAnsi="Calibri"/>
      <w:b/>
      <w:bCs/>
      <w:szCs w:val="20"/>
    </w:rPr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  <w:lang w:bidi="ar-SA"/>
    </w:rPr>
  </w:style>
  <w:style w:type="paragraph" w:styleId="Podtitul">
    <w:name w:val="Subtitle"/>
    <w:link w:val="PodtitulChar"/>
    <w:uiPriority w:val="11"/>
    <w:qFormat/>
    <w:rsid w:val="004900FF"/>
    <w:pPr>
      <w:spacing w:line="288" w:lineRule="auto"/>
    </w:pPr>
    <w:rPr>
      <w:rFonts w:ascii="Arial" w:eastAsia="Times New Roman" w:hAnsi="Arial"/>
      <w:b/>
      <w:color w:val="BC091B"/>
      <w:sz w:val="28"/>
      <w:szCs w:val="24"/>
    </w:rPr>
  </w:style>
  <w:style w:type="character" w:customStyle="1" w:styleId="PodtitulChar">
    <w:name w:val="Podtitul Char"/>
    <w:link w:val="Podtitul"/>
    <w:uiPriority w:val="11"/>
    <w:rsid w:val="004900FF"/>
    <w:rPr>
      <w:rFonts w:ascii="Arial" w:eastAsia="Times New Roman" w:hAnsi="Arial"/>
      <w:b/>
      <w:color w:val="BC091B"/>
      <w:sz w:val="28"/>
      <w:szCs w:val="24"/>
      <w:lang w:bidi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B6382"/>
    <w:pPr>
      <w:spacing w:before="480" w:after="0" w:line="276" w:lineRule="auto"/>
      <w:contextualSpacing w:val="0"/>
      <w:outlineLvl w:val="9"/>
    </w:pPr>
    <w:rPr>
      <w:rFonts w:ascii="Cambria" w:eastAsia="Times New Roman" w:hAnsi="Cambria"/>
      <w:color w:val="365F91"/>
      <w:sz w:val="28"/>
      <w:lang w:eastAsia="en-US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tabs>
        <w:tab w:val="clear" w:pos="9639"/>
      </w:tabs>
      <w:spacing w:before="120"/>
      <w:ind w:left="200"/>
    </w:pPr>
    <w:rPr>
      <w:rFonts w:ascii="Calibri" w:hAnsi="Calibri"/>
      <w:i/>
      <w:iCs/>
      <w:szCs w:val="20"/>
    </w:rPr>
  </w:style>
  <w:style w:type="paragraph" w:styleId="Obsah3">
    <w:name w:val="toc 3"/>
    <w:basedOn w:val="Obsahpoloky"/>
    <w:next w:val="Obsahpoloky"/>
    <w:autoRedefine/>
    <w:uiPriority w:val="39"/>
    <w:unhideWhenUsed/>
    <w:rsid w:val="008D2567"/>
    <w:pPr>
      <w:tabs>
        <w:tab w:val="clear" w:pos="9639"/>
        <w:tab w:val="right" w:leader="dot" w:pos="9628"/>
      </w:tabs>
      <w:ind w:left="426"/>
    </w:pPr>
    <w:rPr>
      <w:rFonts w:ascii="Calibri" w:hAnsi="Calibri"/>
      <w:szCs w:val="20"/>
    </w:r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tabs>
        <w:tab w:val="clear" w:pos="9639"/>
      </w:tabs>
      <w:ind w:left="600"/>
    </w:pPr>
    <w:rPr>
      <w:rFonts w:ascii="Calibri" w:hAnsi="Calibri"/>
      <w:szCs w:val="20"/>
    </w:rPr>
  </w:style>
  <w:style w:type="paragraph" w:styleId="Obsah5">
    <w:name w:val="toc 5"/>
    <w:basedOn w:val="Obsahpoloky"/>
    <w:next w:val="Obsahpoloky"/>
    <w:autoRedefine/>
    <w:uiPriority w:val="39"/>
    <w:unhideWhenUsed/>
    <w:rsid w:val="00FC1A95"/>
    <w:pPr>
      <w:tabs>
        <w:tab w:val="clear" w:pos="9639"/>
      </w:tabs>
      <w:ind w:left="800"/>
    </w:pPr>
    <w:rPr>
      <w:rFonts w:ascii="Calibri" w:hAnsi="Calibri"/>
      <w:szCs w:val="20"/>
    </w:rPr>
  </w:style>
  <w:style w:type="paragraph" w:styleId="Obsah6">
    <w:name w:val="toc 6"/>
    <w:basedOn w:val="Obsahpoloky"/>
    <w:next w:val="Obsahpoloky"/>
    <w:autoRedefine/>
    <w:uiPriority w:val="39"/>
    <w:unhideWhenUsed/>
    <w:rsid w:val="00FC1A95"/>
    <w:pPr>
      <w:tabs>
        <w:tab w:val="clear" w:pos="9639"/>
      </w:tabs>
      <w:ind w:left="1000"/>
    </w:pPr>
    <w:rPr>
      <w:rFonts w:ascii="Calibri" w:hAnsi="Calibri"/>
      <w:szCs w:val="20"/>
    </w:rPr>
  </w:style>
  <w:style w:type="paragraph" w:styleId="Obsah7">
    <w:name w:val="toc 7"/>
    <w:basedOn w:val="Obsahpoloky"/>
    <w:next w:val="Obsahpoloky"/>
    <w:autoRedefine/>
    <w:uiPriority w:val="39"/>
    <w:unhideWhenUsed/>
    <w:rsid w:val="00FC1A95"/>
    <w:pPr>
      <w:tabs>
        <w:tab w:val="clear" w:pos="9639"/>
      </w:tabs>
      <w:ind w:left="1200"/>
    </w:pPr>
    <w:rPr>
      <w:rFonts w:ascii="Calibri" w:hAnsi="Calibri"/>
      <w:szCs w:val="20"/>
    </w:rPr>
  </w:style>
  <w:style w:type="paragraph" w:styleId="Obsah8">
    <w:name w:val="toc 8"/>
    <w:basedOn w:val="Obsahpoloky"/>
    <w:next w:val="Obsahpoloky"/>
    <w:autoRedefine/>
    <w:uiPriority w:val="39"/>
    <w:unhideWhenUsed/>
    <w:rsid w:val="00FC1A95"/>
    <w:pPr>
      <w:tabs>
        <w:tab w:val="clear" w:pos="9639"/>
      </w:tabs>
      <w:ind w:left="1400"/>
    </w:pPr>
    <w:rPr>
      <w:rFonts w:ascii="Calibri" w:hAnsi="Calibri"/>
      <w:szCs w:val="20"/>
    </w:rPr>
  </w:style>
  <w:style w:type="paragraph" w:styleId="Obsah9">
    <w:name w:val="toc 9"/>
    <w:basedOn w:val="Obsahpoloky"/>
    <w:next w:val="Obsahpoloky"/>
    <w:autoRedefine/>
    <w:uiPriority w:val="39"/>
    <w:unhideWhenUsed/>
    <w:rsid w:val="00924AC8"/>
    <w:pPr>
      <w:tabs>
        <w:tab w:val="clear" w:pos="9639"/>
      </w:tabs>
      <w:ind w:left="1600"/>
    </w:pPr>
    <w:rPr>
      <w:rFonts w:ascii="Calibri" w:hAnsi="Calibri"/>
      <w:szCs w:val="20"/>
    </w:rPr>
  </w:style>
  <w:style w:type="table" w:styleId="Mkatabulky">
    <w:name w:val="Table Grid"/>
    <w:basedOn w:val="Normlntabulka"/>
    <w:uiPriority w:val="59"/>
    <w:rsid w:val="00EE6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87569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87569"/>
    <w:rPr>
      <w:rFonts w:ascii="Arial" w:eastAsia="Times New Roman" w:hAnsi="Arial"/>
    </w:rPr>
  </w:style>
  <w:style w:type="character" w:styleId="Znakapoznpodarou">
    <w:name w:val="footnote reference"/>
    <w:basedOn w:val="Standardnpsmoodstavce"/>
    <w:uiPriority w:val="99"/>
    <w:semiHidden/>
    <w:unhideWhenUsed/>
    <w:rsid w:val="00087569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112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1229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1229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12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1229"/>
    <w:rPr>
      <w:b/>
      <w:bCs/>
    </w:rPr>
  </w:style>
  <w:style w:type="paragraph" w:customStyle="1" w:styleId="Default">
    <w:name w:val="Default"/>
    <w:rsid w:val="00D841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F1707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17074"/>
    <w:rPr>
      <w:rFonts w:ascii="Arial" w:eastAsia="Times New Roman" w:hAnsi="Arial"/>
      <w:szCs w:val="24"/>
    </w:rPr>
  </w:style>
  <w:style w:type="paragraph" w:styleId="Seznamsodrkami2">
    <w:name w:val="List Bullet 2"/>
    <w:basedOn w:val="Normln"/>
    <w:autoRedefine/>
    <w:uiPriority w:val="99"/>
    <w:unhideWhenUsed/>
    <w:rsid w:val="00F17074"/>
    <w:pPr>
      <w:spacing w:after="0" w:line="24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basedOn w:val="Standardnpsmoodstavce"/>
    <w:rsid w:val="00B15AD1"/>
  </w:style>
  <w:style w:type="character" w:styleId="Zdraznnjemn">
    <w:name w:val="Subtle Emphasis"/>
    <w:basedOn w:val="Standardnpsmoodstavce"/>
    <w:uiPriority w:val="19"/>
    <w:qFormat/>
    <w:rsid w:val="00B15AD1"/>
    <w:rPr>
      <w:i/>
      <w:iCs/>
      <w:color w:val="404040"/>
    </w:rPr>
  </w:style>
  <w:style w:type="paragraph" w:styleId="Titulek">
    <w:name w:val="caption"/>
    <w:basedOn w:val="Normln"/>
    <w:next w:val="Normln"/>
    <w:uiPriority w:val="35"/>
    <w:unhideWhenUsed/>
    <w:qFormat/>
    <w:rsid w:val="001C06B8"/>
    <w:rPr>
      <w:b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istikakultury.cz/wp-content/uploads/2017/11/Vyhodnoceni-casove_rady-vysledku-SUK-za-leta-2010-15-14_9_2017_NormStr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ALO~1\AppData\Local\Temp\Publikace%20bar%20CZ_lide%20a%20spolecnost_2016-03-29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52DEC1-FC8B-49ED-BA2A-D9C4B5A15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CZ_lide a spolecnost_2016-03-29.dot</Template>
  <TotalTime>2</TotalTime>
  <Pages>2</Pages>
  <Words>899</Words>
  <Characters>5306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pubalova6594</dc:creator>
  <cp:lastModifiedBy>Milan Dedera</cp:lastModifiedBy>
  <cp:revision>4</cp:revision>
  <cp:lastPrinted>2019-05-28T10:25:00Z</cp:lastPrinted>
  <dcterms:created xsi:type="dcterms:W3CDTF">2019-05-28T12:15:00Z</dcterms:created>
  <dcterms:modified xsi:type="dcterms:W3CDTF">2019-05-28T12:20:00Z</dcterms:modified>
</cp:coreProperties>
</file>