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E4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9B2F28">
        <w:rPr>
          <w:rFonts w:ascii="Arial" w:hAnsi="Arial"/>
          <w:sz w:val="32"/>
        </w:rPr>
        <w:t>ří</w:t>
      </w:r>
      <w:r w:rsidR="00773693">
        <w:rPr>
          <w:rFonts w:ascii="Arial" w:hAnsi="Arial"/>
          <w:sz w:val="32"/>
        </w:rPr>
        <w:t>jnu</w:t>
      </w:r>
      <w:r>
        <w:rPr>
          <w:rFonts w:ascii="Arial" w:hAnsi="Arial"/>
          <w:sz w:val="32"/>
        </w:rPr>
        <w:t xml:space="preserve"> 201</w:t>
      </w:r>
      <w:r w:rsidR="0030021B">
        <w:rPr>
          <w:rFonts w:ascii="Arial" w:hAnsi="Arial"/>
          <w:sz w:val="32"/>
        </w:rPr>
        <w:t>4</w:t>
      </w:r>
    </w:p>
    <w:p w:rsidR="00D47C05" w:rsidRDefault="00D47C05">
      <w:pPr>
        <w:jc w:val="center"/>
        <w:rPr>
          <w:rFonts w:ascii="Arial" w:hAnsi="Arial"/>
          <w:sz w:val="32"/>
        </w:rPr>
      </w:pPr>
    </w:p>
    <w:p w:rsidR="005C6C3B" w:rsidRDefault="00D320BF" w:rsidP="008C751B">
      <w:pPr>
        <w:rPr>
          <w:rFonts w:ascii="Arial" w:hAnsi="Arial" w:cs="Arial"/>
          <w:b/>
          <w:sz w:val="20"/>
          <w:szCs w:val="20"/>
          <w:u w:val="single"/>
        </w:rPr>
      </w:pPr>
      <w:r w:rsidRPr="00D320BF">
        <w:rPr>
          <w:rFonts w:ascii="Arial" w:hAnsi="Arial" w:cs="Arial"/>
          <w:b/>
          <w:sz w:val="20"/>
          <w:szCs w:val="20"/>
          <w:u w:val="single"/>
        </w:rPr>
        <w:t>Meziměsíční porovnání:</w:t>
      </w:r>
    </w:p>
    <w:p w:rsidR="00D320BF" w:rsidRPr="00D320BF" w:rsidRDefault="00D320BF" w:rsidP="008C751B">
      <w:pPr>
        <w:rPr>
          <w:rFonts w:ascii="Arial" w:hAnsi="Arial" w:cs="Arial"/>
          <w:b/>
          <w:sz w:val="20"/>
          <w:szCs w:val="20"/>
          <w:u w:val="single"/>
        </w:rPr>
      </w:pPr>
    </w:p>
    <w:p w:rsidR="00D320BF" w:rsidRDefault="005C6C3B" w:rsidP="008C751B">
      <w:pPr>
        <w:rPr>
          <w:rFonts w:ascii="Arial" w:hAnsi="Arial" w:cs="Arial"/>
          <w:sz w:val="20"/>
          <w:szCs w:val="20"/>
        </w:rPr>
      </w:pPr>
      <w:r w:rsidRPr="005C6C3B">
        <w:rPr>
          <w:rFonts w:ascii="Arial" w:hAnsi="Arial" w:cs="Arial"/>
          <w:sz w:val="20"/>
          <w:szCs w:val="20"/>
        </w:rPr>
        <w:t xml:space="preserve">Ceny </w:t>
      </w:r>
      <w:r w:rsidRPr="005C6C3B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5C6C3B">
        <w:rPr>
          <w:rFonts w:ascii="Arial" w:hAnsi="Arial" w:cs="Arial"/>
          <w:sz w:val="20"/>
          <w:szCs w:val="20"/>
        </w:rPr>
        <w:t xml:space="preserve"> meziměsíčně klesly o 0,4 %.</w:t>
      </w:r>
    </w:p>
    <w:p w:rsidR="00D320BF" w:rsidRDefault="00D320BF" w:rsidP="008C751B">
      <w:pPr>
        <w:rPr>
          <w:rFonts w:ascii="Arial" w:hAnsi="Arial" w:cs="Arial"/>
          <w:sz w:val="20"/>
          <w:szCs w:val="20"/>
        </w:rPr>
      </w:pPr>
    </w:p>
    <w:p w:rsidR="00D320BF" w:rsidRDefault="00D320BF" w:rsidP="008C751B">
      <w:pPr>
        <w:rPr>
          <w:szCs w:val="20"/>
        </w:rPr>
      </w:pPr>
      <w:r w:rsidRPr="00D320BF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4in">
            <v:imagedata r:id="rId5" o:title=""/>
          </v:shape>
        </w:pict>
      </w:r>
    </w:p>
    <w:p w:rsidR="00D320BF" w:rsidRDefault="00D320BF" w:rsidP="008C751B">
      <w:pPr>
        <w:rPr>
          <w:rFonts w:ascii="Arial" w:hAnsi="Arial" w:cs="Arial"/>
          <w:sz w:val="20"/>
          <w:szCs w:val="20"/>
        </w:rPr>
      </w:pPr>
    </w:p>
    <w:p w:rsidR="00D320BF" w:rsidRDefault="005C6C3B" w:rsidP="008C751B">
      <w:pPr>
        <w:rPr>
          <w:rFonts w:ascii="Arial" w:hAnsi="Arial" w:cs="Arial"/>
          <w:sz w:val="20"/>
          <w:szCs w:val="20"/>
        </w:rPr>
      </w:pPr>
      <w:r w:rsidRPr="005C6C3B">
        <w:rPr>
          <w:rFonts w:ascii="Arial" w:hAnsi="Arial" w:cs="Arial"/>
          <w:sz w:val="20"/>
          <w:szCs w:val="20"/>
        </w:rPr>
        <w:t>Snížily se zejména ceny koksu a rafinovaných ropných produktů o 4,8 % a p</w:t>
      </w:r>
      <w:r w:rsidR="00D320BF">
        <w:rPr>
          <w:rFonts w:ascii="Arial" w:hAnsi="Arial" w:cs="Arial"/>
          <w:sz w:val="20"/>
          <w:szCs w:val="20"/>
        </w:rPr>
        <w:t>otravinářských výrobků o 0,9 %.</w:t>
      </w:r>
    </w:p>
    <w:p w:rsidR="00D320BF" w:rsidRDefault="00D320BF" w:rsidP="008C751B">
      <w:pPr>
        <w:rPr>
          <w:rFonts w:ascii="Arial" w:hAnsi="Arial" w:cs="Arial"/>
          <w:sz w:val="20"/>
          <w:szCs w:val="20"/>
        </w:rPr>
      </w:pPr>
    </w:p>
    <w:p w:rsidR="00D320BF" w:rsidRDefault="005C6C3B" w:rsidP="008C751B">
      <w:pPr>
        <w:rPr>
          <w:rFonts w:ascii="Arial" w:hAnsi="Arial" w:cs="Arial"/>
          <w:sz w:val="20"/>
          <w:szCs w:val="20"/>
        </w:rPr>
      </w:pPr>
      <w:r w:rsidRPr="005C6C3B">
        <w:rPr>
          <w:rFonts w:ascii="Arial" w:hAnsi="Arial" w:cs="Arial"/>
          <w:sz w:val="20"/>
          <w:szCs w:val="20"/>
        </w:rPr>
        <w:t>Z cen potravinářských výrobků významněji klesly ceny masa a masných výrobků o 1,3 % a mléčných výrobků o 1,7 %, zvýšily se pouze ceny pekařských, cukrářských a jiných moučných výrobků o 0,2 %.</w:t>
      </w:r>
    </w:p>
    <w:p w:rsidR="00D320BF" w:rsidRDefault="00D320BF" w:rsidP="008C751B">
      <w:pPr>
        <w:rPr>
          <w:rFonts w:ascii="Arial" w:hAnsi="Arial" w:cs="Arial"/>
          <w:sz w:val="20"/>
          <w:szCs w:val="20"/>
        </w:rPr>
      </w:pPr>
    </w:p>
    <w:p w:rsidR="008C751B" w:rsidRPr="005C6C3B" w:rsidRDefault="005C6C3B" w:rsidP="008C75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chemických látek byly nižší o 0,4 %.</w:t>
      </w:r>
      <w:r w:rsidR="00F533B8">
        <w:rPr>
          <w:rFonts w:ascii="Arial" w:hAnsi="Arial" w:cs="Arial"/>
          <w:sz w:val="20"/>
          <w:szCs w:val="20"/>
        </w:rPr>
        <w:t xml:space="preserve"> </w:t>
      </w:r>
      <w:r w:rsidRPr="005C6C3B">
        <w:rPr>
          <w:rFonts w:ascii="Arial" w:hAnsi="Arial" w:cs="Arial"/>
          <w:sz w:val="20"/>
          <w:szCs w:val="20"/>
        </w:rPr>
        <w:t>Vzrostly ceny elektřiny, plynu a páry o 0,1 %, dopravních prostředků a těžby a dobývání shodně o 0,2 %. </w:t>
      </w:r>
    </w:p>
    <w:p w:rsidR="00513D80" w:rsidRPr="002234D6" w:rsidRDefault="00AA0CC0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774F2D">
        <w:rPr>
          <w:rFonts w:ascii="Arial" w:hAnsi="Arial" w:cs="Arial"/>
          <w:sz w:val="20"/>
          <w:szCs w:val="20"/>
        </w:rPr>
        <w:tab/>
      </w:r>
      <w:r w:rsidR="00774F2D">
        <w:rPr>
          <w:rFonts w:ascii="Arial" w:hAnsi="Arial" w:cs="Arial"/>
          <w:sz w:val="20"/>
          <w:szCs w:val="20"/>
        </w:rPr>
        <w:tab/>
      </w:r>
    </w:p>
    <w:p w:rsidR="005937E4" w:rsidRDefault="005937E4" w:rsidP="00D320BF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5937E4" w:rsidRDefault="005937E4">
      <w:pPr>
        <w:rPr>
          <w:rFonts w:ascii="Arial" w:hAnsi="Arial" w:cs="Arial"/>
          <w:sz w:val="20"/>
        </w:rPr>
      </w:pPr>
    </w:p>
    <w:p w:rsidR="005617F2" w:rsidRDefault="00D320BF">
      <w:pPr>
        <w:jc w:val="both"/>
      </w:pPr>
      <w:r>
        <w:pict>
          <v:shape id="_x0000_i1025" type="#_x0000_t75" style="width:362.25pt;height:96.75pt">
            <v:imagedata r:id="rId6" o:title=""/>
          </v:shape>
        </w:pict>
      </w:r>
      <w:r w:rsidR="00D72030">
        <w:t xml:space="preserve">                   </w:t>
      </w:r>
    </w:p>
    <w:p w:rsidR="00122A60" w:rsidRDefault="00122A60">
      <w:pPr>
        <w:jc w:val="both"/>
      </w:pPr>
    </w:p>
    <w:p w:rsidR="008B24A9" w:rsidRDefault="008B24A9">
      <w:pPr>
        <w:jc w:val="both"/>
      </w:pPr>
    </w:p>
    <w:p w:rsidR="005C6C3B" w:rsidRDefault="005C6C3B">
      <w:pPr>
        <w:jc w:val="both"/>
      </w:pPr>
    </w:p>
    <w:p w:rsidR="00D320BF" w:rsidRDefault="00D320BF" w:rsidP="005C6C3B">
      <w:pPr>
        <w:rPr>
          <w:rFonts w:ascii="Arial" w:hAnsi="Arial" w:cs="Arial"/>
          <w:b/>
          <w:sz w:val="20"/>
          <w:szCs w:val="20"/>
          <w:u w:val="single"/>
        </w:rPr>
      </w:pPr>
    </w:p>
    <w:p w:rsidR="00D320BF" w:rsidRDefault="00D320BF" w:rsidP="005C6C3B">
      <w:pPr>
        <w:rPr>
          <w:rFonts w:ascii="Arial" w:hAnsi="Arial" w:cs="Arial"/>
          <w:b/>
          <w:sz w:val="20"/>
          <w:szCs w:val="20"/>
          <w:u w:val="single"/>
        </w:rPr>
      </w:pPr>
    </w:p>
    <w:p w:rsidR="00D320BF" w:rsidRDefault="00D320BF" w:rsidP="005C6C3B">
      <w:pPr>
        <w:rPr>
          <w:rFonts w:ascii="Arial" w:hAnsi="Arial" w:cs="Arial"/>
          <w:b/>
          <w:sz w:val="20"/>
          <w:szCs w:val="20"/>
          <w:u w:val="single"/>
        </w:rPr>
      </w:pPr>
    </w:p>
    <w:p w:rsidR="00D320BF" w:rsidRDefault="00D320BF" w:rsidP="005C6C3B">
      <w:pPr>
        <w:rPr>
          <w:rFonts w:ascii="Arial" w:hAnsi="Arial" w:cs="Arial"/>
          <w:b/>
          <w:sz w:val="20"/>
          <w:szCs w:val="20"/>
          <w:u w:val="single"/>
        </w:rPr>
      </w:pPr>
    </w:p>
    <w:p w:rsidR="00D320BF" w:rsidRDefault="00D320BF" w:rsidP="005C6C3B">
      <w:pPr>
        <w:rPr>
          <w:rFonts w:ascii="Arial" w:hAnsi="Arial" w:cs="Arial"/>
          <w:b/>
          <w:sz w:val="20"/>
          <w:szCs w:val="20"/>
          <w:u w:val="single"/>
        </w:rPr>
      </w:pPr>
      <w:r w:rsidRPr="00D320BF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srovnání:</w:t>
      </w:r>
    </w:p>
    <w:p w:rsidR="00D320BF" w:rsidRPr="00D320BF" w:rsidRDefault="00D320BF" w:rsidP="005C6C3B">
      <w:pPr>
        <w:rPr>
          <w:rFonts w:ascii="Arial" w:hAnsi="Arial" w:cs="Arial"/>
          <w:b/>
          <w:sz w:val="20"/>
          <w:szCs w:val="20"/>
          <w:u w:val="single"/>
        </w:rPr>
      </w:pPr>
    </w:p>
    <w:p w:rsidR="00D320BF" w:rsidRDefault="005C6C3B" w:rsidP="005C6C3B">
      <w:pPr>
        <w:rPr>
          <w:rFonts w:ascii="Arial" w:hAnsi="Arial" w:cs="Arial"/>
          <w:sz w:val="20"/>
          <w:szCs w:val="20"/>
        </w:rPr>
      </w:pPr>
      <w:r w:rsidRPr="005C6C3B">
        <w:rPr>
          <w:rFonts w:ascii="Arial" w:hAnsi="Arial" w:cs="Arial"/>
          <w:sz w:val="20"/>
          <w:szCs w:val="20"/>
        </w:rPr>
        <w:t xml:space="preserve">Ceny </w:t>
      </w:r>
      <w:r w:rsidRPr="005C6C3B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5C6C3B">
        <w:rPr>
          <w:rFonts w:ascii="Arial" w:hAnsi="Arial" w:cs="Arial"/>
          <w:sz w:val="20"/>
          <w:szCs w:val="20"/>
        </w:rPr>
        <w:t xml:space="preserve"> se meziročně snížily shodně jako v září o 0,3 %.</w:t>
      </w:r>
    </w:p>
    <w:p w:rsidR="00D320BF" w:rsidRDefault="00D320BF" w:rsidP="005C6C3B">
      <w:pPr>
        <w:rPr>
          <w:rFonts w:ascii="Arial" w:hAnsi="Arial" w:cs="Arial"/>
          <w:sz w:val="20"/>
          <w:szCs w:val="20"/>
        </w:rPr>
      </w:pPr>
    </w:p>
    <w:p w:rsidR="00D320BF" w:rsidRDefault="00D320BF" w:rsidP="005C6C3B">
      <w:pPr>
        <w:rPr>
          <w:szCs w:val="20"/>
        </w:rPr>
      </w:pPr>
      <w:r w:rsidRPr="00D320BF">
        <w:rPr>
          <w:szCs w:val="20"/>
        </w:rPr>
        <w:pict>
          <v:shape id="_x0000_i1028" type="#_x0000_t75" style="width:453.75pt;height:185.25pt">
            <v:imagedata r:id="rId7" o:title=""/>
          </v:shape>
        </w:pict>
      </w:r>
    </w:p>
    <w:p w:rsidR="00D320BF" w:rsidRDefault="00D320BF" w:rsidP="005C6C3B">
      <w:pPr>
        <w:rPr>
          <w:szCs w:val="20"/>
        </w:rPr>
      </w:pPr>
    </w:p>
    <w:p w:rsidR="00D320BF" w:rsidRDefault="00D320BF" w:rsidP="005C6C3B">
      <w:pPr>
        <w:rPr>
          <w:szCs w:val="20"/>
        </w:rPr>
      </w:pPr>
      <w:r w:rsidRPr="00D320BF">
        <w:rPr>
          <w:szCs w:val="20"/>
        </w:rPr>
        <w:pict>
          <v:shape id="_x0000_i1029" type="#_x0000_t75" style="width:453pt;height:277.5pt">
            <v:imagedata r:id="rId8" o:title=""/>
          </v:shape>
        </w:pict>
      </w:r>
    </w:p>
    <w:p w:rsidR="00D320BF" w:rsidRDefault="00D320BF" w:rsidP="005C6C3B">
      <w:pPr>
        <w:rPr>
          <w:rFonts w:ascii="Arial" w:hAnsi="Arial" w:cs="Arial"/>
          <w:sz w:val="20"/>
          <w:szCs w:val="20"/>
        </w:rPr>
      </w:pPr>
    </w:p>
    <w:p w:rsidR="00D320BF" w:rsidRDefault="005C6C3B" w:rsidP="005C6C3B">
      <w:pPr>
        <w:rPr>
          <w:rFonts w:ascii="Arial" w:hAnsi="Arial" w:cs="Arial"/>
          <w:sz w:val="20"/>
          <w:szCs w:val="20"/>
        </w:rPr>
      </w:pPr>
      <w:r w:rsidRPr="005C6C3B">
        <w:rPr>
          <w:rFonts w:ascii="Arial" w:hAnsi="Arial" w:cs="Arial"/>
          <w:sz w:val="20"/>
          <w:szCs w:val="20"/>
        </w:rPr>
        <w:t>Nejvýznamněji klesly ceny elektřiny, plynu a páry o 8,9 %, z toho ceny elektřiny, přenosu a rozvodu a obchodu s elektřinou o 11,6 %. Ceny těžby a dobývání byly nižší o 2,1 % a potravinářských výrobků, nápojů a tabáku o 1,4 %.</w:t>
      </w:r>
    </w:p>
    <w:p w:rsidR="00D320BF" w:rsidRDefault="00D320BF" w:rsidP="005C6C3B">
      <w:pPr>
        <w:rPr>
          <w:rFonts w:ascii="Arial" w:hAnsi="Arial" w:cs="Arial"/>
          <w:sz w:val="20"/>
          <w:szCs w:val="20"/>
        </w:rPr>
      </w:pPr>
    </w:p>
    <w:p w:rsidR="00D320BF" w:rsidRDefault="005C6C3B" w:rsidP="005C6C3B">
      <w:pPr>
        <w:rPr>
          <w:rFonts w:ascii="Arial" w:hAnsi="Arial" w:cs="Arial"/>
          <w:sz w:val="20"/>
          <w:szCs w:val="20"/>
        </w:rPr>
      </w:pPr>
      <w:r w:rsidRPr="005C6C3B">
        <w:rPr>
          <w:rFonts w:ascii="Arial" w:hAnsi="Arial" w:cs="Arial"/>
          <w:sz w:val="20"/>
          <w:szCs w:val="20"/>
        </w:rPr>
        <w:t>Z cen potravinářských výrobků se nejvíce snížily ceny mlýnských a škrobárenských výrobků o 5,9 %, rostlinných a živočišných olejů a tuků o 5,2 %, ostatních potravinářských výrobků o 3,3 % a masa a masných výrobků o 1,1 %.</w:t>
      </w:r>
    </w:p>
    <w:p w:rsidR="00D320BF" w:rsidRDefault="00D320BF" w:rsidP="005C6C3B">
      <w:pPr>
        <w:rPr>
          <w:rFonts w:ascii="Arial" w:hAnsi="Arial" w:cs="Arial"/>
          <w:sz w:val="20"/>
          <w:szCs w:val="20"/>
        </w:rPr>
      </w:pPr>
    </w:p>
    <w:p w:rsidR="005C6C3B" w:rsidRPr="005C6C3B" w:rsidRDefault="005C6C3B" w:rsidP="005C6C3B">
      <w:pPr>
        <w:rPr>
          <w:rFonts w:ascii="Arial" w:hAnsi="Arial" w:cs="Arial"/>
          <w:sz w:val="20"/>
          <w:szCs w:val="20"/>
        </w:rPr>
      </w:pPr>
      <w:r w:rsidRPr="005C6C3B">
        <w:rPr>
          <w:rFonts w:ascii="Arial" w:hAnsi="Arial" w:cs="Arial"/>
          <w:sz w:val="20"/>
          <w:szCs w:val="20"/>
        </w:rPr>
        <w:t xml:space="preserve">Ceny dopravních prostředků vzrostly o 4,2 %, obecných kovů a kovodělných výrobků o 3,8 % a dřeva, papíru a tisku o 3,7 %. </w:t>
      </w:r>
    </w:p>
    <w:p w:rsidR="00FA1424" w:rsidRDefault="00FA1424" w:rsidP="00A97E8A">
      <w:pPr>
        <w:rPr>
          <w:rFonts w:ascii="Arial" w:hAnsi="Arial" w:cs="Arial"/>
          <w:sz w:val="20"/>
          <w:szCs w:val="20"/>
        </w:rPr>
      </w:pPr>
    </w:p>
    <w:p w:rsidR="0007353A" w:rsidRPr="0007353A" w:rsidRDefault="0007353A" w:rsidP="0007353A">
      <w:pPr>
        <w:rPr>
          <w:rFonts w:ascii="Arial" w:hAnsi="Arial" w:cs="Arial"/>
          <w:sz w:val="20"/>
          <w:szCs w:val="20"/>
        </w:rPr>
      </w:pPr>
    </w:p>
    <w:p w:rsidR="006F2662" w:rsidRPr="006F2662" w:rsidRDefault="006F2662" w:rsidP="006F2662">
      <w:pPr>
        <w:rPr>
          <w:rFonts w:ascii="Arial" w:hAnsi="Arial" w:cs="Arial"/>
          <w:sz w:val="20"/>
          <w:szCs w:val="20"/>
        </w:rPr>
      </w:pPr>
    </w:p>
    <w:p w:rsidR="00774F2D" w:rsidRPr="00335CBC" w:rsidRDefault="00AA0CC0" w:rsidP="006E6D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:rsidR="005937E4" w:rsidRPr="00747CC6" w:rsidRDefault="005937E4" w:rsidP="00D320BF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5937E4" w:rsidRDefault="005937E4">
      <w:pPr>
        <w:rPr>
          <w:rFonts w:ascii="Arial" w:hAnsi="Arial" w:cs="Arial"/>
          <w:sz w:val="20"/>
        </w:rPr>
      </w:pPr>
    </w:p>
    <w:p w:rsidR="004D7DFF" w:rsidRDefault="00D320BF">
      <w:pPr>
        <w:rPr>
          <w:rFonts w:ascii="Arial" w:hAnsi="Arial" w:cs="Arial"/>
          <w:sz w:val="20"/>
        </w:rPr>
      </w:pPr>
      <w:r>
        <w:pict>
          <v:shape id="_x0000_i1026" type="#_x0000_t75" style="width:362.25pt;height:96.75pt">
            <v:imagedata r:id="rId9" o:title=""/>
          </v:shape>
        </w:pict>
      </w:r>
      <w:r w:rsidR="008E7C34"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  </w:t>
      </w:r>
      <w:r w:rsidR="008E7C34"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8E7C34">
      <w:pPr>
        <w:rPr>
          <w:rFonts w:ascii="Arial" w:hAnsi="Arial" w:cs="Arial"/>
          <w:sz w:val="20"/>
        </w:rPr>
      </w:pPr>
    </w:p>
    <w:p w:rsidR="00E351D4" w:rsidRDefault="00E351D4">
      <w:pPr>
        <w:rPr>
          <w:rFonts w:ascii="Arial" w:hAnsi="Arial" w:cs="Arial"/>
          <w:sz w:val="20"/>
        </w:rPr>
      </w:pPr>
    </w:p>
    <w:p w:rsidR="005937E4" w:rsidRPr="00F92903" w:rsidRDefault="005937E4">
      <w:pPr>
        <w:rPr>
          <w:rFonts w:ascii="Arial" w:hAnsi="Arial" w:cs="Arial"/>
          <w:sz w:val="20"/>
          <w:szCs w:val="20"/>
        </w:rPr>
      </w:pPr>
    </w:p>
    <w:p w:rsidR="005C6C3B" w:rsidRPr="005C6C3B" w:rsidRDefault="005C6C3B" w:rsidP="005C6C3B">
      <w:pPr>
        <w:jc w:val="both"/>
        <w:rPr>
          <w:rFonts w:ascii="Arial" w:hAnsi="Arial" w:cs="Arial"/>
          <w:sz w:val="20"/>
          <w:szCs w:val="20"/>
        </w:rPr>
      </w:pPr>
      <w:r w:rsidRPr="005C6C3B">
        <w:rPr>
          <w:rFonts w:ascii="Arial" w:hAnsi="Arial" w:cs="Arial"/>
          <w:sz w:val="20"/>
          <w:szCs w:val="20"/>
        </w:rPr>
        <w:t>Při hodnocení podle hlavních průmyslových skupin se meziročně nejvíce snížily ceny energií o 5,5 %.</w:t>
      </w:r>
    </w:p>
    <w:p w:rsidR="005937E4" w:rsidRPr="00E351D4" w:rsidRDefault="005937E4" w:rsidP="00032AB0">
      <w:pPr>
        <w:rPr>
          <w:rFonts w:ascii="Arial" w:hAnsi="Arial" w:cs="Arial"/>
          <w:sz w:val="20"/>
          <w:szCs w:val="20"/>
        </w:rPr>
      </w:pPr>
    </w:p>
    <w:p w:rsidR="00D320BF" w:rsidRDefault="00D320BF" w:rsidP="00032AB0">
      <w:pPr>
        <w:rPr>
          <w:rFonts w:ascii="Arial" w:hAnsi="Arial" w:cs="Arial"/>
          <w:b/>
          <w:sz w:val="20"/>
          <w:szCs w:val="20"/>
        </w:rPr>
      </w:pPr>
    </w:p>
    <w:p w:rsidR="005937E4" w:rsidRDefault="005937E4" w:rsidP="00032AB0">
      <w:pPr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 xml:space="preserve">podíl průměru bazických indexů za posledních 12 měsíců k předchozím 12 měsícům) byl </w:t>
      </w:r>
      <w:r w:rsidR="008B24A9">
        <w:rPr>
          <w:rFonts w:ascii="Arial" w:hAnsi="Arial" w:cs="Arial"/>
          <w:sz w:val="20"/>
          <w:szCs w:val="20"/>
        </w:rPr>
        <w:t>99</w:t>
      </w:r>
      <w:r w:rsidRPr="00C31D50">
        <w:rPr>
          <w:rFonts w:ascii="Arial" w:hAnsi="Arial" w:cs="Arial"/>
          <w:sz w:val="20"/>
          <w:szCs w:val="20"/>
        </w:rPr>
        <w:t>,</w:t>
      </w:r>
      <w:r w:rsidR="008B24A9">
        <w:rPr>
          <w:rFonts w:ascii="Arial" w:hAnsi="Arial" w:cs="Arial"/>
          <w:sz w:val="20"/>
          <w:szCs w:val="20"/>
        </w:rPr>
        <w:t>9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5E5135" w:rsidRDefault="005E5135" w:rsidP="00032AB0">
      <w:pPr>
        <w:spacing w:line="276" w:lineRule="auto"/>
        <w:rPr>
          <w:rFonts w:cs="Arial"/>
          <w:b/>
          <w:szCs w:val="18"/>
        </w:rPr>
      </w:pPr>
    </w:p>
    <w:sectPr w:rsidR="005E513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0E"/>
    <w:rsid w:val="000022D7"/>
    <w:rsid w:val="00032AB0"/>
    <w:rsid w:val="00033058"/>
    <w:rsid w:val="00035BE7"/>
    <w:rsid w:val="00046747"/>
    <w:rsid w:val="00055F1C"/>
    <w:rsid w:val="0007002B"/>
    <w:rsid w:val="0007353A"/>
    <w:rsid w:val="00074098"/>
    <w:rsid w:val="00075487"/>
    <w:rsid w:val="00086E5E"/>
    <w:rsid w:val="000A3B03"/>
    <w:rsid w:val="000B0045"/>
    <w:rsid w:val="000B2012"/>
    <w:rsid w:val="000C08CA"/>
    <w:rsid w:val="000D28E7"/>
    <w:rsid w:val="000D380B"/>
    <w:rsid w:val="000E66A8"/>
    <w:rsid w:val="001024B5"/>
    <w:rsid w:val="0010409B"/>
    <w:rsid w:val="00105D75"/>
    <w:rsid w:val="001178ED"/>
    <w:rsid w:val="00117E2E"/>
    <w:rsid w:val="0012169E"/>
    <w:rsid w:val="00122A60"/>
    <w:rsid w:val="00136357"/>
    <w:rsid w:val="0015155D"/>
    <w:rsid w:val="00175755"/>
    <w:rsid w:val="00176980"/>
    <w:rsid w:val="001B5D34"/>
    <w:rsid w:val="001B6EE4"/>
    <w:rsid w:val="001C097E"/>
    <w:rsid w:val="001F102A"/>
    <w:rsid w:val="001F12D2"/>
    <w:rsid w:val="001F5A1A"/>
    <w:rsid w:val="0020233F"/>
    <w:rsid w:val="002033EA"/>
    <w:rsid w:val="002234D6"/>
    <w:rsid w:val="002442A3"/>
    <w:rsid w:val="00262C3B"/>
    <w:rsid w:val="00277979"/>
    <w:rsid w:val="002A1B44"/>
    <w:rsid w:val="002A6B83"/>
    <w:rsid w:val="002B1A4A"/>
    <w:rsid w:val="002B34C4"/>
    <w:rsid w:val="002C0A0E"/>
    <w:rsid w:val="002C52BA"/>
    <w:rsid w:val="0030021B"/>
    <w:rsid w:val="003118A9"/>
    <w:rsid w:val="0033347F"/>
    <w:rsid w:val="00335CBC"/>
    <w:rsid w:val="00375C47"/>
    <w:rsid w:val="0038697C"/>
    <w:rsid w:val="00396D4D"/>
    <w:rsid w:val="003E6128"/>
    <w:rsid w:val="003F090B"/>
    <w:rsid w:val="00411AE0"/>
    <w:rsid w:val="00412275"/>
    <w:rsid w:val="004159F2"/>
    <w:rsid w:val="004175FF"/>
    <w:rsid w:val="004260D7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D7DFF"/>
    <w:rsid w:val="00513D80"/>
    <w:rsid w:val="00535B4A"/>
    <w:rsid w:val="00557407"/>
    <w:rsid w:val="00560F0A"/>
    <w:rsid w:val="005617F2"/>
    <w:rsid w:val="005745D1"/>
    <w:rsid w:val="00585E7D"/>
    <w:rsid w:val="005937E4"/>
    <w:rsid w:val="005A29CC"/>
    <w:rsid w:val="005A78DB"/>
    <w:rsid w:val="005C6C3B"/>
    <w:rsid w:val="005E5135"/>
    <w:rsid w:val="005F56CE"/>
    <w:rsid w:val="00602E58"/>
    <w:rsid w:val="006164FB"/>
    <w:rsid w:val="0062686C"/>
    <w:rsid w:val="00635BF4"/>
    <w:rsid w:val="00636F9A"/>
    <w:rsid w:val="00646F2B"/>
    <w:rsid w:val="00666FF6"/>
    <w:rsid w:val="006A48C6"/>
    <w:rsid w:val="006B1973"/>
    <w:rsid w:val="006B6B00"/>
    <w:rsid w:val="006C155A"/>
    <w:rsid w:val="006C1DCC"/>
    <w:rsid w:val="006C759F"/>
    <w:rsid w:val="006D0389"/>
    <w:rsid w:val="006E0F86"/>
    <w:rsid w:val="006E3CE5"/>
    <w:rsid w:val="006E6DEF"/>
    <w:rsid w:val="006F2662"/>
    <w:rsid w:val="00700E93"/>
    <w:rsid w:val="00714746"/>
    <w:rsid w:val="00722138"/>
    <w:rsid w:val="00737FA4"/>
    <w:rsid w:val="00747CC6"/>
    <w:rsid w:val="00771866"/>
    <w:rsid w:val="0077335E"/>
    <w:rsid w:val="00773693"/>
    <w:rsid w:val="00774F2D"/>
    <w:rsid w:val="007A484F"/>
    <w:rsid w:val="007B13E2"/>
    <w:rsid w:val="007B65F1"/>
    <w:rsid w:val="007B78FC"/>
    <w:rsid w:val="007D4D1C"/>
    <w:rsid w:val="007E2421"/>
    <w:rsid w:val="007E351E"/>
    <w:rsid w:val="007E49A7"/>
    <w:rsid w:val="00823A8F"/>
    <w:rsid w:val="00836A4B"/>
    <w:rsid w:val="00875BF6"/>
    <w:rsid w:val="008B24A9"/>
    <w:rsid w:val="008C4046"/>
    <w:rsid w:val="008C48ED"/>
    <w:rsid w:val="008C751B"/>
    <w:rsid w:val="008D76EA"/>
    <w:rsid w:val="008E01DA"/>
    <w:rsid w:val="008E294B"/>
    <w:rsid w:val="008E488A"/>
    <w:rsid w:val="008E7298"/>
    <w:rsid w:val="008E7C34"/>
    <w:rsid w:val="008F03D0"/>
    <w:rsid w:val="00901376"/>
    <w:rsid w:val="00911F43"/>
    <w:rsid w:val="00917AE3"/>
    <w:rsid w:val="00931BB1"/>
    <w:rsid w:val="009472DD"/>
    <w:rsid w:val="00955638"/>
    <w:rsid w:val="00973751"/>
    <w:rsid w:val="009A6510"/>
    <w:rsid w:val="009B2F28"/>
    <w:rsid w:val="009F5717"/>
    <w:rsid w:val="00A13216"/>
    <w:rsid w:val="00A42F43"/>
    <w:rsid w:val="00A44295"/>
    <w:rsid w:val="00A611E1"/>
    <w:rsid w:val="00A6363C"/>
    <w:rsid w:val="00A70637"/>
    <w:rsid w:val="00A70E0C"/>
    <w:rsid w:val="00A76FFE"/>
    <w:rsid w:val="00A80423"/>
    <w:rsid w:val="00A97E8A"/>
    <w:rsid w:val="00AA0CC0"/>
    <w:rsid w:val="00AB3D5B"/>
    <w:rsid w:val="00AD0D15"/>
    <w:rsid w:val="00AD5145"/>
    <w:rsid w:val="00AF208D"/>
    <w:rsid w:val="00B00547"/>
    <w:rsid w:val="00B074D1"/>
    <w:rsid w:val="00B13906"/>
    <w:rsid w:val="00B32C37"/>
    <w:rsid w:val="00B3603E"/>
    <w:rsid w:val="00B545A0"/>
    <w:rsid w:val="00B77F7D"/>
    <w:rsid w:val="00B83258"/>
    <w:rsid w:val="00B9071F"/>
    <w:rsid w:val="00B934B4"/>
    <w:rsid w:val="00B95718"/>
    <w:rsid w:val="00BA4875"/>
    <w:rsid w:val="00BB5E90"/>
    <w:rsid w:val="00BC1C9D"/>
    <w:rsid w:val="00BD74E2"/>
    <w:rsid w:val="00BE6CD3"/>
    <w:rsid w:val="00C12D15"/>
    <w:rsid w:val="00C26498"/>
    <w:rsid w:val="00C31D50"/>
    <w:rsid w:val="00C5587C"/>
    <w:rsid w:val="00C959FD"/>
    <w:rsid w:val="00C969A6"/>
    <w:rsid w:val="00CA4712"/>
    <w:rsid w:val="00CB1C2D"/>
    <w:rsid w:val="00CE4FC6"/>
    <w:rsid w:val="00CE606A"/>
    <w:rsid w:val="00CE690E"/>
    <w:rsid w:val="00CF43B4"/>
    <w:rsid w:val="00D04096"/>
    <w:rsid w:val="00D1395E"/>
    <w:rsid w:val="00D2319B"/>
    <w:rsid w:val="00D320BF"/>
    <w:rsid w:val="00D327C5"/>
    <w:rsid w:val="00D44441"/>
    <w:rsid w:val="00D47C05"/>
    <w:rsid w:val="00D50F55"/>
    <w:rsid w:val="00D51BB8"/>
    <w:rsid w:val="00D525D0"/>
    <w:rsid w:val="00D72030"/>
    <w:rsid w:val="00DE3721"/>
    <w:rsid w:val="00DE5C41"/>
    <w:rsid w:val="00E01B84"/>
    <w:rsid w:val="00E21485"/>
    <w:rsid w:val="00E25741"/>
    <w:rsid w:val="00E351D4"/>
    <w:rsid w:val="00E35289"/>
    <w:rsid w:val="00E43A05"/>
    <w:rsid w:val="00E50CD7"/>
    <w:rsid w:val="00E51712"/>
    <w:rsid w:val="00E54FFA"/>
    <w:rsid w:val="00E85E0D"/>
    <w:rsid w:val="00EB6293"/>
    <w:rsid w:val="00ED1B7F"/>
    <w:rsid w:val="00ED55D0"/>
    <w:rsid w:val="00F11DB8"/>
    <w:rsid w:val="00F5102E"/>
    <w:rsid w:val="00F533B8"/>
    <w:rsid w:val="00F92903"/>
    <w:rsid w:val="00FA1424"/>
    <w:rsid w:val="00FC60A0"/>
    <w:rsid w:val="00FD6627"/>
    <w:rsid w:val="00FE089C"/>
    <w:rsid w:val="00FE412E"/>
    <w:rsid w:val="00FF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3486-0657-47E4-ADA1-9486CEC2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46</cp:revision>
  <cp:lastPrinted>2011-06-10T07:57:00Z</cp:lastPrinted>
  <dcterms:created xsi:type="dcterms:W3CDTF">2013-12-13T13:26:00Z</dcterms:created>
  <dcterms:modified xsi:type="dcterms:W3CDTF">2014-11-12T14:17:00Z</dcterms:modified>
</cp:coreProperties>
</file>