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BD4" w:rsidRPr="00412F61" w:rsidRDefault="00935BD4" w:rsidP="001554C2">
      <w:pPr>
        <w:pStyle w:val="Nadpis11"/>
        <w:rPr>
          <w:lang w:val="en-GB"/>
        </w:rPr>
      </w:pPr>
      <w:bookmarkStart w:id="0" w:name="_Toc525046022"/>
      <w:r w:rsidRPr="00412F61">
        <w:rPr>
          <w:lang w:val="en-GB"/>
        </w:rPr>
        <w:t>3</w:t>
      </w:r>
      <w:r w:rsidR="001554C2" w:rsidRPr="00412F61">
        <w:rPr>
          <w:lang w:val="en-GB"/>
        </w:rPr>
        <w:t xml:space="preserve">. </w:t>
      </w:r>
      <w:bookmarkStart w:id="1" w:name="_Toc454185150"/>
      <w:bookmarkStart w:id="2" w:name="_Toc493683635"/>
      <w:r w:rsidR="00534515" w:rsidRPr="00412F61">
        <w:rPr>
          <w:lang w:val="en-GB"/>
        </w:rPr>
        <w:t>Branches Performance</w:t>
      </w:r>
      <w:bookmarkEnd w:id="0"/>
      <w:bookmarkEnd w:id="1"/>
      <w:bookmarkEnd w:id="2"/>
    </w:p>
    <w:tbl>
      <w:tblPr>
        <w:tblW w:w="9644" w:type="dxa"/>
        <w:tblInd w:w="-15" w:type="dxa"/>
        <w:tblCellMar>
          <w:left w:w="0" w:type="dxa"/>
          <w:right w:w="0" w:type="dxa"/>
        </w:tblCellMar>
        <w:tblLook w:val="00A0"/>
      </w:tblPr>
      <w:tblGrid>
        <w:gridCol w:w="1840"/>
        <w:gridCol w:w="241"/>
        <w:gridCol w:w="7563"/>
      </w:tblGrid>
      <w:tr w:rsidR="00572A10" w:rsidRPr="00412F61" w:rsidTr="00061917">
        <w:trPr>
          <w:trHeight w:val="145"/>
        </w:trPr>
        <w:tc>
          <w:tcPr>
            <w:tcW w:w="1840" w:type="dxa"/>
            <w:shd w:val="clear" w:color="auto" w:fill="auto"/>
            <w:tcMar>
              <w:left w:w="0" w:type="dxa"/>
            </w:tcMar>
          </w:tcPr>
          <w:p w:rsidR="00D21D6D" w:rsidRPr="00412F61" w:rsidRDefault="00534515" w:rsidP="00534515">
            <w:pPr>
              <w:pStyle w:val="Marginlie"/>
              <w:rPr>
                <w:lang w:val="en-GB"/>
              </w:rPr>
            </w:pPr>
            <w:r w:rsidRPr="00412F61">
              <w:rPr>
                <w:lang w:val="en-GB"/>
              </w:rPr>
              <w:t xml:space="preserve">Quarter-on-quarter growth of the gross value added (GVA) in the economy was the weakest in the last seven quarters. </w:t>
            </w:r>
          </w:p>
        </w:tc>
        <w:tc>
          <w:tcPr>
            <w:tcW w:w="241" w:type="dxa"/>
            <w:shd w:val="clear" w:color="auto" w:fill="auto"/>
            <w:tcMar>
              <w:left w:w="0" w:type="dxa"/>
            </w:tcMar>
          </w:tcPr>
          <w:p w:rsidR="008C7569" w:rsidRPr="00412F61" w:rsidRDefault="008C7569" w:rsidP="008417B5">
            <w:pPr>
              <w:pStyle w:val="Textpoznpodarou"/>
              <w:jc w:val="both"/>
              <w:rPr>
                <w:spacing w:val="-4"/>
                <w:lang w:val="en-GB"/>
              </w:rPr>
            </w:pPr>
          </w:p>
        </w:tc>
        <w:tc>
          <w:tcPr>
            <w:tcW w:w="7563" w:type="dxa"/>
            <w:shd w:val="clear" w:color="auto" w:fill="auto"/>
            <w:tcMar>
              <w:left w:w="0" w:type="dxa"/>
            </w:tcMar>
          </w:tcPr>
          <w:p w:rsidR="008A388E" w:rsidRPr="00412F61" w:rsidRDefault="00534515" w:rsidP="00207942">
            <w:pPr>
              <w:rPr>
                <w:lang w:val="en-GB"/>
              </w:rPr>
            </w:pPr>
            <w:r w:rsidRPr="00412F61">
              <w:rPr>
                <w:lang w:val="en-GB"/>
              </w:rPr>
              <w:t xml:space="preserve">Gross value added </w:t>
            </w:r>
            <w:r w:rsidR="00F93688" w:rsidRPr="00412F61">
              <w:rPr>
                <w:lang w:val="en-GB"/>
              </w:rPr>
              <w:t>(</w:t>
            </w:r>
            <w:r w:rsidRPr="00412F61">
              <w:rPr>
                <w:lang w:val="en-GB"/>
              </w:rPr>
              <w:t>GVA</w:t>
            </w:r>
            <w:r w:rsidR="00F93688" w:rsidRPr="00412F61">
              <w:rPr>
                <w:lang w:val="en-GB"/>
              </w:rPr>
              <w:t>)</w:t>
            </w:r>
            <w:r w:rsidR="00F93688" w:rsidRPr="00412F61">
              <w:rPr>
                <w:rStyle w:val="Znakapoznpodarou"/>
                <w:spacing w:val="-4"/>
                <w:lang w:val="en-GB"/>
              </w:rPr>
              <w:footnoteReference w:id="1"/>
            </w:r>
            <w:r w:rsidR="00F93688" w:rsidRPr="00412F61">
              <w:rPr>
                <w:lang w:val="en-GB"/>
              </w:rPr>
              <w:t xml:space="preserve"> </w:t>
            </w:r>
            <w:r w:rsidRPr="00412F61">
              <w:rPr>
                <w:lang w:val="en-GB"/>
              </w:rPr>
              <w:t xml:space="preserve">expressing the total performance of all branches of the economy </w:t>
            </w:r>
            <w:r w:rsidR="009A5811" w:rsidRPr="00412F61">
              <w:rPr>
                <w:lang w:val="en-GB"/>
              </w:rPr>
              <w:t>signalled</w:t>
            </w:r>
            <w:r w:rsidRPr="00412F61">
              <w:rPr>
                <w:lang w:val="en-GB"/>
              </w:rPr>
              <w:t xml:space="preserve"> a slowdown. </w:t>
            </w:r>
            <w:r w:rsidR="009A5811" w:rsidRPr="00412F61">
              <w:rPr>
                <w:lang w:val="en-GB"/>
              </w:rPr>
              <w:t>The quarter-on-quarter growth of GVA moderated already for the second time in row in Q</w:t>
            </w:r>
            <w:r w:rsidR="00F93688" w:rsidRPr="00412F61">
              <w:rPr>
                <w:lang w:val="en-GB"/>
              </w:rPr>
              <w:t>2.</w:t>
            </w:r>
            <w:r w:rsidR="009A5811" w:rsidRPr="00412F61">
              <w:rPr>
                <w:lang w:val="en-GB"/>
              </w:rPr>
              <w:t xml:space="preserve"> Its attained pace (+0.5%) was simultaneously the weakes</w:t>
            </w:r>
            <w:r w:rsidR="00A212E9" w:rsidRPr="00412F61">
              <w:rPr>
                <w:lang w:val="en-GB"/>
              </w:rPr>
              <w:t>t</w:t>
            </w:r>
            <w:r w:rsidR="009A5811" w:rsidRPr="00412F61">
              <w:rPr>
                <w:lang w:val="en-GB"/>
              </w:rPr>
              <w:t xml:space="preserve"> in the last seven quarters.</w:t>
            </w:r>
            <w:r w:rsidR="00F93688" w:rsidRPr="00412F61">
              <w:rPr>
                <w:lang w:val="en-GB"/>
              </w:rPr>
              <w:t xml:space="preserve"> </w:t>
            </w:r>
            <w:r w:rsidR="00DA6428">
              <w:rPr>
                <w:lang w:val="en-GB"/>
              </w:rPr>
              <w:t>Still, the Czech</w:t>
            </w:r>
            <w:r w:rsidR="00A212E9" w:rsidRPr="00412F61">
              <w:rPr>
                <w:lang w:val="en-GB"/>
              </w:rPr>
              <w:t xml:space="preserve"> economy features higher growth than the EU </w:t>
            </w:r>
            <w:r w:rsidR="00F93688" w:rsidRPr="00412F61">
              <w:rPr>
                <w:lang w:val="en-GB"/>
              </w:rPr>
              <w:t>(+0</w:t>
            </w:r>
            <w:r w:rsidR="00A212E9" w:rsidRPr="00412F61">
              <w:rPr>
                <w:lang w:val="en-GB"/>
              </w:rPr>
              <w:t>.</w:t>
            </w:r>
            <w:r w:rsidR="00F93688" w:rsidRPr="00412F61">
              <w:rPr>
                <w:lang w:val="en-GB"/>
              </w:rPr>
              <w:t>4</w:t>
            </w:r>
            <w:r w:rsidR="007B0E83" w:rsidRPr="00412F61">
              <w:rPr>
                <w:lang w:val="en-GB"/>
              </w:rPr>
              <w:t>%</w:t>
            </w:r>
            <w:r w:rsidR="00F93688" w:rsidRPr="00412F61">
              <w:rPr>
                <w:lang w:val="en-GB"/>
              </w:rPr>
              <w:t xml:space="preserve">) </w:t>
            </w:r>
            <w:r w:rsidR="00A212E9" w:rsidRPr="00412F61">
              <w:rPr>
                <w:lang w:val="en-GB"/>
              </w:rPr>
              <w:t>or the neighbouring Germany (</w:t>
            </w:r>
            <w:r w:rsidR="00F93688" w:rsidRPr="00412F61">
              <w:rPr>
                <w:lang w:val="en-GB"/>
              </w:rPr>
              <w:t>+0</w:t>
            </w:r>
            <w:r w:rsidR="00A212E9" w:rsidRPr="00412F61">
              <w:rPr>
                <w:lang w:val="en-GB"/>
              </w:rPr>
              <w:t>.</w:t>
            </w:r>
            <w:r w:rsidR="00F93688" w:rsidRPr="00412F61">
              <w:rPr>
                <w:lang w:val="en-GB"/>
              </w:rPr>
              <w:t>3</w:t>
            </w:r>
            <w:r w:rsidR="007B0E83" w:rsidRPr="00412F61">
              <w:rPr>
                <w:lang w:val="en-GB"/>
              </w:rPr>
              <w:t>%</w:t>
            </w:r>
            <w:r w:rsidR="00F93688" w:rsidRPr="00412F61">
              <w:rPr>
                <w:lang w:val="en-GB"/>
              </w:rPr>
              <w:t xml:space="preserve">). </w:t>
            </w:r>
            <w:r w:rsidR="00C45488" w:rsidRPr="00412F61">
              <w:rPr>
                <w:lang w:val="en-GB"/>
              </w:rPr>
              <w:t>Easing of the pace was apparent also in the year-on-year comparison in the CR (</w:t>
            </w:r>
            <w:r w:rsidR="00F93688" w:rsidRPr="00412F61">
              <w:rPr>
                <w:lang w:val="en-GB"/>
              </w:rPr>
              <w:t>+4</w:t>
            </w:r>
            <w:r w:rsidR="00C45488" w:rsidRPr="00412F61">
              <w:rPr>
                <w:lang w:val="en-GB"/>
              </w:rPr>
              <w:t>.</w:t>
            </w:r>
            <w:r w:rsidR="00F93688" w:rsidRPr="00412F61">
              <w:rPr>
                <w:lang w:val="en-GB"/>
              </w:rPr>
              <w:t>2</w:t>
            </w:r>
            <w:r w:rsidR="007B0E83" w:rsidRPr="00412F61">
              <w:rPr>
                <w:lang w:val="en-GB"/>
              </w:rPr>
              <w:t>%</w:t>
            </w:r>
            <w:r w:rsidR="00C45488" w:rsidRPr="00412F61">
              <w:rPr>
                <w:lang w:val="en-GB"/>
              </w:rPr>
              <w:t xml:space="preserve"> in Q1</w:t>
            </w:r>
            <w:r w:rsidR="00F93688" w:rsidRPr="00412F61">
              <w:rPr>
                <w:lang w:val="en-GB"/>
              </w:rPr>
              <w:t>, +2</w:t>
            </w:r>
            <w:r w:rsidR="00C45488" w:rsidRPr="00412F61">
              <w:rPr>
                <w:lang w:val="en-GB"/>
              </w:rPr>
              <w:t>.</w:t>
            </w:r>
            <w:r w:rsidR="00F93688" w:rsidRPr="00412F61">
              <w:rPr>
                <w:lang w:val="en-GB"/>
              </w:rPr>
              <w:t>4</w:t>
            </w:r>
            <w:r w:rsidR="007B0E83" w:rsidRPr="00412F61">
              <w:rPr>
                <w:lang w:val="en-GB"/>
              </w:rPr>
              <w:t>%</w:t>
            </w:r>
            <w:r w:rsidR="00C45488" w:rsidRPr="00412F61">
              <w:rPr>
                <w:lang w:val="en-GB"/>
              </w:rPr>
              <w:t xml:space="preserve"> in Q2</w:t>
            </w:r>
            <w:r w:rsidR="00F93688" w:rsidRPr="00412F61">
              <w:rPr>
                <w:lang w:val="en-GB"/>
              </w:rPr>
              <w:t xml:space="preserve">). </w:t>
            </w:r>
            <w:r w:rsidR="00C45488" w:rsidRPr="00412F61">
              <w:rPr>
                <w:lang w:val="en-GB"/>
              </w:rPr>
              <w:t xml:space="preserve">It cannot be omitted, that the economy thrived exceptionally in the first half of the last year, when all significant resources were activated both on supply and demand side. </w:t>
            </w:r>
          </w:p>
        </w:tc>
      </w:tr>
      <w:tr w:rsidR="00572A10" w:rsidRPr="00412F61" w:rsidTr="00061917">
        <w:trPr>
          <w:trHeight w:val="170"/>
        </w:trPr>
        <w:tc>
          <w:tcPr>
            <w:tcW w:w="1840" w:type="dxa"/>
            <w:shd w:val="clear" w:color="auto" w:fill="auto"/>
            <w:tcMar>
              <w:left w:w="0" w:type="dxa"/>
            </w:tcMar>
          </w:tcPr>
          <w:p w:rsidR="00F93688" w:rsidRPr="00412F61" w:rsidRDefault="00C30797" w:rsidP="00C30797">
            <w:pPr>
              <w:pStyle w:val="Marginlie"/>
              <w:rPr>
                <w:lang w:val="en-GB"/>
              </w:rPr>
            </w:pPr>
            <w:r w:rsidRPr="00412F61">
              <w:rPr>
                <w:lang w:val="en-GB"/>
              </w:rPr>
              <w:t xml:space="preserve">Services ensured more than half of the GVA growth in H1. Performance of industry perceptibly slackened, construction substantially revived. </w:t>
            </w:r>
          </w:p>
        </w:tc>
        <w:tc>
          <w:tcPr>
            <w:tcW w:w="241" w:type="dxa"/>
            <w:shd w:val="clear" w:color="auto" w:fill="auto"/>
            <w:tcMar>
              <w:left w:w="0" w:type="dxa"/>
            </w:tcMar>
          </w:tcPr>
          <w:p w:rsidR="00F93688" w:rsidRPr="00412F61" w:rsidRDefault="00F93688" w:rsidP="00793D78">
            <w:pPr>
              <w:pStyle w:val="Textpoznpodarou"/>
              <w:jc w:val="both"/>
              <w:rPr>
                <w:spacing w:val="-4"/>
                <w:lang w:val="en-GB"/>
              </w:rPr>
            </w:pPr>
          </w:p>
        </w:tc>
        <w:tc>
          <w:tcPr>
            <w:tcW w:w="7563" w:type="dxa"/>
            <w:shd w:val="clear" w:color="auto" w:fill="auto"/>
            <w:tcMar>
              <w:left w:w="0" w:type="dxa"/>
            </w:tcMar>
          </w:tcPr>
          <w:p w:rsidR="00F93688" w:rsidRPr="00412F61" w:rsidRDefault="00C30797" w:rsidP="00207942">
            <w:pPr>
              <w:rPr>
                <w:rFonts w:cs="Arial"/>
                <w:spacing w:val="-4"/>
                <w:lang w:val="en-GB"/>
              </w:rPr>
            </w:pPr>
            <w:r w:rsidRPr="00412F61">
              <w:rPr>
                <w:rFonts w:cs="Arial"/>
                <w:spacing w:val="-4"/>
                <w:lang w:val="en-GB"/>
              </w:rPr>
              <w:t xml:space="preserve">Core of the GVA growth shifted from manufacturing to the tertiary sector. Performance of services rose by 3.0% year-on-year in H1 and it contributed 1.8 </w:t>
            </w:r>
            <w:r w:rsidR="00C777A6" w:rsidRPr="00412F61">
              <w:rPr>
                <w:rFonts w:cs="Arial"/>
                <w:spacing w:val="-4"/>
                <w:lang w:val="en-GB"/>
              </w:rPr>
              <w:t>p.p.</w:t>
            </w:r>
            <w:r w:rsidRPr="00412F61">
              <w:rPr>
                <w:rFonts w:cs="Arial"/>
                <w:spacing w:val="-4"/>
                <w:lang w:val="en-GB"/>
              </w:rPr>
              <w:t xml:space="preserve"> to the increase o</w:t>
            </w:r>
            <w:r w:rsidR="006E4BB1" w:rsidRPr="00412F61">
              <w:rPr>
                <w:rFonts w:cs="Arial"/>
                <w:spacing w:val="-4"/>
                <w:lang w:val="en-GB"/>
              </w:rPr>
              <w:t>f</w:t>
            </w:r>
            <w:r w:rsidRPr="00412F61">
              <w:rPr>
                <w:rFonts w:cs="Arial"/>
                <w:spacing w:val="-4"/>
                <w:lang w:val="en-GB"/>
              </w:rPr>
              <w:t xml:space="preserve"> the total value added. Information and communication and also the financial sector prospered – these are also dynamic branches in the long term in both cases. The growth rate year-on-year more than doubled (to 4.5%) in the weight-dominant grouping of trade, transportation, accommodation and food service. On the contrary the real estate activities as well as the significant segment of services with the predominance of the public sector continued to experience (similarly to the last year) a negligible growth. Manufacturing deducted more than one half from the last year´s pace, still the value added rose by nearly 5% here, i.e. more briskly compared to the total economy. </w:t>
            </w:r>
            <w:r w:rsidR="00434537" w:rsidRPr="00412F61">
              <w:rPr>
                <w:rFonts w:cs="Arial"/>
                <w:spacing w:val="-4"/>
                <w:lang w:val="en-GB"/>
              </w:rPr>
              <w:t xml:space="preserve">Construction enjoyed a notable positive turn, when the year-on-year GVA growth of 5.3% presented the best half-yearly result since year 2007. </w:t>
            </w:r>
            <w:r w:rsidR="00852D4D" w:rsidRPr="00412F61">
              <w:rPr>
                <w:rFonts w:cs="Arial"/>
                <w:spacing w:val="-4"/>
                <w:lang w:val="en-GB"/>
              </w:rPr>
              <w:t xml:space="preserve">In contrast the mild last year´s drop of performance in agriculture, forestry and fishing deepened this year (to </w:t>
            </w:r>
            <w:r w:rsidR="001762F4" w:rsidRPr="00412F61">
              <w:rPr>
                <w:rFonts w:cs="Arial"/>
                <w:spacing w:val="-4"/>
                <w:lang w:val="en-GB"/>
              </w:rPr>
              <w:t>–</w:t>
            </w:r>
            <w:r w:rsidR="00F93688" w:rsidRPr="00412F61">
              <w:rPr>
                <w:rFonts w:cs="Arial"/>
                <w:spacing w:val="-4"/>
                <w:lang w:val="en-GB"/>
              </w:rPr>
              <w:t>3</w:t>
            </w:r>
            <w:r w:rsidR="00852D4D" w:rsidRPr="00412F61">
              <w:rPr>
                <w:rFonts w:cs="Arial"/>
                <w:spacing w:val="-4"/>
                <w:lang w:val="en-GB"/>
              </w:rPr>
              <w:t>.</w:t>
            </w:r>
            <w:r w:rsidR="00F93688" w:rsidRPr="00412F61">
              <w:rPr>
                <w:rFonts w:cs="Arial"/>
                <w:spacing w:val="-4"/>
                <w:lang w:val="en-GB"/>
              </w:rPr>
              <w:t>9</w:t>
            </w:r>
            <w:r w:rsidR="007B0E83" w:rsidRPr="00412F61">
              <w:rPr>
                <w:rFonts w:cs="Arial"/>
                <w:spacing w:val="-4"/>
                <w:lang w:val="en-GB"/>
              </w:rPr>
              <w:t>%</w:t>
            </w:r>
            <w:r w:rsidR="00F93688" w:rsidRPr="00412F61">
              <w:rPr>
                <w:rFonts w:cs="Arial"/>
                <w:spacing w:val="-4"/>
                <w:lang w:val="en-GB"/>
              </w:rPr>
              <w:t xml:space="preserve">). </w:t>
            </w:r>
          </w:p>
        </w:tc>
      </w:tr>
      <w:tr w:rsidR="00572A10" w:rsidRPr="00412F61" w:rsidTr="00061917">
        <w:trPr>
          <w:trHeight w:val="145"/>
        </w:trPr>
        <w:tc>
          <w:tcPr>
            <w:tcW w:w="1840" w:type="dxa"/>
            <w:shd w:val="clear" w:color="auto" w:fill="auto"/>
            <w:tcMar>
              <w:left w:w="0" w:type="dxa"/>
            </w:tcMar>
          </w:tcPr>
          <w:p w:rsidR="00F93688" w:rsidRPr="00412F61" w:rsidRDefault="00914D2E" w:rsidP="00914D2E">
            <w:pPr>
              <w:pStyle w:val="Marginlie"/>
              <w:rPr>
                <w:lang w:val="en-GB"/>
              </w:rPr>
            </w:pPr>
            <w:r w:rsidRPr="00412F61">
              <w:rPr>
                <w:lang w:val="en-GB"/>
              </w:rPr>
              <w:t xml:space="preserve">Year-on-year growth of the industrial production diminished to 2.3%, quarter-on-quarter development however sent a more positive signal. </w:t>
            </w:r>
          </w:p>
        </w:tc>
        <w:tc>
          <w:tcPr>
            <w:tcW w:w="241" w:type="dxa"/>
            <w:shd w:val="clear" w:color="auto" w:fill="auto"/>
            <w:tcMar>
              <w:left w:w="0" w:type="dxa"/>
            </w:tcMar>
          </w:tcPr>
          <w:p w:rsidR="00F93688" w:rsidRPr="00412F61" w:rsidRDefault="00F93688" w:rsidP="00793D78">
            <w:pPr>
              <w:pStyle w:val="Textpoznpodarou"/>
              <w:jc w:val="both"/>
              <w:rPr>
                <w:spacing w:val="-4"/>
                <w:lang w:val="en-GB"/>
              </w:rPr>
            </w:pPr>
          </w:p>
        </w:tc>
        <w:tc>
          <w:tcPr>
            <w:tcW w:w="7563" w:type="dxa"/>
            <w:shd w:val="clear" w:color="auto" w:fill="auto"/>
            <w:tcMar>
              <w:left w:w="0" w:type="dxa"/>
            </w:tcMar>
          </w:tcPr>
          <w:p w:rsidR="00F93688" w:rsidRPr="00412F61" w:rsidRDefault="00FE05D3" w:rsidP="00207942">
            <w:pPr>
              <w:spacing w:after="280"/>
              <w:rPr>
                <w:rFonts w:cs="Arial"/>
                <w:color w:val="0D0D0D" w:themeColor="text1" w:themeTint="F2"/>
                <w:spacing w:val="-4"/>
                <w:lang w:val="en-GB"/>
              </w:rPr>
            </w:pPr>
            <w:r w:rsidRPr="00412F61">
              <w:rPr>
                <w:spacing w:val="-4"/>
                <w:lang w:val="en-GB"/>
              </w:rPr>
              <w:t xml:space="preserve">Business statistics also confirm the loosening of the rate of growth of industry. </w:t>
            </w:r>
            <w:r w:rsidR="00F93688" w:rsidRPr="00412F61">
              <w:rPr>
                <w:spacing w:val="-4"/>
                <w:lang w:val="en-GB"/>
              </w:rPr>
              <w:t>I</w:t>
            </w:r>
            <w:r w:rsidR="00F93688" w:rsidRPr="00412F61">
              <w:rPr>
                <w:color w:val="000000" w:themeColor="text1"/>
                <w:spacing w:val="-4"/>
                <w:lang w:val="en-GB"/>
              </w:rPr>
              <w:t>nd</w:t>
            </w:r>
            <w:r w:rsidR="00B61479" w:rsidRPr="00412F61">
              <w:rPr>
                <w:color w:val="000000" w:themeColor="text1"/>
                <w:spacing w:val="-4"/>
                <w:lang w:val="en-GB"/>
              </w:rPr>
              <w:t>ustrial production index</w:t>
            </w:r>
            <w:r w:rsidR="00F93688" w:rsidRPr="00412F61">
              <w:rPr>
                <w:color w:val="000000" w:themeColor="text1"/>
                <w:spacing w:val="-4"/>
                <w:vertAlign w:val="superscript"/>
                <w:lang w:val="en-GB"/>
              </w:rPr>
              <w:footnoteReference w:id="2"/>
            </w:r>
            <w:r w:rsidR="00F93688" w:rsidRPr="00412F61">
              <w:rPr>
                <w:color w:val="000000" w:themeColor="text1"/>
                <w:spacing w:val="-4"/>
                <w:lang w:val="en-GB"/>
              </w:rPr>
              <w:t xml:space="preserve"> </w:t>
            </w:r>
            <w:r w:rsidR="00B61479" w:rsidRPr="00412F61">
              <w:rPr>
                <w:color w:val="000000" w:themeColor="text1"/>
                <w:spacing w:val="-4"/>
                <w:lang w:val="en-GB"/>
              </w:rPr>
              <w:t>went up by 3.2%</w:t>
            </w:r>
            <w:r w:rsidR="00F93688" w:rsidRPr="00412F61">
              <w:rPr>
                <w:rStyle w:val="Znakapoznpodarou"/>
                <w:color w:val="000000" w:themeColor="text1"/>
                <w:spacing w:val="-4"/>
                <w:lang w:val="en-GB"/>
              </w:rPr>
              <w:footnoteReference w:id="3"/>
            </w:r>
            <w:r w:rsidR="00B61479" w:rsidRPr="00412F61">
              <w:rPr>
                <w:color w:val="000000" w:themeColor="text1"/>
                <w:spacing w:val="-4"/>
                <w:lang w:val="en-GB"/>
              </w:rPr>
              <w:t xml:space="preserve"> year-on-year in H1</w:t>
            </w:r>
            <w:r w:rsidR="00F93688" w:rsidRPr="00412F61">
              <w:rPr>
                <w:color w:val="000000" w:themeColor="text1"/>
                <w:spacing w:val="-4"/>
                <w:lang w:val="en-GB"/>
              </w:rPr>
              <w:t xml:space="preserve"> (</w:t>
            </w:r>
            <w:r w:rsidR="00B61479" w:rsidRPr="00412F61">
              <w:rPr>
                <w:color w:val="000000" w:themeColor="text1"/>
                <w:spacing w:val="-4"/>
                <w:lang w:val="en-GB"/>
              </w:rPr>
              <w:t xml:space="preserve">even only by 2.3% in Q2 itself). </w:t>
            </w:r>
            <w:r w:rsidR="00790BC5" w:rsidRPr="00412F61">
              <w:rPr>
                <w:color w:val="000000" w:themeColor="text1"/>
                <w:spacing w:val="-4"/>
                <w:lang w:val="en-GB"/>
              </w:rPr>
              <w:t xml:space="preserve">The fact, that </w:t>
            </w:r>
            <w:r w:rsidR="00B61479" w:rsidRPr="00412F61">
              <w:rPr>
                <w:color w:val="000000" w:themeColor="text1"/>
                <w:spacing w:val="-4"/>
                <w:lang w:val="en-GB"/>
              </w:rPr>
              <w:t xml:space="preserve">following a weaker entry into this year (+0.2%) the quarter-on-quarter rate of growth of production increased in Q2 </w:t>
            </w:r>
            <w:r w:rsidR="00F93688" w:rsidRPr="00412F61">
              <w:rPr>
                <w:color w:val="000000" w:themeColor="text1"/>
                <w:spacing w:val="-4"/>
                <w:lang w:val="en-GB"/>
              </w:rPr>
              <w:t>(</w:t>
            </w:r>
            <w:r w:rsidR="00B61479" w:rsidRPr="00412F61">
              <w:rPr>
                <w:color w:val="000000" w:themeColor="text1"/>
                <w:spacing w:val="-4"/>
                <w:lang w:val="en-GB"/>
              </w:rPr>
              <w:t xml:space="preserve">to </w:t>
            </w:r>
            <w:r w:rsidR="00F93688" w:rsidRPr="00412F61">
              <w:rPr>
                <w:color w:val="000000" w:themeColor="text1"/>
                <w:spacing w:val="-4"/>
                <w:lang w:val="en-GB"/>
              </w:rPr>
              <w:t>+1</w:t>
            </w:r>
            <w:r w:rsidR="00B61479" w:rsidRPr="00412F61">
              <w:rPr>
                <w:color w:val="000000" w:themeColor="text1"/>
                <w:spacing w:val="-4"/>
                <w:lang w:val="en-GB"/>
              </w:rPr>
              <w:t>.</w:t>
            </w:r>
            <w:r w:rsidR="00F93688" w:rsidRPr="00412F61">
              <w:rPr>
                <w:color w:val="000000" w:themeColor="text1"/>
                <w:spacing w:val="-4"/>
                <w:lang w:val="en-GB"/>
              </w:rPr>
              <w:t>1</w:t>
            </w:r>
            <w:r w:rsidR="00C777A6" w:rsidRPr="00412F61">
              <w:rPr>
                <w:color w:val="000000" w:themeColor="text1"/>
                <w:spacing w:val="-4"/>
                <w:lang w:val="en-GB"/>
              </w:rPr>
              <w:t>%</w:t>
            </w:r>
            <w:r w:rsidR="00F93688" w:rsidRPr="00412F61">
              <w:rPr>
                <w:color w:val="000000" w:themeColor="text1"/>
                <w:spacing w:val="-4"/>
                <w:lang w:val="en-GB"/>
              </w:rPr>
              <w:t>)</w:t>
            </w:r>
            <w:r w:rsidR="00790BC5" w:rsidRPr="00412F61">
              <w:rPr>
                <w:color w:val="000000" w:themeColor="text1"/>
                <w:spacing w:val="-4"/>
                <w:lang w:val="en-GB"/>
              </w:rPr>
              <w:t xml:space="preserve"> can draw a more favourable sign</w:t>
            </w:r>
            <w:r w:rsidR="00F93688" w:rsidRPr="00412F61">
              <w:rPr>
                <w:color w:val="000000" w:themeColor="text1"/>
                <w:spacing w:val="-4"/>
                <w:lang w:val="en-GB"/>
              </w:rPr>
              <w:t xml:space="preserve">. </w:t>
            </w:r>
            <w:r w:rsidR="00790BC5" w:rsidRPr="00412F61">
              <w:rPr>
                <w:color w:val="000000" w:themeColor="text1"/>
                <w:spacing w:val="-4"/>
                <w:lang w:val="en-GB"/>
              </w:rPr>
              <w:t xml:space="preserve">Not only manufacturing, but also </w:t>
            </w:r>
            <w:proofErr w:type="spellStart"/>
            <w:r w:rsidR="00790BC5" w:rsidRPr="00412F61">
              <w:rPr>
                <w:color w:val="000000" w:themeColor="text1"/>
                <w:spacing w:val="-4"/>
                <w:lang w:val="en-GB"/>
              </w:rPr>
              <w:t>energetics</w:t>
            </w:r>
            <w:proofErr w:type="spellEnd"/>
            <w:r w:rsidR="00790BC5" w:rsidRPr="00412F61">
              <w:rPr>
                <w:color w:val="000000" w:themeColor="text1"/>
                <w:spacing w:val="-4"/>
                <w:lang w:val="en-GB"/>
              </w:rPr>
              <w:t xml:space="preserve"> or mining and quarrying contributed to this result. </w:t>
            </w:r>
            <w:r w:rsidR="00F93688" w:rsidRPr="00412F61">
              <w:rPr>
                <w:color w:val="000000" w:themeColor="text1"/>
                <w:spacing w:val="-4"/>
                <w:lang w:val="en-GB"/>
              </w:rPr>
              <w:t xml:space="preserve"> </w:t>
            </w:r>
          </w:p>
        </w:tc>
      </w:tr>
      <w:tr w:rsidR="00572A10" w:rsidRPr="00412F61" w:rsidTr="00061917">
        <w:trPr>
          <w:trHeight w:val="145"/>
        </w:trPr>
        <w:tc>
          <w:tcPr>
            <w:tcW w:w="1840" w:type="dxa"/>
            <w:shd w:val="clear" w:color="auto" w:fill="auto"/>
            <w:tcMar>
              <w:left w:w="0" w:type="dxa"/>
            </w:tcMar>
          </w:tcPr>
          <w:p w:rsidR="00F93688" w:rsidRPr="00412F61" w:rsidRDefault="00F93688" w:rsidP="00793D78">
            <w:pPr>
              <w:pStyle w:val="Marginlie"/>
              <w:rPr>
                <w:lang w:val="en-GB"/>
              </w:rPr>
            </w:pPr>
            <w:r w:rsidRPr="00412F61">
              <w:rPr>
                <w:lang w:val="en-GB"/>
              </w:rPr>
              <w:t>Prod</w:t>
            </w:r>
            <w:r w:rsidR="00FE05D3" w:rsidRPr="00412F61">
              <w:rPr>
                <w:lang w:val="en-GB"/>
              </w:rPr>
              <w:t xml:space="preserve">uction in motor vehicle industry </w:t>
            </w:r>
            <w:r w:rsidR="00C46C1B">
              <w:rPr>
                <w:lang w:val="en-GB"/>
              </w:rPr>
              <w:t>as well as</w:t>
            </w:r>
            <w:r w:rsidR="000A0D16" w:rsidRPr="00412F61">
              <w:rPr>
                <w:lang w:val="en-GB"/>
              </w:rPr>
              <w:t xml:space="preserve"> manufacture of </w:t>
            </w:r>
            <w:r w:rsidR="00C46C1B">
              <w:rPr>
                <w:lang w:val="en-GB"/>
              </w:rPr>
              <w:t>rubber and plastic products</w:t>
            </w:r>
            <w:r w:rsidR="000A0D16" w:rsidRPr="00412F61">
              <w:rPr>
                <w:lang w:val="en-GB"/>
              </w:rPr>
              <w:t xml:space="preserve"> ended in the weakest rates of growth since the end of recession in Q2</w:t>
            </w:r>
            <w:r w:rsidRPr="00412F61">
              <w:rPr>
                <w:lang w:val="en-GB"/>
              </w:rPr>
              <w:t>…</w:t>
            </w:r>
            <w:r w:rsidR="005F2A08" w:rsidRPr="00412F61">
              <w:rPr>
                <w:lang w:val="en-GB"/>
              </w:rPr>
              <w:t>,</w:t>
            </w:r>
          </w:p>
          <w:p w:rsidR="00F93688" w:rsidRPr="00412F61" w:rsidRDefault="00F93688" w:rsidP="00793D78">
            <w:pPr>
              <w:pStyle w:val="Marginlie"/>
              <w:rPr>
                <w:lang w:val="en-GB"/>
              </w:rPr>
            </w:pPr>
          </w:p>
          <w:p w:rsidR="00F93688" w:rsidRPr="00412F61" w:rsidRDefault="00F93688" w:rsidP="00793D78">
            <w:pPr>
              <w:pStyle w:val="Marginlie"/>
              <w:rPr>
                <w:lang w:val="en-GB"/>
              </w:rPr>
            </w:pPr>
          </w:p>
          <w:p w:rsidR="00F93688" w:rsidRPr="00412F61" w:rsidRDefault="00F93688" w:rsidP="00793D78">
            <w:pPr>
              <w:pStyle w:val="Marginlie"/>
              <w:rPr>
                <w:lang w:val="en-GB"/>
              </w:rPr>
            </w:pPr>
          </w:p>
          <w:p w:rsidR="00F93688" w:rsidRPr="00412F61" w:rsidRDefault="00F93688" w:rsidP="00793D78">
            <w:pPr>
              <w:pStyle w:val="Marginlie"/>
              <w:rPr>
                <w:lang w:val="en-GB"/>
              </w:rPr>
            </w:pPr>
          </w:p>
          <w:p w:rsidR="00F93688" w:rsidRPr="00412F61" w:rsidRDefault="00F93688" w:rsidP="00793D78">
            <w:pPr>
              <w:pStyle w:val="Marginlie"/>
              <w:rPr>
                <w:lang w:val="en-GB"/>
              </w:rPr>
            </w:pPr>
          </w:p>
        </w:tc>
        <w:tc>
          <w:tcPr>
            <w:tcW w:w="241" w:type="dxa"/>
            <w:shd w:val="clear" w:color="auto" w:fill="auto"/>
            <w:tcMar>
              <w:left w:w="0" w:type="dxa"/>
            </w:tcMar>
          </w:tcPr>
          <w:p w:rsidR="00F93688" w:rsidRPr="00412F61" w:rsidRDefault="00F93688" w:rsidP="00793D78">
            <w:pPr>
              <w:pStyle w:val="Textpoznpodarou"/>
              <w:jc w:val="both"/>
              <w:rPr>
                <w:spacing w:val="-4"/>
                <w:lang w:val="en-GB"/>
              </w:rPr>
            </w:pPr>
          </w:p>
        </w:tc>
        <w:tc>
          <w:tcPr>
            <w:tcW w:w="7563" w:type="dxa"/>
            <w:shd w:val="clear" w:color="auto" w:fill="auto"/>
            <w:tcMar>
              <w:left w:w="0" w:type="dxa"/>
            </w:tcMar>
          </w:tcPr>
          <w:p w:rsidR="00061917" w:rsidRPr="00412F61" w:rsidRDefault="00813781" w:rsidP="00061917">
            <w:pPr>
              <w:rPr>
                <w:spacing w:val="-2"/>
                <w:szCs w:val="20"/>
                <w:lang w:val="en-GB"/>
              </w:rPr>
            </w:pPr>
            <w:r w:rsidRPr="00412F61">
              <w:rPr>
                <w:spacing w:val="-2"/>
                <w:szCs w:val="20"/>
                <w:lang w:val="en-GB"/>
              </w:rPr>
              <w:t xml:space="preserve">Short-term slowdown of growth of industry is not in the current </w:t>
            </w:r>
            <w:r w:rsidR="004D5D2F" w:rsidRPr="00412F61">
              <w:rPr>
                <w:spacing w:val="-2"/>
                <w:szCs w:val="20"/>
                <w:lang w:val="en-GB"/>
              </w:rPr>
              <w:t xml:space="preserve">expansion </w:t>
            </w:r>
            <w:r w:rsidRPr="00412F61">
              <w:rPr>
                <w:spacing w:val="-2"/>
                <w:szCs w:val="20"/>
                <w:lang w:val="en-GB"/>
              </w:rPr>
              <w:t>phase</w:t>
            </w:r>
            <w:r w:rsidR="008820DF" w:rsidRPr="00412F61">
              <w:rPr>
                <w:spacing w:val="-2"/>
                <w:szCs w:val="20"/>
                <w:lang w:val="en-GB"/>
              </w:rPr>
              <w:t xml:space="preserve"> by far an isolated </w:t>
            </w:r>
            <w:r w:rsidR="001A3555" w:rsidRPr="00412F61">
              <w:rPr>
                <w:spacing w:val="-2"/>
                <w:szCs w:val="20"/>
                <w:lang w:val="en-GB"/>
              </w:rPr>
              <w:t>occurrence</w:t>
            </w:r>
            <w:r w:rsidR="008820DF" w:rsidRPr="00412F61">
              <w:rPr>
                <w:spacing w:val="-2"/>
                <w:szCs w:val="20"/>
                <w:lang w:val="en-GB"/>
              </w:rPr>
              <w:t>.</w:t>
            </w:r>
            <w:r w:rsidR="00B84144" w:rsidRPr="00412F61">
              <w:rPr>
                <w:spacing w:val="-2"/>
                <w:szCs w:val="20"/>
                <w:lang w:val="en-GB"/>
              </w:rPr>
              <w:t xml:space="preserve"> </w:t>
            </w:r>
            <w:r w:rsidR="00D70229" w:rsidRPr="00412F61">
              <w:rPr>
                <w:spacing w:val="-2"/>
                <w:szCs w:val="20"/>
                <w:lang w:val="en-GB"/>
              </w:rPr>
              <w:t>During both years 2014 and 20</w:t>
            </w:r>
            <w:r w:rsidR="00F93688" w:rsidRPr="00412F61">
              <w:rPr>
                <w:spacing w:val="-2"/>
                <w:szCs w:val="20"/>
                <w:lang w:val="en-GB"/>
              </w:rPr>
              <w:t xml:space="preserve">16, </w:t>
            </w:r>
            <w:r w:rsidR="00D70229" w:rsidRPr="00412F61">
              <w:rPr>
                <w:spacing w:val="-2"/>
                <w:szCs w:val="20"/>
                <w:lang w:val="en-GB"/>
              </w:rPr>
              <w:t xml:space="preserve">when the similar situations also happened, </w:t>
            </w:r>
            <w:r w:rsidR="001A3555" w:rsidRPr="00412F61">
              <w:rPr>
                <w:spacing w:val="-2"/>
                <w:szCs w:val="20"/>
                <w:lang w:val="en-GB"/>
              </w:rPr>
              <w:t xml:space="preserve">the key branch manufacturing of motor vehicles held its substantial pro-growth role. </w:t>
            </w:r>
            <w:r w:rsidR="00F93688" w:rsidRPr="00412F61">
              <w:rPr>
                <w:spacing w:val="-2"/>
                <w:szCs w:val="20"/>
                <w:lang w:val="en-GB"/>
              </w:rPr>
              <w:t xml:space="preserve"> </w:t>
            </w:r>
            <w:r w:rsidR="00275004" w:rsidRPr="00412F61">
              <w:rPr>
                <w:spacing w:val="-2"/>
                <w:szCs w:val="20"/>
                <w:lang w:val="en-GB"/>
              </w:rPr>
              <w:t xml:space="preserve">However, the current slowdown is connected from a large part just to this branch. </w:t>
            </w:r>
            <w:r w:rsidR="00624345" w:rsidRPr="00412F61">
              <w:rPr>
                <w:spacing w:val="-2"/>
                <w:szCs w:val="20"/>
                <w:lang w:val="en-GB"/>
              </w:rPr>
              <w:t>While the year-on-year growth of production of manufacturer</w:t>
            </w:r>
            <w:r w:rsidR="00415DE5" w:rsidRPr="00412F61">
              <w:rPr>
                <w:spacing w:val="-2"/>
                <w:szCs w:val="20"/>
                <w:lang w:val="en-GB"/>
              </w:rPr>
              <w:t>s</w:t>
            </w:r>
            <w:r w:rsidR="00624345" w:rsidRPr="00412F61">
              <w:rPr>
                <w:spacing w:val="-2"/>
                <w:szCs w:val="20"/>
                <w:lang w:val="en-GB"/>
              </w:rPr>
              <w:t xml:space="preserve"> of motor vehicles oscillated around </w:t>
            </w:r>
            <w:r w:rsidR="00415DE5" w:rsidRPr="00412F61">
              <w:rPr>
                <w:spacing w:val="-2"/>
                <w:szCs w:val="20"/>
                <w:lang w:val="en-GB"/>
              </w:rPr>
              <w:t>1</w:t>
            </w:r>
            <w:r w:rsidR="00F93688" w:rsidRPr="00412F61">
              <w:rPr>
                <w:spacing w:val="-2"/>
                <w:szCs w:val="20"/>
                <w:lang w:val="en-GB"/>
              </w:rPr>
              <w:t>0</w:t>
            </w:r>
            <w:r w:rsidR="007B0E83" w:rsidRPr="00412F61">
              <w:rPr>
                <w:spacing w:val="-2"/>
                <w:szCs w:val="20"/>
                <w:lang w:val="en-GB"/>
              </w:rPr>
              <w:t>%</w:t>
            </w:r>
            <w:r w:rsidR="00AD0BF8">
              <w:rPr>
                <w:spacing w:val="-2"/>
                <w:szCs w:val="20"/>
                <w:lang w:val="en-GB"/>
              </w:rPr>
              <w:t xml:space="preserve"> in 2016</w:t>
            </w:r>
            <w:r w:rsidR="00F93688" w:rsidRPr="00412F61">
              <w:rPr>
                <w:spacing w:val="-2"/>
                <w:szCs w:val="20"/>
                <w:lang w:val="en-GB"/>
              </w:rPr>
              <w:t xml:space="preserve">, </w:t>
            </w:r>
            <w:r w:rsidR="00275004" w:rsidRPr="00412F61">
              <w:rPr>
                <w:spacing w:val="-2"/>
                <w:szCs w:val="20"/>
                <w:lang w:val="en-GB"/>
              </w:rPr>
              <w:t xml:space="preserve">it fell below 3% at the beginning of this year and shrank to 1.5% in Q2 </w:t>
            </w:r>
            <w:r w:rsidR="00F93688" w:rsidRPr="00412F61">
              <w:rPr>
                <w:spacing w:val="-2"/>
                <w:szCs w:val="20"/>
                <w:lang w:val="en-GB"/>
              </w:rPr>
              <w:t>(</w:t>
            </w:r>
            <w:r w:rsidR="00624345" w:rsidRPr="00412F61">
              <w:rPr>
                <w:spacing w:val="-2"/>
                <w:szCs w:val="20"/>
                <w:lang w:val="en-GB"/>
              </w:rPr>
              <w:t>the weakest rate of growth since the end of the last recession</w:t>
            </w:r>
            <w:r w:rsidR="00F93688" w:rsidRPr="00412F61">
              <w:rPr>
                <w:spacing w:val="-2"/>
                <w:szCs w:val="20"/>
                <w:lang w:val="en-GB"/>
              </w:rPr>
              <w:t xml:space="preserve">). </w:t>
            </w:r>
            <w:r w:rsidR="007C0BD4" w:rsidRPr="00412F61">
              <w:rPr>
                <w:spacing w:val="-2"/>
                <w:szCs w:val="20"/>
                <w:lang w:val="en-GB"/>
              </w:rPr>
              <w:t xml:space="preserve">New orders also </w:t>
            </w:r>
            <w:r w:rsidR="00FA4FEB" w:rsidRPr="00412F61">
              <w:rPr>
                <w:spacing w:val="-2"/>
                <w:szCs w:val="20"/>
                <w:lang w:val="en-GB"/>
              </w:rPr>
              <w:t xml:space="preserve">provided </w:t>
            </w:r>
            <w:r w:rsidR="007C0BD4" w:rsidRPr="00412F61">
              <w:rPr>
                <w:spacing w:val="-2"/>
                <w:szCs w:val="20"/>
                <w:lang w:val="en-GB"/>
              </w:rPr>
              <w:t xml:space="preserve">signs of </w:t>
            </w:r>
            <w:proofErr w:type="spellStart"/>
            <w:r w:rsidR="00FA4FEB" w:rsidRPr="00412F61">
              <w:rPr>
                <w:spacing w:val="-2"/>
                <w:szCs w:val="20"/>
                <w:lang w:val="en-GB"/>
              </w:rPr>
              <w:t>unsustainability</w:t>
            </w:r>
            <w:proofErr w:type="spellEnd"/>
            <w:r w:rsidR="00FA4FEB" w:rsidRPr="00412F61">
              <w:rPr>
                <w:spacing w:val="-2"/>
                <w:szCs w:val="20"/>
                <w:lang w:val="en-GB"/>
              </w:rPr>
              <w:t xml:space="preserve"> of the high production dynamics </w:t>
            </w:r>
            <w:r w:rsidR="007C0BD4" w:rsidRPr="00412F61">
              <w:rPr>
                <w:spacing w:val="-2"/>
                <w:szCs w:val="20"/>
                <w:lang w:val="en-GB"/>
              </w:rPr>
              <w:t>in this branch, with their volume</w:t>
            </w:r>
            <w:r w:rsidR="00FA4FEB" w:rsidRPr="00412F61">
              <w:rPr>
                <w:spacing w:val="-2"/>
                <w:szCs w:val="20"/>
                <w:lang w:val="en-GB"/>
              </w:rPr>
              <w:t xml:space="preserve"> stagnating already since Q2 2017. </w:t>
            </w:r>
            <w:r w:rsidR="009160B0" w:rsidRPr="00412F61">
              <w:rPr>
                <w:spacing w:val="-2"/>
                <w:szCs w:val="20"/>
                <w:lang w:val="en-GB"/>
              </w:rPr>
              <w:t xml:space="preserve">Manufacture of rubber and plastic products </w:t>
            </w:r>
            <w:r w:rsidR="002F624E" w:rsidRPr="00412F61">
              <w:rPr>
                <w:spacing w:val="-2"/>
                <w:szCs w:val="20"/>
                <w:lang w:val="en-GB"/>
              </w:rPr>
              <w:t>also experienced similar development in the last months.</w:t>
            </w:r>
            <w:r w:rsidR="0014170D" w:rsidRPr="00412F61">
              <w:rPr>
                <w:spacing w:val="-2"/>
                <w:szCs w:val="20"/>
                <w:lang w:val="en-GB"/>
              </w:rPr>
              <w:t xml:space="preserve"> In contrast another branch linked to the </w:t>
            </w:r>
            <w:r w:rsidR="00AD0BF8">
              <w:rPr>
                <w:spacing w:val="-2"/>
                <w:szCs w:val="20"/>
                <w:lang w:val="en-GB"/>
              </w:rPr>
              <w:t xml:space="preserve">manufacture of motor </w:t>
            </w:r>
            <w:proofErr w:type="gramStart"/>
            <w:r w:rsidR="00AD0BF8">
              <w:rPr>
                <w:spacing w:val="-2"/>
                <w:szCs w:val="20"/>
                <w:lang w:val="en-GB"/>
              </w:rPr>
              <w:t xml:space="preserve">vehicles </w:t>
            </w:r>
            <w:r w:rsidR="002F624E" w:rsidRPr="00412F61">
              <w:rPr>
                <w:spacing w:val="-2"/>
                <w:szCs w:val="20"/>
                <w:lang w:val="en-GB"/>
              </w:rPr>
              <w:t xml:space="preserve"> </w:t>
            </w:r>
            <w:r w:rsidR="00AD0BF8" w:rsidRPr="00412F61">
              <w:rPr>
                <w:spacing w:val="-2"/>
                <w:szCs w:val="20"/>
                <w:lang w:val="en-GB"/>
              </w:rPr>
              <w:t>–</w:t>
            </w:r>
            <w:proofErr w:type="gramEnd"/>
            <w:r w:rsidR="002F624E" w:rsidRPr="00412F61">
              <w:rPr>
                <w:spacing w:val="-2"/>
                <w:szCs w:val="20"/>
                <w:lang w:val="en-GB"/>
              </w:rPr>
              <w:t xml:space="preserve"> </w:t>
            </w:r>
            <w:r w:rsidR="00AD0BF8">
              <w:rPr>
                <w:spacing w:val="-2"/>
                <w:szCs w:val="20"/>
                <w:lang w:val="en-GB"/>
              </w:rPr>
              <w:t>manufacture of electrical equipment</w:t>
            </w:r>
            <w:r w:rsidR="00572A10" w:rsidRPr="00412F61">
              <w:rPr>
                <w:spacing w:val="-2"/>
                <w:szCs w:val="20"/>
                <w:lang w:val="en-GB"/>
              </w:rPr>
              <w:t xml:space="preserve"> – had success this year similar to the last year (growth between 7 and 8% in H1).</w:t>
            </w:r>
          </w:p>
        </w:tc>
      </w:tr>
      <w:tr w:rsidR="00061917" w:rsidRPr="00412F61" w:rsidTr="00061917">
        <w:trPr>
          <w:trHeight w:val="145"/>
        </w:trPr>
        <w:tc>
          <w:tcPr>
            <w:tcW w:w="1840" w:type="dxa"/>
            <w:shd w:val="clear" w:color="auto" w:fill="auto"/>
            <w:tcMar>
              <w:left w:w="0" w:type="dxa"/>
            </w:tcMar>
          </w:tcPr>
          <w:p w:rsidR="00061917" w:rsidRPr="00412F61" w:rsidRDefault="00061917" w:rsidP="00F318C5">
            <w:pPr>
              <w:pStyle w:val="Marginlie"/>
              <w:rPr>
                <w:lang w:val="en-GB"/>
              </w:rPr>
            </w:pPr>
            <w:r>
              <w:rPr>
                <w:lang w:val="en-GB"/>
              </w:rPr>
              <w:t>...</w:t>
            </w:r>
            <w:r w:rsidRPr="00412F61">
              <w:rPr>
                <w:lang w:val="en-GB"/>
              </w:rPr>
              <w:t> </w:t>
            </w:r>
            <w:proofErr w:type="gramStart"/>
            <w:r>
              <w:rPr>
                <w:lang w:val="en-GB"/>
              </w:rPr>
              <w:t>manufacture</w:t>
            </w:r>
            <w:proofErr w:type="gramEnd"/>
            <w:r>
              <w:rPr>
                <w:lang w:val="en-GB"/>
              </w:rPr>
              <w:t xml:space="preserve"> of electrical equipment</w:t>
            </w:r>
            <w:r w:rsidRPr="00412F61">
              <w:rPr>
                <w:lang w:val="en-GB"/>
              </w:rPr>
              <w:t xml:space="preserve"> as wel</w:t>
            </w:r>
            <w:r>
              <w:rPr>
                <w:lang w:val="en-GB"/>
              </w:rPr>
              <w:t>l as production</w:t>
            </w:r>
            <w:r w:rsidRPr="00412F61">
              <w:rPr>
                <w:lang w:val="en-GB"/>
              </w:rPr>
              <w:t xml:space="preserve"> of </w:t>
            </w:r>
            <w:r w:rsidRPr="00412F61">
              <w:rPr>
                <w:lang w:val="en-GB"/>
              </w:rPr>
              <w:lastRenderedPageBreak/>
              <w:t xml:space="preserve">computers and optical products continued to thrive. </w:t>
            </w:r>
          </w:p>
          <w:p w:rsidR="00061917" w:rsidRPr="00412F61" w:rsidRDefault="00061917" w:rsidP="00F318C5">
            <w:pPr>
              <w:pStyle w:val="Marginlie"/>
              <w:rPr>
                <w:lang w:val="en-GB"/>
              </w:rPr>
            </w:pPr>
          </w:p>
          <w:p w:rsidR="00061917" w:rsidRPr="00412F61" w:rsidRDefault="00061917" w:rsidP="00F318C5">
            <w:pPr>
              <w:pStyle w:val="Marginlie"/>
              <w:rPr>
                <w:lang w:val="en-GB"/>
              </w:rPr>
            </w:pPr>
          </w:p>
          <w:p w:rsidR="00061917" w:rsidRPr="00412F61" w:rsidRDefault="00061917" w:rsidP="00F318C5">
            <w:pPr>
              <w:pStyle w:val="Marginlie"/>
              <w:rPr>
                <w:lang w:val="en-GB"/>
              </w:rPr>
            </w:pPr>
          </w:p>
          <w:p w:rsidR="00061917" w:rsidRPr="00412F61" w:rsidRDefault="00061917" w:rsidP="00F318C5">
            <w:pPr>
              <w:pStyle w:val="Marginlie"/>
              <w:rPr>
                <w:lang w:val="en-GB"/>
              </w:rPr>
            </w:pPr>
          </w:p>
          <w:p w:rsidR="00061917" w:rsidRPr="00412F61" w:rsidRDefault="00061917" w:rsidP="00F318C5">
            <w:pPr>
              <w:pStyle w:val="Marginlie"/>
              <w:rPr>
                <w:lang w:val="en-GB"/>
              </w:rPr>
            </w:pPr>
          </w:p>
          <w:p w:rsidR="00061917" w:rsidRPr="00412F61" w:rsidRDefault="00061917" w:rsidP="00F318C5">
            <w:pPr>
              <w:pStyle w:val="Marginlie"/>
              <w:rPr>
                <w:lang w:val="en-GB"/>
              </w:rPr>
            </w:pPr>
            <w:r w:rsidRPr="00412F61">
              <w:rPr>
                <w:lang w:val="en-GB"/>
              </w:rPr>
              <w:t xml:space="preserve">Position of metallurgy and foundry industry or mining industry improved </w:t>
            </w:r>
            <w:proofErr w:type="gramStart"/>
            <w:r w:rsidRPr="00412F61">
              <w:rPr>
                <w:lang w:val="en-GB"/>
              </w:rPr>
              <w:t>Most smaller</w:t>
            </w:r>
            <w:proofErr w:type="gramEnd"/>
            <w:r w:rsidRPr="00412F61">
              <w:rPr>
                <w:lang w:val="en-GB"/>
              </w:rPr>
              <w:t xml:space="preserve"> industrial branches kept doing well.</w:t>
            </w:r>
          </w:p>
        </w:tc>
        <w:tc>
          <w:tcPr>
            <w:tcW w:w="241" w:type="dxa"/>
            <w:shd w:val="clear" w:color="auto" w:fill="auto"/>
            <w:tcMar>
              <w:left w:w="0" w:type="dxa"/>
            </w:tcMar>
          </w:tcPr>
          <w:p w:rsidR="00061917" w:rsidRPr="00412F61" w:rsidRDefault="00061917" w:rsidP="00F318C5">
            <w:pPr>
              <w:pStyle w:val="Textpoznpodarou"/>
              <w:jc w:val="both"/>
              <w:rPr>
                <w:spacing w:val="-4"/>
                <w:lang w:val="en-GB"/>
              </w:rPr>
            </w:pPr>
          </w:p>
        </w:tc>
        <w:tc>
          <w:tcPr>
            <w:tcW w:w="7563" w:type="dxa"/>
            <w:shd w:val="clear" w:color="auto" w:fill="auto"/>
            <w:tcMar>
              <w:left w:w="0" w:type="dxa"/>
            </w:tcMar>
          </w:tcPr>
          <w:p w:rsidR="00061917" w:rsidRPr="00DE6995" w:rsidRDefault="00061917" w:rsidP="00F318C5">
            <w:pPr>
              <w:spacing w:after="200"/>
              <w:rPr>
                <w:rFonts w:cs="Arial"/>
                <w:color w:val="0D0D0D" w:themeColor="text1" w:themeTint="F2"/>
                <w:spacing w:val="-4"/>
                <w:lang w:val="en-GB"/>
              </w:rPr>
            </w:pPr>
            <w:r w:rsidRPr="00412F61">
              <w:rPr>
                <w:spacing w:val="-2"/>
                <w:szCs w:val="20"/>
                <w:lang w:val="en-GB"/>
              </w:rPr>
              <w:t>Manufacturers of motor vehicles together with the nearest associated branches thus participated on the growth of the industrial production in nearly one third this year</w:t>
            </w:r>
            <w:r w:rsidRPr="00412F61">
              <w:rPr>
                <w:rFonts w:cs="Arial"/>
                <w:color w:val="0D0D0D" w:themeColor="text1" w:themeTint="F2"/>
                <w:spacing w:val="-4"/>
                <w:lang w:val="en-GB"/>
              </w:rPr>
              <w:t xml:space="preserve">. </w:t>
            </w:r>
            <w:r w:rsidRPr="00412F61">
              <w:rPr>
                <w:rFonts w:cs="Arial"/>
                <w:color w:val="0D0D0D" w:themeColor="text1" w:themeTint="F2"/>
                <w:spacing w:val="-4"/>
                <w:lang w:val="en-GB"/>
              </w:rPr>
              <w:lastRenderedPageBreak/>
              <w:t xml:space="preserve">Markedly export oriented manufacture of computers and electronic and optical products became the most dynamic industrial branch, the output increased by 10.8% in H1 </w:t>
            </w:r>
            <w:r w:rsidRPr="00412F61">
              <w:rPr>
                <w:lang w:val="en-GB"/>
              </w:rPr>
              <w:t xml:space="preserve">(by nearly one quarter in two years). Weight significant branches machinery and manufacture of metal products also prospered. Manufacturers of other non-metal mineral products benefited from the strong domestic demand for building materials already second year in a row. Position of metallurgy and foundry industry, similarly to manufacture of other (mainly rail) transport vehicles improved compared to the last year. The strong growth impulse connected to the end of the forced shutdown on the contrary faded away in the chemical industry </w:t>
            </w:r>
            <w:r w:rsidRPr="00412F61">
              <w:rPr>
                <w:rFonts w:cs="Arial"/>
                <w:color w:val="0D0D0D" w:themeColor="text1" w:themeTint="F2"/>
                <w:spacing w:val="-4"/>
                <w:lang w:val="en-GB"/>
              </w:rPr>
              <w:t>(still the production here grew by nearly 5% this year). The majority of smaller manufacturing branches also kept getting ascribed positive results (manufacture of wearing apparel, wood products as well as furniture).  The manufacture of leather goods, whose performance sank deep this year following a short-term recovery in years 2016 as well as 2017 (–25%)</w:t>
            </w:r>
            <w:r w:rsidRPr="00412F61">
              <w:rPr>
                <w:rStyle w:val="Znakapoznpodarou"/>
                <w:color w:val="0D0D0D" w:themeColor="text1" w:themeTint="F2"/>
                <w:spacing w:val="-4"/>
                <w:lang w:val="en-GB"/>
              </w:rPr>
              <w:footnoteReference w:id="4"/>
            </w:r>
            <w:r w:rsidRPr="00412F61">
              <w:rPr>
                <w:rFonts w:cs="Arial"/>
                <w:color w:val="0D0D0D" w:themeColor="text1" w:themeTint="F2"/>
                <w:spacing w:val="-4"/>
                <w:lang w:val="en-GB"/>
              </w:rPr>
              <w:t xml:space="preserve"> represented the exception. Among non-manufacturing activities, the position of the mining industry improved.  It was thanks to the higher demand for building materials (stone, sand), but newly also halting of the production fall in the weight dominant mining of brown coal. This year´s drop of output in </w:t>
            </w:r>
            <w:proofErr w:type="spellStart"/>
            <w:r w:rsidRPr="00412F61">
              <w:rPr>
                <w:rFonts w:cs="Arial"/>
                <w:color w:val="0D0D0D" w:themeColor="text1" w:themeTint="F2"/>
                <w:spacing w:val="-4"/>
                <w:lang w:val="en-GB"/>
              </w:rPr>
              <w:t>energetics</w:t>
            </w:r>
            <w:proofErr w:type="spellEnd"/>
            <w:r w:rsidRPr="00412F61">
              <w:rPr>
                <w:rFonts w:cs="Arial"/>
                <w:color w:val="0D0D0D" w:themeColor="text1" w:themeTint="F2"/>
                <w:spacing w:val="-4"/>
                <w:lang w:val="en-GB"/>
              </w:rPr>
              <w:t xml:space="preserve"> (–2.5%) was associated with the mild winter</w:t>
            </w:r>
            <w:r>
              <w:rPr>
                <w:rFonts w:cs="Arial"/>
                <w:color w:val="0D0D0D" w:themeColor="text1" w:themeTint="F2"/>
                <w:spacing w:val="-4"/>
                <w:lang w:val="en-GB"/>
              </w:rPr>
              <w:t xml:space="preserve"> temperatures</w:t>
            </w:r>
            <w:r w:rsidRPr="00412F61">
              <w:rPr>
                <w:rFonts w:cs="Arial"/>
                <w:color w:val="0D0D0D" w:themeColor="text1" w:themeTint="F2"/>
                <w:spacing w:val="-4"/>
                <w:lang w:val="en-GB"/>
              </w:rPr>
              <w:t xml:space="preserve"> as well as the short-term fluctuations of the production in the nuclear power plants.</w:t>
            </w:r>
          </w:p>
        </w:tc>
      </w:tr>
      <w:tr w:rsidR="00061917" w:rsidRPr="00412F61" w:rsidTr="00061917">
        <w:trPr>
          <w:trHeight w:val="145"/>
        </w:trPr>
        <w:tc>
          <w:tcPr>
            <w:tcW w:w="1840" w:type="dxa"/>
            <w:shd w:val="clear" w:color="auto" w:fill="auto"/>
            <w:tcMar>
              <w:left w:w="0" w:type="dxa"/>
            </w:tcMar>
          </w:tcPr>
          <w:p w:rsidR="00061917" w:rsidRPr="00412F61" w:rsidRDefault="00061917" w:rsidP="00EA513E">
            <w:pPr>
              <w:pStyle w:val="Marginlie"/>
              <w:rPr>
                <w:lang w:val="en-GB"/>
              </w:rPr>
            </w:pPr>
            <w:r w:rsidRPr="00412F61">
              <w:rPr>
                <w:lang w:val="en-GB"/>
              </w:rPr>
              <w:lastRenderedPageBreak/>
              <w:t xml:space="preserve"> </w:t>
            </w:r>
          </w:p>
        </w:tc>
        <w:tc>
          <w:tcPr>
            <w:tcW w:w="241" w:type="dxa"/>
            <w:shd w:val="clear" w:color="auto" w:fill="auto"/>
            <w:tcMar>
              <w:left w:w="0" w:type="dxa"/>
            </w:tcMar>
          </w:tcPr>
          <w:p w:rsidR="00061917" w:rsidRPr="00412F61" w:rsidRDefault="00061917" w:rsidP="00EA513E">
            <w:pPr>
              <w:pStyle w:val="Textpoznpodarou"/>
              <w:jc w:val="both"/>
              <w:rPr>
                <w:spacing w:val="-4"/>
                <w:lang w:val="en-GB"/>
              </w:rPr>
            </w:pPr>
          </w:p>
        </w:tc>
        <w:tc>
          <w:tcPr>
            <w:tcW w:w="7563" w:type="dxa"/>
            <w:shd w:val="clear" w:color="auto" w:fill="auto"/>
            <w:tcMar>
              <w:left w:w="0" w:type="dxa"/>
            </w:tcMar>
          </w:tcPr>
          <w:p w:rsidR="00061917" w:rsidRPr="00412F61" w:rsidRDefault="00061917" w:rsidP="00525E7F">
            <w:pPr>
              <w:spacing w:after="0" w:line="240" w:lineRule="auto"/>
              <w:rPr>
                <w:lang w:val="en-GB"/>
              </w:rPr>
            </w:pPr>
            <w:r w:rsidRPr="00DA467C">
              <w:rPr>
                <w:rFonts w:cs="Arial"/>
                <w:b/>
                <w:bCs/>
                <w:color w:val="000000"/>
                <w:szCs w:val="20"/>
                <w:lang w:val="en-GB"/>
              </w:rPr>
              <w:t>Chart 5 Contributions of sub-branches to the year-on-year change of the total industrial production</w:t>
            </w:r>
            <w:r w:rsidRPr="00412F61">
              <w:rPr>
                <w:rFonts w:cs="Arial"/>
                <w:b/>
                <w:bCs/>
                <w:color w:val="000000"/>
                <w:sz w:val="18"/>
                <w:szCs w:val="18"/>
                <w:lang w:val="en-GB"/>
              </w:rPr>
              <w:t xml:space="preserve"> </w:t>
            </w:r>
            <w:r w:rsidRPr="00412F61">
              <w:rPr>
                <w:lang w:val="en-GB"/>
              </w:rPr>
              <w:t>(in percentage points, adjusted for calendar effects)</w:t>
            </w:r>
          </w:p>
        </w:tc>
      </w:tr>
      <w:tr w:rsidR="00061917" w:rsidRPr="00412F61" w:rsidTr="00061917">
        <w:trPr>
          <w:trHeight w:val="145"/>
        </w:trPr>
        <w:tc>
          <w:tcPr>
            <w:tcW w:w="1840" w:type="dxa"/>
            <w:shd w:val="clear" w:color="auto" w:fill="auto"/>
            <w:tcMar>
              <w:left w:w="0" w:type="dxa"/>
            </w:tcMar>
          </w:tcPr>
          <w:p w:rsidR="00061917" w:rsidRPr="00412F61" w:rsidRDefault="00061917" w:rsidP="008417B5">
            <w:pPr>
              <w:pStyle w:val="Marginlie"/>
              <w:rPr>
                <w:lang w:val="en-GB"/>
              </w:rPr>
            </w:pPr>
          </w:p>
        </w:tc>
        <w:tc>
          <w:tcPr>
            <w:tcW w:w="241" w:type="dxa"/>
            <w:shd w:val="clear" w:color="auto" w:fill="auto"/>
            <w:tcMar>
              <w:left w:w="0" w:type="dxa"/>
            </w:tcMar>
          </w:tcPr>
          <w:p w:rsidR="00061917" w:rsidRPr="00412F61" w:rsidRDefault="00061917" w:rsidP="008417B5">
            <w:pPr>
              <w:pStyle w:val="Textpoznpodarou"/>
              <w:jc w:val="both"/>
              <w:rPr>
                <w:spacing w:val="-4"/>
                <w:lang w:val="en-GB"/>
              </w:rPr>
            </w:pPr>
          </w:p>
        </w:tc>
        <w:tc>
          <w:tcPr>
            <w:tcW w:w="7563" w:type="dxa"/>
            <w:shd w:val="clear" w:color="auto" w:fill="auto"/>
            <w:tcMar>
              <w:left w:w="0" w:type="dxa"/>
            </w:tcMar>
          </w:tcPr>
          <w:p w:rsidR="00061917" w:rsidRPr="00412F61" w:rsidRDefault="00061917" w:rsidP="005F114F">
            <w:pPr>
              <w:spacing w:after="0"/>
              <w:rPr>
                <w:spacing w:val="-2"/>
                <w:szCs w:val="20"/>
                <w:lang w:val="en-GB"/>
              </w:rPr>
            </w:pPr>
            <w:r w:rsidRPr="00DE6995">
              <w:rPr>
                <w:noProof/>
                <w:spacing w:val="-2"/>
                <w:szCs w:val="20"/>
              </w:rPr>
              <w:drawing>
                <wp:inline distT="0" distB="0" distL="0" distR="0">
                  <wp:extent cx="4796003" cy="3603406"/>
                  <wp:effectExtent l="0" t="0" r="0"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061917" w:rsidRPr="00412F61" w:rsidTr="00061917">
        <w:trPr>
          <w:trHeight w:val="145"/>
        </w:trPr>
        <w:tc>
          <w:tcPr>
            <w:tcW w:w="1840" w:type="dxa"/>
            <w:shd w:val="clear" w:color="auto" w:fill="auto"/>
            <w:tcMar>
              <w:left w:w="0" w:type="dxa"/>
            </w:tcMar>
          </w:tcPr>
          <w:p w:rsidR="00061917" w:rsidRPr="00412F61" w:rsidRDefault="00061917" w:rsidP="008417B5">
            <w:pPr>
              <w:pStyle w:val="Marginlie"/>
              <w:rPr>
                <w:lang w:val="en-GB"/>
              </w:rPr>
            </w:pPr>
          </w:p>
        </w:tc>
        <w:tc>
          <w:tcPr>
            <w:tcW w:w="241" w:type="dxa"/>
            <w:shd w:val="clear" w:color="auto" w:fill="auto"/>
            <w:tcMar>
              <w:left w:w="0" w:type="dxa"/>
            </w:tcMar>
          </w:tcPr>
          <w:p w:rsidR="00061917" w:rsidRPr="00412F61" w:rsidRDefault="00061917" w:rsidP="008417B5">
            <w:pPr>
              <w:pStyle w:val="Textpoznpodarou"/>
              <w:jc w:val="both"/>
              <w:rPr>
                <w:spacing w:val="-4"/>
                <w:lang w:val="en-GB"/>
              </w:rPr>
            </w:pPr>
          </w:p>
        </w:tc>
        <w:tc>
          <w:tcPr>
            <w:tcW w:w="7563" w:type="dxa"/>
            <w:shd w:val="clear" w:color="auto" w:fill="auto"/>
            <w:tcMar>
              <w:left w:w="0" w:type="dxa"/>
            </w:tcMar>
          </w:tcPr>
          <w:p w:rsidR="00061917" w:rsidRPr="002A4FB0" w:rsidRDefault="00061917" w:rsidP="002A4FB0">
            <w:pPr>
              <w:spacing w:after="220"/>
              <w:rPr>
                <w:color w:val="0D0D0D" w:themeColor="text1" w:themeTint="F2"/>
                <w:spacing w:val="-4"/>
                <w:lang w:val="en-GB"/>
              </w:rPr>
            </w:pPr>
            <w:r w:rsidRPr="00412F61">
              <w:rPr>
                <w:rFonts w:cs="Arial"/>
                <w:sz w:val="14"/>
                <w:szCs w:val="14"/>
                <w:lang w:val="en-GB"/>
              </w:rPr>
              <w:t>Source: CZS</w:t>
            </w:r>
            <w:r>
              <w:rPr>
                <w:rFonts w:cs="Arial"/>
                <w:sz w:val="14"/>
                <w:szCs w:val="14"/>
                <w:lang w:val="en-GB"/>
              </w:rPr>
              <w:t>O</w:t>
            </w:r>
          </w:p>
        </w:tc>
      </w:tr>
      <w:tr w:rsidR="00061917" w:rsidRPr="00412F61" w:rsidTr="00061917">
        <w:trPr>
          <w:trHeight w:val="145"/>
        </w:trPr>
        <w:tc>
          <w:tcPr>
            <w:tcW w:w="1840" w:type="dxa"/>
            <w:shd w:val="clear" w:color="auto" w:fill="auto"/>
            <w:tcMar>
              <w:left w:w="0" w:type="dxa"/>
            </w:tcMar>
          </w:tcPr>
          <w:p w:rsidR="00061917" w:rsidRPr="00412F61" w:rsidRDefault="00061917" w:rsidP="00874BBC">
            <w:pPr>
              <w:pStyle w:val="Marginlie"/>
              <w:rPr>
                <w:lang w:val="en-GB"/>
              </w:rPr>
            </w:pPr>
            <w:r w:rsidRPr="00412F61">
              <w:rPr>
                <w:lang w:val="en-GB"/>
              </w:rPr>
              <w:t>Growth of sa</w:t>
            </w:r>
            <w:r>
              <w:rPr>
                <w:lang w:val="en-GB"/>
              </w:rPr>
              <w:t>les of industrial businesses almost</w:t>
            </w:r>
            <w:r w:rsidRPr="00412F61">
              <w:rPr>
                <w:lang w:val="en-GB"/>
              </w:rPr>
              <w:t xml:space="preserve"> ceased. They increased the most in metallurgy and foundry industry.  </w:t>
            </w:r>
          </w:p>
        </w:tc>
        <w:tc>
          <w:tcPr>
            <w:tcW w:w="241" w:type="dxa"/>
            <w:shd w:val="clear" w:color="auto" w:fill="auto"/>
            <w:tcMar>
              <w:left w:w="0" w:type="dxa"/>
            </w:tcMar>
          </w:tcPr>
          <w:p w:rsidR="00061917" w:rsidRPr="00412F61" w:rsidRDefault="00061917" w:rsidP="00793D78">
            <w:pPr>
              <w:pStyle w:val="Textpoznpodarou"/>
              <w:jc w:val="both"/>
              <w:rPr>
                <w:spacing w:val="-4"/>
                <w:lang w:val="en-GB"/>
              </w:rPr>
            </w:pPr>
          </w:p>
        </w:tc>
        <w:tc>
          <w:tcPr>
            <w:tcW w:w="7563" w:type="dxa"/>
            <w:shd w:val="clear" w:color="auto" w:fill="auto"/>
            <w:tcMar>
              <w:left w:w="0" w:type="dxa"/>
            </w:tcMar>
          </w:tcPr>
          <w:p w:rsidR="00061917" w:rsidRPr="00412F61" w:rsidRDefault="00061917" w:rsidP="00DE6995">
            <w:pPr>
              <w:spacing w:after="200"/>
              <w:rPr>
                <w:color w:val="0D0D0D" w:themeColor="text1" w:themeTint="F2"/>
                <w:spacing w:val="-4"/>
                <w:lang w:val="en-GB"/>
              </w:rPr>
            </w:pPr>
            <w:r w:rsidRPr="00412F61">
              <w:rPr>
                <w:color w:val="0D0D0D" w:themeColor="text1" w:themeTint="F2"/>
                <w:spacing w:val="-4"/>
                <w:lang w:val="en-GB"/>
              </w:rPr>
              <w:t xml:space="preserve">Growth of the nominal sales of industrial businesses halted this year. They stagnated year-on-year in Q1 and increased by moderate 2.1% in the following quarter. While the domestic sales of businesses grew faster than the sales from the direct export for the whole last year, their growths practically aligned in Q2. Sales grew the most – by one tenth – in metallurgy and foundry industry in H1, by half-pace then in manufacture of metal products, wood industry and also in other manufacturing activities (which include e.g. sport equipment, toys, musical instruments or bijouterie). Domestic sales as well as </w:t>
            </w:r>
            <w:r w:rsidRPr="00412F61">
              <w:rPr>
                <w:color w:val="0D0D0D" w:themeColor="text1" w:themeTint="F2"/>
                <w:spacing w:val="-4"/>
                <w:lang w:val="en-GB"/>
              </w:rPr>
              <w:lastRenderedPageBreak/>
              <w:t>sales from direct export of manufacturers of motor vehicles mildly fell (by 2.5% in total). This year´s development of new orders suggested sound outlook for the industrial businesses. Even though they increased only by just under 2%, the pace already fastened to 4.5% in Q2 and the newest data confirm this trend</w:t>
            </w:r>
            <w:r w:rsidRPr="00412F61">
              <w:rPr>
                <w:rStyle w:val="Znakapoznpodarou"/>
                <w:color w:val="0D0D0D" w:themeColor="text1" w:themeTint="F2"/>
                <w:spacing w:val="-4"/>
                <w:lang w:val="en-GB"/>
              </w:rPr>
              <w:footnoteReference w:id="5"/>
            </w:r>
            <w:r w:rsidRPr="00412F61">
              <w:rPr>
                <w:color w:val="0D0D0D" w:themeColor="text1" w:themeTint="F2"/>
                <w:spacing w:val="-4"/>
                <w:lang w:val="en-GB"/>
              </w:rPr>
              <w:t xml:space="preserve">. Metallurgy and foundry industry and also manufacture of metal products signalled the highest demand. Three quarters of the monitored branches had at least a moderate growth of orders.  </w:t>
            </w:r>
          </w:p>
        </w:tc>
      </w:tr>
      <w:tr w:rsidR="00061917" w:rsidRPr="00412F61" w:rsidTr="00061917">
        <w:trPr>
          <w:trHeight w:val="145"/>
        </w:trPr>
        <w:tc>
          <w:tcPr>
            <w:tcW w:w="1840" w:type="dxa"/>
            <w:shd w:val="clear" w:color="auto" w:fill="auto"/>
            <w:tcMar>
              <w:left w:w="0" w:type="dxa"/>
            </w:tcMar>
          </w:tcPr>
          <w:p w:rsidR="00061917" w:rsidRPr="00412F61" w:rsidRDefault="00061917" w:rsidP="008417B5">
            <w:pPr>
              <w:pStyle w:val="Marginlie"/>
              <w:rPr>
                <w:lang w:val="en-GB"/>
              </w:rPr>
            </w:pPr>
          </w:p>
        </w:tc>
        <w:tc>
          <w:tcPr>
            <w:tcW w:w="241" w:type="dxa"/>
            <w:shd w:val="clear" w:color="auto" w:fill="auto"/>
            <w:tcMar>
              <w:left w:w="0" w:type="dxa"/>
            </w:tcMar>
          </w:tcPr>
          <w:p w:rsidR="00061917" w:rsidRPr="00412F61" w:rsidRDefault="00061917" w:rsidP="008417B5">
            <w:pPr>
              <w:pStyle w:val="Textpoznpodarou"/>
              <w:jc w:val="both"/>
              <w:rPr>
                <w:spacing w:val="-4"/>
                <w:lang w:val="en-GB"/>
              </w:rPr>
            </w:pPr>
          </w:p>
        </w:tc>
        <w:tc>
          <w:tcPr>
            <w:tcW w:w="7563" w:type="dxa"/>
            <w:shd w:val="clear" w:color="auto" w:fill="auto"/>
            <w:tcMar>
              <w:left w:w="0" w:type="dxa"/>
            </w:tcMar>
          </w:tcPr>
          <w:p w:rsidR="00061917" w:rsidRPr="00412F61" w:rsidRDefault="00061917" w:rsidP="00F93688">
            <w:pPr>
              <w:pStyle w:val="Textpoznpodarou"/>
              <w:rPr>
                <w:lang w:val="en-GB"/>
              </w:rPr>
            </w:pPr>
            <w:r w:rsidRPr="00412F61">
              <w:rPr>
                <w:b/>
                <w:lang w:val="en-GB"/>
              </w:rPr>
              <w:t>Chart 6 New</w:t>
            </w:r>
            <w:r w:rsidRPr="00412F61">
              <w:rPr>
                <w:b/>
                <w:spacing w:val="-2"/>
                <w:lang w:val="en-GB"/>
              </w:rPr>
              <w:t xml:space="preserve"> orders in manufacture of motor vehicles, in industry in total </w:t>
            </w:r>
            <w:r w:rsidRPr="00412F61">
              <w:rPr>
                <w:spacing w:val="-2"/>
                <w:lang w:val="en-GB"/>
              </w:rPr>
              <w:t>(in current prices, year-on-year in %)</w:t>
            </w:r>
            <w:r w:rsidRPr="00412F61">
              <w:rPr>
                <w:bCs/>
                <w:spacing w:val="-2"/>
                <w:lang w:val="en-GB"/>
              </w:rPr>
              <w:t xml:space="preserve"> </w:t>
            </w:r>
            <w:r w:rsidRPr="00412F61">
              <w:rPr>
                <w:b/>
                <w:spacing w:val="-2"/>
                <w:lang w:val="en-GB"/>
              </w:rPr>
              <w:t>and balance of confidence indicator in industry</w:t>
            </w:r>
          </w:p>
        </w:tc>
      </w:tr>
      <w:tr w:rsidR="00061917" w:rsidRPr="00412F61" w:rsidTr="00061917">
        <w:trPr>
          <w:trHeight w:val="145"/>
        </w:trPr>
        <w:tc>
          <w:tcPr>
            <w:tcW w:w="1840" w:type="dxa"/>
            <w:shd w:val="clear" w:color="auto" w:fill="auto"/>
            <w:tcMar>
              <w:left w:w="0" w:type="dxa"/>
            </w:tcMar>
          </w:tcPr>
          <w:p w:rsidR="00061917" w:rsidRPr="00412F61" w:rsidRDefault="00061917" w:rsidP="008417B5">
            <w:pPr>
              <w:pStyle w:val="Marginlie"/>
              <w:rPr>
                <w:lang w:val="en-GB"/>
              </w:rPr>
            </w:pPr>
          </w:p>
        </w:tc>
        <w:tc>
          <w:tcPr>
            <w:tcW w:w="241" w:type="dxa"/>
            <w:shd w:val="clear" w:color="auto" w:fill="auto"/>
            <w:tcMar>
              <w:left w:w="0" w:type="dxa"/>
            </w:tcMar>
          </w:tcPr>
          <w:p w:rsidR="00061917" w:rsidRPr="00412F61" w:rsidRDefault="00061917" w:rsidP="008417B5">
            <w:pPr>
              <w:pStyle w:val="Textpoznpodarou"/>
              <w:jc w:val="both"/>
              <w:rPr>
                <w:spacing w:val="-4"/>
                <w:lang w:val="en-GB"/>
              </w:rPr>
            </w:pPr>
          </w:p>
        </w:tc>
        <w:tc>
          <w:tcPr>
            <w:tcW w:w="7563" w:type="dxa"/>
            <w:shd w:val="clear" w:color="auto" w:fill="auto"/>
            <w:tcMar>
              <w:left w:w="0" w:type="dxa"/>
            </w:tcMar>
          </w:tcPr>
          <w:p w:rsidR="00061917" w:rsidRPr="00412F61" w:rsidRDefault="00061917" w:rsidP="00840293">
            <w:pPr>
              <w:spacing w:after="0"/>
              <w:rPr>
                <w:color w:val="0D0D0D" w:themeColor="text1" w:themeTint="F2"/>
                <w:spacing w:val="-4"/>
                <w:lang w:val="en-GB"/>
              </w:rPr>
            </w:pPr>
            <w:r w:rsidRPr="00DE6995">
              <w:rPr>
                <w:noProof/>
                <w:color w:val="0D0D0D" w:themeColor="text1" w:themeTint="F2"/>
                <w:spacing w:val="-4"/>
              </w:rPr>
              <w:drawing>
                <wp:inline distT="0" distB="0" distL="0" distR="0">
                  <wp:extent cx="4772801" cy="3553200"/>
                  <wp:effectExtent l="0" t="0" r="0"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61917" w:rsidRPr="00412F61" w:rsidTr="00061917">
        <w:trPr>
          <w:trHeight w:val="145"/>
        </w:trPr>
        <w:tc>
          <w:tcPr>
            <w:tcW w:w="1840" w:type="dxa"/>
            <w:shd w:val="clear" w:color="auto" w:fill="auto"/>
            <w:tcMar>
              <w:left w:w="0" w:type="dxa"/>
            </w:tcMar>
          </w:tcPr>
          <w:p w:rsidR="00061917" w:rsidRPr="00412F61" w:rsidRDefault="00061917" w:rsidP="008417B5">
            <w:pPr>
              <w:pStyle w:val="Marginlie"/>
              <w:rPr>
                <w:lang w:val="en-GB"/>
              </w:rPr>
            </w:pPr>
          </w:p>
        </w:tc>
        <w:tc>
          <w:tcPr>
            <w:tcW w:w="241" w:type="dxa"/>
            <w:shd w:val="clear" w:color="auto" w:fill="auto"/>
            <w:tcMar>
              <w:left w:w="0" w:type="dxa"/>
            </w:tcMar>
          </w:tcPr>
          <w:p w:rsidR="00061917" w:rsidRPr="00412F61" w:rsidRDefault="00061917" w:rsidP="008417B5">
            <w:pPr>
              <w:pStyle w:val="Textpoznpodarou"/>
              <w:jc w:val="both"/>
              <w:rPr>
                <w:spacing w:val="-4"/>
                <w:lang w:val="en-GB"/>
              </w:rPr>
            </w:pPr>
          </w:p>
        </w:tc>
        <w:tc>
          <w:tcPr>
            <w:tcW w:w="7563" w:type="dxa"/>
            <w:shd w:val="clear" w:color="auto" w:fill="auto"/>
            <w:tcMar>
              <w:left w:w="0" w:type="dxa"/>
            </w:tcMar>
          </w:tcPr>
          <w:p w:rsidR="00061917" w:rsidRPr="00DE6995" w:rsidRDefault="00061917" w:rsidP="00DE6995">
            <w:pPr>
              <w:spacing w:after="200"/>
              <w:rPr>
                <w:rFonts w:cs="Arial"/>
                <w:sz w:val="14"/>
                <w:szCs w:val="14"/>
                <w:lang w:val="en-GB"/>
              </w:rPr>
            </w:pPr>
            <w:r w:rsidRPr="00412F61">
              <w:rPr>
                <w:rFonts w:cs="Arial"/>
                <w:sz w:val="14"/>
                <w:szCs w:val="14"/>
                <w:lang w:val="en-GB"/>
              </w:rPr>
              <w:t>Source: CZSO</w:t>
            </w:r>
          </w:p>
        </w:tc>
      </w:tr>
      <w:tr w:rsidR="00061917" w:rsidRPr="00412F61" w:rsidTr="00061917">
        <w:trPr>
          <w:trHeight w:val="145"/>
        </w:trPr>
        <w:tc>
          <w:tcPr>
            <w:tcW w:w="1840" w:type="dxa"/>
            <w:shd w:val="clear" w:color="auto" w:fill="auto"/>
            <w:tcMar>
              <w:left w:w="0" w:type="dxa"/>
            </w:tcMar>
          </w:tcPr>
          <w:p w:rsidR="00061917" w:rsidRPr="00412F61" w:rsidRDefault="00061917" w:rsidP="00793D78">
            <w:pPr>
              <w:pStyle w:val="Marginlie"/>
              <w:rPr>
                <w:lang w:val="en-GB"/>
              </w:rPr>
            </w:pPr>
            <w:r w:rsidRPr="00412F61">
              <w:rPr>
                <w:lang w:val="en-GB"/>
              </w:rPr>
              <w:t xml:space="preserve">Balance of the confidence indicator in industry was mildly falling this year, however it still remained in the positive band. </w:t>
            </w:r>
          </w:p>
          <w:p w:rsidR="00061917" w:rsidRPr="00412F61" w:rsidRDefault="00061917" w:rsidP="00793D78">
            <w:pPr>
              <w:pStyle w:val="Marginlie"/>
              <w:rPr>
                <w:lang w:val="en-GB"/>
              </w:rPr>
            </w:pPr>
            <w:r w:rsidRPr="00412F61">
              <w:rPr>
                <w:lang w:val="en-GB"/>
              </w:rPr>
              <w:t xml:space="preserve">Lack of employees still remains the main barrier to growth in industry. Role of the inadequate demand was the weakest since the end of the expansion phase of the past decade.  </w:t>
            </w:r>
          </w:p>
        </w:tc>
        <w:tc>
          <w:tcPr>
            <w:tcW w:w="241" w:type="dxa"/>
            <w:shd w:val="clear" w:color="auto" w:fill="auto"/>
            <w:tcMar>
              <w:left w:w="0" w:type="dxa"/>
            </w:tcMar>
          </w:tcPr>
          <w:p w:rsidR="00061917" w:rsidRPr="00412F61" w:rsidRDefault="00061917" w:rsidP="00793D78">
            <w:pPr>
              <w:pStyle w:val="Textpoznpodarou"/>
              <w:jc w:val="both"/>
              <w:rPr>
                <w:spacing w:val="-4"/>
                <w:lang w:val="en-GB"/>
              </w:rPr>
            </w:pPr>
          </w:p>
        </w:tc>
        <w:tc>
          <w:tcPr>
            <w:tcW w:w="7563" w:type="dxa"/>
            <w:shd w:val="clear" w:color="auto" w:fill="auto"/>
            <w:tcMar>
              <w:left w:w="0" w:type="dxa"/>
            </w:tcMar>
          </w:tcPr>
          <w:p w:rsidR="00061917" w:rsidRPr="00412F61" w:rsidRDefault="00061917" w:rsidP="00120D64">
            <w:pPr>
              <w:spacing w:after="200"/>
              <w:rPr>
                <w:rFonts w:cs="Arial"/>
                <w:color w:val="0D0D0D" w:themeColor="text1" w:themeTint="F2"/>
                <w:spacing w:val="-4"/>
                <w:lang w:val="en-GB"/>
              </w:rPr>
            </w:pPr>
            <w:r w:rsidRPr="00412F61">
              <w:rPr>
                <w:color w:val="0D0D0D" w:themeColor="text1" w:themeTint="F2"/>
                <w:spacing w:val="-4"/>
                <w:lang w:val="en-GB"/>
              </w:rPr>
              <w:t xml:space="preserve">The development of the seasonally adjusted balance of the confidence indicator (according to the evaluation of the managers of industrial businesses) also corresponded with the slowing growth of the performance indicator in industry. It was mildly falling during the year 2018 and hit its lowest value in the last thirteen months in July. Still it remained in the positive band </w:t>
            </w:r>
            <w:r w:rsidRPr="00412F61">
              <w:rPr>
                <w:rFonts w:cs="Arial"/>
                <w:color w:val="0D0D0D" w:themeColor="text1" w:themeTint="F2"/>
                <w:spacing w:val="-4"/>
                <w:lang w:val="en-GB"/>
              </w:rPr>
              <w:t>(+2.3 p. b.). The lack of employees presents the main barrier to growth in industry</w:t>
            </w:r>
            <w:r w:rsidRPr="00412F61">
              <w:rPr>
                <w:rStyle w:val="Znakapoznpodarou"/>
                <w:color w:val="0D0D0D" w:themeColor="text1" w:themeTint="F2"/>
                <w:spacing w:val="-4"/>
                <w:lang w:val="en-GB"/>
              </w:rPr>
              <w:footnoteReference w:id="6"/>
            </w:r>
            <w:r w:rsidRPr="00412F61">
              <w:rPr>
                <w:rFonts w:cs="Arial"/>
                <w:color w:val="0D0D0D" w:themeColor="text1" w:themeTint="F2"/>
                <w:spacing w:val="-4"/>
                <w:lang w:val="en-GB"/>
              </w:rPr>
              <w:t xml:space="preserve"> already since the half of the last year. 44% of businesses cited this barrier at the beginning of Q3 2018 – the most in the history of monitoring. Inadequate demand limited 32% businesses, which was the least since the expansion phase of the last decade. Current utilisation of production capacities in industry exceeded 86% (the highest value after year 2009). Short-term expectation of the development of employment stayed at the beginning of Q3 comparable to the same period of the last year. Share of businesses anticipating increase of employment was in comparison to businesses planning reduction by 8 p.p. higher. </w:t>
            </w:r>
          </w:p>
        </w:tc>
      </w:tr>
      <w:tr w:rsidR="00061917" w:rsidRPr="00412F61" w:rsidTr="00061917">
        <w:trPr>
          <w:trHeight w:val="145"/>
        </w:trPr>
        <w:tc>
          <w:tcPr>
            <w:tcW w:w="1840" w:type="dxa"/>
            <w:shd w:val="clear" w:color="auto" w:fill="auto"/>
            <w:tcMar>
              <w:left w:w="0" w:type="dxa"/>
            </w:tcMar>
          </w:tcPr>
          <w:p w:rsidR="00061917" w:rsidRPr="00412F61" w:rsidRDefault="00061917" w:rsidP="00793D78">
            <w:pPr>
              <w:pStyle w:val="Marginlie"/>
              <w:rPr>
                <w:lang w:val="en-GB"/>
              </w:rPr>
            </w:pPr>
            <w:r w:rsidRPr="00412F61">
              <w:rPr>
                <w:rFonts w:cs="Arial"/>
                <w:color w:val="0D0D0D" w:themeColor="text1" w:themeTint="F2"/>
                <w:spacing w:val="-4"/>
                <w:lang w:val="en-GB"/>
              </w:rPr>
              <w:t>Rate of growth</w:t>
            </w:r>
            <w:r>
              <w:rPr>
                <w:rFonts w:cs="Arial"/>
                <w:color w:val="0D0D0D" w:themeColor="text1" w:themeTint="F2"/>
                <w:spacing w:val="-4"/>
                <w:lang w:val="en-GB"/>
              </w:rPr>
              <w:t xml:space="preserve"> of registered</w:t>
            </w:r>
            <w:r w:rsidRPr="00412F61">
              <w:rPr>
                <w:rFonts w:cs="Arial"/>
                <w:color w:val="0D0D0D" w:themeColor="text1" w:themeTint="F2"/>
                <w:spacing w:val="-4"/>
                <w:lang w:val="en-GB"/>
              </w:rPr>
              <w:t xml:space="preserve"> employees</w:t>
            </w:r>
            <w:r>
              <w:rPr>
                <w:rFonts w:cs="Arial"/>
                <w:color w:val="0D0D0D" w:themeColor="text1" w:themeTint="F2"/>
                <w:spacing w:val="-4"/>
                <w:lang w:val="en-GB"/>
              </w:rPr>
              <w:t xml:space="preserve"> </w:t>
            </w:r>
            <w:r w:rsidRPr="00412F61">
              <w:rPr>
                <w:rFonts w:cs="Arial"/>
                <w:color w:val="0D0D0D" w:themeColor="text1" w:themeTint="F2"/>
                <w:spacing w:val="-4"/>
                <w:lang w:val="en-GB"/>
              </w:rPr>
              <w:t>was not slowing down</w:t>
            </w:r>
          </w:p>
        </w:tc>
        <w:tc>
          <w:tcPr>
            <w:tcW w:w="241" w:type="dxa"/>
            <w:shd w:val="clear" w:color="auto" w:fill="auto"/>
            <w:tcMar>
              <w:left w:w="0" w:type="dxa"/>
            </w:tcMar>
          </w:tcPr>
          <w:p w:rsidR="00061917" w:rsidRPr="00412F61" w:rsidRDefault="00061917" w:rsidP="00793D78">
            <w:pPr>
              <w:pStyle w:val="Textpoznpodarou"/>
              <w:jc w:val="both"/>
              <w:rPr>
                <w:spacing w:val="-4"/>
                <w:lang w:val="en-GB"/>
              </w:rPr>
            </w:pPr>
          </w:p>
        </w:tc>
        <w:tc>
          <w:tcPr>
            <w:tcW w:w="7563" w:type="dxa"/>
            <w:shd w:val="clear" w:color="auto" w:fill="auto"/>
            <w:tcMar>
              <w:left w:w="0" w:type="dxa"/>
            </w:tcMar>
          </w:tcPr>
          <w:p w:rsidR="00061917" w:rsidRPr="00412F61" w:rsidRDefault="00061917" w:rsidP="00793D78">
            <w:pPr>
              <w:spacing w:after="200"/>
              <w:rPr>
                <w:color w:val="0D0D0D" w:themeColor="text1" w:themeTint="F2"/>
                <w:spacing w:val="-4"/>
                <w:lang w:val="en-GB"/>
              </w:rPr>
            </w:pPr>
            <w:r w:rsidRPr="00412F61">
              <w:rPr>
                <w:rFonts w:cs="Arial"/>
                <w:color w:val="0D0D0D" w:themeColor="text1" w:themeTint="F2"/>
                <w:spacing w:val="-4"/>
                <w:lang w:val="en-GB"/>
              </w:rPr>
              <w:t xml:space="preserve">Registered number of employees according to the business statistics expanded by 1.6% year-on year in H1. Rate of growth was not slowing down significantly compared to year 2017. The motor vehicle industry contributed to the higher number of employees (+20 </w:t>
            </w:r>
            <w:r w:rsidRPr="00412F61">
              <w:rPr>
                <w:rFonts w:cs="Arial"/>
                <w:color w:val="0D0D0D" w:themeColor="text1" w:themeTint="F2"/>
                <w:spacing w:val="-4"/>
                <w:lang w:val="en-GB"/>
              </w:rPr>
              <w:lastRenderedPageBreak/>
              <w:t xml:space="preserve">thousand) by nearly one third.  </w:t>
            </w:r>
            <w:proofErr w:type="spellStart"/>
            <w:r w:rsidRPr="00412F61">
              <w:rPr>
                <w:rFonts w:cs="Arial"/>
                <w:color w:val="0D0D0D" w:themeColor="text1" w:themeTint="F2"/>
                <w:spacing w:val="-4"/>
                <w:lang w:val="en-GB"/>
              </w:rPr>
              <w:t>Energetics</w:t>
            </w:r>
            <w:proofErr w:type="spellEnd"/>
            <w:r w:rsidRPr="00412F61">
              <w:rPr>
                <w:rFonts w:cs="Arial"/>
                <w:color w:val="0D0D0D" w:themeColor="text1" w:themeTint="F2"/>
                <w:spacing w:val="-4"/>
                <w:lang w:val="en-GB"/>
              </w:rPr>
              <w:t xml:space="preserve"> however added relatively the highest number of persons (+6.7%)</w:t>
            </w:r>
            <w:proofErr w:type="gramStart"/>
            <w:r w:rsidRPr="00412F61">
              <w:rPr>
                <w:rFonts w:cs="Arial"/>
                <w:color w:val="0D0D0D" w:themeColor="text1" w:themeTint="F2"/>
                <w:spacing w:val="-4"/>
                <w:lang w:val="en-GB"/>
              </w:rPr>
              <w:t>,</w:t>
            </w:r>
            <w:proofErr w:type="gramEnd"/>
            <w:r w:rsidRPr="00412F61">
              <w:rPr>
                <w:rFonts w:cs="Arial"/>
                <w:color w:val="0D0D0D" w:themeColor="text1" w:themeTint="F2"/>
                <w:spacing w:val="-4"/>
                <w:lang w:val="en-GB"/>
              </w:rPr>
              <w:t xml:space="preserve"> chemical and pharmaceutical industries also acquired more than 5% increase. Growth of average wages in industry did not accelerate significantly in contrast to other branches this year. It ranged between 7 and 9% in the majority of industrial branches. Notable differences however prevailed in the reached level of wages. It was 2.7 times higher in </w:t>
            </w:r>
            <w:proofErr w:type="spellStart"/>
            <w:r w:rsidRPr="00412F61">
              <w:rPr>
                <w:rFonts w:cs="Arial"/>
                <w:color w:val="0D0D0D" w:themeColor="text1" w:themeTint="F2"/>
                <w:spacing w:val="-4"/>
                <w:lang w:val="en-GB"/>
              </w:rPr>
              <w:t>energetics</w:t>
            </w:r>
            <w:proofErr w:type="spellEnd"/>
            <w:r w:rsidRPr="00412F61">
              <w:rPr>
                <w:rFonts w:cs="Arial"/>
                <w:color w:val="0D0D0D" w:themeColor="text1" w:themeTint="F2"/>
                <w:spacing w:val="-4"/>
                <w:lang w:val="en-GB"/>
              </w:rPr>
              <w:t xml:space="preserve"> than in the manufacture of wearing apparel (with the gross monthly wage just below 17 thousand CZK).  </w:t>
            </w:r>
          </w:p>
        </w:tc>
      </w:tr>
      <w:tr w:rsidR="00061917" w:rsidRPr="00412F61" w:rsidTr="00061917">
        <w:trPr>
          <w:trHeight w:val="145"/>
        </w:trPr>
        <w:tc>
          <w:tcPr>
            <w:tcW w:w="1840" w:type="dxa"/>
            <w:shd w:val="clear" w:color="auto" w:fill="auto"/>
            <w:tcMar>
              <w:left w:w="0" w:type="dxa"/>
            </w:tcMar>
          </w:tcPr>
          <w:p w:rsidR="00061917" w:rsidRPr="00412F61" w:rsidRDefault="00061917" w:rsidP="00793D78">
            <w:pPr>
              <w:pStyle w:val="Marginlie"/>
              <w:rPr>
                <w:spacing w:val="-4"/>
                <w:lang w:val="en-GB"/>
              </w:rPr>
            </w:pPr>
            <w:r w:rsidRPr="00412F61">
              <w:rPr>
                <w:spacing w:val="-4"/>
                <w:lang w:val="en-GB"/>
              </w:rPr>
              <w:lastRenderedPageBreak/>
              <w:t xml:space="preserve">Construction output increased by nearly 9% in H1. Civil engineering construction experienced a positive turn. Next to favourable weather, the accelerated drawing of funds from the EU budget also had an effect. </w:t>
            </w:r>
          </w:p>
          <w:p w:rsidR="00061917" w:rsidRPr="00412F61" w:rsidRDefault="00061917" w:rsidP="00793D78">
            <w:pPr>
              <w:pStyle w:val="Marginlie"/>
              <w:rPr>
                <w:spacing w:val="-4"/>
                <w:lang w:val="en-GB"/>
              </w:rPr>
            </w:pPr>
          </w:p>
          <w:p w:rsidR="00061917" w:rsidRPr="00412F61" w:rsidRDefault="00061917" w:rsidP="00793D78">
            <w:pPr>
              <w:pStyle w:val="Marginlie"/>
              <w:rPr>
                <w:spacing w:val="-4"/>
                <w:lang w:val="en-GB"/>
              </w:rPr>
            </w:pPr>
          </w:p>
          <w:p w:rsidR="00061917" w:rsidRPr="00412F61" w:rsidRDefault="00061917" w:rsidP="00793D78">
            <w:pPr>
              <w:pStyle w:val="Marginlie"/>
              <w:rPr>
                <w:spacing w:val="-4"/>
                <w:lang w:val="en-GB"/>
              </w:rPr>
            </w:pPr>
          </w:p>
        </w:tc>
        <w:tc>
          <w:tcPr>
            <w:tcW w:w="241" w:type="dxa"/>
            <w:shd w:val="clear" w:color="auto" w:fill="auto"/>
            <w:tcMar>
              <w:left w:w="0" w:type="dxa"/>
            </w:tcMar>
          </w:tcPr>
          <w:p w:rsidR="00061917" w:rsidRPr="00412F61" w:rsidRDefault="00061917" w:rsidP="00793D78">
            <w:pPr>
              <w:pStyle w:val="Textpoznpodarou"/>
              <w:jc w:val="both"/>
              <w:rPr>
                <w:spacing w:val="-4"/>
                <w:lang w:val="en-GB"/>
              </w:rPr>
            </w:pPr>
          </w:p>
        </w:tc>
        <w:tc>
          <w:tcPr>
            <w:tcW w:w="7563" w:type="dxa"/>
            <w:shd w:val="clear" w:color="auto" w:fill="auto"/>
            <w:tcMar>
              <w:left w:w="0" w:type="dxa"/>
            </w:tcMar>
          </w:tcPr>
          <w:p w:rsidR="00061917" w:rsidRPr="00412F61" w:rsidRDefault="00061917" w:rsidP="00DE6995">
            <w:pPr>
              <w:spacing w:after="200"/>
              <w:rPr>
                <w:color w:val="0D0D0D" w:themeColor="text1" w:themeTint="F2"/>
                <w:spacing w:val="-4"/>
                <w:lang w:val="en-GB"/>
              </w:rPr>
            </w:pPr>
            <w:r w:rsidRPr="00412F61">
              <w:rPr>
                <w:color w:val="0D0D0D" w:themeColor="text1" w:themeTint="F2"/>
                <w:spacing w:val="-4"/>
                <w:lang w:val="en-GB"/>
              </w:rPr>
              <w:t>Construction significantly revived in H1. While the output</w:t>
            </w:r>
            <w:r w:rsidRPr="00412F61">
              <w:rPr>
                <w:rStyle w:val="Znakapoznpodarou"/>
                <w:spacing w:val="-4"/>
                <w:lang w:val="en-GB"/>
              </w:rPr>
              <w:footnoteReference w:id="7"/>
            </w:r>
            <w:r w:rsidRPr="00412F61">
              <w:rPr>
                <w:color w:val="0D0D0D" w:themeColor="text1" w:themeTint="F2"/>
                <w:spacing w:val="-4"/>
                <w:lang w:val="en-GB"/>
              </w:rPr>
              <w:t xml:space="preserve"> in the weight dominant segment building construction already grew for the whole last year, the decisive turnaround in the civil engineering construction occurred only with the arrival of this year (output strengthened here year-on-year by nearly 7% in Q1). The output of the whole construction went up by 8.9% in H1, which was from nearly 90% due to the building construction. The output level from year 2015 was exceeded for the first time in Q2 (local maximum in Q2), when the whole branch received a striking impulse resulting from the completion of drawing on resources from the European funds towards the end of the programme period. Nevertheless, the construction still lagged by approximately one sixth behind in comparison with the absolute maximum from the expansion year 2008 (Q1). </w:t>
            </w:r>
          </w:p>
        </w:tc>
      </w:tr>
      <w:tr w:rsidR="00061917" w:rsidRPr="00412F61" w:rsidTr="00061917">
        <w:trPr>
          <w:trHeight w:val="145"/>
        </w:trPr>
        <w:tc>
          <w:tcPr>
            <w:tcW w:w="1840" w:type="dxa"/>
            <w:shd w:val="clear" w:color="auto" w:fill="auto"/>
            <w:tcMar>
              <w:left w:w="0" w:type="dxa"/>
            </w:tcMar>
          </w:tcPr>
          <w:p w:rsidR="00061917" w:rsidRPr="00412F61" w:rsidRDefault="00061917" w:rsidP="00793D78">
            <w:pPr>
              <w:pStyle w:val="Marginlie"/>
              <w:rPr>
                <w:spacing w:val="-4"/>
                <w:lang w:val="en-GB"/>
              </w:rPr>
            </w:pPr>
            <w:r w:rsidRPr="00412F61">
              <w:rPr>
                <w:spacing w:val="-4"/>
                <w:lang w:val="en-GB"/>
              </w:rPr>
              <w:t>Residential construction mildly revived. Number of commenced flats increased in the vast majority of regions. It however considerably lagged behind the total addition to population in Prague.</w:t>
            </w:r>
          </w:p>
        </w:tc>
        <w:tc>
          <w:tcPr>
            <w:tcW w:w="241" w:type="dxa"/>
            <w:shd w:val="clear" w:color="auto" w:fill="auto"/>
            <w:tcMar>
              <w:left w:w="0" w:type="dxa"/>
            </w:tcMar>
          </w:tcPr>
          <w:p w:rsidR="00061917" w:rsidRPr="00412F61" w:rsidRDefault="00061917" w:rsidP="00793D78">
            <w:pPr>
              <w:pStyle w:val="Textpoznpodarou"/>
              <w:jc w:val="both"/>
              <w:rPr>
                <w:spacing w:val="-4"/>
                <w:lang w:val="en-GB"/>
              </w:rPr>
            </w:pPr>
          </w:p>
        </w:tc>
        <w:tc>
          <w:tcPr>
            <w:tcW w:w="7563" w:type="dxa"/>
            <w:shd w:val="clear" w:color="auto" w:fill="auto"/>
            <w:tcMar>
              <w:left w:w="0" w:type="dxa"/>
            </w:tcMar>
          </w:tcPr>
          <w:p w:rsidR="00061917" w:rsidRPr="00412F61" w:rsidRDefault="00061917" w:rsidP="00207942">
            <w:pPr>
              <w:spacing w:after="200"/>
              <w:rPr>
                <w:color w:val="0D0D0D" w:themeColor="text1" w:themeTint="F2"/>
                <w:spacing w:val="-4"/>
                <w:lang w:val="en-GB"/>
              </w:rPr>
            </w:pPr>
            <w:r w:rsidRPr="00412F61">
              <w:rPr>
                <w:color w:val="0D0D0D" w:themeColor="text1" w:themeTint="F2"/>
                <w:spacing w:val="-4"/>
                <w:lang w:val="en-GB"/>
              </w:rPr>
              <w:t>Next to the favourable weather the accelerated drawing of resources from the EU funds was also reflected in this year´s performance in construction. The recovery of the residential construction also had a positive effect. Construction of 16.6 thousand flats commenced in H1 in the CZ. Their number was by one tenth higher year-on-year.</w:t>
            </w:r>
            <w:r w:rsidRPr="00412F61">
              <w:rPr>
                <w:rStyle w:val="Znakapoznpodarou"/>
                <w:color w:val="0D0D0D" w:themeColor="text1" w:themeTint="F2"/>
                <w:spacing w:val="-4"/>
                <w:lang w:val="en-GB"/>
              </w:rPr>
              <w:footnoteReference w:id="8"/>
            </w:r>
            <w:r w:rsidRPr="00412F61">
              <w:rPr>
                <w:color w:val="0D0D0D" w:themeColor="text1" w:themeTint="F2"/>
                <w:spacing w:val="-4"/>
                <w:lang w:val="en-GB"/>
              </w:rPr>
              <w:t xml:space="preserve"> More flats were commenced in all types of structures with the exception of pension homes, where however the low intensity of construction already prevails for longer than the whole decade. Construction in the Central Bohemia region and </w:t>
            </w:r>
            <w:proofErr w:type="spellStart"/>
            <w:r w:rsidRPr="00412F61">
              <w:rPr>
                <w:color w:val="0D0D0D" w:themeColor="text1" w:themeTint="F2"/>
                <w:spacing w:val="-4"/>
                <w:lang w:val="en-GB"/>
              </w:rPr>
              <w:t>Vysocina</w:t>
            </w:r>
            <w:proofErr w:type="spellEnd"/>
            <w:r w:rsidRPr="00412F61">
              <w:rPr>
                <w:color w:val="0D0D0D" w:themeColor="text1" w:themeTint="F2"/>
                <w:spacing w:val="-4"/>
                <w:lang w:val="en-GB"/>
              </w:rPr>
              <w:t xml:space="preserve"> region contributed the most to the higher number of flats. Commenced flats however increased in number in the overwhelming majority of regions (apart from </w:t>
            </w:r>
            <w:proofErr w:type="spellStart"/>
            <w:r w:rsidRPr="00412F61">
              <w:rPr>
                <w:color w:val="0D0D0D" w:themeColor="text1" w:themeTint="F2"/>
                <w:spacing w:val="-4"/>
                <w:lang w:val="en-GB"/>
              </w:rPr>
              <w:t>Pilsen</w:t>
            </w:r>
            <w:proofErr w:type="spellEnd"/>
            <w:r w:rsidRPr="00412F61">
              <w:rPr>
                <w:color w:val="0D0D0D" w:themeColor="text1" w:themeTint="F2"/>
                <w:spacing w:val="-4"/>
                <w:lang w:val="en-GB"/>
              </w:rPr>
              <w:t xml:space="preserve"> and Olomouc regions). Even though the construction was growing in Prague already second year in a row</w:t>
            </w:r>
            <w:r w:rsidRPr="00412F61">
              <w:rPr>
                <w:rStyle w:val="Znakapoznpodarou"/>
                <w:color w:val="0D0D0D" w:themeColor="text1" w:themeTint="F2"/>
                <w:spacing w:val="-4"/>
                <w:lang w:val="en-GB"/>
              </w:rPr>
              <w:footnoteReference w:id="9"/>
            </w:r>
            <w:r w:rsidRPr="00412F61">
              <w:rPr>
                <w:color w:val="0D0D0D" w:themeColor="text1" w:themeTint="F2"/>
                <w:spacing w:val="-4"/>
                <w:lang w:val="en-GB"/>
              </w:rPr>
              <w:t>, the number of commenced flats (1.8 thousand) markedly lagged behind the total addition to population (6.6 thousand) in H1. Growing tension on the residential market is reflected in the sharp hike of the realised prices of new flats in the capital city.</w:t>
            </w:r>
          </w:p>
        </w:tc>
      </w:tr>
      <w:tr w:rsidR="00061917" w:rsidRPr="00412F61" w:rsidTr="00061917">
        <w:trPr>
          <w:trHeight w:val="145"/>
        </w:trPr>
        <w:tc>
          <w:tcPr>
            <w:tcW w:w="1840" w:type="dxa"/>
            <w:shd w:val="clear" w:color="auto" w:fill="auto"/>
            <w:tcMar>
              <w:left w:w="0" w:type="dxa"/>
            </w:tcMar>
          </w:tcPr>
          <w:p w:rsidR="00061917" w:rsidRPr="00412F61" w:rsidRDefault="00061917" w:rsidP="00F318C5">
            <w:pPr>
              <w:pStyle w:val="Marginlie"/>
              <w:rPr>
                <w:lang w:val="en-GB"/>
              </w:rPr>
            </w:pPr>
            <w:r w:rsidRPr="00412F61">
              <w:rPr>
                <w:lang w:val="en-GB"/>
              </w:rPr>
              <w:t xml:space="preserve">Inflow of new orders notably accelerated – both in building construction and civil engineering construction. </w:t>
            </w:r>
          </w:p>
          <w:p w:rsidR="00061917" w:rsidRPr="00412F61" w:rsidRDefault="00061917" w:rsidP="00F318C5">
            <w:pPr>
              <w:pStyle w:val="Marginlie"/>
              <w:rPr>
                <w:lang w:val="en-GB"/>
              </w:rPr>
            </w:pPr>
          </w:p>
          <w:p w:rsidR="00061917" w:rsidRPr="00412F61" w:rsidRDefault="00061917" w:rsidP="00F318C5">
            <w:pPr>
              <w:pStyle w:val="Marginlie"/>
              <w:rPr>
                <w:lang w:val="en-GB"/>
              </w:rPr>
            </w:pPr>
          </w:p>
          <w:p w:rsidR="00061917" w:rsidRPr="00412F61" w:rsidRDefault="00061917" w:rsidP="00F318C5">
            <w:pPr>
              <w:pStyle w:val="Marginlie"/>
              <w:rPr>
                <w:lang w:val="en-GB"/>
              </w:rPr>
            </w:pPr>
          </w:p>
          <w:p w:rsidR="00061917" w:rsidRPr="00412F61" w:rsidRDefault="00061917" w:rsidP="00F318C5">
            <w:pPr>
              <w:pStyle w:val="Marginlie"/>
              <w:rPr>
                <w:lang w:val="en-GB"/>
              </w:rPr>
            </w:pPr>
          </w:p>
          <w:p w:rsidR="00061917" w:rsidRPr="00412F61" w:rsidRDefault="00061917" w:rsidP="00F318C5">
            <w:pPr>
              <w:pStyle w:val="Marginlie"/>
              <w:rPr>
                <w:lang w:val="en-GB"/>
              </w:rPr>
            </w:pPr>
            <w:r w:rsidRPr="00412F61">
              <w:rPr>
                <w:lang w:val="en-GB"/>
              </w:rPr>
              <w:t xml:space="preserve">Performance of construction businesses is more and more limited by the lack of workers. </w:t>
            </w:r>
          </w:p>
        </w:tc>
        <w:tc>
          <w:tcPr>
            <w:tcW w:w="241" w:type="dxa"/>
            <w:shd w:val="clear" w:color="auto" w:fill="auto"/>
            <w:tcMar>
              <w:left w:w="0" w:type="dxa"/>
            </w:tcMar>
          </w:tcPr>
          <w:p w:rsidR="00061917" w:rsidRPr="00412F61" w:rsidRDefault="00061917" w:rsidP="00F318C5">
            <w:pPr>
              <w:pStyle w:val="Textpoznpodarou"/>
              <w:jc w:val="both"/>
              <w:rPr>
                <w:spacing w:val="-4"/>
                <w:lang w:val="en-GB"/>
              </w:rPr>
            </w:pPr>
          </w:p>
        </w:tc>
        <w:tc>
          <w:tcPr>
            <w:tcW w:w="7563" w:type="dxa"/>
            <w:shd w:val="clear" w:color="auto" w:fill="auto"/>
            <w:tcMar>
              <w:left w:w="0" w:type="dxa"/>
            </w:tcMar>
          </w:tcPr>
          <w:p w:rsidR="00061917" w:rsidRPr="00412F61" w:rsidRDefault="00061917" w:rsidP="00F318C5">
            <w:pPr>
              <w:rPr>
                <w:color w:val="0D0D0D" w:themeColor="text1" w:themeTint="F2"/>
                <w:spacing w:val="-4"/>
                <w:lang w:val="en-GB"/>
              </w:rPr>
            </w:pPr>
            <w:r w:rsidRPr="00412F61">
              <w:rPr>
                <w:color w:val="0D0D0D" w:themeColor="text1" w:themeTint="F2"/>
                <w:spacing w:val="-4"/>
                <w:lang w:val="en-GB"/>
              </w:rPr>
              <w:t>Rise of the value of new domestic construction orders</w:t>
            </w:r>
            <w:r w:rsidRPr="00412F61">
              <w:rPr>
                <w:rStyle w:val="Znakapoznpodarou"/>
                <w:spacing w:val="-4"/>
                <w:szCs w:val="20"/>
                <w:lang w:val="en-GB"/>
              </w:rPr>
              <w:footnoteReference w:id="10"/>
            </w:r>
            <w:r w:rsidRPr="00412F61">
              <w:rPr>
                <w:color w:val="0D0D0D" w:themeColor="text1" w:themeTint="F2"/>
                <w:spacing w:val="-4"/>
                <w:lang w:val="en-GB"/>
              </w:rPr>
              <w:t xml:space="preserve">, which was apparent for the most part of the last year this year accelerated. It was year-on-year higher by 26.5% in the building construction, by 34.0% then in the civil engineering construction. It also benefited the construction businesses, that gradually also the realisations of larger projects started up. It is also proved by the increase of the average value of the newly closed order </w:t>
            </w:r>
            <w:proofErr w:type="gramStart"/>
            <w:r w:rsidRPr="00412F61">
              <w:rPr>
                <w:color w:val="0D0D0D" w:themeColor="text1" w:themeTint="F2"/>
                <w:spacing w:val="-4"/>
                <w:lang w:val="en-GB"/>
              </w:rPr>
              <w:t>(</w:t>
            </w:r>
            <w:r>
              <w:rPr>
                <w:color w:val="0D0D0D" w:themeColor="text1" w:themeTint="F2"/>
                <w:spacing w:val="-4"/>
                <w:lang w:val="en-GB"/>
              </w:rPr>
              <w:t xml:space="preserve">to </w:t>
            </w:r>
            <w:r w:rsidRPr="00412F61">
              <w:rPr>
                <w:color w:val="0D0D0D" w:themeColor="text1" w:themeTint="F2"/>
                <w:spacing w:val="-4"/>
                <w:lang w:val="en-GB"/>
              </w:rPr>
              <w:t xml:space="preserve">4.3 CZK mil, year-on-year </w:t>
            </w:r>
            <w:r>
              <w:rPr>
                <w:color w:val="0D0D0D" w:themeColor="text1" w:themeTint="F2"/>
                <w:spacing w:val="-4"/>
                <w:lang w:val="en-GB"/>
              </w:rPr>
              <w:t xml:space="preserve">addition </w:t>
            </w:r>
            <w:r w:rsidRPr="00412F61">
              <w:rPr>
                <w:color w:val="0D0D0D" w:themeColor="text1" w:themeTint="F2"/>
                <w:spacing w:val="-4"/>
                <w:lang w:val="en-GB"/>
              </w:rPr>
              <w:t>by more than 1 mil)</w:t>
            </w:r>
            <w:proofErr w:type="gramEnd"/>
            <w:r w:rsidRPr="00412F61">
              <w:rPr>
                <w:color w:val="0D0D0D" w:themeColor="text1" w:themeTint="F2"/>
                <w:spacing w:val="-4"/>
                <w:lang w:val="en-GB"/>
              </w:rPr>
              <w:t xml:space="preserve">. Development of orders could have featured even higher dynamics, if it was not for the fact, that many construction businesses are currently situated on the limit of their production capabilities. The lack of both non-qualified workers and technical and expert employees or specialists contribute to this situation. Already more than 30% of construction businesses (only 18% one year earlier) considered the lack of employees to present a barrier of growth already at the beginning of Q3 2018. In parallel, the influence of inadequate demand was falling considerably. While in October 2017, 51% of businesses stated it as a barrier to growth, it was already only 35% this year in July. The development of seasonally adjusted balance of confidence indicator corresponded to these data. Its value climbed up the highest in </w:t>
            </w:r>
            <w:r w:rsidRPr="00412F61">
              <w:rPr>
                <w:color w:val="0D0D0D" w:themeColor="text1" w:themeTint="F2"/>
                <w:spacing w:val="-4"/>
                <w:lang w:val="en-GB"/>
              </w:rPr>
              <w:lastRenderedPageBreak/>
              <w:t>the last ten years (-2.0 points) this year in August.</w:t>
            </w:r>
          </w:p>
        </w:tc>
      </w:tr>
      <w:tr w:rsidR="00061917" w:rsidRPr="00412F61" w:rsidTr="00061917">
        <w:trPr>
          <w:trHeight w:val="145"/>
        </w:trPr>
        <w:tc>
          <w:tcPr>
            <w:tcW w:w="1840" w:type="dxa"/>
            <w:shd w:val="clear" w:color="auto" w:fill="auto"/>
            <w:tcMar>
              <w:left w:w="0" w:type="dxa"/>
            </w:tcMar>
          </w:tcPr>
          <w:p w:rsidR="00061917" w:rsidRPr="00412F61" w:rsidRDefault="00061917" w:rsidP="008417B5">
            <w:pPr>
              <w:pStyle w:val="Marginlie"/>
              <w:rPr>
                <w:lang w:val="en-GB"/>
              </w:rPr>
            </w:pPr>
          </w:p>
        </w:tc>
        <w:tc>
          <w:tcPr>
            <w:tcW w:w="241" w:type="dxa"/>
            <w:shd w:val="clear" w:color="auto" w:fill="auto"/>
            <w:tcMar>
              <w:left w:w="0" w:type="dxa"/>
            </w:tcMar>
          </w:tcPr>
          <w:p w:rsidR="00061917" w:rsidRPr="00412F61" w:rsidRDefault="00061917" w:rsidP="008417B5">
            <w:pPr>
              <w:pStyle w:val="Textpoznpodarou"/>
              <w:jc w:val="both"/>
              <w:rPr>
                <w:spacing w:val="-4"/>
                <w:lang w:val="en-GB"/>
              </w:rPr>
            </w:pPr>
          </w:p>
        </w:tc>
        <w:tc>
          <w:tcPr>
            <w:tcW w:w="7563" w:type="dxa"/>
            <w:shd w:val="clear" w:color="auto" w:fill="auto"/>
            <w:tcMar>
              <w:left w:w="0" w:type="dxa"/>
            </w:tcMar>
          </w:tcPr>
          <w:p w:rsidR="00061917" w:rsidRDefault="00061917" w:rsidP="00F93688">
            <w:pPr>
              <w:spacing w:after="0"/>
              <w:rPr>
                <w:bCs/>
                <w:lang w:val="en-GB"/>
              </w:rPr>
            </w:pPr>
            <w:r w:rsidRPr="00412F61">
              <w:rPr>
                <w:b/>
                <w:lang w:val="en-GB"/>
              </w:rPr>
              <w:t>Chart 7 Construction</w:t>
            </w:r>
            <w:r>
              <w:rPr>
                <w:b/>
                <w:lang w:val="en-GB"/>
              </w:rPr>
              <w:t xml:space="preserve"> output</w:t>
            </w:r>
            <w:r w:rsidRPr="00412F61">
              <w:rPr>
                <w:b/>
                <w:lang w:val="en-GB"/>
              </w:rPr>
              <w:t xml:space="preserve">, value of new orders </w:t>
            </w:r>
            <w:r w:rsidRPr="00412F61">
              <w:rPr>
                <w:bCs/>
                <w:lang w:val="en-GB"/>
              </w:rPr>
              <w:t xml:space="preserve">(year-on-year in %) </w:t>
            </w:r>
          </w:p>
          <w:p w:rsidR="00061917" w:rsidRPr="00412F61" w:rsidRDefault="00061917" w:rsidP="00F93688">
            <w:pPr>
              <w:spacing w:after="0"/>
              <w:rPr>
                <w:color w:val="0D0D0D" w:themeColor="text1" w:themeTint="F2"/>
                <w:spacing w:val="-4"/>
                <w:lang w:val="en-GB"/>
              </w:rPr>
            </w:pPr>
            <w:r w:rsidRPr="00412F61">
              <w:rPr>
                <w:b/>
                <w:bCs/>
                <w:lang w:val="en-GB"/>
              </w:rPr>
              <w:t>and balance of confidence indicator in construction</w:t>
            </w:r>
          </w:p>
        </w:tc>
      </w:tr>
      <w:tr w:rsidR="00061917" w:rsidRPr="00412F61" w:rsidTr="00061917">
        <w:trPr>
          <w:trHeight w:val="145"/>
        </w:trPr>
        <w:tc>
          <w:tcPr>
            <w:tcW w:w="1840" w:type="dxa"/>
            <w:shd w:val="clear" w:color="auto" w:fill="auto"/>
            <w:tcMar>
              <w:left w:w="0" w:type="dxa"/>
            </w:tcMar>
          </w:tcPr>
          <w:p w:rsidR="00061917" w:rsidRPr="00412F61" w:rsidRDefault="00061917" w:rsidP="008417B5">
            <w:pPr>
              <w:pStyle w:val="Marginlie"/>
              <w:rPr>
                <w:lang w:val="en-GB"/>
              </w:rPr>
            </w:pPr>
          </w:p>
        </w:tc>
        <w:tc>
          <w:tcPr>
            <w:tcW w:w="241" w:type="dxa"/>
            <w:shd w:val="clear" w:color="auto" w:fill="auto"/>
            <w:tcMar>
              <w:left w:w="0" w:type="dxa"/>
            </w:tcMar>
          </w:tcPr>
          <w:p w:rsidR="00061917" w:rsidRPr="00412F61" w:rsidRDefault="00061917" w:rsidP="008417B5">
            <w:pPr>
              <w:pStyle w:val="Textpoznpodarou"/>
              <w:jc w:val="both"/>
              <w:rPr>
                <w:spacing w:val="-4"/>
                <w:lang w:val="en-GB"/>
              </w:rPr>
            </w:pPr>
          </w:p>
        </w:tc>
        <w:tc>
          <w:tcPr>
            <w:tcW w:w="7563" w:type="dxa"/>
            <w:shd w:val="clear" w:color="auto" w:fill="auto"/>
            <w:tcMar>
              <w:left w:w="0" w:type="dxa"/>
            </w:tcMar>
          </w:tcPr>
          <w:p w:rsidR="00061917" w:rsidRPr="00412F61" w:rsidRDefault="00061917" w:rsidP="005F114F">
            <w:pPr>
              <w:spacing w:after="0"/>
              <w:rPr>
                <w:color w:val="0D0D0D" w:themeColor="text1" w:themeTint="F2"/>
                <w:spacing w:val="-4"/>
                <w:lang w:val="en-GB"/>
              </w:rPr>
            </w:pPr>
            <w:r w:rsidRPr="00120D64">
              <w:rPr>
                <w:noProof/>
                <w:color w:val="0D0D0D" w:themeColor="text1" w:themeTint="F2"/>
                <w:spacing w:val="-4"/>
              </w:rPr>
              <w:drawing>
                <wp:inline distT="0" distB="0" distL="0" distR="0">
                  <wp:extent cx="4737600" cy="4667625"/>
                  <wp:effectExtent l="0" t="0" r="0" b="0"/>
                  <wp:docPr id="1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061917" w:rsidRPr="00412F61" w:rsidTr="00061917">
        <w:trPr>
          <w:trHeight w:val="145"/>
        </w:trPr>
        <w:tc>
          <w:tcPr>
            <w:tcW w:w="1840" w:type="dxa"/>
            <w:shd w:val="clear" w:color="auto" w:fill="auto"/>
            <w:tcMar>
              <w:left w:w="0" w:type="dxa"/>
            </w:tcMar>
          </w:tcPr>
          <w:p w:rsidR="00061917" w:rsidRPr="00412F61" w:rsidRDefault="00061917" w:rsidP="008417B5">
            <w:pPr>
              <w:pStyle w:val="Marginlie"/>
              <w:rPr>
                <w:lang w:val="en-GB"/>
              </w:rPr>
            </w:pPr>
          </w:p>
        </w:tc>
        <w:tc>
          <w:tcPr>
            <w:tcW w:w="241" w:type="dxa"/>
            <w:shd w:val="clear" w:color="auto" w:fill="auto"/>
            <w:tcMar>
              <w:left w:w="0" w:type="dxa"/>
            </w:tcMar>
          </w:tcPr>
          <w:p w:rsidR="00061917" w:rsidRPr="00412F61" w:rsidRDefault="00061917" w:rsidP="008417B5">
            <w:pPr>
              <w:pStyle w:val="Textpoznpodarou"/>
              <w:jc w:val="both"/>
              <w:rPr>
                <w:spacing w:val="-4"/>
                <w:lang w:val="en-GB"/>
              </w:rPr>
            </w:pPr>
          </w:p>
        </w:tc>
        <w:tc>
          <w:tcPr>
            <w:tcW w:w="7563" w:type="dxa"/>
            <w:shd w:val="clear" w:color="auto" w:fill="auto"/>
            <w:tcMar>
              <w:left w:w="0" w:type="dxa"/>
            </w:tcMar>
          </w:tcPr>
          <w:p w:rsidR="00061917" w:rsidRPr="00120D64" w:rsidRDefault="00061917" w:rsidP="00120D64">
            <w:pPr>
              <w:spacing w:after="200"/>
              <w:rPr>
                <w:rFonts w:cs="Arial"/>
                <w:sz w:val="14"/>
                <w:szCs w:val="14"/>
                <w:lang w:val="en-GB"/>
              </w:rPr>
            </w:pPr>
            <w:r w:rsidRPr="00412F61">
              <w:rPr>
                <w:rFonts w:cs="Arial"/>
                <w:sz w:val="14"/>
                <w:szCs w:val="14"/>
                <w:lang w:val="en-GB"/>
              </w:rPr>
              <w:t>Source: CZSO</w:t>
            </w:r>
          </w:p>
        </w:tc>
      </w:tr>
      <w:tr w:rsidR="00061917" w:rsidRPr="00412F61" w:rsidTr="00061917">
        <w:trPr>
          <w:trHeight w:val="145"/>
        </w:trPr>
        <w:tc>
          <w:tcPr>
            <w:tcW w:w="1840" w:type="dxa"/>
            <w:shd w:val="clear" w:color="auto" w:fill="auto"/>
            <w:tcMar>
              <w:left w:w="0" w:type="dxa"/>
            </w:tcMar>
          </w:tcPr>
          <w:p w:rsidR="00061917" w:rsidRPr="00412F61" w:rsidRDefault="00061917" w:rsidP="002E20C7">
            <w:pPr>
              <w:pStyle w:val="Marginlie"/>
              <w:rPr>
                <w:lang w:val="en-GB"/>
              </w:rPr>
            </w:pPr>
            <w:r w:rsidRPr="00412F61">
              <w:rPr>
                <w:lang w:val="en-GB"/>
              </w:rPr>
              <w:t xml:space="preserve">Sales in selected services continued growing swiftly for more than one year. It was mainly thanks to transportation and warehousing activities. </w:t>
            </w:r>
          </w:p>
        </w:tc>
        <w:tc>
          <w:tcPr>
            <w:tcW w:w="241" w:type="dxa"/>
            <w:shd w:val="clear" w:color="auto" w:fill="auto"/>
            <w:tcMar>
              <w:left w:w="0" w:type="dxa"/>
            </w:tcMar>
          </w:tcPr>
          <w:p w:rsidR="00061917" w:rsidRPr="00412F61" w:rsidRDefault="00061917" w:rsidP="002E20C7">
            <w:pPr>
              <w:pStyle w:val="Textpoznpodarou"/>
              <w:jc w:val="both"/>
              <w:rPr>
                <w:spacing w:val="-4"/>
                <w:lang w:val="en-GB"/>
              </w:rPr>
            </w:pPr>
          </w:p>
        </w:tc>
        <w:tc>
          <w:tcPr>
            <w:tcW w:w="7563" w:type="dxa"/>
            <w:shd w:val="clear" w:color="auto" w:fill="auto"/>
            <w:tcMar>
              <w:left w:w="0" w:type="dxa"/>
            </w:tcMar>
          </w:tcPr>
          <w:p w:rsidR="00061917" w:rsidRPr="00412F61" w:rsidRDefault="00061917" w:rsidP="002675F3">
            <w:pPr>
              <w:rPr>
                <w:color w:val="0D0D0D" w:themeColor="text1" w:themeTint="F2"/>
                <w:spacing w:val="-4"/>
                <w:lang w:val="en-GB"/>
              </w:rPr>
            </w:pPr>
            <w:r w:rsidRPr="00412F61">
              <w:rPr>
                <w:lang w:val="en-GB"/>
              </w:rPr>
              <w:t>Tertiary sector of the economy also fared well this year. Sales in selected services</w:t>
            </w:r>
            <w:r w:rsidRPr="00412F61">
              <w:rPr>
                <w:color w:val="0D0D0D" w:themeColor="text1" w:themeTint="F2"/>
                <w:spacing w:val="-4"/>
                <w:vertAlign w:val="superscript"/>
                <w:lang w:val="en-GB"/>
              </w:rPr>
              <w:footnoteReference w:id="11"/>
            </w:r>
            <w:r w:rsidRPr="00412F61">
              <w:rPr>
                <w:lang w:val="en-GB"/>
              </w:rPr>
              <w:t xml:space="preserve"> continued in brisk growth for more than one year. Despite the high last year basis</w:t>
            </w:r>
            <w:r w:rsidRPr="00412F61">
              <w:rPr>
                <w:rStyle w:val="Znakapoznpodarou"/>
                <w:color w:val="0D0D0D" w:themeColor="text1" w:themeTint="F2"/>
                <w:spacing w:val="-4"/>
                <w:lang w:val="en-GB"/>
              </w:rPr>
              <w:footnoteReference w:id="12"/>
            </w:r>
            <w:r w:rsidRPr="00412F61">
              <w:rPr>
                <w:color w:val="0D0D0D" w:themeColor="text1" w:themeTint="F2"/>
                <w:spacing w:val="-4"/>
                <w:lang w:val="en-GB"/>
              </w:rPr>
              <w:t xml:space="preserve"> they increased by 3.6%</w:t>
            </w:r>
            <w:r w:rsidRPr="00412F61">
              <w:rPr>
                <w:rStyle w:val="Znakapoznpodarou"/>
                <w:color w:val="0D0D0D" w:themeColor="text1" w:themeTint="F2"/>
                <w:spacing w:val="-4"/>
                <w:lang w:val="en-GB"/>
              </w:rPr>
              <w:footnoteReference w:id="13"/>
            </w:r>
            <w:r w:rsidRPr="00412F61">
              <w:rPr>
                <w:color w:val="0D0D0D" w:themeColor="text1" w:themeTint="F2"/>
                <w:spacing w:val="-4"/>
                <w:lang w:val="en-GB"/>
              </w:rPr>
              <w:t xml:space="preserve"> in H1. Positive fact was that despite a considerable variedness of the whole services segment, a vast majority of its partial branches recorded growth this year. Among the main branches, only real estate activities deviated, here however the slight fall of performance </w:t>
            </w:r>
            <w:r w:rsidRPr="00412F61">
              <w:rPr>
                <w:color w:val="0D0D0D" w:themeColor="text1" w:themeTint="F2"/>
                <w:spacing w:val="-2"/>
                <w:lang w:val="en-GB"/>
              </w:rPr>
              <w:t xml:space="preserve">(–0.9%) was not immediately connected to the whole situation on the real estate market. </w:t>
            </w:r>
          </w:p>
        </w:tc>
      </w:tr>
      <w:tr w:rsidR="00061917" w:rsidRPr="00412F61" w:rsidTr="00061917">
        <w:trPr>
          <w:trHeight w:val="145"/>
        </w:trPr>
        <w:tc>
          <w:tcPr>
            <w:tcW w:w="1840" w:type="dxa"/>
            <w:shd w:val="clear" w:color="auto" w:fill="auto"/>
            <w:tcMar>
              <w:left w:w="0" w:type="dxa"/>
            </w:tcMar>
          </w:tcPr>
          <w:p w:rsidR="00061917" w:rsidRPr="00412F61" w:rsidRDefault="00061917" w:rsidP="002E20C7">
            <w:pPr>
              <w:pStyle w:val="Marginlie"/>
              <w:rPr>
                <w:lang w:val="en-GB"/>
              </w:rPr>
            </w:pPr>
          </w:p>
        </w:tc>
        <w:tc>
          <w:tcPr>
            <w:tcW w:w="241" w:type="dxa"/>
            <w:shd w:val="clear" w:color="auto" w:fill="auto"/>
            <w:tcMar>
              <w:left w:w="0" w:type="dxa"/>
            </w:tcMar>
          </w:tcPr>
          <w:p w:rsidR="00061917" w:rsidRPr="00412F61" w:rsidRDefault="00061917" w:rsidP="002E20C7">
            <w:pPr>
              <w:pStyle w:val="Textpoznpodarou"/>
              <w:jc w:val="both"/>
              <w:rPr>
                <w:spacing w:val="-4"/>
                <w:lang w:val="en-GB"/>
              </w:rPr>
            </w:pPr>
          </w:p>
        </w:tc>
        <w:tc>
          <w:tcPr>
            <w:tcW w:w="7563" w:type="dxa"/>
            <w:shd w:val="clear" w:color="auto" w:fill="auto"/>
            <w:tcMar>
              <w:left w:w="0" w:type="dxa"/>
            </w:tcMar>
          </w:tcPr>
          <w:p w:rsidR="00061917" w:rsidRPr="00412F61" w:rsidRDefault="00061917" w:rsidP="002E20C7">
            <w:pPr>
              <w:rPr>
                <w:lang w:val="en-GB"/>
              </w:rPr>
            </w:pPr>
            <w:r w:rsidRPr="00412F61">
              <w:rPr>
                <w:color w:val="0D0D0D" w:themeColor="text1" w:themeTint="F2"/>
                <w:spacing w:val="-2"/>
                <w:lang w:val="en-GB"/>
              </w:rPr>
              <w:t>Total growth of sales in services was – similarly to the whole last year – essentially affected by the dynamic development in transportation and warehousing. Role of this branch was even more highlighted this year, it contributed to the growth of services by nearly one half in H1. Information and communication also secured a more significant contribution, other services branches contributed more marginally.</w:t>
            </w:r>
          </w:p>
        </w:tc>
      </w:tr>
      <w:tr w:rsidR="00061917" w:rsidRPr="00412F61" w:rsidTr="00061917">
        <w:trPr>
          <w:trHeight w:val="145"/>
        </w:trPr>
        <w:tc>
          <w:tcPr>
            <w:tcW w:w="1840" w:type="dxa"/>
            <w:shd w:val="clear" w:color="auto" w:fill="auto"/>
            <w:tcMar>
              <w:left w:w="0" w:type="dxa"/>
            </w:tcMar>
          </w:tcPr>
          <w:p w:rsidR="00061917" w:rsidRPr="00412F61" w:rsidRDefault="00061917" w:rsidP="008417B5">
            <w:pPr>
              <w:pStyle w:val="Marginlie"/>
              <w:rPr>
                <w:lang w:val="en-GB"/>
              </w:rPr>
            </w:pPr>
          </w:p>
        </w:tc>
        <w:tc>
          <w:tcPr>
            <w:tcW w:w="241" w:type="dxa"/>
            <w:shd w:val="clear" w:color="auto" w:fill="auto"/>
            <w:tcMar>
              <w:left w:w="0" w:type="dxa"/>
            </w:tcMar>
          </w:tcPr>
          <w:p w:rsidR="00061917" w:rsidRPr="00412F61" w:rsidRDefault="00061917" w:rsidP="008417B5">
            <w:pPr>
              <w:pStyle w:val="Textpoznpodarou"/>
              <w:jc w:val="both"/>
              <w:rPr>
                <w:spacing w:val="-4"/>
                <w:lang w:val="en-GB"/>
              </w:rPr>
            </w:pPr>
          </w:p>
        </w:tc>
        <w:tc>
          <w:tcPr>
            <w:tcW w:w="7563" w:type="dxa"/>
            <w:shd w:val="clear" w:color="auto" w:fill="auto"/>
            <w:tcMar>
              <w:left w:w="0" w:type="dxa"/>
            </w:tcMar>
          </w:tcPr>
          <w:p w:rsidR="00061917" w:rsidRPr="00412F61" w:rsidRDefault="00061917" w:rsidP="000C13A2">
            <w:pPr>
              <w:pStyle w:val="Textpoznpodarou"/>
              <w:rPr>
                <w:b/>
                <w:spacing w:val="-2"/>
                <w:lang w:val="en-GB"/>
              </w:rPr>
            </w:pPr>
            <w:r w:rsidRPr="00412F61">
              <w:rPr>
                <w:b/>
                <w:lang w:val="en-GB"/>
              </w:rPr>
              <w:t xml:space="preserve">Chart 8 Sales for retail trade and </w:t>
            </w:r>
            <w:r>
              <w:rPr>
                <w:b/>
                <w:lang w:val="en-GB"/>
              </w:rPr>
              <w:t xml:space="preserve">sale and </w:t>
            </w:r>
            <w:r w:rsidRPr="00412F61">
              <w:rPr>
                <w:b/>
                <w:lang w:val="en-GB"/>
              </w:rPr>
              <w:t xml:space="preserve">repair of motor vehicles </w:t>
            </w:r>
          </w:p>
          <w:p w:rsidR="00061917" w:rsidRPr="00412F61" w:rsidRDefault="00061917" w:rsidP="000C13A2">
            <w:pPr>
              <w:spacing w:after="0"/>
              <w:rPr>
                <w:noProof/>
                <w:color w:val="0D0D0D" w:themeColor="text1" w:themeTint="F2"/>
                <w:spacing w:val="-4"/>
                <w:lang w:val="en-GB"/>
              </w:rPr>
            </w:pPr>
            <w:r w:rsidRPr="00412F61">
              <w:rPr>
                <w:bCs/>
                <w:spacing w:val="-2"/>
                <w:lang w:val="en-GB"/>
              </w:rPr>
              <w:t>(</w:t>
            </w:r>
            <w:proofErr w:type="gramStart"/>
            <w:r w:rsidRPr="00412F61">
              <w:rPr>
                <w:bCs/>
                <w:spacing w:val="-2"/>
                <w:lang w:val="en-GB"/>
              </w:rPr>
              <w:t>in</w:t>
            </w:r>
            <w:proofErr w:type="gramEnd"/>
            <w:r w:rsidRPr="00412F61">
              <w:rPr>
                <w:bCs/>
                <w:spacing w:val="-2"/>
                <w:lang w:val="en-GB"/>
              </w:rPr>
              <w:t xml:space="preserve"> real terms, adjusted for the calendar effect, year-on-year in %) </w:t>
            </w:r>
          </w:p>
        </w:tc>
      </w:tr>
      <w:tr w:rsidR="00061917" w:rsidRPr="00412F61" w:rsidTr="00061917">
        <w:trPr>
          <w:trHeight w:val="145"/>
        </w:trPr>
        <w:tc>
          <w:tcPr>
            <w:tcW w:w="1840" w:type="dxa"/>
            <w:shd w:val="clear" w:color="auto" w:fill="auto"/>
            <w:tcMar>
              <w:left w:w="0" w:type="dxa"/>
            </w:tcMar>
          </w:tcPr>
          <w:p w:rsidR="00061917" w:rsidRPr="00412F61" w:rsidRDefault="00061917" w:rsidP="008417B5">
            <w:pPr>
              <w:pStyle w:val="Marginlie"/>
              <w:rPr>
                <w:lang w:val="en-GB"/>
              </w:rPr>
            </w:pPr>
          </w:p>
        </w:tc>
        <w:tc>
          <w:tcPr>
            <w:tcW w:w="241" w:type="dxa"/>
            <w:shd w:val="clear" w:color="auto" w:fill="auto"/>
            <w:tcMar>
              <w:left w:w="0" w:type="dxa"/>
            </w:tcMar>
          </w:tcPr>
          <w:p w:rsidR="00061917" w:rsidRPr="00412F61" w:rsidRDefault="00061917" w:rsidP="008417B5">
            <w:pPr>
              <w:pStyle w:val="Textpoznpodarou"/>
              <w:jc w:val="both"/>
              <w:rPr>
                <w:spacing w:val="-4"/>
                <w:lang w:val="en-GB"/>
              </w:rPr>
            </w:pPr>
          </w:p>
        </w:tc>
        <w:tc>
          <w:tcPr>
            <w:tcW w:w="7563" w:type="dxa"/>
            <w:shd w:val="clear" w:color="auto" w:fill="auto"/>
            <w:tcMar>
              <w:left w:w="0" w:type="dxa"/>
            </w:tcMar>
          </w:tcPr>
          <w:p w:rsidR="00061917" w:rsidRPr="00412F61" w:rsidRDefault="00061917" w:rsidP="00840293">
            <w:pPr>
              <w:spacing w:after="0"/>
              <w:rPr>
                <w:color w:val="0D0D0D" w:themeColor="text1" w:themeTint="F2"/>
                <w:spacing w:val="-4"/>
                <w:lang w:val="en-GB"/>
              </w:rPr>
            </w:pPr>
            <w:r w:rsidRPr="002675F3">
              <w:rPr>
                <w:noProof/>
                <w:color w:val="0D0D0D" w:themeColor="text1" w:themeTint="F2"/>
                <w:spacing w:val="-4"/>
              </w:rPr>
              <w:drawing>
                <wp:inline distT="0" distB="0" distL="0" distR="0">
                  <wp:extent cx="4741593" cy="3935990"/>
                  <wp:effectExtent l="19050" t="0" r="1857" b="0"/>
                  <wp:docPr id="1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061917" w:rsidRPr="00412F61" w:rsidTr="00061917">
        <w:trPr>
          <w:trHeight w:val="145"/>
        </w:trPr>
        <w:tc>
          <w:tcPr>
            <w:tcW w:w="1840" w:type="dxa"/>
            <w:shd w:val="clear" w:color="auto" w:fill="auto"/>
            <w:tcMar>
              <w:left w:w="0" w:type="dxa"/>
            </w:tcMar>
          </w:tcPr>
          <w:p w:rsidR="00061917" w:rsidRPr="00412F61" w:rsidRDefault="00061917" w:rsidP="008417B5">
            <w:pPr>
              <w:pStyle w:val="Marginlie"/>
              <w:rPr>
                <w:lang w:val="en-GB"/>
              </w:rPr>
            </w:pPr>
          </w:p>
        </w:tc>
        <w:tc>
          <w:tcPr>
            <w:tcW w:w="241" w:type="dxa"/>
            <w:shd w:val="clear" w:color="auto" w:fill="auto"/>
            <w:tcMar>
              <w:left w:w="0" w:type="dxa"/>
            </w:tcMar>
          </w:tcPr>
          <w:p w:rsidR="00061917" w:rsidRPr="00412F61" w:rsidRDefault="00061917" w:rsidP="008417B5">
            <w:pPr>
              <w:pStyle w:val="Textpoznpodarou"/>
              <w:jc w:val="both"/>
              <w:rPr>
                <w:spacing w:val="-4"/>
                <w:lang w:val="en-GB"/>
              </w:rPr>
            </w:pPr>
          </w:p>
        </w:tc>
        <w:tc>
          <w:tcPr>
            <w:tcW w:w="7563" w:type="dxa"/>
            <w:shd w:val="clear" w:color="auto" w:fill="auto"/>
            <w:tcMar>
              <w:left w:w="0" w:type="dxa"/>
            </w:tcMar>
          </w:tcPr>
          <w:p w:rsidR="00061917" w:rsidRPr="002675F3" w:rsidRDefault="00061917" w:rsidP="002675F3">
            <w:pPr>
              <w:rPr>
                <w:rFonts w:cs="Arial"/>
                <w:sz w:val="14"/>
                <w:szCs w:val="14"/>
                <w:lang w:val="en-GB"/>
              </w:rPr>
            </w:pPr>
            <w:r w:rsidRPr="00412F61">
              <w:rPr>
                <w:rFonts w:cs="Arial"/>
                <w:sz w:val="14"/>
                <w:szCs w:val="14"/>
                <w:lang w:val="en-GB"/>
              </w:rPr>
              <w:t>Source: CZSO</w:t>
            </w:r>
          </w:p>
        </w:tc>
      </w:tr>
      <w:tr w:rsidR="00061917" w:rsidRPr="00412F61" w:rsidTr="00061917">
        <w:trPr>
          <w:trHeight w:val="145"/>
        </w:trPr>
        <w:tc>
          <w:tcPr>
            <w:tcW w:w="1840" w:type="dxa"/>
            <w:shd w:val="clear" w:color="auto" w:fill="auto"/>
            <w:tcMar>
              <w:left w:w="0" w:type="dxa"/>
            </w:tcMar>
          </w:tcPr>
          <w:p w:rsidR="00061917" w:rsidRPr="00412F61" w:rsidRDefault="00061917" w:rsidP="008417B5">
            <w:pPr>
              <w:pStyle w:val="Marginlie"/>
              <w:rPr>
                <w:lang w:val="en-GB"/>
              </w:rPr>
            </w:pPr>
            <w:r w:rsidRPr="00412F61">
              <w:rPr>
                <w:lang w:val="en-GB"/>
              </w:rPr>
              <w:t>Dynamic growth in transportation and warehousing was interlinked with the favourable development of industry, trade as well as the record size of employment.</w:t>
            </w:r>
          </w:p>
          <w:p w:rsidR="00061917" w:rsidRPr="00412F61" w:rsidRDefault="00061917" w:rsidP="008417B5">
            <w:pPr>
              <w:pStyle w:val="Marginlie"/>
              <w:rPr>
                <w:lang w:val="en-GB"/>
              </w:rPr>
            </w:pPr>
          </w:p>
          <w:p w:rsidR="00061917" w:rsidRPr="00412F61" w:rsidRDefault="00061917" w:rsidP="008417B5">
            <w:pPr>
              <w:pStyle w:val="Marginlie"/>
              <w:rPr>
                <w:lang w:val="en-GB"/>
              </w:rPr>
            </w:pPr>
          </w:p>
          <w:p w:rsidR="00061917" w:rsidRPr="00412F61" w:rsidRDefault="00061917" w:rsidP="008417B5">
            <w:pPr>
              <w:pStyle w:val="Marginlie"/>
              <w:rPr>
                <w:lang w:val="en-GB"/>
              </w:rPr>
            </w:pPr>
          </w:p>
          <w:p w:rsidR="00061917" w:rsidRPr="00412F61" w:rsidRDefault="00061917" w:rsidP="008417B5">
            <w:pPr>
              <w:pStyle w:val="Marginlie"/>
              <w:rPr>
                <w:lang w:val="en-GB"/>
              </w:rPr>
            </w:pPr>
          </w:p>
          <w:p w:rsidR="00061917" w:rsidRPr="00412F61" w:rsidRDefault="00061917" w:rsidP="008417B5">
            <w:pPr>
              <w:pStyle w:val="Marginlie"/>
              <w:rPr>
                <w:lang w:val="en-GB"/>
              </w:rPr>
            </w:pPr>
          </w:p>
          <w:p w:rsidR="00061917" w:rsidRPr="00412F61" w:rsidRDefault="00061917" w:rsidP="008417B5">
            <w:pPr>
              <w:pStyle w:val="Marginlie"/>
              <w:rPr>
                <w:lang w:val="en-GB"/>
              </w:rPr>
            </w:pPr>
          </w:p>
          <w:p w:rsidR="00061917" w:rsidRPr="00412F61" w:rsidRDefault="00061917" w:rsidP="008417B5">
            <w:pPr>
              <w:pStyle w:val="Marginlie"/>
              <w:rPr>
                <w:lang w:val="en-GB"/>
              </w:rPr>
            </w:pPr>
          </w:p>
          <w:p w:rsidR="00061917" w:rsidRPr="00412F61" w:rsidRDefault="00061917" w:rsidP="008417B5">
            <w:pPr>
              <w:pStyle w:val="Marginlie"/>
              <w:rPr>
                <w:spacing w:val="-3"/>
                <w:lang w:val="en-GB"/>
              </w:rPr>
            </w:pPr>
            <w:r w:rsidRPr="00412F61">
              <w:rPr>
                <w:spacing w:val="-3"/>
                <w:lang w:val="en-GB"/>
              </w:rPr>
              <w:t>Rate of growth of sales markedly slowed down in activities associated with tourism and also in administrative and support service activities.</w:t>
            </w:r>
          </w:p>
          <w:p w:rsidR="00061917" w:rsidRPr="00412F61" w:rsidRDefault="00061917" w:rsidP="008417B5">
            <w:pPr>
              <w:pStyle w:val="Marginlie"/>
              <w:rPr>
                <w:lang w:val="en-GB"/>
              </w:rPr>
            </w:pPr>
          </w:p>
        </w:tc>
        <w:tc>
          <w:tcPr>
            <w:tcW w:w="241" w:type="dxa"/>
            <w:shd w:val="clear" w:color="auto" w:fill="auto"/>
            <w:tcMar>
              <w:left w:w="0" w:type="dxa"/>
            </w:tcMar>
          </w:tcPr>
          <w:p w:rsidR="00061917" w:rsidRPr="00412F61" w:rsidRDefault="00061917" w:rsidP="008417B5">
            <w:pPr>
              <w:pStyle w:val="Textpoznpodarou"/>
              <w:jc w:val="both"/>
              <w:rPr>
                <w:spacing w:val="-4"/>
                <w:lang w:val="en-GB"/>
              </w:rPr>
            </w:pPr>
          </w:p>
        </w:tc>
        <w:tc>
          <w:tcPr>
            <w:tcW w:w="7563" w:type="dxa"/>
            <w:shd w:val="clear" w:color="auto" w:fill="auto"/>
            <w:tcMar>
              <w:left w:w="0" w:type="dxa"/>
            </w:tcMar>
          </w:tcPr>
          <w:p w:rsidR="00061917" w:rsidRPr="00412F61" w:rsidRDefault="00061917" w:rsidP="00FE48E4">
            <w:pPr>
              <w:spacing w:after="0"/>
              <w:rPr>
                <w:color w:val="0D0D0D" w:themeColor="text1" w:themeTint="F2"/>
                <w:spacing w:val="-2"/>
                <w:lang w:val="en-GB"/>
              </w:rPr>
            </w:pPr>
            <w:r w:rsidRPr="00412F61">
              <w:rPr>
                <w:color w:val="0D0D0D" w:themeColor="text1" w:themeTint="F2"/>
                <w:spacing w:val="-4"/>
                <w:lang w:val="en-GB"/>
              </w:rPr>
              <w:t>Sales in transportation and warehousing increased by 5.8% in H1 (the fastest pace since the end of 2013). Performance was rising in both the passenger and freight transport by road. Sales fastened to 9.5% in storage. The whol</w:t>
            </w:r>
            <w:r>
              <w:rPr>
                <w:color w:val="0D0D0D" w:themeColor="text1" w:themeTint="F2"/>
                <w:spacing w:val="-4"/>
                <w:lang w:val="en-GB"/>
              </w:rPr>
              <w:t>e branch benefited from the favourable</w:t>
            </w:r>
            <w:r w:rsidRPr="00412F61">
              <w:rPr>
                <w:color w:val="0D0D0D" w:themeColor="text1" w:themeTint="F2"/>
                <w:spacing w:val="-4"/>
                <w:lang w:val="en-GB"/>
              </w:rPr>
              <w:t xml:space="preserve"> condition of industry as well as trade. Record number of employed also supported the growing mobility. Performance in the long-term dynamic branch information and communication gained pace (5.1%, 4.5% the year ago). Effect of activities in the IT area (computer programming, computer facilities management activities</w:t>
            </w:r>
            <w:r w:rsidRPr="00412F61">
              <w:rPr>
                <w:color w:val="0D0D0D" w:themeColor="text1" w:themeTint="F2"/>
                <w:spacing w:val="-2"/>
                <w:lang w:val="en-GB"/>
              </w:rPr>
              <w:t>) were of importance here, however all branch divisions (except for motion picture and musical industry) recorded higher performance this year. Sales increased only by 1.4% in the branch accommodation, food service and restaurants this year. The effect of the high comparative basis</w:t>
            </w:r>
            <w:r w:rsidRPr="00412F61">
              <w:rPr>
                <w:rStyle w:val="Znakapoznpodarou"/>
                <w:color w:val="0D0D0D" w:themeColor="text1" w:themeTint="F2"/>
                <w:spacing w:val="-2"/>
                <w:lang w:val="en-GB"/>
              </w:rPr>
              <w:footnoteReference w:id="14"/>
            </w:r>
            <w:r w:rsidRPr="00412F61">
              <w:rPr>
                <w:color w:val="0D0D0D" w:themeColor="text1" w:themeTint="F2"/>
                <w:spacing w:val="-2"/>
                <w:lang w:val="en-GB"/>
              </w:rPr>
              <w:t xml:space="preserve"> was relevant here together with the impact of the legislative changes associated with the tax collection. In the substantially heterogeneous branch professional, scientific and technical activities, mild growth continued for the architectural and engineering activities (+1.2%) in connection to the revival in construction. Photographic, design and translation activities as well as market research and public opinion polling also prospered. Sales for the advertising activities on the contrary decreased. Notable slowdown in the administrative and support service </w:t>
            </w:r>
            <w:proofErr w:type="gramStart"/>
            <w:r w:rsidRPr="00412F61">
              <w:rPr>
                <w:color w:val="0D0D0D" w:themeColor="text1" w:themeTint="F2"/>
                <w:spacing w:val="-2"/>
                <w:lang w:val="en-GB"/>
              </w:rPr>
              <w:t>activities (from last year´s 9.8% to 3.0%) was</w:t>
            </w:r>
            <w:proofErr w:type="gramEnd"/>
            <w:r w:rsidRPr="00412F61">
              <w:rPr>
                <w:color w:val="0D0D0D" w:themeColor="text1" w:themeTint="F2"/>
                <w:spacing w:val="-2"/>
                <w:lang w:val="en-GB"/>
              </w:rPr>
              <w:t xml:space="preserve"> influenced especially by the development in the employment placement agencies, where the weaker real growth of sales was connected to the price factors</w:t>
            </w:r>
            <w:r w:rsidRPr="00412F61">
              <w:rPr>
                <w:rStyle w:val="Znakapoznpodarou"/>
                <w:color w:val="0D0D0D" w:themeColor="text1" w:themeTint="F2"/>
                <w:spacing w:val="-2"/>
                <w:lang w:val="en-GB"/>
              </w:rPr>
              <w:footnoteReference w:id="15"/>
            </w:r>
            <w:r w:rsidRPr="00412F61">
              <w:rPr>
                <w:color w:val="0D0D0D" w:themeColor="text1" w:themeTint="F2"/>
                <w:spacing w:val="-2"/>
                <w:lang w:val="en-GB"/>
              </w:rPr>
              <w:t xml:space="preserve">. Travel agencies also did well (+5.0%). Rental and leasing activities also continued in a similar pace of the long-term growth (where </w:t>
            </w:r>
            <w:r w:rsidRPr="00412F61">
              <w:rPr>
                <w:color w:val="0D0D0D" w:themeColor="text1" w:themeTint="F2"/>
                <w:spacing w:val="-2"/>
                <w:lang w:val="en-GB"/>
              </w:rPr>
              <w:lastRenderedPageBreak/>
              <w:t xml:space="preserve">demand was growing for example for the construction machinery). </w:t>
            </w:r>
          </w:p>
          <w:p w:rsidR="00061917" w:rsidRPr="00412F61" w:rsidRDefault="00061917" w:rsidP="00FE48E4">
            <w:pPr>
              <w:spacing w:after="0"/>
              <w:rPr>
                <w:color w:val="0D0D0D" w:themeColor="text1" w:themeTint="F2"/>
                <w:spacing w:val="-4"/>
                <w:lang w:val="en-GB"/>
              </w:rPr>
            </w:pPr>
          </w:p>
        </w:tc>
      </w:tr>
      <w:tr w:rsidR="00061917" w:rsidRPr="00412F61" w:rsidTr="00061917">
        <w:trPr>
          <w:trHeight w:val="145"/>
        </w:trPr>
        <w:tc>
          <w:tcPr>
            <w:tcW w:w="1840" w:type="dxa"/>
            <w:shd w:val="clear" w:color="auto" w:fill="auto"/>
            <w:tcMar>
              <w:left w:w="0" w:type="dxa"/>
            </w:tcMar>
          </w:tcPr>
          <w:p w:rsidR="00061917" w:rsidRPr="00412F61" w:rsidRDefault="00061917" w:rsidP="008417B5">
            <w:pPr>
              <w:pStyle w:val="Marginlie"/>
              <w:rPr>
                <w:lang w:val="en-GB"/>
              </w:rPr>
            </w:pPr>
            <w:r w:rsidRPr="00412F61">
              <w:rPr>
                <w:lang w:val="en-GB"/>
              </w:rPr>
              <w:lastRenderedPageBreak/>
              <w:t xml:space="preserve">Retail sales reflected the very optimistic sentiment of consumers. </w:t>
            </w:r>
          </w:p>
        </w:tc>
        <w:tc>
          <w:tcPr>
            <w:tcW w:w="241" w:type="dxa"/>
            <w:shd w:val="clear" w:color="auto" w:fill="auto"/>
            <w:tcMar>
              <w:left w:w="0" w:type="dxa"/>
            </w:tcMar>
          </w:tcPr>
          <w:p w:rsidR="00061917" w:rsidRPr="00412F61" w:rsidRDefault="00061917" w:rsidP="008417B5">
            <w:pPr>
              <w:pStyle w:val="Textpoznpodarou"/>
              <w:jc w:val="both"/>
              <w:rPr>
                <w:spacing w:val="-4"/>
                <w:lang w:val="en-GB"/>
              </w:rPr>
            </w:pPr>
          </w:p>
        </w:tc>
        <w:tc>
          <w:tcPr>
            <w:tcW w:w="7563" w:type="dxa"/>
            <w:shd w:val="clear" w:color="auto" w:fill="auto"/>
            <w:tcMar>
              <w:left w:w="0" w:type="dxa"/>
            </w:tcMar>
          </w:tcPr>
          <w:p w:rsidR="00061917" w:rsidRPr="00412F61" w:rsidRDefault="00061917" w:rsidP="00195234">
            <w:pPr>
              <w:rPr>
                <w:color w:val="0D0D0D" w:themeColor="text1" w:themeTint="F2"/>
                <w:spacing w:val="-4"/>
                <w:lang w:val="en-GB"/>
              </w:rPr>
            </w:pPr>
            <w:r w:rsidRPr="00412F61">
              <w:rPr>
                <w:color w:val="0D0D0D" w:themeColor="text1" w:themeTint="F2"/>
                <w:spacing w:val="-4"/>
                <w:lang w:val="en-GB"/>
              </w:rPr>
              <w:t>Brisk growth of the household income (fed by the favourable constellation on the labour market) accompanied by the record consumer confidence created very positive conditions for the retail segment. Retail sales</w:t>
            </w:r>
            <w:r w:rsidRPr="00412F61">
              <w:rPr>
                <w:rStyle w:val="Znakapoznpodarou"/>
                <w:color w:val="0D0D0D" w:themeColor="text1" w:themeTint="F2"/>
                <w:spacing w:val="-4"/>
                <w:lang w:val="en-GB"/>
              </w:rPr>
              <w:footnoteReference w:id="16"/>
            </w:r>
            <w:r w:rsidRPr="00412F61">
              <w:rPr>
                <w:color w:val="0D0D0D" w:themeColor="text1" w:themeTint="F2"/>
                <w:spacing w:val="-4"/>
                <w:lang w:val="en-GB"/>
              </w:rPr>
              <w:t xml:space="preserve"> were further strengthening at the beginning of the year and rose year-on-year by 6.3% in Q1 2018 (the strongest following Q3 2007). Both the year-on-year and quarter-on-quarter rates of growth slightly fell in the subsequent quarter. Retail sellers received by 5.3% more this year compared to the first half of the last year.  The Czech Republic thus ranked seventh among the EU countries. Retail grows traditionally the most dynamically in the countries of Central and Eastern Europe in the last quarters.</w:t>
            </w:r>
          </w:p>
        </w:tc>
      </w:tr>
      <w:tr w:rsidR="00061917" w:rsidRPr="00412F61" w:rsidTr="00061917">
        <w:trPr>
          <w:trHeight w:val="145"/>
        </w:trPr>
        <w:tc>
          <w:tcPr>
            <w:tcW w:w="1840" w:type="dxa"/>
            <w:shd w:val="clear" w:color="auto" w:fill="auto"/>
            <w:tcMar>
              <w:left w:w="0" w:type="dxa"/>
            </w:tcMar>
          </w:tcPr>
          <w:p w:rsidR="00061917" w:rsidRPr="00412F61" w:rsidRDefault="00061917" w:rsidP="008417B5">
            <w:pPr>
              <w:pStyle w:val="Marginlie"/>
              <w:rPr>
                <w:lang w:val="en-GB"/>
              </w:rPr>
            </w:pPr>
            <w:r w:rsidRPr="00412F61">
              <w:rPr>
                <w:lang w:val="en-GB"/>
              </w:rPr>
              <w:t xml:space="preserve">Swift growth of sales for non-food goods persisted. </w:t>
            </w:r>
          </w:p>
          <w:p w:rsidR="00061917" w:rsidRPr="00412F61" w:rsidRDefault="00061917" w:rsidP="008417B5">
            <w:pPr>
              <w:pStyle w:val="Marginlie"/>
              <w:rPr>
                <w:lang w:val="en-GB"/>
              </w:rPr>
            </w:pPr>
          </w:p>
        </w:tc>
        <w:tc>
          <w:tcPr>
            <w:tcW w:w="241" w:type="dxa"/>
            <w:shd w:val="clear" w:color="auto" w:fill="auto"/>
            <w:tcMar>
              <w:left w:w="0" w:type="dxa"/>
            </w:tcMar>
          </w:tcPr>
          <w:p w:rsidR="00061917" w:rsidRPr="00412F61" w:rsidRDefault="00061917" w:rsidP="008417B5">
            <w:pPr>
              <w:pStyle w:val="Textpoznpodarou"/>
              <w:jc w:val="both"/>
              <w:rPr>
                <w:spacing w:val="-4"/>
                <w:lang w:val="en-GB"/>
              </w:rPr>
            </w:pPr>
          </w:p>
        </w:tc>
        <w:tc>
          <w:tcPr>
            <w:tcW w:w="7563" w:type="dxa"/>
            <w:shd w:val="clear" w:color="auto" w:fill="auto"/>
            <w:tcMar>
              <w:left w:w="0" w:type="dxa"/>
            </w:tcMar>
          </w:tcPr>
          <w:p w:rsidR="00061917" w:rsidRPr="00412F61" w:rsidRDefault="00061917" w:rsidP="00061917">
            <w:pPr>
              <w:rPr>
                <w:color w:val="0D0D0D" w:themeColor="text1" w:themeTint="F2"/>
                <w:spacing w:val="-4"/>
                <w:lang w:val="en-GB"/>
              </w:rPr>
            </w:pPr>
            <w:r w:rsidRPr="00412F61">
              <w:rPr>
                <w:color w:val="0D0D0D" w:themeColor="text1" w:themeTint="F2"/>
                <w:spacing w:val="-4"/>
                <w:lang w:val="en-GB"/>
              </w:rPr>
              <w:t xml:space="preserve">The sale of non-food goods traditionally contributed the most to the growth of retail </w:t>
            </w:r>
            <w:proofErr w:type="gramStart"/>
            <w:r w:rsidRPr="00412F61">
              <w:rPr>
                <w:color w:val="0D0D0D" w:themeColor="text1" w:themeTint="F2"/>
                <w:spacing w:val="-4"/>
                <w:lang w:val="en-GB"/>
              </w:rPr>
              <w:t>trade,</w:t>
            </w:r>
            <w:proofErr w:type="gramEnd"/>
            <w:r w:rsidRPr="00412F61">
              <w:rPr>
                <w:color w:val="0D0D0D" w:themeColor="text1" w:themeTint="F2"/>
                <w:spacing w:val="-4"/>
                <w:lang w:val="en-GB"/>
              </w:rPr>
              <w:t xml:space="preserve"> its pace overtook the 7% boundary already for the seven quarter in a row. Among specialised stores, especially the retail sale of computer and communication equipment and also household equipment</w:t>
            </w:r>
            <w:r w:rsidRPr="00412F61">
              <w:rPr>
                <w:rStyle w:val="Znakapoznpodarou"/>
                <w:color w:val="0D0D0D" w:themeColor="text1" w:themeTint="F2"/>
                <w:spacing w:val="-4"/>
                <w:lang w:val="en-GB"/>
              </w:rPr>
              <w:footnoteReference w:id="17"/>
            </w:r>
            <w:r w:rsidRPr="00412F61">
              <w:rPr>
                <w:color w:val="0D0D0D" w:themeColor="text1" w:themeTint="F2"/>
                <w:spacing w:val="-4"/>
                <w:lang w:val="en-GB"/>
              </w:rPr>
              <w:t xml:space="preserve"> thrived in H1. The dynamic growth of retail sale via internet and via mail order houses continued also in the Czech Republic similarly to the majority of the EU countries (by one fifth year-on-year). On the contrary the growth of sales for food goods slightly slowed down (to 2.2%). In contrast the retail sellers of automotive fuels maintained a swift growth (5.2%), additionally despite the fact, that the development of prices was from the view of consumers less favourable compared to last year in the first half of the motorist season.  Sales for motor vehicles and their repairs dived by more than 1% year-on-year also due to the high last year basis this year and thus recorded the weakest half-yearly result since the end of year 2012. </w:t>
            </w:r>
          </w:p>
        </w:tc>
      </w:tr>
    </w:tbl>
    <w:p w:rsidR="00A50D73" w:rsidRPr="00412F61" w:rsidRDefault="00A50D73" w:rsidP="00061917">
      <w:pPr>
        <w:pStyle w:val="Nadpis11"/>
        <w:rPr>
          <w:sz w:val="2"/>
          <w:szCs w:val="2"/>
          <w:lang w:val="en-GB"/>
        </w:rPr>
      </w:pPr>
    </w:p>
    <w:sectPr w:rsidR="00A50D73" w:rsidRPr="00412F61" w:rsidSect="00061917">
      <w:headerReference w:type="even" r:id="rId13"/>
      <w:headerReference w:type="default" r:id="rId14"/>
      <w:footerReference w:type="even" r:id="rId15"/>
      <w:footerReference w:type="default" r:id="rId16"/>
      <w:pgSz w:w="11906" w:h="16838" w:code="9"/>
      <w:pgMar w:top="1134" w:right="1134" w:bottom="1418" w:left="1134" w:header="680" w:footer="737"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415" w:rsidRDefault="00405415" w:rsidP="00E71A58">
      <w:r>
        <w:separator/>
      </w:r>
    </w:p>
  </w:endnote>
  <w:endnote w:type="continuationSeparator" w:id="0">
    <w:p w:rsidR="00405415" w:rsidRDefault="00405415"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F5" w:rsidRPr="00932443" w:rsidRDefault="00BC49F5"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15"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000F3A0A" w:rsidRPr="00932443">
      <w:rPr>
        <w:szCs w:val="16"/>
      </w:rPr>
      <w:fldChar w:fldCharType="begin"/>
    </w:r>
    <w:r w:rsidRPr="00932443">
      <w:rPr>
        <w:szCs w:val="16"/>
      </w:rPr>
      <w:instrText>PAGE   \* MERGEFORMAT</w:instrText>
    </w:r>
    <w:r w:rsidR="000F3A0A" w:rsidRPr="00932443">
      <w:rPr>
        <w:szCs w:val="16"/>
      </w:rPr>
      <w:fldChar w:fldCharType="separate"/>
    </w:r>
    <w:r w:rsidR="00061917">
      <w:rPr>
        <w:szCs w:val="16"/>
      </w:rPr>
      <w:t>14</w:t>
    </w:r>
    <w:r w:rsidR="000F3A0A" w:rsidRPr="00932443">
      <w:rPr>
        <w:szCs w:val="16"/>
      </w:rPr>
      <w:fldChar w:fldCharType="end"/>
    </w:r>
    <w:r w:rsidRPr="00932443">
      <w:rPr>
        <w:szCs w:val="16"/>
      </w:rPr>
      <w:tab/>
    </w:r>
    <w:r>
      <w:t>1</w:t>
    </w:r>
    <w:r w:rsidRPr="009F6558">
      <w:rPr>
        <w:vertAlign w:val="superscript"/>
      </w:rPr>
      <w:t>st</w:t>
    </w:r>
    <w:r>
      <w:t xml:space="preserve"> Half of 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F5" w:rsidRPr="00932443" w:rsidRDefault="00D208E7" w:rsidP="00A418BC">
    <w:pPr>
      <w:pStyle w:val="Zpat"/>
      <w:rPr>
        <w:szCs w:val="16"/>
      </w:rPr>
    </w:pPr>
    <w:r w:rsidRPr="00D208E7">
      <w:rPr>
        <w:szCs w:val="16"/>
        <w:lang w:eastAsia="cs-CZ"/>
      </w:rPr>
      <w:drawing>
        <wp:anchor distT="0" distB="0" distL="114300" distR="114300" simplePos="0" relativeHeight="251660288" behindDoc="0" locked="0" layoutInCell="1" allowOverlap="1">
          <wp:simplePos x="0" y="0"/>
          <wp:positionH relativeFrom="column">
            <wp:posOffset>118262</wp:posOffset>
          </wp:positionH>
          <wp:positionV relativeFrom="paragraph">
            <wp:posOffset>-70841</wp:posOffset>
          </wp:positionV>
          <wp:extent cx="690525" cy="204826"/>
          <wp:effectExtent l="19050" t="0" r="0" b="0"/>
          <wp:wrapNone/>
          <wp:docPr id="4"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90525" cy="204826"/>
                  </a:xfrm>
                  <a:prstGeom prst="rect">
                    <a:avLst/>
                  </a:prstGeom>
                  <a:noFill/>
                  <a:ln w="9525">
                    <a:noFill/>
                    <a:miter lim="800000"/>
                    <a:headEnd/>
                    <a:tailEnd/>
                  </a:ln>
                </pic:spPr>
              </pic:pic>
            </a:graphicData>
          </a:graphic>
        </wp:anchor>
      </w:drawing>
    </w:r>
    <w:r w:rsidR="00BC49F5" w:rsidRPr="00932443">
      <w:rPr>
        <w:szCs w:val="16"/>
      </w:rPr>
      <w:tab/>
    </w:r>
    <w:r w:rsidR="00BC49F5">
      <w:t>1</w:t>
    </w:r>
    <w:r w:rsidR="00BC49F5" w:rsidRPr="006C6E76">
      <w:rPr>
        <w:vertAlign w:val="superscript"/>
      </w:rPr>
      <w:t>st</w:t>
    </w:r>
    <w:r w:rsidR="00BC49F5">
      <w:t xml:space="preserve"> Half of 2018</w:t>
    </w:r>
    <w:r w:rsidR="00BC49F5" w:rsidRPr="00932443">
      <w:rPr>
        <w:szCs w:val="16"/>
      </w:rPr>
      <w:tab/>
    </w:r>
    <w:r w:rsidR="000F3A0A" w:rsidRPr="00932443">
      <w:rPr>
        <w:rStyle w:val="ZpatChar"/>
        <w:szCs w:val="16"/>
      </w:rPr>
      <w:fldChar w:fldCharType="begin"/>
    </w:r>
    <w:r w:rsidR="00BC49F5" w:rsidRPr="00932443">
      <w:rPr>
        <w:rStyle w:val="ZpatChar"/>
        <w:szCs w:val="16"/>
      </w:rPr>
      <w:instrText>PAGE   \* MERGEFORMAT</w:instrText>
    </w:r>
    <w:r w:rsidR="000F3A0A" w:rsidRPr="00932443">
      <w:rPr>
        <w:rStyle w:val="ZpatChar"/>
        <w:szCs w:val="16"/>
      </w:rPr>
      <w:fldChar w:fldCharType="separate"/>
    </w:r>
    <w:r w:rsidR="00061917">
      <w:rPr>
        <w:rStyle w:val="ZpatChar"/>
        <w:szCs w:val="16"/>
      </w:rPr>
      <w:t>15</w:t>
    </w:r>
    <w:r w:rsidR="000F3A0A" w:rsidRPr="00932443">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415" w:rsidRDefault="00405415" w:rsidP="00E71A58">
      <w:r>
        <w:separator/>
      </w:r>
    </w:p>
  </w:footnote>
  <w:footnote w:type="continuationSeparator" w:id="0">
    <w:p w:rsidR="00405415" w:rsidRDefault="00405415" w:rsidP="00E71A58">
      <w:r>
        <w:continuationSeparator/>
      </w:r>
    </w:p>
  </w:footnote>
  <w:footnote w:id="1">
    <w:p w:rsidR="00BC49F5" w:rsidRPr="0027583D" w:rsidRDefault="00BC49F5" w:rsidP="00110725">
      <w:pPr>
        <w:pStyle w:val="Textpoznpodarou"/>
        <w:jc w:val="both"/>
        <w:rPr>
          <w:rFonts w:cs="Arial"/>
          <w:color w:val="0D0D0D" w:themeColor="text1" w:themeTint="F2"/>
          <w:spacing w:val="-2"/>
          <w:sz w:val="16"/>
          <w:szCs w:val="16"/>
        </w:rPr>
      </w:pPr>
      <w:r w:rsidRPr="0027583D">
        <w:rPr>
          <w:rStyle w:val="Znakapoznpodarou"/>
          <w:rFonts w:cs="Arial"/>
          <w:color w:val="0D0D0D" w:themeColor="text1" w:themeTint="F2"/>
          <w:spacing w:val="-2"/>
          <w:sz w:val="16"/>
          <w:szCs w:val="16"/>
        </w:rPr>
        <w:footnoteRef/>
      </w:r>
      <w:r w:rsidRPr="0027583D">
        <w:rPr>
          <w:rFonts w:cs="Arial"/>
          <w:color w:val="0D0D0D" w:themeColor="text1" w:themeTint="F2"/>
          <w:spacing w:val="-2"/>
          <w:sz w:val="16"/>
          <w:szCs w:val="16"/>
        </w:rPr>
        <w:t xml:space="preserve"> </w:t>
      </w:r>
      <w:r w:rsidRPr="00000C43">
        <w:rPr>
          <w:color w:val="0D0D0D" w:themeColor="text1" w:themeTint="F2"/>
          <w:spacing w:val="-2"/>
          <w:sz w:val="16"/>
          <w:szCs w:val="16"/>
          <w:lang w:val="en-GB"/>
        </w:rPr>
        <w:t>Data regarding the GVA are expressed in constant prices and adjusted for seasonal and calendar effects.</w:t>
      </w:r>
    </w:p>
  </w:footnote>
  <w:footnote w:id="2">
    <w:p w:rsidR="00BC49F5" w:rsidRPr="0027583D" w:rsidRDefault="00BC49F5" w:rsidP="00110725">
      <w:pPr>
        <w:pStyle w:val="Textpoznpodarou"/>
        <w:jc w:val="both"/>
        <w:rPr>
          <w:rFonts w:cs="Arial"/>
          <w:color w:val="0D0D0D" w:themeColor="text1" w:themeTint="F2"/>
          <w:spacing w:val="-2"/>
          <w:sz w:val="16"/>
          <w:szCs w:val="16"/>
        </w:rPr>
      </w:pPr>
      <w:r w:rsidRPr="0027583D">
        <w:rPr>
          <w:rStyle w:val="Znakapoznpodarou"/>
          <w:rFonts w:cs="Arial"/>
          <w:color w:val="0D0D0D" w:themeColor="text1" w:themeTint="F2"/>
          <w:spacing w:val="-2"/>
          <w:sz w:val="16"/>
          <w:szCs w:val="16"/>
        </w:rPr>
        <w:footnoteRef/>
      </w:r>
      <w:r w:rsidRPr="0027583D">
        <w:rPr>
          <w:rFonts w:cs="Arial"/>
          <w:color w:val="0D0D0D" w:themeColor="text1" w:themeTint="F2"/>
          <w:spacing w:val="-2"/>
          <w:sz w:val="16"/>
          <w:szCs w:val="16"/>
        </w:rPr>
        <w:t xml:space="preserve"> </w:t>
      </w:r>
      <w:r w:rsidRPr="00790164">
        <w:rPr>
          <w:color w:val="0D0D0D" w:themeColor="text1" w:themeTint="F2"/>
          <w:spacing w:val="-2"/>
          <w:sz w:val="16"/>
          <w:szCs w:val="16"/>
          <w:lang w:val="en-GB"/>
        </w:rPr>
        <w:t xml:space="preserve">Included branches: Mining and quarrying, Manufacturing, </w:t>
      </w:r>
      <w:proofErr w:type="spellStart"/>
      <w:r w:rsidRPr="00790164">
        <w:rPr>
          <w:color w:val="0D0D0D" w:themeColor="text1" w:themeTint="F2"/>
          <w:spacing w:val="-2"/>
          <w:sz w:val="16"/>
          <w:szCs w:val="16"/>
          <w:lang w:val="en-GB"/>
        </w:rPr>
        <w:t>Energetics</w:t>
      </w:r>
      <w:proofErr w:type="spellEnd"/>
      <w:r w:rsidRPr="00790164">
        <w:rPr>
          <w:color w:val="0D0D0D" w:themeColor="text1" w:themeTint="F2"/>
          <w:spacing w:val="-2"/>
          <w:sz w:val="16"/>
          <w:szCs w:val="16"/>
          <w:lang w:val="en-GB"/>
        </w:rPr>
        <w:t xml:space="preserve">. All year-on-year rates of growth of output (at the level of </w:t>
      </w:r>
      <w:r>
        <w:rPr>
          <w:color w:val="0D0D0D" w:themeColor="text1" w:themeTint="F2"/>
          <w:spacing w:val="-2"/>
          <w:sz w:val="16"/>
          <w:szCs w:val="16"/>
          <w:lang w:val="en-GB"/>
        </w:rPr>
        <w:t xml:space="preserve">CZ-NACE </w:t>
      </w:r>
      <w:r w:rsidRPr="00DA3F70">
        <w:rPr>
          <w:color w:val="0D0D0D" w:themeColor="text1" w:themeTint="F2"/>
          <w:spacing w:val="-2"/>
          <w:sz w:val="16"/>
          <w:szCs w:val="16"/>
          <w:lang w:val="en-GB"/>
        </w:rPr>
        <w:t>sections as well as divisions) are adjusted for calendar effects.</w:t>
      </w:r>
      <w:r w:rsidRPr="00766109">
        <w:rPr>
          <w:color w:val="0D0D0D" w:themeColor="text1" w:themeTint="F2"/>
          <w:spacing w:val="-2"/>
          <w:sz w:val="16"/>
          <w:szCs w:val="16"/>
          <w:lang w:val="en-GB"/>
        </w:rPr>
        <w:t xml:space="preserve"> </w:t>
      </w:r>
      <w:r>
        <w:rPr>
          <w:color w:val="0D0D0D" w:themeColor="text1" w:themeTint="F2"/>
          <w:spacing w:val="-2"/>
          <w:sz w:val="16"/>
          <w:szCs w:val="16"/>
          <w:lang w:val="en-GB"/>
        </w:rPr>
        <w:t xml:space="preserve">Quarter-on-quarter rates are then also seasonally adjusted. </w:t>
      </w:r>
    </w:p>
  </w:footnote>
  <w:footnote w:id="3">
    <w:p w:rsidR="00BC49F5" w:rsidRPr="00E41CD5" w:rsidRDefault="00BC49F5" w:rsidP="00110725">
      <w:pPr>
        <w:pStyle w:val="Textpoznpodarou"/>
        <w:jc w:val="both"/>
        <w:rPr>
          <w:rFonts w:cs="Arial"/>
          <w:color w:val="0D0D0D" w:themeColor="text1" w:themeTint="F2"/>
          <w:spacing w:val="-3"/>
          <w:sz w:val="16"/>
          <w:szCs w:val="16"/>
        </w:rPr>
      </w:pPr>
      <w:r w:rsidRPr="0027583D">
        <w:rPr>
          <w:rStyle w:val="Znakapoznpodarou"/>
          <w:rFonts w:cs="Arial"/>
          <w:color w:val="0D0D0D" w:themeColor="text1" w:themeTint="F2"/>
          <w:sz w:val="16"/>
          <w:szCs w:val="16"/>
        </w:rPr>
        <w:footnoteRef/>
      </w:r>
      <w:r>
        <w:rPr>
          <w:color w:val="0D0D0D" w:themeColor="text1" w:themeTint="F2"/>
          <w:spacing w:val="-2"/>
          <w:sz w:val="16"/>
          <w:szCs w:val="16"/>
          <w:lang w:val="en-GB"/>
        </w:rPr>
        <w:t xml:space="preserve">There was one working day less in H1 2018 compared to the same period of year 2017. Not adjusted for this effect, the year-on-year growth was only 2.4%. </w:t>
      </w:r>
    </w:p>
  </w:footnote>
  <w:footnote w:id="4">
    <w:p w:rsidR="00061917" w:rsidRPr="008F5C15" w:rsidRDefault="00061917" w:rsidP="00DE6995">
      <w:pPr>
        <w:pStyle w:val="Textpoznpodarou"/>
        <w:jc w:val="both"/>
        <w:rPr>
          <w:sz w:val="16"/>
          <w:szCs w:val="16"/>
          <w:lang w:val="en-GB"/>
        </w:rPr>
      </w:pPr>
      <w:r w:rsidRPr="00A2731E">
        <w:rPr>
          <w:rStyle w:val="Znakapoznpodarou"/>
          <w:sz w:val="16"/>
          <w:szCs w:val="16"/>
        </w:rPr>
        <w:footnoteRef/>
      </w:r>
      <w:r w:rsidRPr="00A2731E">
        <w:rPr>
          <w:sz w:val="16"/>
          <w:szCs w:val="16"/>
        </w:rPr>
        <w:t xml:space="preserve"> </w:t>
      </w:r>
      <w:r w:rsidRPr="008F5C15">
        <w:rPr>
          <w:sz w:val="16"/>
          <w:szCs w:val="16"/>
          <w:lang w:val="en-GB"/>
        </w:rPr>
        <w:t xml:space="preserve">Together with the repair of machines and equipment however these were the only manufacturing branches, whose production fell year-on-year in this year´s H1. </w:t>
      </w:r>
    </w:p>
  </w:footnote>
  <w:footnote w:id="5">
    <w:p w:rsidR="00061917" w:rsidRPr="00CF6222" w:rsidRDefault="00061917" w:rsidP="00CF6222">
      <w:pPr>
        <w:pStyle w:val="Textpoznpodarou"/>
        <w:jc w:val="both"/>
        <w:rPr>
          <w:sz w:val="16"/>
          <w:szCs w:val="16"/>
          <w:lang w:val="en-GB"/>
        </w:rPr>
      </w:pPr>
      <w:r w:rsidRPr="00CC0834">
        <w:rPr>
          <w:rStyle w:val="Znakapoznpodarou"/>
          <w:sz w:val="16"/>
          <w:szCs w:val="16"/>
        </w:rPr>
        <w:footnoteRef/>
      </w:r>
      <w:r>
        <w:rPr>
          <w:sz w:val="16"/>
          <w:szCs w:val="16"/>
        </w:rPr>
        <w:t xml:space="preserve"> </w:t>
      </w:r>
      <w:r w:rsidRPr="00CF6222">
        <w:rPr>
          <w:sz w:val="16"/>
          <w:szCs w:val="16"/>
          <w:lang w:val="en-GB"/>
        </w:rPr>
        <w:t>The year-on-year growth of orders exceeded 11% in this year´s July (both domestic and foreign demand reached double digit rat</w:t>
      </w:r>
      <w:r>
        <w:rPr>
          <w:sz w:val="16"/>
          <w:szCs w:val="16"/>
          <w:lang w:val="en-GB"/>
        </w:rPr>
        <w:t>e</w:t>
      </w:r>
      <w:r w:rsidRPr="00CF6222">
        <w:rPr>
          <w:sz w:val="16"/>
          <w:szCs w:val="16"/>
          <w:lang w:val="en-GB"/>
        </w:rPr>
        <w:t xml:space="preserve"> o</w:t>
      </w:r>
      <w:r>
        <w:rPr>
          <w:sz w:val="16"/>
          <w:szCs w:val="16"/>
          <w:lang w:val="en-GB"/>
        </w:rPr>
        <w:t>f</w:t>
      </w:r>
      <w:r w:rsidRPr="00CF6222">
        <w:rPr>
          <w:sz w:val="16"/>
          <w:szCs w:val="16"/>
          <w:lang w:val="en-GB"/>
        </w:rPr>
        <w:t xml:space="preserve"> growth). V</w:t>
      </w:r>
      <w:r>
        <w:rPr>
          <w:sz w:val="16"/>
          <w:szCs w:val="16"/>
          <w:lang w:val="en-GB"/>
        </w:rPr>
        <w:t>a</w:t>
      </w:r>
      <w:r w:rsidRPr="00CF6222">
        <w:rPr>
          <w:sz w:val="16"/>
          <w:szCs w:val="16"/>
          <w:lang w:val="en-GB"/>
        </w:rPr>
        <w:t xml:space="preserve">lue of orders </w:t>
      </w:r>
      <w:r>
        <w:rPr>
          <w:sz w:val="16"/>
          <w:szCs w:val="16"/>
          <w:lang w:val="en-GB"/>
        </w:rPr>
        <w:t xml:space="preserve">also </w:t>
      </w:r>
      <w:r w:rsidRPr="00CF6222">
        <w:rPr>
          <w:sz w:val="16"/>
          <w:szCs w:val="16"/>
          <w:lang w:val="en-GB"/>
        </w:rPr>
        <w:t>considerabl</w:t>
      </w:r>
      <w:r>
        <w:rPr>
          <w:sz w:val="16"/>
          <w:szCs w:val="16"/>
          <w:lang w:val="en-GB"/>
        </w:rPr>
        <w:t>y</w:t>
      </w:r>
      <w:r w:rsidRPr="00CF6222">
        <w:rPr>
          <w:sz w:val="16"/>
          <w:szCs w:val="16"/>
          <w:lang w:val="en-GB"/>
        </w:rPr>
        <w:t xml:space="preserve"> increased in the manufacture of motor vehicles (+8%).</w:t>
      </w:r>
    </w:p>
  </w:footnote>
  <w:footnote w:id="6">
    <w:p w:rsidR="00061917" w:rsidRPr="00EE22E9" w:rsidRDefault="00061917" w:rsidP="00EE22E9">
      <w:pPr>
        <w:pStyle w:val="Textpoznpodarou"/>
        <w:jc w:val="both"/>
        <w:rPr>
          <w:sz w:val="16"/>
          <w:szCs w:val="16"/>
          <w:lang w:val="en-GB"/>
        </w:rPr>
      </w:pPr>
      <w:r w:rsidRPr="00EB3E07">
        <w:rPr>
          <w:rStyle w:val="Znakapoznpodarou"/>
          <w:sz w:val="16"/>
          <w:szCs w:val="16"/>
        </w:rPr>
        <w:footnoteRef/>
      </w:r>
      <w:r w:rsidRPr="00EB3E07">
        <w:rPr>
          <w:sz w:val="16"/>
          <w:szCs w:val="16"/>
        </w:rPr>
        <w:t xml:space="preserve"> </w:t>
      </w:r>
      <w:proofErr w:type="gramStart"/>
      <w:r w:rsidRPr="00EE22E9">
        <w:rPr>
          <w:sz w:val="16"/>
          <w:szCs w:val="16"/>
          <w:lang w:val="en-GB"/>
        </w:rPr>
        <w:t xml:space="preserve">According to the </w:t>
      </w:r>
      <w:proofErr w:type="spellStart"/>
      <w:r w:rsidRPr="00EE22E9">
        <w:rPr>
          <w:sz w:val="16"/>
          <w:szCs w:val="16"/>
          <w:lang w:val="en-GB"/>
        </w:rPr>
        <w:t>Eurostat</w:t>
      </w:r>
      <w:proofErr w:type="spellEnd"/>
      <w:r w:rsidRPr="00EE22E9">
        <w:rPr>
          <w:sz w:val="16"/>
          <w:szCs w:val="16"/>
          <w:lang w:val="en-GB"/>
        </w:rPr>
        <w:t xml:space="preserve"> seasonally adjusted data.</w:t>
      </w:r>
      <w:proofErr w:type="gramEnd"/>
      <w:r w:rsidRPr="00EE22E9">
        <w:rPr>
          <w:sz w:val="16"/>
          <w:szCs w:val="16"/>
          <w:lang w:val="en-GB"/>
        </w:rPr>
        <w:t xml:space="preserve"> Businesses could have also included more types of barriers simultaneously. 24% of industrial businesses considered the inadequate demand to depict the barrier for their growth, 20% then the lack of employees at the beginning of Q3 2018 in the whole EU.</w:t>
      </w:r>
    </w:p>
  </w:footnote>
  <w:footnote w:id="7">
    <w:p w:rsidR="00061917" w:rsidRPr="00EE22E9" w:rsidRDefault="00061917" w:rsidP="00EE22E9">
      <w:pPr>
        <w:pStyle w:val="Textpoznpodarou"/>
        <w:jc w:val="both"/>
        <w:rPr>
          <w:spacing w:val="-4"/>
          <w:sz w:val="16"/>
          <w:szCs w:val="16"/>
          <w:lang w:val="en-GB"/>
        </w:rPr>
      </w:pPr>
      <w:r w:rsidRPr="00EE22E9">
        <w:rPr>
          <w:rStyle w:val="Znakapoznpodarou"/>
          <w:color w:val="0D0D0D" w:themeColor="text1" w:themeTint="F2"/>
          <w:spacing w:val="-4"/>
          <w:sz w:val="16"/>
          <w:szCs w:val="16"/>
          <w:lang w:val="en-GB"/>
        </w:rPr>
        <w:footnoteRef/>
      </w:r>
      <w:r w:rsidRPr="00EE22E9">
        <w:rPr>
          <w:color w:val="0D0D0D" w:themeColor="text1" w:themeTint="F2"/>
          <w:spacing w:val="-4"/>
          <w:sz w:val="16"/>
          <w:szCs w:val="16"/>
          <w:lang w:val="en-GB"/>
        </w:rPr>
        <w:t xml:space="preserve"> All year-on-year data related to the construction output are adjusted for calendar effects, quarter-on-quarter rates of growth then also for the seasonal effects.</w:t>
      </w:r>
    </w:p>
  </w:footnote>
  <w:footnote w:id="8">
    <w:p w:rsidR="00061917" w:rsidRPr="00EE22E9" w:rsidRDefault="00061917" w:rsidP="00DE6995">
      <w:pPr>
        <w:pStyle w:val="Textpoznpodarou"/>
        <w:jc w:val="both"/>
        <w:rPr>
          <w:sz w:val="16"/>
          <w:szCs w:val="16"/>
          <w:lang w:val="en-GB"/>
        </w:rPr>
      </w:pPr>
      <w:r w:rsidRPr="00EE22E9">
        <w:rPr>
          <w:rStyle w:val="Znakapoznpodarou"/>
          <w:sz w:val="16"/>
          <w:szCs w:val="16"/>
          <w:lang w:val="en-GB"/>
        </w:rPr>
        <w:footnoteRef/>
      </w:r>
      <w:r w:rsidRPr="00EE22E9">
        <w:rPr>
          <w:sz w:val="16"/>
          <w:szCs w:val="16"/>
          <w:lang w:val="en-GB"/>
        </w:rPr>
        <w:t xml:space="preserve"> The number of commenced flats moved just below 11 thousand in H1 2013, when the recession was subsiding in the whole economy as well as the construction itself. It was double in the same expansion period of year 2008. </w:t>
      </w:r>
    </w:p>
  </w:footnote>
  <w:footnote w:id="9">
    <w:p w:rsidR="00061917" w:rsidRPr="00EE22E9" w:rsidRDefault="00061917" w:rsidP="00DE6995">
      <w:pPr>
        <w:pStyle w:val="Textpoznpodarou"/>
        <w:jc w:val="both"/>
        <w:rPr>
          <w:sz w:val="16"/>
          <w:szCs w:val="16"/>
          <w:lang w:val="en-GB"/>
        </w:rPr>
      </w:pPr>
      <w:r w:rsidRPr="00EE22E9">
        <w:rPr>
          <w:rStyle w:val="Znakapoznpodarou"/>
          <w:sz w:val="16"/>
          <w:szCs w:val="16"/>
          <w:lang w:val="en-GB"/>
        </w:rPr>
        <w:footnoteRef/>
      </w:r>
      <w:r w:rsidRPr="00EE22E9">
        <w:rPr>
          <w:sz w:val="16"/>
          <w:szCs w:val="16"/>
          <w:lang w:val="en-GB"/>
        </w:rPr>
        <w:t xml:space="preserve"> The frequency of commenced flats sank to the lowest value since half of the 90s (1037) in the capital in H1 2016.</w:t>
      </w:r>
    </w:p>
  </w:footnote>
  <w:footnote w:id="10">
    <w:p w:rsidR="00061917" w:rsidRPr="008F1781" w:rsidRDefault="00061917" w:rsidP="008F1781">
      <w:pPr>
        <w:pStyle w:val="Textpoznpodarou"/>
        <w:rPr>
          <w:sz w:val="16"/>
          <w:szCs w:val="16"/>
          <w:lang w:val="en-GB"/>
        </w:rPr>
      </w:pPr>
      <w:r w:rsidRPr="001459BC">
        <w:rPr>
          <w:rStyle w:val="Znakapoznpodarou"/>
          <w:sz w:val="16"/>
          <w:szCs w:val="16"/>
        </w:rPr>
        <w:footnoteRef/>
      </w:r>
      <w:r w:rsidRPr="001459BC">
        <w:rPr>
          <w:sz w:val="16"/>
          <w:szCs w:val="16"/>
        </w:rPr>
        <w:t xml:space="preserve"> </w:t>
      </w:r>
      <w:proofErr w:type="gramStart"/>
      <w:r w:rsidRPr="008F1781">
        <w:rPr>
          <w:sz w:val="16"/>
          <w:szCs w:val="16"/>
          <w:lang w:val="en-GB"/>
        </w:rPr>
        <w:t>Covers only businesses with 50 employees and more.</w:t>
      </w:r>
      <w:proofErr w:type="gramEnd"/>
    </w:p>
  </w:footnote>
  <w:footnote w:id="11">
    <w:p w:rsidR="00061917" w:rsidRPr="00DE38E6" w:rsidRDefault="00061917" w:rsidP="00BB4F87">
      <w:pPr>
        <w:spacing w:after="0" w:line="240" w:lineRule="auto"/>
      </w:pPr>
      <w:r w:rsidRPr="004A26AF">
        <w:rPr>
          <w:rStyle w:val="Znakapoznpodarou"/>
          <w:color w:val="0D0D0D" w:themeColor="text1" w:themeTint="F2"/>
          <w:sz w:val="16"/>
          <w:szCs w:val="16"/>
        </w:rPr>
        <w:footnoteRef/>
      </w:r>
      <w:proofErr w:type="gramStart"/>
      <w:r w:rsidRPr="003E73E7">
        <w:rPr>
          <w:color w:val="0D0D0D" w:themeColor="text1" w:themeTint="F2"/>
          <w:sz w:val="16"/>
          <w:szCs w:val="16"/>
          <w:lang w:val="en-GB"/>
        </w:rPr>
        <w:t>Excluding trade, financial and insurance activities, science, research and public services.</w:t>
      </w:r>
      <w:proofErr w:type="gramEnd"/>
      <w:r w:rsidRPr="003E73E7">
        <w:rPr>
          <w:color w:val="0D0D0D" w:themeColor="text1" w:themeTint="F2"/>
          <w:sz w:val="16"/>
          <w:szCs w:val="16"/>
          <w:lang w:val="en-GB"/>
        </w:rPr>
        <w:t xml:space="preserve"> All data for services are </w:t>
      </w:r>
      <w:r>
        <w:rPr>
          <w:color w:val="0D0D0D" w:themeColor="text1" w:themeTint="F2"/>
          <w:sz w:val="16"/>
          <w:szCs w:val="16"/>
          <w:lang w:val="en-GB"/>
        </w:rPr>
        <w:t xml:space="preserve">in constant prices, year-on-year data are </w:t>
      </w:r>
      <w:r w:rsidRPr="003E73E7">
        <w:rPr>
          <w:color w:val="0D0D0D" w:themeColor="text1" w:themeTint="F2"/>
          <w:sz w:val="16"/>
          <w:szCs w:val="16"/>
          <w:lang w:val="en-GB"/>
        </w:rPr>
        <w:t>adjusted for calendar effects</w:t>
      </w:r>
      <w:r>
        <w:rPr>
          <w:color w:val="0D0D0D" w:themeColor="text1" w:themeTint="F2"/>
          <w:sz w:val="16"/>
          <w:szCs w:val="16"/>
          <w:lang w:val="en-GB"/>
        </w:rPr>
        <w:t xml:space="preserve">, quarter-on-quarter data are adjusted for seasonal </w:t>
      </w:r>
      <w:r w:rsidRPr="007E20C0">
        <w:rPr>
          <w:color w:val="0D0D0D" w:themeColor="text1" w:themeTint="F2"/>
          <w:sz w:val="16"/>
          <w:szCs w:val="16"/>
          <w:lang w:val="en-GB"/>
        </w:rPr>
        <w:t>effects (including the effect of the number of working days).</w:t>
      </w:r>
    </w:p>
  </w:footnote>
  <w:footnote w:id="12">
    <w:p w:rsidR="00061917" w:rsidRPr="00DD5C92" w:rsidRDefault="00061917" w:rsidP="00BB4F87">
      <w:pPr>
        <w:pStyle w:val="Textpoznpodarou"/>
        <w:jc w:val="both"/>
        <w:rPr>
          <w:sz w:val="16"/>
          <w:szCs w:val="16"/>
          <w:lang w:val="en-GB"/>
        </w:rPr>
      </w:pPr>
      <w:r w:rsidRPr="00FD3CF7">
        <w:rPr>
          <w:rStyle w:val="Znakapoznpodarou"/>
          <w:sz w:val="16"/>
          <w:szCs w:val="16"/>
        </w:rPr>
        <w:footnoteRef/>
      </w:r>
      <w:r w:rsidRPr="00FD3CF7">
        <w:rPr>
          <w:sz w:val="16"/>
          <w:szCs w:val="16"/>
        </w:rPr>
        <w:t xml:space="preserve"> </w:t>
      </w:r>
      <w:r w:rsidRPr="00DD5C92">
        <w:rPr>
          <w:sz w:val="16"/>
          <w:szCs w:val="16"/>
          <w:lang w:val="en-GB"/>
        </w:rPr>
        <w:t>The year-on-year growth of sales in services accelerated in H1 2017, when it reached 5.7% (the highest rate of growth since the end of year 2007).</w:t>
      </w:r>
    </w:p>
  </w:footnote>
  <w:footnote w:id="13">
    <w:p w:rsidR="00061917" w:rsidRPr="005825E6" w:rsidRDefault="00061917" w:rsidP="00BB4F87">
      <w:pPr>
        <w:pStyle w:val="Textpoznpodarou"/>
        <w:jc w:val="both"/>
        <w:rPr>
          <w:sz w:val="16"/>
          <w:szCs w:val="16"/>
          <w:lang w:val="en-GB"/>
        </w:rPr>
      </w:pPr>
      <w:r w:rsidRPr="00252AB9">
        <w:rPr>
          <w:rStyle w:val="Znakapoznpodarou"/>
          <w:sz w:val="16"/>
          <w:szCs w:val="16"/>
        </w:rPr>
        <w:footnoteRef/>
      </w:r>
      <w:r w:rsidRPr="00252AB9">
        <w:rPr>
          <w:sz w:val="16"/>
          <w:szCs w:val="16"/>
        </w:rPr>
        <w:t xml:space="preserve"> </w:t>
      </w:r>
      <w:r w:rsidRPr="005825E6">
        <w:rPr>
          <w:sz w:val="16"/>
          <w:szCs w:val="16"/>
          <w:lang w:val="en-GB"/>
        </w:rPr>
        <w:t>Without adjustment for the differing number of working days, the growth was 3.3%.</w:t>
      </w:r>
    </w:p>
  </w:footnote>
  <w:footnote w:id="14">
    <w:p w:rsidR="00061917" w:rsidRPr="006D6893" w:rsidRDefault="00061917" w:rsidP="00B11655">
      <w:pPr>
        <w:pStyle w:val="Textpoznpodarou"/>
        <w:jc w:val="both"/>
        <w:rPr>
          <w:sz w:val="16"/>
          <w:szCs w:val="16"/>
          <w:lang w:val="en-GB"/>
        </w:rPr>
      </w:pPr>
      <w:r w:rsidRPr="00FE48E4">
        <w:rPr>
          <w:rStyle w:val="Znakapoznpodarou"/>
          <w:sz w:val="16"/>
          <w:szCs w:val="16"/>
        </w:rPr>
        <w:footnoteRef/>
      </w:r>
      <w:r w:rsidRPr="00FE48E4">
        <w:rPr>
          <w:sz w:val="16"/>
          <w:szCs w:val="16"/>
        </w:rPr>
        <w:t xml:space="preserve"> </w:t>
      </w:r>
      <w:r w:rsidRPr="006D6893">
        <w:rPr>
          <w:sz w:val="16"/>
          <w:szCs w:val="16"/>
          <w:lang w:val="en-GB"/>
        </w:rPr>
        <w:t>It was also apparent in the in-kind indicators. Number of overn</w:t>
      </w:r>
      <w:r>
        <w:rPr>
          <w:sz w:val="16"/>
          <w:szCs w:val="16"/>
          <w:lang w:val="en-GB"/>
        </w:rPr>
        <w:t>ight stays of guests in the collective accommodation establishment</w:t>
      </w:r>
      <w:r w:rsidRPr="006D6893">
        <w:rPr>
          <w:sz w:val="16"/>
          <w:szCs w:val="16"/>
          <w:lang w:val="en-GB"/>
        </w:rPr>
        <w:t>s increased year-on-year already only by 2.2% in the CR in Q2 2018</w:t>
      </w:r>
      <w:r>
        <w:rPr>
          <w:sz w:val="16"/>
          <w:szCs w:val="16"/>
          <w:lang w:val="en-GB"/>
        </w:rPr>
        <w:t xml:space="preserve">. </w:t>
      </w:r>
      <w:proofErr w:type="gramStart"/>
      <w:r>
        <w:rPr>
          <w:sz w:val="16"/>
          <w:szCs w:val="16"/>
          <w:lang w:val="en-GB"/>
        </w:rPr>
        <w:t>Even though the growth was extraordinary 12.7% in the same period of the last year.</w:t>
      </w:r>
      <w:proofErr w:type="gramEnd"/>
    </w:p>
  </w:footnote>
  <w:footnote w:id="15">
    <w:p w:rsidR="00061917" w:rsidRPr="006D6893" w:rsidRDefault="00061917" w:rsidP="00B11655">
      <w:pPr>
        <w:pStyle w:val="Textpoznpodarou"/>
        <w:jc w:val="both"/>
        <w:rPr>
          <w:sz w:val="16"/>
          <w:szCs w:val="16"/>
          <w:lang w:val="en-GB"/>
        </w:rPr>
      </w:pPr>
      <w:r w:rsidRPr="006D6893">
        <w:rPr>
          <w:rStyle w:val="Znakapoznpodarou"/>
          <w:sz w:val="16"/>
          <w:szCs w:val="16"/>
          <w:lang w:val="en-GB"/>
        </w:rPr>
        <w:footnoteRef/>
      </w:r>
      <w:r w:rsidRPr="006D6893">
        <w:rPr>
          <w:sz w:val="16"/>
          <w:szCs w:val="16"/>
          <w:lang w:val="en-GB"/>
        </w:rPr>
        <w:t xml:space="preserve"> </w:t>
      </w:r>
      <w:r>
        <w:rPr>
          <w:sz w:val="16"/>
          <w:szCs w:val="16"/>
          <w:lang w:val="en-GB"/>
        </w:rPr>
        <w:t>It was the consequence of the minimum wage increases. In current prices, the double-digit year-on-year growth of sales of the agencies continued.</w:t>
      </w:r>
    </w:p>
  </w:footnote>
  <w:footnote w:id="16">
    <w:p w:rsidR="00061917" w:rsidRPr="006D6893" w:rsidRDefault="00061917" w:rsidP="00B11655">
      <w:pPr>
        <w:pStyle w:val="Textpoznpodarou"/>
        <w:jc w:val="both"/>
        <w:rPr>
          <w:lang w:val="en-GB"/>
        </w:rPr>
      </w:pPr>
      <w:r w:rsidRPr="006D6893">
        <w:rPr>
          <w:rStyle w:val="Znakapoznpodarou"/>
          <w:sz w:val="16"/>
          <w:szCs w:val="16"/>
          <w:lang w:val="en-GB"/>
        </w:rPr>
        <w:footnoteRef/>
      </w:r>
      <w:r w:rsidRPr="006D6893">
        <w:rPr>
          <w:sz w:val="16"/>
          <w:szCs w:val="16"/>
          <w:lang w:val="en-GB"/>
        </w:rPr>
        <w:t xml:space="preserve"> Data </w:t>
      </w:r>
      <w:r>
        <w:rPr>
          <w:sz w:val="16"/>
          <w:szCs w:val="16"/>
          <w:lang w:val="en-GB"/>
        </w:rPr>
        <w:t xml:space="preserve">do not include the motorist segment. Data related to retail are expressed in constant prices and adjusted for calendar effects. </w:t>
      </w:r>
    </w:p>
  </w:footnote>
  <w:footnote w:id="17">
    <w:p w:rsidR="00061917" w:rsidRPr="006D6893" w:rsidRDefault="00061917" w:rsidP="00B11655">
      <w:pPr>
        <w:pStyle w:val="Textpoznpodarou"/>
        <w:jc w:val="both"/>
        <w:rPr>
          <w:sz w:val="16"/>
          <w:szCs w:val="16"/>
          <w:lang w:val="en-GB"/>
        </w:rPr>
      </w:pPr>
      <w:r w:rsidRPr="006D6893">
        <w:rPr>
          <w:rStyle w:val="Znakapoznpodarou"/>
          <w:sz w:val="16"/>
          <w:szCs w:val="16"/>
          <w:lang w:val="en-GB"/>
        </w:rPr>
        <w:footnoteRef/>
      </w:r>
      <w:r w:rsidRPr="006D6893">
        <w:rPr>
          <w:sz w:val="16"/>
          <w:szCs w:val="16"/>
          <w:lang w:val="en-GB"/>
        </w:rPr>
        <w:t xml:space="preserve"> </w:t>
      </w:r>
      <w:proofErr w:type="gramStart"/>
      <w:r>
        <w:rPr>
          <w:sz w:val="16"/>
          <w:szCs w:val="16"/>
          <w:lang w:val="en-GB"/>
        </w:rPr>
        <w:t xml:space="preserve">Includes retail with hardware goods, paints, glass, other household DIY articles, textiles, carpets, floor and wall coverings, </w:t>
      </w:r>
      <w:r>
        <w:rPr>
          <w:sz w:val="16"/>
          <w:szCs w:val="16"/>
          <w:lang w:val="en-GB"/>
        </w:rPr>
        <w:tab/>
      </w:r>
      <w:r w:rsidRPr="006D6893">
        <w:rPr>
          <w:sz w:val="16"/>
          <w:szCs w:val="16"/>
          <w:lang w:val="en-GB"/>
        </w:rPr>
        <w:t xml:space="preserve"> ele</w:t>
      </w:r>
      <w:r>
        <w:rPr>
          <w:sz w:val="16"/>
          <w:szCs w:val="16"/>
          <w:lang w:val="en-GB"/>
        </w:rPr>
        <w:t>ctrical household appliances</w:t>
      </w:r>
      <w:r w:rsidRPr="006D6893">
        <w:rPr>
          <w:sz w:val="16"/>
          <w:szCs w:val="16"/>
          <w:lang w:val="en-GB"/>
        </w:rPr>
        <w:t xml:space="preserve">, </w:t>
      </w:r>
      <w:proofErr w:type="spellStart"/>
      <w:r>
        <w:rPr>
          <w:sz w:val="16"/>
          <w:szCs w:val="16"/>
          <w:lang w:val="en-GB"/>
        </w:rPr>
        <w:t>electronical</w:t>
      </w:r>
      <w:proofErr w:type="spellEnd"/>
      <w:r>
        <w:rPr>
          <w:sz w:val="16"/>
          <w:szCs w:val="16"/>
          <w:lang w:val="en-GB"/>
        </w:rPr>
        <w:t xml:space="preserve"> equipment</w:t>
      </w:r>
      <w:r w:rsidRPr="006D6893">
        <w:rPr>
          <w:sz w:val="16"/>
          <w:szCs w:val="16"/>
          <w:lang w:val="en-GB"/>
        </w:rPr>
        <w:t xml:space="preserve">, </w:t>
      </w:r>
      <w:r>
        <w:rPr>
          <w:sz w:val="16"/>
          <w:szCs w:val="16"/>
          <w:lang w:val="en-GB"/>
        </w:rPr>
        <w:t>furniture or lighting equipment</w:t>
      </w:r>
      <w:r w:rsidRPr="006D6893">
        <w:rPr>
          <w:sz w:val="16"/>
          <w:szCs w:val="16"/>
          <w:lang w:val="en-GB"/>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F5" w:rsidRPr="00C156C9" w:rsidRDefault="00BC49F5" w:rsidP="00937AE2">
    <w:pPr>
      <w:pStyle w:val="Zhlav"/>
      <w:rPr>
        <w:lang w:val="en-GB"/>
      </w:rPr>
    </w:pPr>
    <w:r w:rsidRPr="00C156C9">
      <w:rPr>
        <w:lang w:val="en-GB"/>
      </w:rPr>
      <w:t xml:space="preserve">The Czech Economy Development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F5" w:rsidRPr="00C156C9" w:rsidRDefault="00BC49F5" w:rsidP="00937AE2">
    <w:pPr>
      <w:pStyle w:val="Zhlav"/>
      <w:rPr>
        <w:lang w:val="en-GB"/>
      </w:rPr>
    </w:pPr>
    <w:r>
      <w:rPr>
        <w:lang w:val="en-GB"/>
      </w:rPr>
      <w:t xml:space="preserve">The </w:t>
    </w:r>
    <w:r w:rsidRPr="00C156C9">
      <w:rPr>
        <w:lang w:val="en-GB"/>
      </w:rPr>
      <w:t xml:space="preserve">Czech Economy Development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2">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21"/>
  </w:num>
  <w:num w:numId="14">
    <w:abstractNumId w:val="11"/>
  </w:num>
  <w:num w:numId="15">
    <w:abstractNumId w:val="17"/>
  </w:num>
  <w:num w:numId="16">
    <w:abstractNumId w:val="13"/>
  </w:num>
  <w:num w:numId="17">
    <w:abstractNumId w:val="22"/>
  </w:num>
  <w:num w:numId="18">
    <w:abstractNumId w:val="18"/>
  </w:num>
  <w:num w:numId="19">
    <w:abstractNumId w:val="23"/>
  </w:num>
  <w:num w:numId="20">
    <w:abstractNumId w:val="24"/>
  </w:num>
  <w:num w:numId="21">
    <w:abstractNumId w:val="20"/>
  </w:num>
  <w:num w:numId="22">
    <w:abstractNumId w:val="16"/>
  </w:num>
  <w:num w:numId="23">
    <w:abstractNumId w:val="14"/>
  </w:num>
  <w:num w:numId="24">
    <w:abstractNumId w:val="15"/>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1001"/>
  <w:stylePaneSortMethod w:val="0004"/>
  <w:defaultTabStop w:val="708"/>
  <w:hyphenationZone w:val="425"/>
  <w:evenAndOddHeaders/>
  <w:drawingGridHorizontalSpacing w:val="100"/>
  <w:displayHorizontalDrawingGridEvery w:val="2"/>
  <w:characterSpacingControl w:val="doNotCompress"/>
  <w:hdrShapeDefaults>
    <o:shapedefaults v:ext="edit" spidmax="10242">
      <o:colormru v:ext="edit" colors="#ecf4dd,#eaecee,#fcec0a,#fcecdb,#f1daf5"/>
    </o:shapedefaults>
  </w:hdrShapeDefaults>
  <w:footnotePr>
    <w:footnote w:id="-1"/>
    <w:footnote w:id="0"/>
  </w:footnotePr>
  <w:endnotePr>
    <w:endnote w:id="-1"/>
    <w:endnote w:id="0"/>
  </w:endnotePr>
  <w:compat/>
  <w:rsids>
    <w:rsidRoot w:val="00C62828"/>
    <w:rsid w:val="000005AF"/>
    <w:rsid w:val="000012A5"/>
    <w:rsid w:val="0000209D"/>
    <w:rsid w:val="0000240D"/>
    <w:rsid w:val="000025CD"/>
    <w:rsid w:val="00002B56"/>
    <w:rsid w:val="00003A69"/>
    <w:rsid w:val="00003B28"/>
    <w:rsid w:val="00003B7A"/>
    <w:rsid w:val="00003F5C"/>
    <w:rsid w:val="00004D5A"/>
    <w:rsid w:val="000056D5"/>
    <w:rsid w:val="000056DC"/>
    <w:rsid w:val="00006190"/>
    <w:rsid w:val="000063D5"/>
    <w:rsid w:val="00006ABD"/>
    <w:rsid w:val="0000767A"/>
    <w:rsid w:val="00010002"/>
    <w:rsid w:val="00010256"/>
    <w:rsid w:val="000106D4"/>
    <w:rsid w:val="00010702"/>
    <w:rsid w:val="0001128E"/>
    <w:rsid w:val="00011912"/>
    <w:rsid w:val="00013A7A"/>
    <w:rsid w:val="00015EEC"/>
    <w:rsid w:val="00016420"/>
    <w:rsid w:val="00017B01"/>
    <w:rsid w:val="00020F22"/>
    <w:rsid w:val="0002195D"/>
    <w:rsid w:val="000225D8"/>
    <w:rsid w:val="000233D1"/>
    <w:rsid w:val="000234D6"/>
    <w:rsid w:val="00023D29"/>
    <w:rsid w:val="00025903"/>
    <w:rsid w:val="00026389"/>
    <w:rsid w:val="00031AE0"/>
    <w:rsid w:val="000322EF"/>
    <w:rsid w:val="00033B83"/>
    <w:rsid w:val="00033C1D"/>
    <w:rsid w:val="00033FCD"/>
    <w:rsid w:val="00034DF7"/>
    <w:rsid w:val="00034E68"/>
    <w:rsid w:val="00035021"/>
    <w:rsid w:val="00035106"/>
    <w:rsid w:val="00036195"/>
    <w:rsid w:val="000376C0"/>
    <w:rsid w:val="000403A7"/>
    <w:rsid w:val="00040632"/>
    <w:rsid w:val="00041CEC"/>
    <w:rsid w:val="000438DF"/>
    <w:rsid w:val="00044183"/>
    <w:rsid w:val="00046535"/>
    <w:rsid w:val="0004694F"/>
    <w:rsid w:val="00047AC4"/>
    <w:rsid w:val="00047D54"/>
    <w:rsid w:val="00047E74"/>
    <w:rsid w:val="00050B7F"/>
    <w:rsid w:val="00051ADB"/>
    <w:rsid w:val="00051E0D"/>
    <w:rsid w:val="000522E4"/>
    <w:rsid w:val="00052679"/>
    <w:rsid w:val="00053713"/>
    <w:rsid w:val="0005434E"/>
    <w:rsid w:val="00055CB6"/>
    <w:rsid w:val="000572DD"/>
    <w:rsid w:val="00057450"/>
    <w:rsid w:val="00057B1E"/>
    <w:rsid w:val="000610E1"/>
    <w:rsid w:val="00061917"/>
    <w:rsid w:val="00062EC5"/>
    <w:rsid w:val="00062F22"/>
    <w:rsid w:val="00063975"/>
    <w:rsid w:val="00063F01"/>
    <w:rsid w:val="000645FC"/>
    <w:rsid w:val="0006533F"/>
    <w:rsid w:val="00065348"/>
    <w:rsid w:val="00065A75"/>
    <w:rsid w:val="000666C1"/>
    <w:rsid w:val="00070A87"/>
    <w:rsid w:val="000712B3"/>
    <w:rsid w:val="00072CDE"/>
    <w:rsid w:val="00072F86"/>
    <w:rsid w:val="0007474E"/>
    <w:rsid w:val="00076193"/>
    <w:rsid w:val="00077059"/>
    <w:rsid w:val="00077FF0"/>
    <w:rsid w:val="00081A55"/>
    <w:rsid w:val="00081AEA"/>
    <w:rsid w:val="0008263E"/>
    <w:rsid w:val="00082C19"/>
    <w:rsid w:val="000837CD"/>
    <w:rsid w:val="00084BFF"/>
    <w:rsid w:val="00085395"/>
    <w:rsid w:val="00086AC1"/>
    <w:rsid w:val="000871C2"/>
    <w:rsid w:val="00087634"/>
    <w:rsid w:val="00087F2B"/>
    <w:rsid w:val="0009045D"/>
    <w:rsid w:val="00090694"/>
    <w:rsid w:val="000913B1"/>
    <w:rsid w:val="00094A84"/>
    <w:rsid w:val="00095025"/>
    <w:rsid w:val="00095135"/>
    <w:rsid w:val="00095A00"/>
    <w:rsid w:val="00097191"/>
    <w:rsid w:val="000974D1"/>
    <w:rsid w:val="0009799E"/>
    <w:rsid w:val="000A0D16"/>
    <w:rsid w:val="000A1183"/>
    <w:rsid w:val="000A256D"/>
    <w:rsid w:val="000A32FC"/>
    <w:rsid w:val="000A3A2C"/>
    <w:rsid w:val="000A41A2"/>
    <w:rsid w:val="000A4A54"/>
    <w:rsid w:val="000A6691"/>
    <w:rsid w:val="000A7377"/>
    <w:rsid w:val="000B03CC"/>
    <w:rsid w:val="000B4212"/>
    <w:rsid w:val="000B5381"/>
    <w:rsid w:val="000B59DD"/>
    <w:rsid w:val="000C0CF7"/>
    <w:rsid w:val="000C0EA8"/>
    <w:rsid w:val="000C1039"/>
    <w:rsid w:val="000C13A2"/>
    <w:rsid w:val="000C1EA3"/>
    <w:rsid w:val="000C3408"/>
    <w:rsid w:val="000C35AB"/>
    <w:rsid w:val="000C6AFD"/>
    <w:rsid w:val="000C6FC6"/>
    <w:rsid w:val="000D0B63"/>
    <w:rsid w:val="000D2E6A"/>
    <w:rsid w:val="000D3058"/>
    <w:rsid w:val="000D310A"/>
    <w:rsid w:val="000D5637"/>
    <w:rsid w:val="000D60CA"/>
    <w:rsid w:val="000D6898"/>
    <w:rsid w:val="000E0E96"/>
    <w:rsid w:val="000E23C1"/>
    <w:rsid w:val="000E2C7D"/>
    <w:rsid w:val="000E2D5A"/>
    <w:rsid w:val="000E4AC5"/>
    <w:rsid w:val="000E52F0"/>
    <w:rsid w:val="000E5DD6"/>
    <w:rsid w:val="000E6253"/>
    <w:rsid w:val="000E6875"/>
    <w:rsid w:val="000E6E8D"/>
    <w:rsid w:val="000E6FBD"/>
    <w:rsid w:val="000F1639"/>
    <w:rsid w:val="000F1863"/>
    <w:rsid w:val="000F3190"/>
    <w:rsid w:val="000F3A0A"/>
    <w:rsid w:val="000F54F2"/>
    <w:rsid w:val="000F7775"/>
    <w:rsid w:val="00100F5C"/>
    <w:rsid w:val="00101CDA"/>
    <w:rsid w:val="00102037"/>
    <w:rsid w:val="00103907"/>
    <w:rsid w:val="00103DCB"/>
    <w:rsid w:val="00104442"/>
    <w:rsid w:val="00104C4C"/>
    <w:rsid w:val="001057C2"/>
    <w:rsid w:val="00110725"/>
    <w:rsid w:val="00110940"/>
    <w:rsid w:val="00110BF9"/>
    <w:rsid w:val="00110C91"/>
    <w:rsid w:val="00112CAB"/>
    <w:rsid w:val="00114ED6"/>
    <w:rsid w:val="00117623"/>
    <w:rsid w:val="00117E7B"/>
    <w:rsid w:val="00120D64"/>
    <w:rsid w:val="0012192F"/>
    <w:rsid w:val="00122994"/>
    <w:rsid w:val="00124B46"/>
    <w:rsid w:val="00125D69"/>
    <w:rsid w:val="00126FA0"/>
    <w:rsid w:val="0012799C"/>
    <w:rsid w:val="00130ADC"/>
    <w:rsid w:val="00130D9F"/>
    <w:rsid w:val="00131F7A"/>
    <w:rsid w:val="00132145"/>
    <w:rsid w:val="0013284D"/>
    <w:rsid w:val="00132C4D"/>
    <w:rsid w:val="00132D2D"/>
    <w:rsid w:val="00133FC1"/>
    <w:rsid w:val="001405FA"/>
    <w:rsid w:val="0014170D"/>
    <w:rsid w:val="0014203B"/>
    <w:rsid w:val="001425C3"/>
    <w:rsid w:val="0014262D"/>
    <w:rsid w:val="00143E9A"/>
    <w:rsid w:val="001459BC"/>
    <w:rsid w:val="00152503"/>
    <w:rsid w:val="001540E7"/>
    <w:rsid w:val="00154B61"/>
    <w:rsid w:val="001554C2"/>
    <w:rsid w:val="001571C0"/>
    <w:rsid w:val="0015753D"/>
    <w:rsid w:val="001612F4"/>
    <w:rsid w:val="00161553"/>
    <w:rsid w:val="0016256B"/>
    <w:rsid w:val="00163793"/>
    <w:rsid w:val="00167193"/>
    <w:rsid w:val="00167CB9"/>
    <w:rsid w:val="001705AD"/>
    <w:rsid w:val="001706D6"/>
    <w:rsid w:val="001714F2"/>
    <w:rsid w:val="00171FEA"/>
    <w:rsid w:val="00172BE8"/>
    <w:rsid w:val="00173E0F"/>
    <w:rsid w:val="001744C7"/>
    <w:rsid w:val="00175B9F"/>
    <w:rsid w:val="001762F4"/>
    <w:rsid w:val="00177026"/>
    <w:rsid w:val="00181BBC"/>
    <w:rsid w:val="0018385F"/>
    <w:rsid w:val="00184017"/>
    <w:rsid w:val="00184B08"/>
    <w:rsid w:val="00185010"/>
    <w:rsid w:val="00185484"/>
    <w:rsid w:val="00187026"/>
    <w:rsid w:val="0019036A"/>
    <w:rsid w:val="00192E51"/>
    <w:rsid w:val="00192F05"/>
    <w:rsid w:val="001944B7"/>
    <w:rsid w:val="00194729"/>
    <w:rsid w:val="00195234"/>
    <w:rsid w:val="00195DB8"/>
    <w:rsid w:val="00197A70"/>
    <w:rsid w:val="00197C04"/>
    <w:rsid w:val="00197C0F"/>
    <w:rsid w:val="001A0487"/>
    <w:rsid w:val="001A3555"/>
    <w:rsid w:val="001A4191"/>
    <w:rsid w:val="001A552F"/>
    <w:rsid w:val="001A67E6"/>
    <w:rsid w:val="001A6F88"/>
    <w:rsid w:val="001B1FF7"/>
    <w:rsid w:val="001B2CA9"/>
    <w:rsid w:val="001B3110"/>
    <w:rsid w:val="001B35DD"/>
    <w:rsid w:val="001B3E38"/>
    <w:rsid w:val="001B3EF1"/>
    <w:rsid w:val="001B4729"/>
    <w:rsid w:val="001B4B0D"/>
    <w:rsid w:val="001B4F0E"/>
    <w:rsid w:val="001B6310"/>
    <w:rsid w:val="001B6C09"/>
    <w:rsid w:val="001C05CD"/>
    <w:rsid w:val="001C0F17"/>
    <w:rsid w:val="001C199C"/>
    <w:rsid w:val="001C1B66"/>
    <w:rsid w:val="001C31A2"/>
    <w:rsid w:val="001C4905"/>
    <w:rsid w:val="001C6A0F"/>
    <w:rsid w:val="001D22C2"/>
    <w:rsid w:val="001D2AFF"/>
    <w:rsid w:val="001D3DDA"/>
    <w:rsid w:val="001D54C1"/>
    <w:rsid w:val="001D556E"/>
    <w:rsid w:val="001D5DF2"/>
    <w:rsid w:val="001D68B2"/>
    <w:rsid w:val="001D6BF1"/>
    <w:rsid w:val="001D7F60"/>
    <w:rsid w:val="001E0ECB"/>
    <w:rsid w:val="001E1A0E"/>
    <w:rsid w:val="001E2D8C"/>
    <w:rsid w:val="001E4A87"/>
    <w:rsid w:val="001E504C"/>
    <w:rsid w:val="001E5A17"/>
    <w:rsid w:val="001F0598"/>
    <w:rsid w:val="001F1769"/>
    <w:rsid w:val="001F1F0D"/>
    <w:rsid w:val="001F336D"/>
    <w:rsid w:val="001F4597"/>
    <w:rsid w:val="001F5777"/>
    <w:rsid w:val="001F6C7C"/>
    <w:rsid w:val="00200085"/>
    <w:rsid w:val="00203332"/>
    <w:rsid w:val="00203CD5"/>
    <w:rsid w:val="00203D8F"/>
    <w:rsid w:val="00203DA4"/>
    <w:rsid w:val="00204EBA"/>
    <w:rsid w:val="00205C64"/>
    <w:rsid w:val="002071D5"/>
    <w:rsid w:val="00207942"/>
    <w:rsid w:val="00207C95"/>
    <w:rsid w:val="002118B9"/>
    <w:rsid w:val="00211D49"/>
    <w:rsid w:val="00212741"/>
    <w:rsid w:val="002136EC"/>
    <w:rsid w:val="002142C0"/>
    <w:rsid w:val="00214B75"/>
    <w:rsid w:val="00214FC7"/>
    <w:rsid w:val="00217C5B"/>
    <w:rsid w:val="00220A43"/>
    <w:rsid w:val="0022139E"/>
    <w:rsid w:val="00222017"/>
    <w:rsid w:val="00222729"/>
    <w:rsid w:val="00223344"/>
    <w:rsid w:val="0022441D"/>
    <w:rsid w:val="0022468F"/>
    <w:rsid w:val="002252E0"/>
    <w:rsid w:val="002255F6"/>
    <w:rsid w:val="00227605"/>
    <w:rsid w:val="00227850"/>
    <w:rsid w:val="00227A53"/>
    <w:rsid w:val="00227ADF"/>
    <w:rsid w:val="00227E2E"/>
    <w:rsid w:val="00230C6E"/>
    <w:rsid w:val="002318F2"/>
    <w:rsid w:val="00232C2B"/>
    <w:rsid w:val="00232C53"/>
    <w:rsid w:val="00233603"/>
    <w:rsid w:val="00235033"/>
    <w:rsid w:val="00235456"/>
    <w:rsid w:val="00235B5D"/>
    <w:rsid w:val="00236443"/>
    <w:rsid w:val="002372E9"/>
    <w:rsid w:val="00240F80"/>
    <w:rsid w:val="00241B06"/>
    <w:rsid w:val="00242166"/>
    <w:rsid w:val="002436BA"/>
    <w:rsid w:val="00244A15"/>
    <w:rsid w:val="002452D9"/>
    <w:rsid w:val="002458A9"/>
    <w:rsid w:val="00247319"/>
    <w:rsid w:val="0024799E"/>
    <w:rsid w:val="00247E60"/>
    <w:rsid w:val="00250C08"/>
    <w:rsid w:val="002517C1"/>
    <w:rsid w:val="00252AB9"/>
    <w:rsid w:val="00252E4A"/>
    <w:rsid w:val="002530A2"/>
    <w:rsid w:val="00253C0F"/>
    <w:rsid w:val="002558C1"/>
    <w:rsid w:val="00256207"/>
    <w:rsid w:val="002603E1"/>
    <w:rsid w:val="00260A6C"/>
    <w:rsid w:val="0026291D"/>
    <w:rsid w:val="00264889"/>
    <w:rsid w:val="0026676C"/>
    <w:rsid w:val="002675F3"/>
    <w:rsid w:val="00267B49"/>
    <w:rsid w:val="0027025F"/>
    <w:rsid w:val="00271022"/>
    <w:rsid w:val="00271465"/>
    <w:rsid w:val="00272DF4"/>
    <w:rsid w:val="00275004"/>
    <w:rsid w:val="0027583D"/>
    <w:rsid w:val="00275DEF"/>
    <w:rsid w:val="00276494"/>
    <w:rsid w:val="00276B33"/>
    <w:rsid w:val="002812E3"/>
    <w:rsid w:val="002837AE"/>
    <w:rsid w:val="002844CE"/>
    <w:rsid w:val="002853FA"/>
    <w:rsid w:val="00285412"/>
    <w:rsid w:val="002854F5"/>
    <w:rsid w:val="0028777E"/>
    <w:rsid w:val="002901C9"/>
    <w:rsid w:val="00291640"/>
    <w:rsid w:val="0029237E"/>
    <w:rsid w:val="00292997"/>
    <w:rsid w:val="00293C34"/>
    <w:rsid w:val="0029588F"/>
    <w:rsid w:val="00296684"/>
    <w:rsid w:val="00296E19"/>
    <w:rsid w:val="00297256"/>
    <w:rsid w:val="00297D51"/>
    <w:rsid w:val="002A0122"/>
    <w:rsid w:val="002A016B"/>
    <w:rsid w:val="002A16D4"/>
    <w:rsid w:val="002A1E4F"/>
    <w:rsid w:val="002A230C"/>
    <w:rsid w:val="002A268C"/>
    <w:rsid w:val="002A2AF7"/>
    <w:rsid w:val="002A3EA2"/>
    <w:rsid w:val="002A4FB0"/>
    <w:rsid w:val="002A5218"/>
    <w:rsid w:val="002A532A"/>
    <w:rsid w:val="002A5846"/>
    <w:rsid w:val="002A58A8"/>
    <w:rsid w:val="002A5D97"/>
    <w:rsid w:val="002A5DB7"/>
    <w:rsid w:val="002A69B3"/>
    <w:rsid w:val="002B4845"/>
    <w:rsid w:val="002C27A6"/>
    <w:rsid w:val="002C2EE3"/>
    <w:rsid w:val="002C43BD"/>
    <w:rsid w:val="002C62EC"/>
    <w:rsid w:val="002C6BB4"/>
    <w:rsid w:val="002C6DDE"/>
    <w:rsid w:val="002D0E59"/>
    <w:rsid w:val="002D19CC"/>
    <w:rsid w:val="002D1CE9"/>
    <w:rsid w:val="002E02A1"/>
    <w:rsid w:val="002E0989"/>
    <w:rsid w:val="002E196A"/>
    <w:rsid w:val="002E20C7"/>
    <w:rsid w:val="002E222E"/>
    <w:rsid w:val="002E37D1"/>
    <w:rsid w:val="002E3BEE"/>
    <w:rsid w:val="002E4E4C"/>
    <w:rsid w:val="002E4EA7"/>
    <w:rsid w:val="002E5846"/>
    <w:rsid w:val="002F0EF0"/>
    <w:rsid w:val="002F2C35"/>
    <w:rsid w:val="002F333D"/>
    <w:rsid w:val="002F498A"/>
    <w:rsid w:val="002F4AD8"/>
    <w:rsid w:val="002F54AD"/>
    <w:rsid w:val="002F5820"/>
    <w:rsid w:val="002F624E"/>
    <w:rsid w:val="00301565"/>
    <w:rsid w:val="00301CCA"/>
    <w:rsid w:val="00301CDB"/>
    <w:rsid w:val="00304771"/>
    <w:rsid w:val="00304E73"/>
    <w:rsid w:val="003052D4"/>
    <w:rsid w:val="00306C5B"/>
    <w:rsid w:val="00307DB3"/>
    <w:rsid w:val="00307ED2"/>
    <w:rsid w:val="0031076D"/>
    <w:rsid w:val="00311AA6"/>
    <w:rsid w:val="00311C4D"/>
    <w:rsid w:val="003121AB"/>
    <w:rsid w:val="00312CD2"/>
    <w:rsid w:val="003153C8"/>
    <w:rsid w:val="00315524"/>
    <w:rsid w:val="003209B6"/>
    <w:rsid w:val="003209D6"/>
    <w:rsid w:val="003217B9"/>
    <w:rsid w:val="00321924"/>
    <w:rsid w:val="00321EB6"/>
    <w:rsid w:val="003220A5"/>
    <w:rsid w:val="00323EF6"/>
    <w:rsid w:val="0032656E"/>
    <w:rsid w:val="003309E4"/>
    <w:rsid w:val="00330C03"/>
    <w:rsid w:val="00331404"/>
    <w:rsid w:val="00332190"/>
    <w:rsid w:val="003327F1"/>
    <w:rsid w:val="00333CD0"/>
    <w:rsid w:val="0033599C"/>
    <w:rsid w:val="00336EC0"/>
    <w:rsid w:val="003370C5"/>
    <w:rsid w:val="0033750D"/>
    <w:rsid w:val="00341F05"/>
    <w:rsid w:val="00342AD7"/>
    <w:rsid w:val="0034335E"/>
    <w:rsid w:val="003441C3"/>
    <w:rsid w:val="00344668"/>
    <w:rsid w:val="003462D9"/>
    <w:rsid w:val="00350FB3"/>
    <w:rsid w:val="0035259F"/>
    <w:rsid w:val="00352C28"/>
    <w:rsid w:val="0035341A"/>
    <w:rsid w:val="00356D48"/>
    <w:rsid w:val="0036077F"/>
    <w:rsid w:val="00360C86"/>
    <w:rsid w:val="00360FA1"/>
    <w:rsid w:val="00360FBC"/>
    <w:rsid w:val="00361537"/>
    <w:rsid w:val="0036242A"/>
    <w:rsid w:val="00362E90"/>
    <w:rsid w:val="00364FA0"/>
    <w:rsid w:val="0036534A"/>
    <w:rsid w:val="003657F3"/>
    <w:rsid w:val="00367F84"/>
    <w:rsid w:val="003704D6"/>
    <w:rsid w:val="00372DD2"/>
    <w:rsid w:val="003738BD"/>
    <w:rsid w:val="0037431C"/>
    <w:rsid w:val="00374A20"/>
    <w:rsid w:val="00374E21"/>
    <w:rsid w:val="00374E37"/>
    <w:rsid w:val="00375EEC"/>
    <w:rsid w:val="003766E6"/>
    <w:rsid w:val="003770EA"/>
    <w:rsid w:val="0038040F"/>
    <w:rsid w:val="003818DC"/>
    <w:rsid w:val="00383388"/>
    <w:rsid w:val="003834F8"/>
    <w:rsid w:val="003838D0"/>
    <w:rsid w:val="00384327"/>
    <w:rsid w:val="00385D98"/>
    <w:rsid w:val="003908A6"/>
    <w:rsid w:val="00391230"/>
    <w:rsid w:val="003927F6"/>
    <w:rsid w:val="00393122"/>
    <w:rsid w:val="00394DBD"/>
    <w:rsid w:val="003976F8"/>
    <w:rsid w:val="00397852"/>
    <w:rsid w:val="003A04F6"/>
    <w:rsid w:val="003A2B4D"/>
    <w:rsid w:val="003A2D12"/>
    <w:rsid w:val="003A45E3"/>
    <w:rsid w:val="003A478C"/>
    <w:rsid w:val="003A5525"/>
    <w:rsid w:val="003A6B38"/>
    <w:rsid w:val="003A6B83"/>
    <w:rsid w:val="003A722F"/>
    <w:rsid w:val="003B0DF4"/>
    <w:rsid w:val="003B1F9D"/>
    <w:rsid w:val="003B3E56"/>
    <w:rsid w:val="003B461F"/>
    <w:rsid w:val="003B4938"/>
    <w:rsid w:val="003B4998"/>
    <w:rsid w:val="003B59F5"/>
    <w:rsid w:val="003B5A32"/>
    <w:rsid w:val="003B65E5"/>
    <w:rsid w:val="003B6955"/>
    <w:rsid w:val="003B75EA"/>
    <w:rsid w:val="003B7F3C"/>
    <w:rsid w:val="003C26DF"/>
    <w:rsid w:val="003C2D85"/>
    <w:rsid w:val="003C30AC"/>
    <w:rsid w:val="003C3490"/>
    <w:rsid w:val="003C42C1"/>
    <w:rsid w:val="003C4489"/>
    <w:rsid w:val="003C6221"/>
    <w:rsid w:val="003C7E62"/>
    <w:rsid w:val="003D18C3"/>
    <w:rsid w:val="003D242B"/>
    <w:rsid w:val="003D2492"/>
    <w:rsid w:val="003D2A99"/>
    <w:rsid w:val="003D33D6"/>
    <w:rsid w:val="003D4B53"/>
    <w:rsid w:val="003D6042"/>
    <w:rsid w:val="003D6527"/>
    <w:rsid w:val="003D6920"/>
    <w:rsid w:val="003E4337"/>
    <w:rsid w:val="003E4C22"/>
    <w:rsid w:val="003E4C91"/>
    <w:rsid w:val="003E52D8"/>
    <w:rsid w:val="003E6753"/>
    <w:rsid w:val="003E6B4D"/>
    <w:rsid w:val="003F0F94"/>
    <w:rsid w:val="003F313C"/>
    <w:rsid w:val="003F37FC"/>
    <w:rsid w:val="003F46B6"/>
    <w:rsid w:val="003F4B2C"/>
    <w:rsid w:val="003F4C71"/>
    <w:rsid w:val="003F551C"/>
    <w:rsid w:val="003F72ED"/>
    <w:rsid w:val="003F7D23"/>
    <w:rsid w:val="003F7DC1"/>
    <w:rsid w:val="00400050"/>
    <w:rsid w:val="00400468"/>
    <w:rsid w:val="0040099D"/>
    <w:rsid w:val="00402ADB"/>
    <w:rsid w:val="00405415"/>
    <w:rsid w:val="004059D2"/>
    <w:rsid w:val="00405F95"/>
    <w:rsid w:val="00406C2E"/>
    <w:rsid w:val="00406EB0"/>
    <w:rsid w:val="00407C13"/>
    <w:rsid w:val="00410638"/>
    <w:rsid w:val="004119D5"/>
    <w:rsid w:val="00412511"/>
    <w:rsid w:val="004125C2"/>
    <w:rsid w:val="00412F61"/>
    <w:rsid w:val="00413465"/>
    <w:rsid w:val="004135B2"/>
    <w:rsid w:val="0041501E"/>
    <w:rsid w:val="0041506A"/>
    <w:rsid w:val="004159C3"/>
    <w:rsid w:val="00415A05"/>
    <w:rsid w:val="00415D75"/>
    <w:rsid w:val="00415DE5"/>
    <w:rsid w:val="00416D6D"/>
    <w:rsid w:val="00416DAC"/>
    <w:rsid w:val="00416EF1"/>
    <w:rsid w:val="004171C0"/>
    <w:rsid w:val="0042006A"/>
    <w:rsid w:val="00420880"/>
    <w:rsid w:val="0042115C"/>
    <w:rsid w:val="00422433"/>
    <w:rsid w:val="00423F6F"/>
    <w:rsid w:val="004307ED"/>
    <w:rsid w:val="00430A4F"/>
    <w:rsid w:val="00432A58"/>
    <w:rsid w:val="004331A0"/>
    <w:rsid w:val="004331C3"/>
    <w:rsid w:val="00434537"/>
    <w:rsid w:val="00434617"/>
    <w:rsid w:val="00434BFC"/>
    <w:rsid w:val="00435051"/>
    <w:rsid w:val="00435C69"/>
    <w:rsid w:val="00436346"/>
    <w:rsid w:val="00437CED"/>
    <w:rsid w:val="0044082A"/>
    <w:rsid w:val="00440900"/>
    <w:rsid w:val="0044121D"/>
    <w:rsid w:val="00441BF6"/>
    <w:rsid w:val="00441F3F"/>
    <w:rsid w:val="004427D3"/>
    <w:rsid w:val="004439A2"/>
    <w:rsid w:val="004441A0"/>
    <w:rsid w:val="00445827"/>
    <w:rsid w:val="00446865"/>
    <w:rsid w:val="00446D44"/>
    <w:rsid w:val="0045078A"/>
    <w:rsid w:val="0045086D"/>
    <w:rsid w:val="00451EF1"/>
    <w:rsid w:val="00452637"/>
    <w:rsid w:val="00457189"/>
    <w:rsid w:val="00457953"/>
    <w:rsid w:val="00457EA6"/>
    <w:rsid w:val="00460FB3"/>
    <w:rsid w:val="00464241"/>
    <w:rsid w:val="00464851"/>
    <w:rsid w:val="00467B14"/>
    <w:rsid w:val="00470369"/>
    <w:rsid w:val="004707FE"/>
    <w:rsid w:val="0047276D"/>
    <w:rsid w:val="00472AF6"/>
    <w:rsid w:val="00473B54"/>
    <w:rsid w:val="00474A04"/>
    <w:rsid w:val="00474E1D"/>
    <w:rsid w:val="00476240"/>
    <w:rsid w:val="00476439"/>
    <w:rsid w:val="0047735C"/>
    <w:rsid w:val="004776BC"/>
    <w:rsid w:val="00477820"/>
    <w:rsid w:val="00477B96"/>
    <w:rsid w:val="0048139F"/>
    <w:rsid w:val="00481E40"/>
    <w:rsid w:val="00482405"/>
    <w:rsid w:val="004826A7"/>
    <w:rsid w:val="0048368C"/>
    <w:rsid w:val="00484ECE"/>
    <w:rsid w:val="004852D8"/>
    <w:rsid w:val="00485919"/>
    <w:rsid w:val="00485CC8"/>
    <w:rsid w:val="004863CE"/>
    <w:rsid w:val="00486A4D"/>
    <w:rsid w:val="004900C3"/>
    <w:rsid w:val="004915CB"/>
    <w:rsid w:val="004924DC"/>
    <w:rsid w:val="00492819"/>
    <w:rsid w:val="00492879"/>
    <w:rsid w:val="00492A96"/>
    <w:rsid w:val="00493399"/>
    <w:rsid w:val="00495893"/>
    <w:rsid w:val="004A14E4"/>
    <w:rsid w:val="004A27F0"/>
    <w:rsid w:val="004A3212"/>
    <w:rsid w:val="004A40D9"/>
    <w:rsid w:val="004A4F8A"/>
    <w:rsid w:val="004A5494"/>
    <w:rsid w:val="004A61C5"/>
    <w:rsid w:val="004A62A0"/>
    <w:rsid w:val="004A6867"/>
    <w:rsid w:val="004A77DF"/>
    <w:rsid w:val="004B11E0"/>
    <w:rsid w:val="004B1417"/>
    <w:rsid w:val="004B339A"/>
    <w:rsid w:val="004B3991"/>
    <w:rsid w:val="004B55B7"/>
    <w:rsid w:val="004B57D5"/>
    <w:rsid w:val="004B6468"/>
    <w:rsid w:val="004B6EF8"/>
    <w:rsid w:val="004B7125"/>
    <w:rsid w:val="004B756A"/>
    <w:rsid w:val="004B7DB8"/>
    <w:rsid w:val="004B7FB1"/>
    <w:rsid w:val="004C384C"/>
    <w:rsid w:val="004C3867"/>
    <w:rsid w:val="004C3DB0"/>
    <w:rsid w:val="004C4720"/>
    <w:rsid w:val="004C4CD0"/>
    <w:rsid w:val="004C5165"/>
    <w:rsid w:val="004C5649"/>
    <w:rsid w:val="004C6E0E"/>
    <w:rsid w:val="004C70DC"/>
    <w:rsid w:val="004D0211"/>
    <w:rsid w:val="004D0794"/>
    <w:rsid w:val="004D1B48"/>
    <w:rsid w:val="004D2EFC"/>
    <w:rsid w:val="004D3C90"/>
    <w:rsid w:val="004D426F"/>
    <w:rsid w:val="004D5D2F"/>
    <w:rsid w:val="004E0CAF"/>
    <w:rsid w:val="004E1A40"/>
    <w:rsid w:val="004E200A"/>
    <w:rsid w:val="004E23FC"/>
    <w:rsid w:val="004E6DE6"/>
    <w:rsid w:val="004E765E"/>
    <w:rsid w:val="004E77FE"/>
    <w:rsid w:val="004F06F5"/>
    <w:rsid w:val="004F12A4"/>
    <w:rsid w:val="004F1E20"/>
    <w:rsid w:val="004F253F"/>
    <w:rsid w:val="004F2E6F"/>
    <w:rsid w:val="004F33A0"/>
    <w:rsid w:val="004F3BD2"/>
    <w:rsid w:val="00501893"/>
    <w:rsid w:val="005024D5"/>
    <w:rsid w:val="0050277C"/>
    <w:rsid w:val="00502795"/>
    <w:rsid w:val="00504FF8"/>
    <w:rsid w:val="0050689D"/>
    <w:rsid w:val="00510210"/>
    <w:rsid w:val="005108C0"/>
    <w:rsid w:val="0051094F"/>
    <w:rsid w:val="0051139D"/>
    <w:rsid w:val="00511873"/>
    <w:rsid w:val="00512461"/>
    <w:rsid w:val="00512A2F"/>
    <w:rsid w:val="00513B7E"/>
    <w:rsid w:val="0051413D"/>
    <w:rsid w:val="0051475D"/>
    <w:rsid w:val="00514B11"/>
    <w:rsid w:val="005152D1"/>
    <w:rsid w:val="00515BE9"/>
    <w:rsid w:val="00515C74"/>
    <w:rsid w:val="005160B8"/>
    <w:rsid w:val="00517113"/>
    <w:rsid w:val="005177AA"/>
    <w:rsid w:val="0052007E"/>
    <w:rsid w:val="00522A51"/>
    <w:rsid w:val="00522E01"/>
    <w:rsid w:val="0052337A"/>
    <w:rsid w:val="00523B40"/>
    <w:rsid w:val="00524578"/>
    <w:rsid w:val="005245F9"/>
    <w:rsid w:val="005246BE"/>
    <w:rsid w:val="00525137"/>
    <w:rsid w:val="005251DD"/>
    <w:rsid w:val="00525E7F"/>
    <w:rsid w:val="00526F36"/>
    <w:rsid w:val="005277AE"/>
    <w:rsid w:val="00527C4D"/>
    <w:rsid w:val="00530A68"/>
    <w:rsid w:val="00532CE7"/>
    <w:rsid w:val="00532D8B"/>
    <w:rsid w:val="0053324C"/>
    <w:rsid w:val="00534515"/>
    <w:rsid w:val="00534A28"/>
    <w:rsid w:val="00535018"/>
    <w:rsid w:val="00536E4C"/>
    <w:rsid w:val="00537571"/>
    <w:rsid w:val="00541508"/>
    <w:rsid w:val="00541AE3"/>
    <w:rsid w:val="00543498"/>
    <w:rsid w:val="00544BE5"/>
    <w:rsid w:val="00545668"/>
    <w:rsid w:val="00550160"/>
    <w:rsid w:val="00552F2C"/>
    <w:rsid w:val="005547EB"/>
    <w:rsid w:val="00555684"/>
    <w:rsid w:val="0055599F"/>
    <w:rsid w:val="005564B8"/>
    <w:rsid w:val="0055696D"/>
    <w:rsid w:val="00556D68"/>
    <w:rsid w:val="005570D6"/>
    <w:rsid w:val="00560AF1"/>
    <w:rsid w:val="005612B9"/>
    <w:rsid w:val="00563EB8"/>
    <w:rsid w:val="005647BF"/>
    <w:rsid w:val="00564AF1"/>
    <w:rsid w:val="00564C07"/>
    <w:rsid w:val="005655DB"/>
    <w:rsid w:val="005679CD"/>
    <w:rsid w:val="00570BC3"/>
    <w:rsid w:val="0057182A"/>
    <w:rsid w:val="00571D1A"/>
    <w:rsid w:val="00572079"/>
    <w:rsid w:val="00572A10"/>
    <w:rsid w:val="00573602"/>
    <w:rsid w:val="0057364B"/>
    <w:rsid w:val="00574773"/>
    <w:rsid w:val="00577C07"/>
    <w:rsid w:val="00577DB1"/>
    <w:rsid w:val="00580DE7"/>
    <w:rsid w:val="005825E6"/>
    <w:rsid w:val="00582B4B"/>
    <w:rsid w:val="00583E52"/>
    <w:rsid w:val="00583FFD"/>
    <w:rsid w:val="0058519A"/>
    <w:rsid w:val="00585552"/>
    <w:rsid w:val="005856BD"/>
    <w:rsid w:val="00590B28"/>
    <w:rsid w:val="005911BE"/>
    <w:rsid w:val="00591273"/>
    <w:rsid w:val="005927A4"/>
    <w:rsid w:val="00592938"/>
    <w:rsid w:val="00592F83"/>
    <w:rsid w:val="00593152"/>
    <w:rsid w:val="005956A3"/>
    <w:rsid w:val="00595CAB"/>
    <w:rsid w:val="00597BBF"/>
    <w:rsid w:val="005A03AD"/>
    <w:rsid w:val="005A10F2"/>
    <w:rsid w:val="005A1476"/>
    <w:rsid w:val="005A21E0"/>
    <w:rsid w:val="005A28FF"/>
    <w:rsid w:val="005A2C09"/>
    <w:rsid w:val="005A3778"/>
    <w:rsid w:val="005A3DD8"/>
    <w:rsid w:val="005A3DF8"/>
    <w:rsid w:val="005A48DE"/>
    <w:rsid w:val="005A5549"/>
    <w:rsid w:val="005B000D"/>
    <w:rsid w:val="005B121D"/>
    <w:rsid w:val="005B2020"/>
    <w:rsid w:val="005B2F08"/>
    <w:rsid w:val="005B4853"/>
    <w:rsid w:val="005B6CA1"/>
    <w:rsid w:val="005B770C"/>
    <w:rsid w:val="005C06ED"/>
    <w:rsid w:val="005C11B8"/>
    <w:rsid w:val="005C2609"/>
    <w:rsid w:val="005C45DD"/>
    <w:rsid w:val="005D2F0B"/>
    <w:rsid w:val="005D3F06"/>
    <w:rsid w:val="005D4B73"/>
    <w:rsid w:val="005D4DC1"/>
    <w:rsid w:val="005D5802"/>
    <w:rsid w:val="005D5AA9"/>
    <w:rsid w:val="005D66E6"/>
    <w:rsid w:val="005D6D59"/>
    <w:rsid w:val="005D7119"/>
    <w:rsid w:val="005D76C8"/>
    <w:rsid w:val="005D7890"/>
    <w:rsid w:val="005E19C1"/>
    <w:rsid w:val="005E2194"/>
    <w:rsid w:val="005E24F0"/>
    <w:rsid w:val="005E38C0"/>
    <w:rsid w:val="005E3D00"/>
    <w:rsid w:val="005E490F"/>
    <w:rsid w:val="005E4BC9"/>
    <w:rsid w:val="005E5314"/>
    <w:rsid w:val="005E7C78"/>
    <w:rsid w:val="005F04A7"/>
    <w:rsid w:val="005F114F"/>
    <w:rsid w:val="005F18C5"/>
    <w:rsid w:val="005F1ED3"/>
    <w:rsid w:val="005F1F86"/>
    <w:rsid w:val="005F2A08"/>
    <w:rsid w:val="005F36CC"/>
    <w:rsid w:val="005F3EB1"/>
    <w:rsid w:val="005F466B"/>
    <w:rsid w:val="005F46D8"/>
    <w:rsid w:val="005F5469"/>
    <w:rsid w:val="005F63F3"/>
    <w:rsid w:val="005F6961"/>
    <w:rsid w:val="005F6D7F"/>
    <w:rsid w:val="005F6FCF"/>
    <w:rsid w:val="00603525"/>
    <w:rsid w:val="00604307"/>
    <w:rsid w:val="0060487F"/>
    <w:rsid w:val="00604EAD"/>
    <w:rsid w:val="006102D5"/>
    <w:rsid w:val="006104FB"/>
    <w:rsid w:val="00610E6D"/>
    <w:rsid w:val="00611D01"/>
    <w:rsid w:val="00611E90"/>
    <w:rsid w:val="00612A2F"/>
    <w:rsid w:val="00612AAE"/>
    <w:rsid w:val="00613CAD"/>
    <w:rsid w:val="006156B4"/>
    <w:rsid w:val="0061652B"/>
    <w:rsid w:val="00616E05"/>
    <w:rsid w:val="00617985"/>
    <w:rsid w:val="00623490"/>
    <w:rsid w:val="00624093"/>
    <w:rsid w:val="00624345"/>
    <w:rsid w:val="0063044E"/>
    <w:rsid w:val="00630604"/>
    <w:rsid w:val="00631365"/>
    <w:rsid w:val="00631698"/>
    <w:rsid w:val="00631BCB"/>
    <w:rsid w:val="00631E44"/>
    <w:rsid w:val="00633582"/>
    <w:rsid w:val="00634C57"/>
    <w:rsid w:val="00634CE7"/>
    <w:rsid w:val="006350D5"/>
    <w:rsid w:val="0063642C"/>
    <w:rsid w:val="006373C7"/>
    <w:rsid w:val="00637858"/>
    <w:rsid w:val="006404A7"/>
    <w:rsid w:val="00640A38"/>
    <w:rsid w:val="0064369D"/>
    <w:rsid w:val="00644137"/>
    <w:rsid w:val="00644B91"/>
    <w:rsid w:val="006451E4"/>
    <w:rsid w:val="00645B33"/>
    <w:rsid w:val="00647301"/>
    <w:rsid w:val="006516CB"/>
    <w:rsid w:val="00653E0B"/>
    <w:rsid w:val="00654110"/>
    <w:rsid w:val="00655D2D"/>
    <w:rsid w:val="00656CFB"/>
    <w:rsid w:val="00657E87"/>
    <w:rsid w:val="00661FB0"/>
    <w:rsid w:val="00662469"/>
    <w:rsid w:val="006630EA"/>
    <w:rsid w:val="0066460C"/>
    <w:rsid w:val="00664647"/>
    <w:rsid w:val="00664803"/>
    <w:rsid w:val="00665BA4"/>
    <w:rsid w:val="00665E49"/>
    <w:rsid w:val="00667A81"/>
    <w:rsid w:val="00667AF2"/>
    <w:rsid w:val="006710C9"/>
    <w:rsid w:val="00672E56"/>
    <w:rsid w:val="006741CD"/>
    <w:rsid w:val="00674D29"/>
    <w:rsid w:val="00674D89"/>
    <w:rsid w:val="00675038"/>
    <w:rsid w:val="00675E37"/>
    <w:rsid w:val="00676736"/>
    <w:rsid w:val="00676D76"/>
    <w:rsid w:val="00676F9F"/>
    <w:rsid w:val="00677591"/>
    <w:rsid w:val="00677594"/>
    <w:rsid w:val="0068032F"/>
    <w:rsid w:val="00680D37"/>
    <w:rsid w:val="0068174E"/>
    <w:rsid w:val="00681DCE"/>
    <w:rsid w:val="0068260E"/>
    <w:rsid w:val="006832DD"/>
    <w:rsid w:val="006846B3"/>
    <w:rsid w:val="00684BE4"/>
    <w:rsid w:val="00684D59"/>
    <w:rsid w:val="00684E25"/>
    <w:rsid w:val="00685734"/>
    <w:rsid w:val="006858A4"/>
    <w:rsid w:val="00686718"/>
    <w:rsid w:val="00686BFA"/>
    <w:rsid w:val="00686DED"/>
    <w:rsid w:val="006875A0"/>
    <w:rsid w:val="00687D27"/>
    <w:rsid w:val="006909FE"/>
    <w:rsid w:val="00694B2C"/>
    <w:rsid w:val="00694CB5"/>
    <w:rsid w:val="00695065"/>
    <w:rsid w:val="00695BEF"/>
    <w:rsid w:val="006968C1"/>
    <w:rsid w:val="006977F6"/>
    <w:rsid w:val="00697836"/>
    <w:rsid w:val="00697A13"/>
    <w:rsid w:val="006A109C"/>
    <w:rsid w:val="006A6565"/>
    <w:rsid w:val="006A7691"/>
    <w:rsid w:val="006A7EE2"/>
    <w:rsid w:val="006B0514"/>
    <w:rsid w:val="006B0F92"/>
    <w:rsid w:val="006B179D"/>
    <w:rsid w:val="006B2604"/>
    <w:rsid w:val="006B2622"/>
    <w:rsid w:val="006B2785"/>
    <w:rsid w:val="006B344A"/>
    <w:rsid w:val="006B4A07"/>
    <w:rsid w:val="006B58C9"/>
    <w:rsid w:val="006B74AC"/>
    <w:rsid w:val="006B78D8"/>
    <w:rsid w:val="006C113F"/>
    <w:rsid w:val="006C123E"/>
    <w:rsid w:val="006C15A1"/>
    <w:rsid w:val="006C1752"/>
    <w:rsid w:val="006C1C86"/>
    <w:rsid w:val="006C28CA"/>
    <w:rsid w:val="006C4355"/>
    <w:rsid w:val="006C469D"/>
    <w:rsid w:val="006C52EC"/>
    <w:rsid w:val="006C56D4"/>
    <w:rsid w:val="006C6681"/>
    <w:rsid w:val="006C6924"/>
    <w:rsid w:val="006C6E76"/>
    <w:rsid w:val="006C7CA6"/>
    <w:rsid w:val="006D18B3"/>
    <w:rsid w:val="006D190B"/>
    <w:rsid w:val="006D2A33"/>
    <w:rsid w:val="006D3E8A"/>
    <w:rsid w:val="006D4194"/>
    <w:rsid w:val="006D4F88"/>
    <w:rsid w:val="006D61F6"/>
    <w:rsid w:val="006D6893"/>
    <w:rsid w:val="006D7436"/>
    <w:rsid w:val="006E1332"/>
    <w:rsid w:val="006E279A"/>
    <w:rsid w:val="006E294F"/>
    <w:rsid w:val="006E313B"/>
    <w:rsid w:val="006E3937"/>
    <w:rsid w:val="006E4BB1"/>
    <w:rsid w:val="006E5151"/>
    <w:rsid w:val="006E61C5"/>
    <w:rsid w:val="006E7227"/>
    <w:rsid w:val="006F0741"/>
    <w:rsid w:val="006F1C27"/>
    <w:rsid w:val="006F42BB"/>
    <w:rsid w:val="006F438E"/>
    <w:rsid w:val="006F440B"/>
    <w:rsid w:val="006F4803"/>
    <w:rsid w:val="006F4D90"/>
    <w:rsid w:val="006F5416"/>
    <w:rsid w:val="006F624B"/>
    <w:rsid w:val="006F7566"/>
    <w:rsid w:val="00701397"/>
    <w:rsid w:val="007017EB"/>
    <w:rsid w:val="0070398A"/>
    <w:rsid w:val="00704B56"/>
    <w:rsid w:val="00705242"/>
    <w:rsid w:val="0070592A"/>
    <w:rsid w:val="007065C5"/>
    <w:rsid w:val="00706AD4"/>
    <w:rsid w:val="00707150"/>
    <w:rsid w:val="00712077"/>
    <w:rsid w:val="00713549"/>
    <w:rsid w:val="007140BE"/>
    <w:rsid w:val="00715E4D"/>
    <w:rsid w:val="00716F48"/>
    <w:rsid w:val="00717114"/>
    <w:rsid w:val="0071779F"/>
    <w:rsid w:val="007211F5"/>
    <w:rsid w:val="00723295"/>
    <w:rsid w:val="007240E2"/>
    <w:rsid w:val="0072504F"/>
    <w:rsid w:val="0072583E"/>
    <w:rsid w:val="00725BB5"/>
    <w:rsid w:val="00727D92"/>
    <w:rsid w:val="00730715"/>
    <w:rsid w:val="00730AE8"/>
    <w:rsid w:val="00730F1B"/>
    <w:rsid w:val="0073186D"/>
    <w:rsid w:val="00732013"/>
    <w:rsid w:val="007343D9"/>
    <w:rsid w:val="00737E3C"/>
    <w:rsid w:val="00741493"/>
    <w:rsid w:val="00741E38"/>
    <w:rsid w:val="007434E5"/>
    <w:rsid w:val="00743593"/>
    <w:rsid w:val="007465D8"/>
    <w:rsid w:val="00746FF6"/>
    <w:rsid w:val="007511C3"/>
    <w:rsid w:val="00751434"/>
    <w:rsid w:val="00752180"/>
    <w:rsid w:val="00752323"/>
    <w:rsid w:val="007532B7"/>
    <w:rsid w:val="00753CAB"/>
    <w:rsid w:val="00754A70"/>
    <w:rsid w:val="00754CAA"/>
    <w:rsid w:val="00754E74"/>
    <w:rsid w:val="00755202"/>
    <w:rsid w:val="00755C51"/>
    <w:rsid w:val="00755D3A"/>
    <w:rsid w:val="00755F50"/>
    <w:rsid w:val="0075751D"/>
    <w:rsid w:val="007578D3"/>
    <w:rsid w:val="00760391"/>
    <w:rsid w:val="007609C6"/>
    <w:rsid w:val="007615F3"/>
    <w:rsid w:val="0076175D"/>
    <w:rsid w:val="007638BD"/>
    <w:rsid w:val="00763B85"/>
    <w:rsid w:val="00764974"/>
    <w:rsid w:val="007651A4"/>
    <w:rsid w:val="0076521E"/>
    <w:rsid w:val="00765DD1"/>
    <w:rsid w:val="007661E9"/>
    <w:rsid w:val="00767062"/>
    <w:rsid w:val="00767450"/>
    <w:rsid w:val="00771972"/>
    <w:rsid w:val="00774A86"/>
    <w:rsid w:val="00774D2C"/>
    <w:rsid w:val="00776169"/>
    <w:rsid w:val="00776527"/>
    <w:rsid w:val="00777040"/>
    <w:rsid w:val="00780EF1"/>
    <w:rsid w:val="007826FD"/>
    <w:rsid w:val="007839A2"/>
    <w:rsid w:val="00784AF5"/>
    <w:rsid w:val="00786C87"/>
    <w:rsid w:val="007877C9"/>
    <w:rsid w:val="00790764"/>
    <w:rsid w:val="0079085F"/>
    <w:rsid w:val="00790BC5"/>
    <w:rsid w:val="00793D78"/>
    <w:rsid w:val="0079453C"/>
    <w:rsid w:val="00794677"/>
    <w:rsid w:val="0079524F"/>
    <w:rsid w:val="007959B2"/>
    <w:rsid w:val="00795EF4"/>
    <w:rsid w:val="007A0E23"/>
    <w:rsid w:val="007A177D"/>
    <w:rsid w:val="007A1CB7"/>
    <w:rsid w:val="007A33E2"/>
    <w:rsid w:val="007A3CAF"/>
    <w:rsid w:val="007A4DD0"/>
    <w:rsid w:val="007A516D"/>
    <w:rsid w:val="007A5E65"/>
    <w:rsid w:val="007A5EAA"/>
    <w:rsid w:val="007A6AEB"/>
    <w:rsid w:val="007A775D"/>
    <w:rsid w:val="007B0834"/>
    <w:rsid w:val="007B0E83"/>
    <w:rsid w:val="007B0F89"/>
    <w:rsid w:val="007B11FA"/>
    <w:rsid w:val="007B1396"/>
    <w:rsid w:val="007B2011"/>
    <w:rsid w:val="007B2810"/>
    <w:rsid w:val="007B2CFE"/>
    <w:rsid w:val="007B3196"/>
    <w:rsid w:val="007B3DCB"/>
    <w:rsid w:val="007B4B76"/>
    <w:rsid w:val="007B6689"/>
    <w:rsid w:val="007B6A80"/>
    <w:rsid w:val="007B6F72"/>
    <w:rsid w:val="007C096B"/>
    <w:rsid w:val="007C0BD4"/>
    <w:rsid w:val="007C1654"/>
    <w:rsid w:val="007C1FFB"/>
    <w:rsid w:val="007C2D94"/>
    <w:rsid w:val="007C4EAA"/>
    <w:rsid w:val="007C5F92"/>
    <w:rsid w:val="007C6227"/>
    <w:rsid w:val="007C62CA"/>
    <w:rsid w:val="007C66A5"/>
    <w:rsid w:val="007C6BBD"/>
    <w:rsid w:val="007C7EE7"/>
    <w:rsid w:val="007D0382"/>
    <w:rsid w:val="007D0439"/>
    <w:rsid w:val="007D0493"/>
    <w:rsid w:val="007D1A1F"/>
    <w:rsid w:val="007D40DF"/>
    <w:rsid w:val="007D4458"/>
    <w:rsid w:val="007E03B3"/>
    <w:rsid w:val="007E0D4A"/>
    <w:rsid w:val="007E1788"/>
    <w:rsid w:val="007E289C"/>
    <w:rsid w:val="007E29B4"/>
    <w:rsid w:val="007E36DC"/>
    <w:rsid w:val="007E435A"/>
    <w:rsid w:val="007E451A"/>
    <w:rsid w:val="007E49F7"/>
    <w:rsid w:val="007E4C70"/>
    <w:rsid w:val="007E600F"/>
    <w:rsid w:val="007E7E61"/>
    <w:rsid w:val="007F068E"/>
    <w:rsid w:val="007F0845"/>
    <w:rsid w:val="007F20F3"/>
    <w:rsid w:val="007F234C"/>
    <w:rsid w:val="007F2390"/>
    <w:rsid w:val="007F414D"/>
    <w:rsid w:val="007F4E6B"/>
    <w:rsid w:val="007F708D"/>
    <w:rsid w:val="007F78CC"/>
    <w:rsid w:val="00801187"/>
    <w:rsid w:val="00801E13"/>
    <w:rsid w:val="00802266"/>
    <w:rsid w:val="00803069"/>
    <w:rsid w:val="00803242"/>
    <w:rsid w:val="0080734C"/>
    <w:rsid w:val="00807C82"/>
    <w:rsid w:val="008117CC"/>
    <w:rsid w:val="00813781"/>
    <w:rsid w:val="00813876"/>
    <w:rsid w:val="00813D63"/>
    <w:rsid w:val="00813DCA"/>
    <w:rsid w:val="00815C95"/>
    <w:rsid w:val="008161A6"/>
    <w:rsid w:val="00816905"/>
    <w:rsid w:val="00817914"/>
    <w:rsid w:val="00817A17"/>
    <w:rsid w:val="00817EC1"/>
    <w:rsid w:val="0082112D"/>
    <w:rsid w:val="00821DEB"/>
    <w:rsid w:val="00821FF6"/>
    <w:rsid w:val="00822446"/>
    <w:rsid w:val="00822574"/>
    <w:rsid w:val="00822925"/>
    <w:rsid w:val="0082320C"/>
    <w:rsid w:val="0082418C"/>
    <w:rsid w:val="00825C4D"/>
    <w:rsid w:val="00827186"/>
    <w:rsid w:val="00827C8E"/>
    <w:rsid w:val="00830AEA"/>
    <w:rsid w:val="00830E86"/>
    <w:rsid w:val="0083143E"/>
    <w:rsid w:val="008315D5"/>
    <w:rsid w:val="00831CDE"/>
    <w:rsid w:val="00833B71"/>
    <w:rsid w:val="00834304"/>
    <w:rsid w:val="00834FAA"/>
    <w:rsid w:val="008354FB"/>
    <w:rsid w:val="00836086"/>
    <w:rsid w:val="00836446"/>
    <w:rsid w:val="00836A06"/>
    <w:rsid w:val="00836D42"/>
    <w:rsid w:val="008374BC"/>
    <w:rsid w:val="00840293"/>
    <w:rsid w:val="00840AF3"/>
    <w:rsid w:val="00840F26"/>
    <w:rsid w:val="008417B5"/>
    <w:rsid w:val="00841901"/>
    <w:rsid w:val="00844C58"/>
    <w:rsid w:val="00844CD2"/>
    <w:rsid w:val="00845638"/>
    <w:rsid w:val="0084610D"/>
    <w:rsid w:val="00846121"/>
    <w:rsid w:val="008466C6"/>
    <w:rsid w:val="00846D34"/>
    <w:rsid w:val="0084708F"/>
    <w:rsid w:val="008477C8"/>
    <w:rsid w:val="00850D25"/>
    <w:rsid w:val="0085114D"/>
    <w:rsid w:val="00851F9A"/>
    <w:rsid w:val="008520A8"/>
    <w:rsid w:val="00852217"/>
    <w:rsid w:val="00852D4D"/>
    <w:rsid w:val="00852DE1"/>
    <w:rsid w:val="008536FF"/>
    <w:rsid w:val="00855408"/>
    <w:rsid w:val="00855F8B"/>
    <w:rsid w:val="00856D65"/>
    <w:rsid w:val="00861B41"/>
    <w:rsid w:val="00861B9F"/>
    <w:rsid w:val="00861BE3"/>
    <w:rsid w:val="008625D3"/>
    <w:rsid w:val="00862F36"/>
    <w:rsid w:val="00863434"/>
    <w:rsid w:val="00863D64"/>
    <w:rsid w:val="00865E4C"/>
    <w:rsid w:val="0086792D"/>
    <w:rsid w:val="00867DAB"/>
    <w:rsid w:val="008701E4"/>
    <w:rsid w:val="00872A3A"/>
    <w:rsid w:val="00872B96"/>
    <w:rsid w:val="008734E7"/>
    <w:rsid w:val="0087368D"/>
    <w:rsid w:val="00873DDD"/>
    <w:rsid w:val="00874960"/>
    <w:rsid w:val="00874BBC"/>
    <w:rsid w:val="00874FE8"/>
    <w:rsid w:val="00875A32"/>
    <w:rsid w:val="00876086"/>
    <w:rsid w:val="00876E83"/>
    <w:rsid w:val="008772BC"/>
    <w:rsid w:val="00880C76"/>
    <w:rsid w:val="008820DF"/>
    <w:rsid w:val="00882911"/>
    <w:rsid w:val="00883648"/>
    <w:rsid w:val="00883897"/>
    <w:rsid w:val="00885577"/>
    <w:rsid w:val="00885D40"/>
    <w:rsid w:val="00886048"/>
    <w:rsid w:val="008873D4"/>
    <w:rsid w:val="00887BA7"/>
    <w:rsid w:val="00891EDF"/>
    <w:rsid w:val="00892872"/>
    <w:rsid w:val="0089296D"/>
    <w:rsid w:val="00893E85"/>
    <w:rsid w:val="00894031"/>
    <w:rsid w:val="00894C5D"/>
    <w:rsid w:val="00895508"/>
    <w:rsid w:val="008964F5"/>
    <w:rsid w:val="00896606"/>
    <w:rsid w:val="00897086"/>
    <w:rsid w:val="008972D2"/>
    <w:rsid w:val="00897791"/>
    <w:rsid w:val="00897D51"/>
    <w:rsid w:val="00897F81"/>
    <w:rsid w:val="008A0ADD"/>
    <w:rsid w:val="008A388E"/>
    <w:rsid w:val="008A3CBA"/>
    <w:rsid w:val="008A4B59"/>
    <w:rsid w:val="008A587F"/>
    <w:rsid w:val="008A7A8F"/>
    <w:rsid w:val="008B02A3"/>
    <w:rsid w:val="008B1560"/>
    <w:rsid w:val="008B1EAF"/>
    <w:rsid w:val="008B39E6"/>
    <w:rsid w:val="008B3F7B"/>
    <w:rsid w:val="008B540D"/>
    <w:rsid w:val="008B6106"/>
    <w:rsid w:val="008B7C02"/>
    <w:rsid w:val="008B7D2B"/>
    <w:rsid w:val="008B7EF9"/>
    <w:rsid w:val="008C0049"/>
    <w:rsid w:val="008C0E88"/>
    <w:rsid w:val="008C1114"/>
    <w:rsid w:val="008C17AF"/>
    <w:rsid w:val="008C2313"/>
    <w:rsid w:val="008C4B01"/>
    <w:rsid w:val="008C4B50"/>
    <w:rsid w:val="008C52BC"/>
    <w:rsid w:val="008C6836"/>
    <w:rsid w:val="008C7569"/>
    <w:rsid w:val="008C7F30"/>
    <w:rsid w:val="008D0DBD"/>
    <w:rsid w:val="008D127E"/>
    <w:rsid w:val="008D1E6A"/>
    <w:rsid w:val="008D2A16"/>
    <w:rsid w:val="008D33F5"/>
    <w:rsid w:val="008D35E4"/>
    <w:rsid w:val="008D48F2"/>
    <w:rsid w:val="008D76A0"/>
    <w:rsid w:val="008E292B"/>
    <w:rsid w:val="008E2C57"/>
    <w:rsid w:val="008E31FF"/>
    <w:rsid w:val="008E5E00"/>
    <w:rsid w:val="008E6BA9"/>
    <w:rsid w:val="008E6C9C"/>
    <w:rsid w:val="008E6DCB"/>
    <w:rsid w:val="008E6F06"/>
    <w:rsid w:val="008E7B8E"/>
    <w:rsid w:val="008E7FC9"/>
    <w:rsid w:val="008F029B"/>
    <w:rsid w:val="008F053B"/>
    <w:rsid w:val="008F068B"/>
    <w:rsid w:val="008F1781"/>
    <w:rsid w:val="008F2A5D"/>
    <w:rsid w:val="008F3636"/>
    <w:rsid w:val="008F3FC9"/>
    <w:rsid w:val="008F420A"/>
    <w:rsid w:val="008F4E83"/>
    <w:rsid w:val="008F585B"/>
    <w:rsid w:val="008F5C15"/>
    <w:rsid w:val="008F61FE"/>
    <w:rsid w:val="009003A8"/>
    <w:rsid w:val="0090092B"/>
    <w:rsid w:val="009021DA"/>
    <w:rsid w:val="00902500"/>
    <w:rsid w:val="00902EFF"/>
    <w:rsid w:val="0090432C"/>
    <w:rsid w:val="00904F96"/>
    <w:rsid w:val="009052A3"/>
    <w:rsid w:val="009056D7"/>
    <w:rsid w:val="00905B8D"/>
    <w:rsid w:val="00906401"/>
    <w:rsid w:val="009065A0"/>
    <w:rsid w:val="00906682"/>
    <w:rsid w:val="0090786F"/>
    <w:rsid w:val="00910196"/>
    <w:rsid w:val="009110F7"/>
    <w:rsid w:val="0091155E"/>
    <w:rsid w:val="009127EA"/>
    <w:rsid w:val="00912A92"/>
    <w:rsid w:val="00912DF2"/>
    <w:rsid w:val="00914D2E"/>
    <w:rsid w:val="00915D07"/>
    <w:rsid w:val="009160B0"/>
    <w:rsid w:val="009162AE"/>
    <w:rsid w:val="00916E6C"/>
    <w:rsid w:val="00917251"/>
    <w:rsid w:val="0091728D"/>
    <w:rsid w:val="00920EC4"/>
    <w:rsid w:val="0092180B"/>
    <w:rsid w:val="00921F14"/>
    <w:rsid w:val="00923CB0"/>
    <w:rsid w:val="0092468E"/>
    <w:rsid w:val="00924871"/>
    <w:rsid w:val="00924AC8"/>
    <w:rsid w:val="00925429"/>
    <w:rsid w:val="0092597A"/>
    <w:rsid w:val="00926520"/>
    <w:rsid w:val="00926D2D"/>
    <w:rsid w:val="0093033E"/>
    <w:rsid w:val="009305FC"/>
    <w:rsid w:val="00930FB1"/>
    <w:rsid w:val="0093139F"/>
    <w:rsid w:val="00931579"/>
    <w:rsid w:val="00932443"/>
    <w:rsid w:val="009326BA"/>
    <w:rsid w:val="0093277A"/>
    <w:rsid w:val="00933114"/>
    <w:rsid w:val="00933F4A"/>
    <w:rsid w:val="00935BD4"/>
    <w:rsid w:val="00936CC8"/>
    <w:rsid w:val="009373B2"/>
    <w:rsid w:val="00937AE2"/>
    <w:rsid w:val="0094416B"/>
    <w:rsid w:val="0094427A"/>
    <w:rsid w:val="00944C7C"/>
    <w:rsid w:val="00945157"/>
    <w:rsid w:val="00945245"/>
    <w:rsid w:val="00951239"/>
    <w:rsid w:val="00952759"/>
    <w:rsid w:val="00953503"/>
    <w:rsid w:val="00953F29"/>
    <w:rsid w:val="0095403F"/>
    <w:rsid w:val="00954D06"/>
    <w:rsid w:val="009568DC"/>
    <w:rsid w:val="009569EB"/>
    <w:rsid w:val="0095759C"/>
    <w:rsid w:val="009618EE"/>
    <w:rsid w:val="009624D2"/>
    <w:rsid w:val="009628D9"/>
    <w:rsid w:val="00962BA4"/>
    <w:rsid w:val="0096365F"/>
    <w:rsid w:val="009637AE"/>
    <w:rsid w:val="00964776"/>
    <w:rsid w:val="00964A4E"/>
    <w:rsid w:val="00964B35"/>
    <w:rsid w:val="009650CD"/>
    <w:rsid w:val="009651C7"/>
    <w:rsid w:val="00965797"/>
    <w:rsid w:val="00965A10"/>
    <w:rsid w:val="009670A3"/>
    <w:rsid w:val="009674BE"/>
    <w:rsid w:val="00972FCD"/>
    <w:rsid w:val="00973878"/>
    <w:rsid w:val="00973CCC"/>
    <w:rsid w:val="009741FC"/>
    <w:rsid w:val="00974923"/>
    <w:rsid w:val="00975B23"/>
    <w:rsid w:val="00977C3D"/>
    <w:rsid w:val="009802D4"/>
    <w:rsid w:val="00980C49"/>
    <w:rsid w:val="00980D3D"/>
    <w:rsid w:val="00983101"/>
    <w:rsid w:val="00983E41"/>
    <w:rsid w:val="00984FA7"/>
    <w:rsid w:val="00987A30"/>
    <w:rsid w:val="00990A91"/>
    <w:rsid w:val="0099182E"/>
    <w:rsid w:val="00992242"/>
    <w:rsid w:val="00992314"/>
    <w:rsid w:val="00992CF3"/>
    <w:rsid w:val="00994355"/>
    <w:rsid w:val="00994385"/>
    <w:rsid w:val="00994868"/>
    <w:rsid w:val="009963AA"/>
    <w:rsid w:val="00996676"/>
    <w:rsid w:val="009968D6"/>
    <w:rsid w:val="009A084E"/>
    <w:rsid w:val="009A10A0"/>
    <w:rsid w:val="009A1A93"/>
    <w:rsid w:val="009A1CAB"/>
    <w:rsid w:val="009A2359"/>
    <w:rsid w:val="009A24E4"/>
    <w:rsid w:val="009A2DBC"/>
    <w:rsid w:val="009A4B71"/>
    <w:rsid w:val="009A4D57"/>
    <w:rsid w:val="009A5811"/>
    <w:rsid w:val="009A60D1"/>
    <w:rsid w:val="009B05B3"/>
    <w:rsid w:val="009B13B3"/>
    <w:rsid w:val="009B18B6"/>
    <w:rsid w:val="009B21C8"/>
    <w:rsid w:val="009B29AF"/>
    <w:rsid w:val="009B2F02"/>
    <w:rsid w:val="009B3764"/>
    <w:rsid w:val="009B3FD9"/>
    <w:rsid w:val="009B45E0"/>
    <w:rsid w:val="009B5BD9"/>
    <w:rsid w:val="009B6347"/>
    <w:rsid w:val="009B65F5"/>
    <w:rsid w:val="009B66CE"/>
    <w:rsid w:val="009B6FD3"/>
    <w:rsid w:val="009C1750"/>
    <w:rsid w:val="009C24E4"/>
    <w:rsid w:val="009C2E29"/>
    <w:rsid w:val="009C3E8F"/>
    <w:rsid w:val="009C4C38"/>
    <w:rsid w:val="009C554B"/>
    <w:rsid w:val="009C64C9"/>
    <w:rsid w:val="009C719E"/>
    <w:rsid w:val="009C7799"/>
    <w:rsid w:val="009D0199"/>
    <w:rsid w:val="009D0670"/>
    <w:rsid w:val="009D07A9"/>
    <w:rsid w:val="009D17C6"/>
    <w:rsid w:val="009D3ACD"/>
    <w:rsid w:val="009D3C10"/>
    <w:rsid w:val="009D406F"/>
    <w:rsid w:val="009D459E"/>
    <w:rsid w:val="009D4626"/>
    <w:rsid w:val="009D7731"/>
    <w:rsid w:val="009E1922"/>
    <w:rsid w:val="009E3BDA"/>
    <w:rsid w:val="009E4715"/>
    <w:rsid w:val="009E5273"/>
    <w:rsid w:val="009E58E4"/>
    <w:rsid w:val="009E5DDB"/>
    <w:rsid w:val="009E72C3"/>
    <w:rsid w:val="009F4982"/>
    <w:rsid w:val="009F4CA7"/>
    <w:rsid w:val="009F6558"/>
    <w:rsid w:val="009F7D36"/>
    <w:rsid w:val="00A00E71"/>
    <w:rsid w:val="00A015AD"/>
    <w:rsid w:val="00A026F4"/>
    <w:rsid w:val="00A02852"/>
    <w:rsid w:val="00A03B10"/>
    <w:rsid w:val="00A04616"/>
    <w:rsid w:val="00A04717"/>
    <w:rsid w:val="00A05E0D"/>
    <w:rsid w:val="00A05EE4"/>
    <w:rsid w:val="00A10D66"/>
    <w:rsid w:val="00A12D1B"/>
    <w:rsid w:val="00A13B8B"/>
    <w:rsid w:val="00A14114"/>
    <w:rsid w:val="00A16413"/>
    <w:rsid w:val="00A16545"/>
    <w:rsid w:val="00A16AED"/>
    <w:rsid w:val="00A16E1D"/>
    <w:rsid w:val="00A17A15"/>
    <w:rsid w:val="00A17D5B"/>
    <w:rsid w:val="00A212E9"/>
    <w:rsid w:val="00A23459"/>
    <w:rsid w:val="00A23E43"/>
    <w:rsid w:val="00A2428B"/>
    <w:rsid w:val="00A2451B"/>
    <w:rsid w:val="00A24ED9"/>
    <w:rsid w:val="00A25216"/>
    <w:rsid w:val="00A261D9"/>
    <w:rsid w:val="00A2623A"/>
    <w:rsid w:val="00A2628E"/>
    <w:rsid w:val="00A2731E"/>
    <w:rsid w:val="00A309AC"/>
    <w:rsid w:val="00A30F65"/>
    <w:rsid w:val="00A3279E"/>
    <w:rsid w:val="00A34190"/>
    <w:rsid w:val="00A35900"/>
    <w:rsid w:val="00A366AA"/>
    <w:rsid w:val="00A36969"/>
    <w:rsid w:val="00A369A9"/>
    <w:rsid w:val="00A36CDB"/>
    <w:rsid w:val="00A40EAC"/>
    <w:rsid w:val="00A4113D"/>
    <w:rsid w:val="00A418BC"/>
    <w:rsid w:val="00A434FC"/>
    <w:rsid w:val="00A43CF8"/>
    <w:rsid w:val="00A43DF2"/>
    <w:rsid w:val="00A445A8"/>
    <w:rsid w:val="00A44B0D"/>
    <w:rsid w:val="00A45087"/>
    <w:rsid w:val="00A450EA"/>
    <w:rsid w:val="00A45489"/>
    <w:rsid w:val="00A46DE0"/>
    <w:rsid w:val="00A50D73"/>
    <w:rsid w:val="00A51C25"/>
    <w:rsid w:val="00A523B8"/>
    <w:rsid w:val="00A52CAD"/>
    <w:rsid w:val="00A53FC7"/>
    <w:rsid w:val="00A574F8"/>
    <w:rsid w:val="00A61382"/>
    <w:rsid w:val="00A626FF"/>
    <w:rsid w:val="00A62CE1"/>
    <w:rsid w:val="00A655D3"/>
    <w:rsid w:val="00A66B1F"/>
    <w:rsid w:val="00A6741E"/>
    <w:rsid w:val="00A67A55"/>
    <w:rsid w:val="00A7016A"/>
    <w:rsid w:val="00A7018D"/>
    <w:rsid w:val="00A722F9"/>
    <w:rsid w:val="00A72437"/>
    <w:rsid w:val="00A72A13"/>
    <w:rsid w:val="00A72D42"/>
    <w:rsid w:val="00A75E40"/>
    <w:rsid w:val="00A76B89"/>
    <w:rsid w:val="00A7792E"/>
    <w:rsid w:val="00A77A0F"/>
    <w:rsid w:val="00A77AF6"/>
    <w:rsid w:val="00A77B06"/>
    <w:rsid w:val="00A77D1D"/>
    <w:rsid w:val="00A80036"/>
    <w:rsid w:val="00A81652"/>
    <w:rsid w:val="00A81B71"/>
    <w:rsid w:val="00A83150"/>
    <w:rsid w:val="00A83398"/>
    <w:rsid w:val="00A83D62"/>
    <w:rsid w:val="00A857C0"/>
    <w:rsid w:val="00A8591D"/>
    <w:rsid w:val="00A85CE2"/>
    <w:rsid w:val="00A86834"/>
    <w:rsid w:val="00A86F9E"/>
    <w:rsid w:val="00A870FD"/>
    <w:rsid w:val="00A876EF"/>
    <w:rsid w:val="00A901FB"/>
    <w:rsid w:val="00A90FED"/>
    <w:rsid w:val="00A9189D"/>
    <w:rsid w:val="00A91E71"/>
    <w:rsid w:val="00A93407"/>
    <w:rsid w:val="00A96116"/>
    <w:rsid w:val="00A9614E"/>
    <w:rsid w:val="00A96C0F"/>
    <w:rsid w:val="00AA212F"/>
    <w:rsid w:val="00AA2996"/>
    <w:rsid w:val="00AA2AF4"/>
    <w:rsid w:val="00AA3786"/>
    <w:rsid w:val="00AA3872"/>
    <w:rsid w:val="00AA38E9"/>
    <w:rsid w:val="00AA52BF"/>
    <w:rsid w:val="00AA559A"/>
    <w:rsid w:val="00AA6C31"/>
    <w:rsid w:val="00AA7CE8"/>
    <w:rsid w:val="00AB2A8D"/>
    <w:rsid w:val="00AB2AF1"/>
    <w:rsid w:val="00AB34A5"/>
    <w:rsid w:val="00AB5527"/>
    <w:rsid w:val="00AB5A64"/>
    <w:rsid w:val="00AB6456"/>
    <w:rsid w:val="00AC044E"/>
    <w:rsid w:val="00AC2395"/>
    <w:rsid w:val="00AC2960"/>
    <w:rsid w:val="00AC2AC4"/>
    <w:rsid w:val="00AC4284"/>
    <w:rsid w:val="00AC45BD"/>
    <w:rsid w:val="00AC45BF"/>
    <w:rsid w:val="00AD0BF8"/>
    <w:rsid w:val="00AD0EE7"/>
    <w:rsid w:val="00AD168E"/>
    <w:rsid w:val="00AD1C31"/>
    <w:rsid w:val="00AD2AF0"/>
    <w:rsid w:val="00AD306C"/>
    <w:rsid w:val="00AD3621"/>
    <w:rsid w:val="00AD3FC3"/>
    <w:rsid w:val="00AD42D3"/>
    <w:rsid w:val="00AD4E2D"/>
    <w:rsid w:val="00AD5AD2"/>
    <w:rsid w:val="00AD6462"/>
    <w:rsid w:val="00AD68C4"/>
    <w:rsid w:val="00AD71F9"/>
    <w:rsid w:val="00AE09B3"/>
    <w:rsid w:val="00AE1A83"/>
    <w:rsid w:val="00AE3180"/>
    <w:rsid w:val="00AE3814"/>
    <w:rsid w:val="00AE56B4"/>
    <w:rsid w:val="00AE6DB7"/>
    <w:rsid w:val="00AE7CE7"/>
    <w:rsid w:val="00AE7FAB"/>
    <w:rsid w:val="00AF17F8"/>
    <w:rsid w:val="00AF1893"/>
    <w:rsid w:val="00AF1E87"/>
    <w:rsid w:val="00AF3C66"/>
    <w:rsid w:val="00AF436B"/>
    <w:rsid w:val="00AF5179"/>
    <w:rsid w:val="00AF560F"/>
    <w:rsid w:val="00AF5CC2"/>
    <w:rsid w:val="00AF6F98"/>
    <w:rsid w:val="00B002B7"/>
    <w:rsid w:val="00B00913"/>
    <w:rsid w:val="00B01593"/>
    <w:rsid w:val="00B016D3"/>
    <w:rsid w:val="00B01AB8"/>
    <w:rsid w:val="00B01FAD"/>
    <w:rsid w:val="00B01FF9"/>
    <w:rsid w:val="00B023F2"/>
    <w:rsid w:val="00B047D8"/>
    <w:rsid w:val="00B0517E"/>
    <w:rsid w:val="00B06DB4"/>
    <w:rsid w:val="00B07217"/>
    <w:rsid w:val="00B07E66"/>
    <w:rsid w:val="00B10A4D"/>
    <w:rsid w:val="00B10C90"/>
    <w:rsid w:val="00B11002"/>
    <w:rsid w:val="00B11655"/>
    <w:rsid w:val="00B121B2"/>
    <w:rsid w:val="00B14BC1"/>
    <w:rsid w:val="00B15175"/>
    <w:rsid w:val="00B154DB"/>
    <w:rsid w:val="00B169AC"/>
    <w:rsid w:val="00B16EB8"/>
    <w:rsid w:val="00B17E71"/>
    <w:rsid w:val="00B17FDE"/>
    <w:rsid w:val="00B20632"/>
    <w:rsid w:val="00B210D1"/>
    <w:rsid w:val="00B22920"/>
    <w:rsid w:val="00B2379C"/>
    <w:rsid w:val="00B23D5D"/>
    <w:rsid w:val="00B256B6"/>
    <w:rsid w:val="00B2687D"/>
    <w:rsid w:val="00B323A7"/>
    <w:rsid w:val="00B32DDB"/>
    <w:rsid w:val="00B32F57"/>
    <w:rsid w:val="00B3345C"/>
    <w:rsid w:val="00B34528"/>
    <w:rsid w:val="00B34CC9"/>
    <w:rsid w:val="00B3563B"/>
    <w:rsid w:val="00B40106"/>
    <w:rsid w:val="00B402FC"/>
    <w:rsid w:val="00B422E2"/>
    <w:rsid w:val="00B439DA"/>
    <w:rsid w:val="00B4411A"/>
    <w:rsid w:val="00B46604"/>
    <w:rsid w:val="00B46C88"/>
    <w:rsid w:val="00B46D04"/>
    <w:rsid w:val="00B47089"/>
    <w:rsid w:val="00B52151"/>
    <w:rsid w:val="00B529DD"/>
    <w:rsid w:val="00B530CD"/>
    <w:rsid w:val="00B553B0"/>
    <w:rsid w:val="00B55F5E"/>
    <w:rsid w:val="00B563B3"/>
    <w:rsid w:val="00B56B6F"/>
    <w:rsid w:val="00B5752E"/>
    <w:rsid w:val="00B61479"/>
    <w:rsid w:val="00B62316"/>
    <w:rsid w:val="00B6258B"/>
    <w:rsid w:val="00B63A11"/>
    <w:rsid w:val="00B641BE"/>
    <w:rsid w:val="00B64425"/>
    <w:rsid w:val="00B64C24"/>
    <w:rsid w:val="00B65CEF"/>
    <w:rsid w:val="00B6608F"/>
    <w:rsid w:val="00B679FB"/>
    <w:rsid w:val="00B71A2C"/>
    <w:rsid w:val="00B7220B"/>
    <w:rsid w:val="00B726A5"/>
    <w:rsid w:val="00B76D1D"/>
    <w:rsid w:val="00B76D1E"/>
    <w:rsid w:val="00B77543"/>
    <w:rsid w:val="00B80EC6"/>
    <w:rsid w:val="00B80F7E"/>
    <w:rsid w:val="00B81D70"/>
    <w:rsid w:val="00B83E07"/>
    <w:rsid w:val="00B84144"/>
    <w:rsid w:val="00B8470F"/>
    <w:rsid w:val="00B84CF6"/>
    <w:rsid w:val="00B85016"/>
    <w:rsid w:val="00B854EC"/>
    <w:rsid w:val="00B8561A"/>
    <w:rsid w:val="00B90484"/>
    <w:rsid w:val="00B9248B"/>
    <w:rsid w:val="00B92D1D"/>
    <w:rsid w:val="00B92F4E"/>
    <w:rsid w:val="00B938C5"/>
    <w:rsid w:val="00B94C62"/>
    <w:rsid w:val="00B9544E"/>
    <w:rsid w:val="00B95940"/>
    <w:rsid w:val="00B95ACA"/>
    <w:rsid w:val="00B96F2C"/>
    <w:rsid w:val="00B97ACC"/>
    <w:rsid w:val="00B97DEB"/>
    <w:rsid w:val="00BA21A9"/>
    <w:rsid w:val="00BA3787"/>
    <w:rsid w:val="00BA46E8"/>
    <w:rsid w:val="00BA51CD"/>
    <w:rsid w:val="00BA6C2B"/>
    <w:rsid w:val="00BA7B64"/>
    <w:rsid w:val="00BB0351"/>
    <w:rsid w:val="00BB15C3"/>
    <w:rsid w:val="00BB1AF4"/>
    <w:rsid w:val="00BB2475"/>
    <w:rsid w:val="00BB3F82"/>
    <w:rsid w:val="00BB46F3"/>
    <w:rsid w:val="00BB4CB1"/>
    <w:rsid w:val="00BB4F87"/>
    <w:rsid w:val="00BB4F98"/>
    <w:rsid w:val="00BB5ABF"/>
    <w:rsid w:val="00BB6194"/>
    <w:rsid w:val="00BB6EA2"/>
    <w:rsid w:val="00BB7B27"/>
    <w:rsid w:val="00BB7B5B"/>
    <w:rsid w:val="00BC003F"/>
    <w:rsid w:val="00BC327F"/>
    <w:rsid w:val="00BC44DD"/>
    <w:rsid w:val="00BC49F5"/>
    <w:rsid w:val="00BC5332"/>
    <w:rsid w:val="00BC5C12"/>
    <w:rsid w:val="00BC7154"/>
    <w:rsid w:val="00BC731E"/>
    <w:rsid w:val="00BC7614"/>
    <w:rsid w:val="00BD0F72"/>
    <w:rsid w:val="00BD25BB"/>
    <w:rsid w:val="00BD2AF8"/>
    <w:rsid w:val="00BD366B"/>
    <w:rsid w:val="00BD3C0D"/>
    <w:rsid w:val="00BD514B"/>
    <w:rsid w:val="00BD6D50"/>
    <w:rsid w:val="00BE0AD1"/>
    <w:rsid w:val="00BE0EF9"/>
    <w:rsid w:val="00BE18B9"/>
    <w:rsid w:val="00BE2495"/>
    <w:rsid w:val="00BE33E5"/>
    <w:rsid w:val="00BE6124"/>
    <w:rsid w:val="00BE62E5"/>
    <w:rsid w:val="00BF02C8"/>
    <w:rsid w:val="00BF09B2"/>
    <w:rsid w:val="00BF1578"/>
    <w:rsid w:val="00BF1D12"/>
    <w:rsid w:val="00BF1D3A"/>
    <w:rsid w:val="00BF214F"/>
    <w:rsid w:val="00BF4A96"/>
    <w:rsid w:val="00BF4E43"/>
    <w:rsid w:val="00BF5C30"/>
    <w:rsid w:val="00BF5C4C"/>
    <w:rsid w:val="00BF7E4B"/>
    <w:rsid w:val="00C01410"/>
    <w:rsid w:val="00C034DC"/>
    <w:rsid w:val="00C04DF1"/>
    <w:rsid w:val="00C052AA"/>
    <w:rsid w:val="00C06EE3"/>
    <w:rsid w:val="00C07749"/>
    <w:rsid w:val="00C0782C"/>
    <w:rsid w:val="00C11D48"/>
    <w:rsid w:val="00C11E05"/>
    <w:rsid w:val="00C156C9"/>
    <w:rsid w:val="00C15BDE"/>
    <w:rsid w:val="00C21430"/>
    <w:rsid w:val="00C21E61"/>
    <w:rsid w:val="00C21F94"/>
    <w:rsid w:val="00C23127"/>
    <w:rsid w:val="00C237DA"/>
    <w:rsid w:val="00C245AC"/>
    <w:rsid w:val="00C24930"/>
    <w:rsid w:val="00C2590D"/>
    <w:rsid w:val="00C261C2"/>
    <w:rsid w:val="00C2645D"/>
    <w:rsid w:val="00C26A2B"/>
    <w:rsid w:val="00C27913"/>
    <w:rsid w:val="00C30797"/>
    <w:rsid w:val="00C30DE4"/>
    <w:rsid w:val="00C31357"/>
    <w:rsid w:val="00C318AA"/>
    <w:rsid w:val="00C324DE"/>
    <w:rsid w:val="00C3372B"/>
    <w:rsid w:val="00C33B68"/>
    <w:rsid w:val="00C3409C"/>
    <w:rsid w:val="00C3471E"/>
    <w:rsid w:val="00C35570"/>
    <w:rsid w:val="00C36A79"/>
    <w:rsid w:val="00C37133"/>
    <w:rsid w:val="00C3724B"/>
    <w:rsid w:val="00C401D2"/>
    <w:rsid w:val="00C4031A"/>
    <w:rsid w:val="00C405D4"/>
    <w:rsid w:val="00C419D5"/>
    <w:rsid w:val="00C41BBD"/>
    <w:rsid w:val="00C429AE"/>
    <w:rsid w:val="00C42EA5"/>
    <w:rsid w:val="00C4513B"/>
    <w:rsid w:val="00C45488"/>
    <w:rsid w:val="00C46C1B"/>
    <w:rsid w:val="00C507AE"/>
    <w:rsid w:val="00C5147D"/>
    <w:rsid w:val="00C53372"/>
    <w:rsid w:val="00C5390B"/>
    <w:rsid w:val="00C54697"/>
    <w:rsid w:val="00C55027"/>
    <w:rsid w:val="00C553A5"/>
    <w:rsid w:val="00C55402"/>
    <w:rsid w:val="00C5603B"/>
    <w:rsid w:val="00C56E9C"/>
    <w:rsid w:val="00C61F47"/>
    <w:rsid w:val="00C621D6"/>
    <w:rsid w:val="00C62828"/>
    <w:rsid w:val="00C62E08"/>
    <w:rsid w:val="00C64998"/>
    <w:rsid w:val="00C667B3"/>
    <w:rsid w:val="00C71BC3"/>
    <w:rsid w:val="00C71D2F"/>
    <w:rsid w:val="00C725B7"/>
    <w:rsid w:val="00C72984"/>
    <w:rsid w:val="00C734DC"/>
    <w:rsid w:val="00C73885"/>
    <w:rsid w:val="00C73C93"/>
    <w:rsid w:val="00C73EAC"/>
    <w:rsid w:val="00C7435A"/>
    <w:rsid w:val="00C7446C"/>
    <w:rsid w:val="00C747B1"/>
    <w:rsid w:val="00C76229"/>
    <w:rsid w:val="00C7747F"/>
    <w:rsid w:val="00C777A6"/>
    <w:rsid w:val="00C82191"/>
    <w:rsid w:val="00C823CA"/>
    <w:rsid w:val="00C83134"/>
    <w:rsid w:val="00C832F3"/>
    <w:rsid w:val="00C85545"/>
    <w:rsid w:val="00C855B5"/>
    <w:rsid w:val="00C85F0E"/>
    <w:rsid w:val="00C90CF4"/>
    <w:rsid w:val="00C91CC2"/>
    <w:rsid w:val="00C922DE"/>
    <w:rsid w:val="00C92843"/>
    <w:rsid w:val="00C92EB6"/>
    <w:rsid w:val="00C93216"/>
    <w:rsid w:val="00C93389"/>
    <w:rsid w:val="00C95CCD"/>
    <w:rsid w:val="00C96AEE"/>
    <w:rsid w:val="00CA0346"/>
    <w:rsid w:val="00CA37FF"/>
    <w:rsid w:val="00CA4C36"/>
    <w:rsid w:val="00CA507F"/>
    <w:rsid w:val="00CA5BD5"/>
    <w:rsid w:val="00CA5D0F"/>
    <w:rsid w:val="00CA6AB4"/>
    <w:rsid w:val="00CB0AED"/>
    <w:rsid w:val="00CB2351"/>
    <w:rsid w:val="00CB2949"/>
    <w:rsid w:val="00CB4537"/>
    <w:rsid w:val="00CB4930"/>
    <w:rsid w:val="00CB497F"/>
    <w:rsid w:val="00CB5618"/>
    <w:rsid w:val="00CB5E10"/>
    <w:rsid w:val="00CB6A89"/>
    <w:rsid w:val="00CB792B"/>
    <w:rsid w:val="00CC0834"/>
    <w:rsid w:val="00CC09FD"/>
    <w:rsid w:val="00CC20FE"/>
    <w:rsid w:val="00CC2E7D"/>
    <w:rsid w:val="00CC4726"/>
    <w:rsid w:val="00CC4856"/>
    <w:rsid w:val="00CC655F"/>
    <w:rsid w:val="00CC6C34"/>
    <w:rsid w:val="00CC76BD"/>
    <w:rsid w:val="00CD10A5"/>
    <w:rsid w:val="00CD1129"/>
    <w:rsid w:val="00CD203A"/>
    <w:rsid w:val="00CD2076"/>
    <w:rsid w:val="00CD24CE"/>
    <w:rsid w:val="00CD29B5"/>
    <w:rsid w:val="00CD2B78"/>
    <w:rsid w:val="00CD5C3E"/>
    <w:rsid w:val="00CD5CAB"/>
    <w:rsid w:val="00CD6331"/>
    <w:rsid w:val="00CD6B63"/>
    <w:rsid w:val="00CE0CA9"/>
    <w:rsid w:val="00CE62FA"/>
    <w:rsid w:val="00CE670B"/>
    <w:rsid w:val="00CE70EE"/>
    <w:rsid w:val="00CF19D8"/>
    <w:rsid w:val="00CF4908"/>
    <w:rsid w:val="00CF51EC"/>
    <w:rsid w:val="00CF545D"/>
    <w:rsid w:val="00CF546A"/>
    <w:rsid w:val="00CF5873"/>
    <w:rsid w:val="00CF6222"/>
    <w:rsid w:val="00CF73AE"/>
    <w:rsid w:val="00D010D1"/>
    <w:rsid w:val="00D01418"/>
    <w:rsid w:val="00D01A32"/>
    <w:rsid w:val="00D03A72"/>
    <w:rsid w:val="00D040DD"/>
    <w:rsid w:val="00D041F9"/>
    <w:rsid w:val="00D046FA"/>
    <w:rsid w:val="00D05C65"/>
    <w:rsid w:val="00D06D68"/>
    <w:rsid w:val="00D06FAB"/>
    <w:rsid w:val="00D075BE"/>
    <w:rsid w:val="00D07FCA"/>
    <w:rsid w:val="00D104A5"/>
    <w:rsid w:val="00D10652"/>
    <w:rsid w:val="00D11C2D"/>
    <w:rsid w:val="00D124E1"/>
    <w:rsid w:val="00D1291A"/>
    <w:rsid w:val="00D12C25"/>
    <w:rsid w:val="00D133B4"/>
    <w:rsid w:val="00D13986"/>
    <w:rsid w:val="00D14C5B"/>
    <w:rsid w:val="00D15FED"/>
    <w:rsid w:val="00D17C3D"/>
    <w:rsid w:val="00D208E7"/>
    <w:rsid w:val="00D214EF"/>
    <w:rsid w:val="00D21D6D"/>
    <w:rsid w:val="00D21D83"/>
    <w:rsid w:val="00D235B7"/>
    <w:rsid w:val="00D25F28"/>
    <w:rsid w:val="00D26071"/>
    <w:rsid w:val="00D27973"/>
    <w:rsid w:val="00D31E1E"/>
    <w:rsid w:val="00D334E2"/>
    <w:rsid w:val="00D35BBB"/>
    <w:rsid w:val="00D35E1A"/>
    <w:rsid w:val="00D36C04"/>
    <w:rsid w:val="00D36DFB"/>
    <w:rsid w:val="00D36E1C"/>
    <w:rsid w:val="00D37342"/>
    <w:rsid w:val="00D373AF"/>
    <w:rsid w:val="00D40556"/>
    <w:rsid w:val="00D41F74"/>
    <w:rsid w:val="00D4284D"/>
    <w:rsid w:val="00D43348"/>
    <w:rsid w:val="00D43ED2"/>
    <w:rsid w:val="00D44B89"/>
    <w:rsid w:val="00D47481"/>
    <w:rsid w:val="00D50F46"/>
    <w:rsid w:val="00D52814"/>
    <w:rsid w:val="00D53528"/>
    <w:rsid w:val="00D544E7"/>
    <w:rsid w:val="00D54FDE"/>
    <w:rsid w:val="00D55B51"/>
    <w:rsid w:val="00D56D73"/>
    <w:rsid w:val="00D56FBF"/>
    <w:rsid w:val="00D57677"/>
    <w:rsid w:val="00D57A24"/>
    <w:rsid w:val="00D60415"/>
    <w:rsid w:val="00D60903"/>
    <w:rsid w:val="00D62DA6"/>
    <w:rsid w:val="00D62E59"/>
    <w:rsid w:val="00D63BE5"/>
    <w:rsid w:val="00D63D69"/>
    <w:rsid w:val="00D64E8F"/>
    <w:rsid w:val="00D66223"/>
    <w:rsid w:val="00D66630"/>
    <w:rsid w:val="00D70229"/>
    <w:rsid w:val="00D70822"/>
    <w:rsid w:val="00D70B9A"/>
    <w:rsid w:val="00D70D26"/>
    <w:rsid w:val="00D71FCB"/>
    <w:rsid w:val="00D72076"/>
    <w:rsid w:val="00D730BF"/>
    <w:rsid w:val="00D743E0"/>
    <w:rsid w:val="00D748BE"/>
    <w:rsid w:val="00D77252"/>
    <w:rsid w:val="00D77B7E"/>
    <w:rsid w:val="00D8084C"/>
    <w:rsid w:val="00D82EF1"/>
    <w:rsid w:val="00D82FE8"/>
    <w:rsid w:val="00D84C89"/>
    <w:rsid w:val="00D84F43"/>
    <w:rsid w:val="00D85821"/>
    <w:rsid w:val="00D8598C"/>
    <w:rsid w:val="00D878AC"/>
    <w:rsid w:val="00D87C06"/>
    <w:rsid w:val="00D9115F"/>
    <w:rsid w:val="00D915EA"/>
    <w:rsid w:val="00D918D2"/>
    <w:rsid w:val="00D928BE"/>
    <w:rsid w:val="00D931CB"/>
    <w:rsid w:val="00D947E0"/>
    <w:rsid w:val="00D95C5D"/>
    <w:rsid w:val="00D9793F"/>
    <w:rsid w:val="00D97C81"/>
    <w:rsid w:val="00D97D00"/>
    <w:rsid w:val="00DA096C"/>
    <w:rsid w:val="00DA1AB6"/>
    <w:rsid w:val="00DA439F"/>
    <w:rsid w:val="00DA467C"/>
    <w:rsid w:val="00DA47EA"/>
    <w:rsid w:val="00DA6364"/>
    <w:rsid w:val="00DA6428"/>
    <w:rsid w:val="00DA694D"/>
    <w:rsid w:val="00DA7114"/>
    <w:rsid w:val="00DA7A18"/>
    <w:rsid w:val="00DA7C0C"/>
    <w:rsid w:val="00DB08A9"/>
    <w:rsid w:val="00DB2DFA"/>
    <w:rsid w:val="00DB2EC8"/>
    <w:rsid w:val="00DB3CD3"/>
    <w:rsid w:val="00DB4532"/>
    <w:rsid w:val="00DC17D0"/>
    <w:rsid w:val="00DC1D3B"/>
    <w:rsid w:val="00DC2B41"/>
    <w:rsid w:val="00DC435B"/>
    <w:rsid w:val="00DC56FE"/>
    <w:rsid w:val="00DC5B3B"/>
    <w:rsid w:val="00DC6C2D"/>
    <w:rsid w:val="00DC7B1A"/>
    <w:rsid w:val="00DD001B"/>
    <w:rsid w:val="00DD02B4"/>
    <w:rsid w:val="00DD0C3A"/>
    <w:rsid w:val="00DD129F"/>
    <w:rsid w:val="00DD1892"/>
    <w:rsid w:val="00DD2222"/>
    <w:rsid w:val="00DD32DD"/>
    <w:rsid w:val="00DD3365"/>
    <w:rsid w:val="00DD358B"/>
    <w:rsid w:val="00DD5C92"/>
    <w:rsid w:val="00DD649D"/>
    <w:rsid w:val="00DE0D8B"/>
    <w:rsid w:val="00DE2D19"/>
    <w:rsid w:val="00DE6995"/>
    <w:rsid w:val="00DE76D5"/>
    <w:rsid w:val="00DF05EE"/>
    <w:rsid w:val="00DF1AE5"/>
    <w:rsid w:val="00DF2BD4"/>
    <w:rsid w:val="00DF3643"/>
    <w:rsid w:val="00DF42FF"/>
    <w:rsid w:val="00DF5D1E"/>
    <w:rsid w:val="00DF74E3"/>
    <w:rsid w:val="00E01C0E"/>
    <w:rsid w:val="00E026EA"/>
    <w:rsid w:val="00E02A11"/>
    <w:rsid w:val="00E03477"/>
    <w:rsid w:val="00E0368F"/>
    <w:rsid w:val="00E03D73"/>
    <w:rsid w:val="00E03F9A"/>
    <w:rsid w:val="00E04694"/>
    <w:rsid w:val="00E06CDC"/>
    <w:rsid w:val="00E06ED3"/>
    <w:rsid w:val="00E129E7"/>
    <w:rsid w:val="00E12ABE"/>
    <w:rsid w:val="00E12B1E"/>
    <w:rsid w:val="00E1444C"/>
    <w:rsid w:val="00E15860"/>
    <w:rsid w:val="00E15C16"/>
    <w:rsid w:val="00E17262"/>
    <w:rsid w:val="00E1790A"/>
    <w:rsid w:val="00E20016"/>
    <w:rsid w:val="00E2009B"/>
    <w:rsid w:val="00E21D4C"/>
    <w:rsid w:val="00E2251C"/>
    <w:rsid w:val="00E2363D"/>
    <w:rsid w:val="00E253A2"/>
    <w:rsid w:val="00E25D19"/>
    <w:rsid w:val="00E27127"/>
    <w:rsid w:val="00E27233"/>
    <w:rsid w:val="00E30205"/>
    <w:rsid w:val="00E31771"/>
    <w:rsid w:val="00E32080"/>
    <w:rsid w:val="00E3309D"/>
    <w:rsid w:val="00E37146"/>
    <w:rsid w:val="00E37446"/>
    <w:rsid w:val="00E37ED2"/>
    <w:rsid w:val="00E40573"/>
    <w:rsid w:val="00E417BE"/>
    <w:rsid w:val="00E41CD5"/>
    <w:rsid w:val="00E43A9E"/>
    <w:rsid w:val="00E44C70"/>
    <w:rsid w:val="00E453F9"/>
    <w:rsid w:val="00E45D7D"/>
    <w:rsid w:val="00E47854"/>
    <w:rsid w:val="00E47EBA"/>
    <w:rsid w:val="00E50156"/>
    <w:rsid w:val="00E5076C"/>
    <w:rsid w:val="00E50D53"/>
    <w:rsid w:val="00E51151"/>
    <w:rsid w:val="00E51B88"/>
    <w:rsid w:val="00E53470"/>
    <w:rsid w:val="00E539F6"/>
    <w:rsid w:val="00E55791"/>
    <w:rsid w:val="00E564DD"/>
    <w:rsid w:val="00E56587"/>
    <w:rsid w:val="00E578A2"/>
    <w:rsid w:val="00E61740"/>
    <w:rsid w:val="00E61EB5"/>
    <w:rsid w:val="00E6519D"/>
    <w:rsid w:val="00E67305"/>
    <w:rsid w:val="00E67696"/>
    <w:rsid w:val="00E704B5"/>
    <w:rsid w:val="00E7152C"/>
    <w:rsid w:val="00E71A58"/>
    <w:rsid w:val="00E71D50"/>
    <w:rsid w:val="00E72A26"/>
    <w:rsid w:val="00E72A7A"/>
    <w:rsid w:val="00E735CE"/>
    <w:rsid w:val="00E747DC"/>
    <w:rsid w:val="00E75C94"/>
    <w:rsid w:val="00E76B9B"/>
    <w:rsid w:val="00E76E61"/>
    <w:rsid w:val="00E80CA3"/>
    <w:rsid w:val="00E82618"/>
    <w:rsid w:val="00E83099"/>
    <w:rsid w:val="00E92543"/>
    <w:rsid w:val="00E930A1"/>
    <w:rsid w:val="00E93820"/>
    <w:rsid w:val="00E94A86"/>
    <w:rsid w:val="00E96143"/>
    <w:rsid w:val="00E96833"/>
    <w:rsid w:val="00EA0C68"/>
    <w:rsid w:val="00EA2261"/>
    <w:rsid w:val="00EA32BC"/>
    <w:rsid w:val="00EA35A7"/>
    <w:rsid w:val="00EA4402"/>
    <w:rsid w:val="00EA513E"/>
    <w:rsid w:val="00EA7B9D"/>
    <w:rsid w:val="00EB0C26"/>
    <w:rsid w:val="00EB0E32"/>
    <w:rsid w:val="00EB2510"/>
    <w:rsid w:val="00EB3543"/>
    <w:rsid w:val="00EB3E07"/>
    <w:rsid w:val="00EB4511"/>
    <w:rsid w:val="00EB4A8E"/>
    <w:rsid w:val="00EB5BF7"/>
    <w:rsid w:val="00EB5CBE"/>
    <w:rsid w:val="00EB5E79"/>
    <w:rsid w:val="00EB6FAC"/>
    <w:rsid w:val="00EC03D7"/>
    <w:rsid w:val="00EC13A7"/>
    <w:rsid w:val="00EC26AA"/>
    <w:rsid w:val="00EC4C77"/>
    <w:rsid w:val="00EC6EB1"/>
    <w:rsid w:val="00ED0EF0"/>
    <w:rsid w:val="00ED12B9"/>
    <w:rsid w:val="00ED16B8"/>
    <w:rsid w:val="00ED19BA"/>
    <w:rsid w:val="00ED2B77"/>
    <w:rsid w:val="00ED2EA1"/>
    <w:rsid w:val="00ED45F2"/>
    <w:rsid w:val="00ED4D04"/>
    <w:rsid w:val="00ED62C6"/>
    <w:rsid w:val="00ED64C1"/>
    <w:rsid w:val="00ED794B"/>
    <w:rsid w:val="00EE22E9"/>
    <w:rsid w:val="00EE3446"/>
    <w:rsid w:val="00EE3E78"/>
    <w:rsid w:val="00EE4B1B"/>
    <w:rsid w:val="00EF07BE"/>
    <w:rsid w:val="00EF07E2"/>
    <w:rsid w:val="00EF0F6B"/>
    <w:rsid w:val="00EF150D"/>
    <w:rsid w:val="00EF19A8"/>
    <w:rsid w:val="00EF1F5A"/>
    <w:rsid w:val="00EF22EA"/>
    <w:rsid w:val="00EF2DCB"/>
    <w:rsid w:val="00EF4782"/>
    <w:rsid w:val="00EF47BF"/>
    <w:rsid w:val="00EF55D6"/>
    <w:rsid w:val="00EF5A13"/>
    <w:rsid w:val="00EF5FF9"/>
    <w:rsid w:val="00EF6866"/>
    <w:rsid w:val="00F0056A"/>
    <w:rsid w:val="00F0160B"/>
    <w:rsid w:val="00F02EA2"/>
    <w:rsid w:val="00F03F8D"/>
    <w:rsid w:val="00F04811"/>
    <w:rsid w:val="00F0488C"/>
    <w:rsid w:val="00F04D7F"/>
    <w:rsid w:val="00F05DAA"/>
    <w:rsid w:val="00F073ED"/>
    <w:rsid w:val="00F07C4C"/>
    <w:rsid w:val="00F10A85"/>
    <w:rsid w:val="00F10F11"/>
    <w:rsid w:val="00F12CFB"/>
    <w:rsid w:val="00F150FC"/>
    <w:rsid w:val="00F15AAA"/>
    <w:rsid w:val="00F15BEF"/>
    <w:rsid w:val="00F15D99"/>
    <w:rsid w:val="00F17898"/>
    <w:rsid w:val="00F207C2"/>
    <w:rsid w:val="00F219A1"/>
    <w:rsid w:val="00F23E20"/>
    <w:rsid w:val="00F24407"/>
    <w:rsid w:val="00F24FAA"/>
    <w:rsid w:val="00F25040"/>
    <w:rsid w:val="00F256C9"/>
    <w:rsid w:val="00F26B41"/>
    <w:rsid w:val="00F27331"/>
    <w:rsid w:val="00F30852"/>
    <w:rsid w:val="00F30C65"/>
    <w:rsid w:val="00F31B1A"/>
    <w:rsid w:val="00F3364D"/>
    <w:rsid w:val="00F33751"/>
    <w:rsid w:val="00F347FE"/>
    <w:rsid w:val="00F349BF"/>
    <w:rsid w:val="00F34C7D"/>
    <w:rsid w:val="00F3720E"/>
    <w:rsid w:val="00F41A03"/>
    <w:rsid w:val="00F425F8"/>
    <w:rsid w:val="00F42755"/>
    <w:rsid w:val="00F42C11"/>
    <w:rsid w:val="00F437CC"/>
    <w:rsid w:val="00F44537"/>
    <w:rsid w:val="00F44D78"/>
    <w:rsid w:val="00F44F83"/>
    <w:rsid w:val="00F46185"/>
    <w:rsid w:val="00F46423"/>
    <w:rsid w:val="00F46561"/>
    <w:rsid w:val="00F465F4"/>
    <w:rsid w:val="00F4696A"/>
    <w:rsid w:val="00F46C86"/>
    <w:rsid w:val="00F47067"/>
    <w:rsid w:val="00F47413"/>
    <w:rsid w:val="00F524C4"/>
    <w:rsid w:val="00F525EB"/>
    <w:rsid w:val="00F53324"/>
    <w:rsid w:val="00F555DE"/>
    <w:rsid w:val="00F56432"/>
    <w:rsid w:val="00F60EE8"/>
    <w:rsid w:val="00F61111"/>
    <w:rsid w:val="00F6160D"/>
    <w:rsid w:val="00F63AAE"/>
    <w:rsid w:val="00F63DDE"/>
    <w:rsid w:val="00F63FB7"/>
    <w:rsid w:val="00F6421B"/>
    <w:rsid w:val="00F649D2"/>
    <w:rsid w:val="00F658CA"/>
    <w:rsid w:val="00F6602B"/>
    <w:rsid w:val="00F7150B"/>
    <w:rsid w:val="00F72D2E"/>
    <w:rsid w:val="00F73A0C"/>
    <w:rsid w:val="00F74563"/>
    <w:rsid w:val="00F756DB"/>
    <w:rsid w:val="00F767A8"/>
    <w:rsid w:val="00F80764"/>
    <w:rsid w:val="00F81380"/>
    <w:rsid w:val="00F83297"/>
    <w:rsid w:val="00F8416A"/>
    <w:rsid w:val="00F8469E"/>
    <w:rsid w:val="00F84E7D"/>
    <w:rsid w:val="00F85066"/>
    <w:rsid w:val="00F87A4D"/>
    <w:rsid w:val="00F90C60"/>
    <w:rsid w:val="00F93688"/>
    <w:rsid w:val="00F939F3"/>
    <w:rsid w:val="00F9481E"/>
    <w:rsid w:val="00F94EA6"/>
    <w:rsid w:val="00F95139"/>
    <w:rsid w:val="00F95167"/>
    <w:rsid w:val="00F952EE"/>
    <w:rsid w:val="00F9539D"/>
    <w:rsid w:val="00F95717"/>
    <w:rsid w:val="00F9672C"/>
    <w:rsid w:val="00F96BFA"/>
    <w:rsid w:val="00F97CDD"/>
    <w:rsid w:val="00FA0250"/>
    <w:rsid w:val="00FA03BB"/>
    <w:rsid w:val="00FA04BB"/>
    <w:rsid w:val="00FA05A0"/>
    <w:rsid w:val="00FA17CC"/>
    <w:rsid w:val="00FA1F01"/>
    <w:rsid w:val="00FA36BC"/>
    <w:rsid w:val="00FA456C"/>
    <w:rsid w:val="00FA4FEB"/>
    <w:rsid w:val="00FA5112"/>
    <w:rsid w:val="00FA5526"/>
    <w:rsid w:val="00FA5D4D"/>
    <w:rsid w:val="00FA6549"/>
    <w:rsid w:val="00FA70D3"/>
    <w:rsid w:val="00FA7D28"/>
    <w:rsid w:val="00FB0EE2"/>
    <w:rsid w:val="00FB1A79"/>
    <w:rsid w:val="00FB208B"/>
    <w:rsid w:val="00FB2B2D"/>
    <w:rsid w:val="00FB542E"/>
    <w:rsid w:val="00FB6F10"/>
    <w:rsid w:val="00FC05F8"/>
    <w:rsid w:val="00FC0696"/>
    <w:rsid w:val="00FC0E5F"/>
    <w:rsid w:val="00FC13E6"/>
    <w:rsid w:val="00FC1A95"/>
    <w:rsid w:val="00FC1F20"/>
    <w:rsid w:val="00FC3BEC"/>
    <w:rsid w:val="00FC440B"/>
    <w:rsid w:val="00FC56DE"/>
    <w:rsid w:val="00FC64DE"/>
    <w:rsid w:val="00FC684B"/>
    <w:rsid w:val="00FC7179"/>
    <w:rsid w:val="00FC7723"/>
    <w:rsid w:val="00FC7D98"/>
    <w:rsid w:val="00FD1135"/>
    <w:rsid w:val="00FD3265"/>
    <w:rsid w:val="00FD34FA"/>
    <w:rsid w:val="00FD3CF7"/>
    <w:rsid w:val="00FD4916"/>
    <w:rsid w:val="00FD4D12"/>
    <w:rsid w:val="00FD69FC"/>
    <w:rsid w:val="00FD7CD9"/>
    <w:rsid w:val="00FE05D3"/>
    <w:rsid w:val="00FE1837"/>
    <w:rsid w:val="00FE27C7"/>
    <w:rsid w:val="00FE2C7E"/>
    <w:rsid w:val="00FE2F78"/>
    <w:rsid w:val="00FE3137"/>
    <w:rsid w:val="00FE48E4"/>
    <w:rsid w:val="00FE50A9"/>
    <w:rsid w:val="00FE5BDA"/>
    <w:rsid w:val="00FE634C"/>
    <w:rsid w:val="00FE790C"/>
    <w:rsid w:val="00FF01C3"/>
    <w:rsid w:val="00FF3C76"/>
    <w:rsid w:val="00FF580E"/>
    <w:rsid w:val="00FF7427"/>
    <w:rsid w:val="00FF7B96"/>
    <w:rsid w:val="00FF7F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titul">
    <w:name w:val="Subtitle"/>
    <w:link w:val="Podtitul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titulChar">
    <w:name w:val="Podtitul Char"/>
    <w:link w:val="Podtitul"/>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vraznn">
    <w:name w:val="Emphasis"/>
    <w:basedOn w:val="Standardnpsmoodstavce"/>
    <w:uiPriority w:val="20"/>
    <w:qFormat/>
    <w:rsid w:val="00965797"/>
    <w:rPr>
      <w:i/>
      <w:iCs/>
    </w:rPr>
  </w:style>
  <w:style w:type="paragraph" w:styleId="Rozvrendokumentu">
    <w:name w:val="Document Map"/>
    <w:basedOn w:val="Normln"/>
    <w:link w:val="RozvrendokumentuChar"/>
    <w:uiPriority w:val="99"/>
    <w:semiHidden/>
    <w:rsid w:val="00AD5AD2"/>
    <w:pPr>
      <w:spacing w:after="0" w:line="288" w:lineRule="auto"/>
      <w:jc w:val="left"/>
    </w:pPr>
    <w:rPr>
      <w:rFonts w:ascii="Tahoma" w:eastAsia="Calibri" w:hAnsi="Tahoma" w:cs="Tahoma"/>
      <w:sz w:val="16"/>
      <w:szCs w:val="16"/>
    </w:rPr>
  </w:style>
  <w:style w:type="character" w:customStyle="1" w:styleId="RozvrendokumentuChar">
    <w:name w:val="Rozvržení dokumentu Char"/>
    <w:basedOn w:val="Standardnpsmoodstavce"/>
    <w:link w:val="Rozvr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titul">
    <w:name w:val="Subtitle"/>
    <w:link w:val="Podtitul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titulChar">
    <w:name w:val="Podtitul Char"/>
    <w:link w:val="Podtitul"/>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v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JKAM%20CSU\PUBLIKACE\PUBLIKACE\2018\QMakro\1.pololet&#237;-2018\Anglick&#225;%20verze\ENGL-Odv&#283;tv&#237;%20grafy-2q-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KAM%20CSU\PUBLIKACE\PUBLIKACE\2018\QMakro\1.pololet&#237;-2018\Anglick&#225;%20verze\ENGL-Odv&#283;tv&#237;%20grafy-2q-2018.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JKAM%20CSU\PUBLIKACE\PUBLIKACE\2018\QMakro\1.pololet&#237;-2018\Anglick&#225;%20verze\ENGL-Odv&#283;tv&#237;%20grafy-2q-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JKAM%20CSU\PUBLIKACE\PUBLIKACE\2018\QMakro\1.pololet&#237;-2018\Anglick&#225;%20verze\ENGL-Odv&#283;tv&#237;%20grafy-2q-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3.2768470688525411E-2"/>
          <c:y val="2.1717929393192267E-2"/>
          <c:w val="0.93666788782242216"/>
          <c:h val="0.70893252267517592"/>
        </c:manualLayout>
      </c:layout>
      <c:barChart>
        <c:barDir val="col"/>
        <c:grouping val="stacked"/>
        <c:ser>
          <c:idx val="0"/>
          <c:order val="0"/>
          <c:tx>
            <c:strRef>
              <c:f>'GRAF příspěvky IPP'!$A$32</c:f>
              <c:strCache>
                <c:ptCount val="1"/>
                <c:pt idx="0">
                  <c:v>Manufacture of motor vehicles (29+30)</c:v>
                </c:pt>
              </c:strCache>
            </c:strRef>
          </c:tx>
          <c:spPr>
            <a:solidFill>
              <a:srgbClr val="E8AFB2"/>
            </a:solidFill>
          </c:spPr>
          <c:cat>
            <c:multiLvlStrRef>
              <c:f>'GRAF příspěvky IPP'!$B$30:$AE$31</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'GRAF příspěvky IPP'!$B$32:$AE$32</c:f>
              <c:numCache>
                <c:formatCode>0.0</c:formatCode>
                <c:ptCount val="30"/>
                <c:pt idx="0">
                  <c:v>5.1583390189821374</c:v>
                </c:pt>
                <c:pt idx="1">
                  <c:v>4.1940805843592406</c:v>
                </c:pt>
                <c:pt idx="2">
                  <c:v>3.6254585881455803</c:v>
                </c:pt>
                <c:pt idx="3">
                  <c:v>3.2258487674246217</c:v>
                </c:pt>
                <c:pt idx="4">
                  <c:v>1.9477463114435285</c:v>
                </c:pt>
                <c:pt idx="5">
                  <c:v>1.0058302469588418</c:v>
                </c:pt>
                <c:pt idx="6">
                  <c:v>-0.47327260667125248</c:v>
                </c:pt>
                <c:pt idx="7">
                  <c:v>-1.6589798300201712</c:v>
                </c:pt>
                <c:pt idx="8">
                  <c:v>-2.5458879361074449</c:v>
                </c:pt>
                <c:pt idx="9">
                  <c:v>-1.325909097342485</c:v>
                </c:pt>
                <c:pt idx="10">
                  <c:v>0.76388270851172324</c:v>
                </c:pt>
                <c:pt idx="11">
                  <c:v>1.8584636345874879</c:v>
                </c:pt>
                <c:pt idx="12">
                  <c:v>3.3381841003075512</c:v>
                </c:pt>
                <c:pt idx="13">
                  <c:v>2.4352412796453371</c:v>
                </c:pt>
                <c:pt idx="14">
                  <c:v>1.8587530098340019</c:v>
                </c:pt>
                <c:pt idx="15">
                  <c:v>1.4829445473338632</c:v>
                </c:pt>
                <c:pt idx="16">
                  <c:v>1.5560406088862613</c:v>
                </c:pt>
                <c:pt idx="17">
                  <c:v>2.1747965848469417</c:v>
                </c:pt>
                <c:pt idx="18">
                  <c:v>2.225670583560051</c:v>
                </c:pt>
                <c:pt idx="19">
                  <c:v>2.9326959962159247</c:v>
                </c:pt>
                <c:pt idx="20">
                  <c:v>3.4317610615849299</c:v>
                </c:pt>
                <c:pt idx="21">
                  <c:v>2.7916779937104867</c:v>
                </c:pt>
                <c:pt idx="22">
                  <c:v>1.4159459574233138</c:v>
                </c:pt>
                <c:pt idx="23">
                  <c:v>1.0292819674961451</c:v>
                </c:pt>
                <c:pt idx="24">
                  <c:v>1.8337769181325838</c:v>
                </c:pt>
                <c:pt idx="25">
                  <c:v>2.0232440682518602</c:v>
                </c:pt>
                <c:pt idx="26">
                  <c:v>1.4766426933313399</c:v>
                </c:pt>
                <c:pt idx="27">
                  <c:v>1.6947521950851363</c:v>
                </c:pt>
                <c:pt idx="28">
                  <c:v>0.68613379658172513</c:v>
                </c:pt>
                <c:pt idx="29">
                  <c:v>0.32669980690669048</c:v>
                </c:pt>
              </c:numCache>
            </c:numRef>
          </c:val>
        </c:ser>
        <c:ser>
          <c:idx val="1"/>
          <c:order val="1"/>
          <c:tx>
            <c:strRef>
              <c:f>'GRAF příspěvky IPP'!$A$33</c:f>
              <c:strCache>
                <c:ptCount val="1"/>
                <c:pt idx="0">
                  <c:v>Rubber+plastic prod.,electrical eq..(22+27)</c:v>
                </c:pt>
              </c:strCache>
            </c:strRef>
          </c:tx>
          <c:spPr>
            <a:solidFill>
              <a:srgbClr val="BD1B21"/>
            </a:solidFill>
          </c:spPr>
          <c:cat>
            <c:multiLvlStrRef>
              <c:f>'GRAF příspěvky IPP'!$B$30:$AE$31</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'GRAF příspěvky IPP'!$B$33:$AE$33</c:f>
              <c:numCache>
                <c:formatCode>0.0</c:formatCode>
                <c:ptCount val="30"/>
                <c:pt idx="0">
                  <c:v>1.7983691275864537</c:v>
                </c:pt>
                <c:pt idx="1">
                  <c:v>1.4558566523785277</c:v>
                </c:pt>
                <c:pt idx="2">
                  <c:v>0.48746198826577292</c:v>
                </c:pt>
                <c:pt idx="3">
                  <c:v>0.58308022139278459</c:v>
                </c:pt>
                <c:pt idx="4">
                  <c:v>0.8442656282525447</c:v>
                </c:pt>
                <c:pt idx="5">
                  <c:v>0.66654661442767671</c:v>
                </c:pt>
                <c:pt idx="6">
                  <c:v>1.0653762335640986</c:v>
                </c:pt>
                <c:pt idx="7">
                  <c:v>-0.46502811090535062</c:v>
                </c:pt>
                <c:pt idx="8">
                  <c:v>-0.28211107583639117</c:v>
                </c:pt>
                <c:pt idx="9">
                  <c:v>-0.34471853265078234</c:v>
                </c:pt>
                <c:pt idx="10">
                  <c:v>0.38728197932092423</c:v>
                </c:pt>
                <c:pt idx="11">
                  <c:v>0.67444684530708265</c:v>
                </c:pt>
                <c:pt idx="12">
                  <c:v>1.1900587156554803</c:v>
                </c:pt>
                <c:pt idx="13">
                  <c:v>1.3179606079755628</c:v>
                </c:pt>
                <c:pt idx="14">
                  <c:v>0.15682402057671571</c:v>
                </c:pt>
                <c:pt idx="15">
                  <c:v>0.79246998238680644</c:v>
                </c:pt>
                <c:pt idx="16">
                  <c:v>1.0327158178902081</c:v>
                </c:pt>
                <c:pt idx="17">
                  <c:v>1.2401487730750369</c:v>
                </c:pt>
                <c:pt idx="18">
                  <c:v>1.4263615358978559</c:v>
                </c:pt>
                <c:pt idx="19">
                  <c:v>0.62907027961344608</c:v>
                </c:pt>
                <c:pt idx="20">
                  <c:v>0.73623049391962603</c:v>
                </c:pt>
                <c:pt idx="21">
                  <c:v>0.13255877827094117</c:v>
                </c:pt>
                <c:pt idx="22">
                  <c:v>0.2843931356974948</c:v>
                </c:pt>
                <c:pt idx="23">
                  <c:v>0.43251342156214567</c:v>
                </c:pt>
                <c:pt idx="24">
                  <c:v>0.8790130954715587</c:v>
                </c:pt>
                <c:pt idx="25">
                  <c:v>1.4636922494624585</c:v>
                </c:pt>
                <c:pt idx="26">
                  <c:v>0.86660777787350518</c:v>
                </c:pt>
                <c:pt idx="27">
                  <c:v>1.6549188645784962</c:v>
                </c:pt>
                <c:pt idx="28">
                  <c:v>0.88263591522283313</c:v>
                </c:pt>
                <c:pt idx="29">
                  <c:v>0.30216313943135575</c:v>
                </c:pt>
              </c:numCache>
            </c:numRef>
          </c:val>
        </c:ser>
        <c:ser>
          <c:idx val="2"/>
          <c:order val="2"/>
          <c:tx>
            <c:strRef>
              <c:f>'GRAF příspěvky IPP'!$A$34</c:f>
              <c:strCache>
                <c:ptCount val="1"/>
                <c:pt idx="0">
                  <c:v>Manufacture of machinery+equipment (28)</c:v>
                </c:pt>
              </c:strCache>
            </c:strRef>
          </c:tx>
          <c:spPr>
            <a:solidFill>
              <a:srgbClr val="BFE3F7"/>
            </a:solidFill>
          </c:spPr>
          <c:cat>
            <c:multiLvlStrRef>
              <c:f>'GRAF příspěvky IPP'!$B$30:$AE$31</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'GRAF příspěvky IPP'!$B$34:$AE$34</c:f>
              <c:numCache>
                <c:formatCode>0.0</c:formatCode>
                <c:ptCount val="30"/>
                <c:pt idx="0">
                  <c:v>1.2706011457621897</c:v>
                </c:pt>
                <c:pt idx="1">
                  <c:v>1.2888664807252919</c:v>
                </c:pt>
                <c:pt idx="2">
                  <c:v>0.32307846092656911</c:v>
                </c:pt>
                <c:pt idx="3">
                  <c:v>0.70071844497242752</c:v>
                </c:pt>
                <c:pt idx="4">
                  <c:v>0.51659781480962252</c:v>
                </c:pt>
                <c:pt idx="5">
                  <c:v>0.2631231278845213</c:v>
                </c:pt>
                <c:pt idx="6">
                  <c:v>0.23301984566307926</c:v>
                </c:pt>
                <c:pt idx="7">
                  <c:v>-0.13339713383761684</c:v>
                </c:pt>
                <c:pt idx="8">
                  <c:v>7.1737084628029121E-2</c:v>
                </c:pt>
                <c:pt idx="9">
                  <c:v>0.20406264489060277</c:v>
                </c:pt>
                <c:pt idx="10">
                  <c:v>-1.7001944235035409E-2</c:v>
                </c:pt>
                <c:pt idx="11">
                  <c:v>0.64362374734259276</c:v>
                </c:pt>
                <c:pt idx="12">
                  <c:v>0.21470457876175333</c:v>
                </c:pt>
                <c:pt idx="13">
                  <c:v>0.40293012989484761</c:v>
                </c:pt>
                <c:pt idx="14">
                  <c:v>0.21152856009329646</c:v>
                </c:pt>
                <c:pt idx="15">
                  <c:v>0.33012044192863693</c:v>
                </c:pt>
                <c:pt idx="16">
                  <c:v>0.2783269910276831</c:v>
                </c:pt>
                <c:pt idx="17">
                  <c:v>0.29159295435772531</c:v>
                </c:pt>
                <c:pt idx="18">
                  <c:v>0.37916922656306401</c:v>
                </c:pt>
                <c:pt idx="19">
                  <c:v>1.781989990773131E-2</c:v>
                </c:pt>
                <c:pt idx="20">
                  <c:v>0.36450086052988162</c:v>
                </c:pt>
                <c:pt idx="21">
                  <c:v>-6.9051390149412806E-2</c:v>
                </c:pt>
                <c:pt idx="22">
                  <c:v>0.19850927828339104</c:v>
                </c:pt>
                <c:pt idx="23">
                  <c:v>0.32150601856840738</c:v>
                </c:pt>
                <c:pt idx="24">
                  <c:v>0.36417963216621208</c:v>
                </c:pt>
                <c:pt idx="25">
                  <c:v>1.0647927179276138</c:v>
                </c:pt>
                <c:pt idx="26">
                  <c:v>0.84846050084183655</c:v>
                </c:pt>
                <c:pt idx="27">
                  <c:v>0.80860359811504845</c:v>
                </c:pt>
                <c:pt idx="28">
                  <c:v>0.6046477296150089</c:v>
                </c:pt>
                <c:pt idx="29">
                  <c:v>0.33032635655465997</c:v>
                </c:pt>
              </c:numCache>
            </c:numRef>
          </c:val>
        </c:ser>
        <c:ser>
          <c:idx val="3"/>
          <c:order val="3"/>
          <c:tx>
            <c:strRef>
              <c:f>'GRAF příspěvky IPP'!$A$35</c:f>
              <c:strCache>
                <c:ptCount val="1"/>
                <c:pt idx="0">
                  <c:v>Manufacture of fabricated metal prod (25)</c:v>
                </c:pt>
              </c:strCache>
            </c:strRef>
          </c:tx>
          <c:spPr>
            <a:solidFill>
              <a:srgbClr val="48AEE7"/>
            </a:solidFill>
          </c:spPr>
          <c:cat>
            <c:multiLvlStrRef>
              <c:f>'GRAF příspěvky IPP'!$B$30:$AE$31</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'GRAF příspěvky IPP'!$B$35:$AE$35</c:f>
              <c:numCache>
                <c:formatCode>0.0</c:formatCode>
                <c:ptCount val="30"/>
                <c:pt idx="0">
                  <c:v>1.3529708847357169</c:v>
                </c:pt>
                <c:pt idx="1">
                  <c:v>0.61223141631615297</c:v>
                </c:pt>
                <c:pt idx="2">
                  <c:v>6.1889465402554356E-2</c:v>
                </c:pt>
                <c:pt idx="3">
                  <c:v>-5.0371368079756305E-2</c:v>
                </c:pt>
                <c:pt idx="4">
                  <c:v>-0.10808602428987608</c:v>
                </c:pt>
                <c:pt idx="5">
                  <c:v>-5.7044312227523271E-2</c:v>
                </c:pt>
                <c:pt idx="6">
                  <c:v>0.11227086111396455</c:v>
                </c:pt>
                <c:pt idx="7">
                  <c:v>-0.1775979017671607</c:v>
                </c:pt>
                <c:pt idx="8">
                  <c:v>-4.9295714575087683E-2</c:v>
                </c:pt>
                <c:pt idx="9">
                  <c:v>9.2868962187095283E-2</c:v>
                </c:pt>
                <c:pt idx="10">
                  <c:v>0.37420551106540739</c:v>
                </c:pt>
                <c:pt idx="11">
                  <c:v>0.57817330515122456</c:v>
                </c:pt>
                <c:pt idx="12">
                  <c:v>0.75653656295046556</c:v>
                </c:pt>
                <c:pt idx="13">
                  <c:v>0.62179163182191965</c:v>
                </c:pt>
                <c:pt idx="14">
                  <c:v>0.13796392398444496</c:v>
                </c:pt>
                <c:pt idx="15">
                  <c:v>0.35044871686260676</c:v>
                </c:pt>
                <c:pt idx="16">
                  <c:v>0.69752018574312757</c:v>
                </c:pt>
                <c:pt idx="17">
                  <c:v>0.78069864008168155</c:v>
                </c:pt>
                <c:pt idx="18">
                  <c:v>0.92145489387273449</c:v>
                </c:pt>
                <c:pt idx="19">
                  <c:v>0.62569777143327721</c:v>
                </c:pt>
                <c:pt idx="20">
                  <c:v>0.74976781674783444</c:v>
                </c:pt>
                <c:pt idx="21">
                  <c:v>0.40323787298061481</c:v>
                </c:pt>
                <c:pt idx="22">
                  <c:v>0.2078624701239688</c:v>
                </c:pt>
                <c:pt idx="23">
                  <c:v>0.25885378383640484</c:v>
                </c:pt>
                <c:pt idx="24">
                  <c:v>0.5193760395981406</c:v>
                </c:pt>
                <c:pt idx="25">
                  <c:v>0.90938443427805682</c:v>
                </c:pt>
                <c:pt idx="26">
                  <c:v>0.82894658499995511</c:v>
                </c:pt>
                <c:pt idx="27">
                  <c:v>0.96985539906457874</c:v>
                </c:pt>
                <c:pt idx="28">
                  <c:v>0.66803550047886351</c:v>
                </c:pt>
                <c:pt idx="29">
                  <c:v>0.39486272937743577</c:v>
                </c:pt>
              </c:numCache>
            </c:numRef>
          </c:val>
        </c:ser>
        <c:ser>
          <c:idx val="4"/>
          <c:order val="4"/>
          <c:tx>
            <c:strRef>
              <c:f>'GRAF příspěvky IPP'!$A$36</c:f>
              <c:strCache>
                <c:ptCount val="1"/>
                <c:pt idx="0">
                  <c:v>Manufacture of PC, electronic.products (26)</c:v>
                </c:pt>
              </c:strCache>
            </c:strRef>
          </c:tx>
          <c:spPr>
            <a:solidFill>
              <a:srgbClr val="FDDEB3"/>
            </a:solidFill>
          </c:spPr>
          <c:cat>
            <c:multiLvlStrRef>
              <c:f>'GRAF příspěvky IPP'!$B$30:$AE$31</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'GRAF příspěvky IPP'!$B$36:$AE$36</c:f>
              <c:numCache>
                <c:formatCode>0.0</c:formatCode>
                <c:ptCount val="30"/>
                <c:pt idx="0">
                  <c:v>0.46607738102630258</c:v>
                </c:pt>
                <c:pt idx="1">
                  <c:v>0.2289737073350934</c:v>
                </c:pt>
                <c:pt idx="2">
                  <c:v>-0.24362549730013724</c:v>
                </c:pt>
                <c:pt idx="3">
                  <c:v>-0.78232564519731651</c:v>
                </c:pt>
                <c:pt idx="4">
                  <c:v>-0.62912903530941455</c:v>
                </c:pt>
                <c:pt idx="5">
                  <c:v>-0.7740414504357086</c:v>
                </c:pt>
                <c:pt idx="6">
                  <c:v>-0.66225050698900245</c:v>
                </c:pt>
                <c:pt idx="7">
                  <c:v>-0.44167473994696882</c:v>
                </c:pt>
                <c:pt idx="8">
                  <c:v>0.17307138431247779</c:v>
                </c:pt>
                <c:pt idx="9">
                  <c:v>0.20710305378343791</c:v>
                </c:pt>
                <c:pt idx="10">
                  <c:v>0.28808704980807831</c:v>
                </c:pt>
                <c:pt idx="11">
                  <c:v>0.37118882448330998</c:v>
                </c:pt>
                <c:pt idx="12">
                  <c:v>0.25436485129926723</c:v>
                </c:pt>
                <c:pt idx="13">
                  <c:v>0.35992422249609862</c:v>
                </c:pt>
                <c:pt idx="14">
                  <c:v>0.25073709132947558</c:v>
                </c:pt>
                <c:pt idx="15">
                  <c:v>0.43084138344861311</c:v>
                </c:pt>
                <c:pt idx="16">
                  <c:v>0.10169095278085653</c:v>
                </c:pt>
                <c:pt idx="17">
                  <c:v>1.4154514873228306E-2</c:v>
                </c:pt>
                <c:pt idx="18">
                  <c:v>4.4552452116603733E-2</c:v>
                </c:pt>
                <c:pt idx="19">
                  <c:v>-7.423726471824714E-2</c:v>
                </c:pt>
                <c:pt idx="20">
                  <c:v>-2.1481481669667441E-3</c:v>
                </c:pt>
                <c:pt idx="21">
                  <c:v>5.1480619698657547E-2</c:v>
                </c:pt>
                <c:pt idx="22">
                  <c:v>5.3821883781074643E-2</c:v>
                </c:pt>
                <c:pt idx="23">
                  <c:v>0.15961607959276675</c:v>
                </c:pt>
                <c:pt idx="24">
                  <c:v>0.12925577438246424</c:v>
                </c:pt>
                <c:pt idx="25">
                  <c:v>0.37526184999298445</c:v>
                </c:pt>
                <c:pt idx="26">
                  <c:v>0.2380055396976837</c:v>
                </c:pt>
                <c:pt idx="27">
                  <c:v>0.23859541569534098</c:v>
                </c:pt>
                <c:pt idx="28">
                  <c:v>0.47222552264673673</c:v>
                </c:pt>
                <c:pt idx="29">
                  <c:v>0.19431603051500926</c:v>
                </c:pt>
              </c:numCache>
            </c:numRef>
          </c:val>
        </c:ser>
        <c:ser>
          <c:idx val="5"/>
          <c:order val="5"/>
          <c:tx>
            <c:strRef>
              <c:f>'GRAF příspěvky IPP'!$A$37</c:f>
              <c:strCache>
                <c:ptCount val="1"/>
                <c:pt idx="0">
                  <c:v>Chemical and pharmaceutical ind. (20+21)</c:v>
                </c:pt>
              </c:strCache>
            </c:strRef>
          </c:tx>
          <c:spPr>
            <a:solidFill>
              <a:srgbClr val="F8A124"/>
            </a:solidFill>
          </c:spPr>
          <c:cat>
            <c:multiLvlStrRef>
              <c:f>'GRAF příspěvky IPP'!$B$30:$AE$31</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'GRAF příspěvky IPP'!$B$37:$AE$37</c:f>
              <c:numCache>
                <c:formatCode>0.0</c:formatCode>
                <c:ptCount val="30"/>
                <c:pt idx="0">
                  <c:v>0.10124729624413728</c:v>
                </c:pt>
                <c:pt idx="1">
                  <c:v>-0.10987307777837704</c:v>
                </c:pt>
                <c:pt idx="2">
                  <c:v>-0.35448780665781066</c:v>
                </c:pt>
                <c:pt idx="3">
                  <c:v>-0.25365533251952194</c:v>
                </c:pt>
                <c:pt idx="4">
                  <c:v>8.2098114440466885E-2</c:v>
                </c:pt>
                <c:pt idx="5">
                  <c:v>-8.0110027441629553E-2</c:v>
                </c:pt>
                <c:pt idx="6">
                  <c:v>0.30586896879335979</c:v>
                </c:pt>
                <c:pt idx="7">
                  <c:v>6.8409485771207784E-2</c:v>
                </c:pt>
                <c:pt idx="8">
                  <c:v>-0.15361204125200886</c:v>
                </c:pt>
                <c:pt idx="9">
                  <c:v>1.8223165599514472E-2</c:v>
                </c:pt>
                <c:pt idx="10">
                  <c:v>-0.21418759865827675</c:v>
                </c:pt>
                <c:pt idx="11">
                  <c:v>0.23085083648135049</c:v>
                </c:pt>
                <c:pt idx="12">
                  <c:v>0.41401687752487376</c:v>
                </c:pt>
                <c:pt idx="13">
                  <c:v>0.30065933491628777</c:v>
                </c:pt>
                <c:pt idx="14">
                  <c:v>0.38510686850209952</c:v>
                </c:pt>
                <c:pt idx="15">
                  <c:v>0.11900135459161643</c:v>
                </c:pt>
                <c:pt idx="16">
                  <c:v>7.878299440398355E-2</c:v>
                </c:pt>
                <c:pt idx="17">
                  <c:v>0.23469012479248283</c:v>
                </c:pt>
                <c:pt idx="18">
                  <c:v>-0.17180717870315537</c:v>
                </c:pt>
                <c:pt idx="19">
                  <c:v>-0.33632275678133605</c:v>
                </c:pt>
                <c:pt idx="20">
                  <c:v>-0.42054564658408849</c:v>
                </c:pt>
                <c:pt idx="21">
                  <c:v>-0.41604329837232795</c:v>
                </c:pt>
                <c:pt idx="22">
                  <c:v>-0.11436029247510603</c:v>
                </c:pt>
                <c:pt idx="23">
                  <c:v>0.2421266841430553</c:v>
                </c:pt>
                <c:pt idx="24">
                  <c:v>0.54456420388154547</c:v>
                </c:pt>
                <c:pt idx="25">
                  <c:v>0.81097014817933744</c:v>
                </c:pt>
                <c:pt idx="26">
                  <c:v>0.64258143893579522</c:v>
                </c:pt>
                <c:pt idx="27">
                  <c:v>0.51006133838638013</c:v>
                </c:pt>
                <c:pt idx="28">
                  <c:v>0.38740414070141038</c:v>
                </c:pt>
                <c:pt idx="29">
                  <c:v>4.6275575122148797E-2</c:v>
                </c:pt>
              </c:numCache>
            </c:numRef>
          </c:val>
        </c:ser>
        <c:ser>
          <c:idx val="6"/>
          <c:order val="6"/>
          <c:tx>
            <c:strRef>
              <c:f>'GRAF příspěvky IPP'!$A$38</c:f>
              <c:strCache>
                <c:ptCount val="1"/>
                <c:pt idx="0">
                  <c:v>Remaining manufacturing industries</c:v>
                </c:pt>
              </c:strCache>
            </c:strRef>
          </c:tx>
          <c:spPr>
            <a:solidFill>
              <a:schemeClr val="bg1">
                <a:lumMod val="85000"/>
              </a:schemeClr>
            </a:solidFill>
          </c:spPr>
          <c:cat>
            <c:multiLvlStrRef>
              <c:f>'GRAF příspěvky IPP'!$B$30:$AE$31</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'GRAF příspěvky IPP'!$B$38:$AE$38</c:f>
              <c:numCache>
                <c:formatCode>0.0</c:formatCode>
                <c:ptCount val="30"/>
                <c:pt idx="0">
                  <c:v>0.31552663311963008</c:v>
                </c:pt>
                <c:pt idx="1">
                  <c:v>8.0724819058620265E-2</c:v>
                </c:pt>
                <c:pt idx="2">
                  <c:v>-1.3196696952264582</c:v>
                </c:pt>
                <c:pt idx="3">
                  <c:v>0.11842987325758272</c:v>
                </c:pt>
                <c:pt idx="4">
                  <c:v>-1.2660773466306161</c:v>
                </c:pt>
                <c:pt idx="5">
                  <c:v>-0.47802730548721778</c:v>
                </c:pt>
                <c:pt idx="6">
                  <c:v>-0.34646761815323956</c:v>
                </c:pt>
                <c:pt idx="7">
                  <c:v>-1.3200846686145966</c:v>
                </c:pt>
                <c:pt idx="8">
                  <c:v>-2.5962486433354387E-2</c:v>
                </c:pt>
                <c:pt idx="9">
                  <c:v>-0.14296973602391649</c:v>
                </c:pt>
                <c:pt idx="10">
                  <c:v>0.16463257251793845</c:v>
                </c:pt>
                <c:pt idx="11">
                  <c:v>1.1277581264641281</c:v>
                </c:pt>
                <c:pt idx="12">
                  <c:v>1.3601037593510723</c:v>
                </c:pt>
                <c:pt idx="13">
                  <c:v>0.98430790289276537</c:v>
                </c:pt>
                <c:pt idx="14">
                  <c:v>0.25133426220692345</c:v>
                </c:pt>
                <c:pt idx="15">
                  <c:v>1.2962625167285482</c:v>
                </c:pt>
                <c:pt idx="16">
                  <c:v>1.0074721701935661</c:v>
                </c:pt>
                <c:pt idx="17">
                  <c:v>0.80495652892224101</c:v>
                </c:pt>
                <c:pt idx="18">
                  <c:v>1.5513791726730484</c:v>
                </c:pt>
                <c:pt idx="19">
                  <c:v>-0.36725300514759718</c:v>
                </c:pt>
                <c:pt idx="20">
                  <c:v>-0.13589925939302241</c:v>
                </c:pt>
                <c:pt idx="21">
                  <c:v>-0.77642186080498765</c:v>
                </c:pt>
                <c:pt idx="22">
                  <c:v>0.22786640880518444</c:v>
                </c:pt>
                <c:pt idx="23">
                  <c:v>0.45056967876598808</c:v>
                </c:pt>
                <c:pt idx="24">
                  <c:v>-0.10520398627042619</c:v>
                </c:pt>
                <c:pt idx="25">
                  <c:v>2.0188591664367972</c:v>
                </c:pt>
                <c:pt idx="26">
                  <c:v>1.0351557674089027</c:v>
                </c:pt>
                <c:pt idx="27">
                  <c:v>0.97534987761746905</c:v>
                </c:pt>
                <c:pt idx="28">
                  <c:v>0.88447871486978313</c:v>
                </c:pt>
                <c:pt idx="29">
                  <c:v>0.76694961364091263</c:v>
                </c:pt>
              </c:numCache>
            </c:numRef>
          </c:val>
        </c:ser>
        <c:ser>
          <c:idx val="7"/>
          <c:order val="7"/>
          <c:tx>
            <c:strRef>
              <c:f>'GRAF příspěvky IPP'!$A$39</c:f>
              <c:strCache>
                <c:ptCount val="1"/>
                <c:pt idx="0">
                  <c:v>Mining and energetics (B)</c:v>
                </c:pt>
              </c:strCache>
            </c:strRef>
          </c:tx>
          <c:spPr>
            <a:solidFill>
              <a:srgbClr val="808080"/>
            </a:solidFill>
          </c:spPr>
          <c:cat>
            <c:multiLvlStrRef>
              <c:f>'GRAF příspěvky IPP'!$B$30:$AE$31</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'GRAF příspěvky IPP'!$B$39:$AE$39</c:f>
              <c:numCache>
                <c:formatCode>0.0</c:formatCode>
                <c:ptCount val="30"/>
                <c:pt idx="0">
                  <c:v>-0.46313148745656374</c:v>
                </c:pt>
                <c:pt idx="1">
                  <c:v>0.44913941760544684</c:v>
                </c:pt>
                <c:pt idx="2">
                  <c:v>-0.28010550355605701</c:v>
                </c:pt>
                <c:pt idx="3">
                  <c:v>-0.14172496125080888</c:v>
                </c:pt>
                <c:pt idx="4">
                  <c:v>1.2584537283747201E-2</c:v>
                </c:pt>
                <c:pt idx="5">
                  <c:v>0.35372310632103926</c:v>
                </c:pt>
                <c:pt idx="6">
                  <c:v>-0.13454517732100951</c:v>
                </c:pt>
                <c:pt idx="7">
                  <c:v>-1.0716369042476055</c:v>
                </c:pt>
                <c:pt idx="8">
                  <c:v>-0.88656305110647016</c:v>
                </c:pt>
                <c:pt idx="9">
                  <c:v>-1.5086604604434219</c:v>
                </c:pt>
                <c:pt idx="10">
                  <c:v>-0.94690027833075763</c:v>
                </c:pt>
                <c:pt idx="11">
                  <c:v>0.51549468018282096</c:v>
                </c:pt>
                <c:pt idx="12">
                  <c:v>-0.62796944585044667</c:v>
                </c:pt>
                <c:pt idx="13">
                  <c:v>-0.32281510964282689</c:v>
                </c:pt>
                <c:pt idx="14">
                  <c:v>-0.45224773652695388</c:v>
                </c:pt>
                <c:pt idx="15">
                  <c:v>-0.70208894328074911</c:v>
                </c:pt>
                <c:pt idx="16">
                  <c:v>0.14745027907431846</c:v>
                </c:pt>
                <c:pt idx="17">
                  <c:v>-0.34103812094933217</c:v>
                </c:pt>
                <c:pt idx="18">
                  <c:v>-0.37678068598015907</c:v>
                </c:pt>
                <c:pt idx="19">
                  <c:v>-1.1274709205232198</c:v>
                </c:pt>
                <c:pt idx="20">
                  <c:v>-0.62366717863822763</c:v>
                </c:pt>
                <c:pt idx="21">
                  <c:v>8.2561284666029466E-2</c:v>
                </c:pt>
                <c:pt idx="22">
                  <c:v>-0.47403884163932031</c:v>
                </c:pt>
                <c:pt idx="23">
                  <c:v>0.50553236603507457</c:v>
                </c:pt>
                <c:pt idx="24">
                  <c:v>0.63503832263791304</c:v>
                </c:pt>
                <c:pt idx="25">
                  <c:v>-0.16620463452911374</c:v>
                </c:pt>
                <c:pt idx="26">
                  <c:v>0.76359969691098672</c:v>
                </c:pt>
                <c:pt idx="27">
                  <c:v>0.74786331145755525</c:v>
                </c:pt>
                <c:pt idx="28">
                  <c:v>-0.58556132011635997</c:v>
                </c:pt>
                <c:pt idx="29">
                  <c:v>-6.1593251548209035E-2</c:v>
                </c:pt>
              </c:numCache>
            </c:numRef>
          </c:val>
        </c:ser>
        <c:gapWidth val="32"/>
        <c:overlap val="100"/>
        <c:axId val="143142912"/>
        <c:axId val="143144448"/>
      </c:barChart>
      <c:lineChart>
        <c:grouping val="standard"/>
        <c:ser>
          <c:idx val="8"/>
          <c:order val="8"/>
          <c:tx>
            <c:strRef>
              <c:f>'GRAF příspěvky IPP'!$A$40</c:f>
              <c:strCache>
                <c:ptCount val="1"/>
                <c:pt idx="0">
                  <c:v>Total industry (NACE B to D)</c:v>
                </c:pt>
              </c:strCache>
            </c:strRef>
          </c:tx>
          <c:spPr>
            <a:ln w="19050">
              <a:solidFill>
                <a:schemeClr val="tx1">
                  <a:lumMod val="95000"/>
                  <a:lumOff val="5000"/>
                </a:schemeClr>
              </a:solidFill>
            </a:ln>
          </c:spPr>
          <c:marker>
            <c:symbol val="none"/>
          </c:marker>
          <c:cat>
            <c:multiLvlStrRef>
              <c:f>'GRAF příspěvky IPP'!$B$30:$AE$31</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'GRAF příspěvky IPP'!$B$40:$AE$40</c:f>
              <c:numCache>
                <c:formatCode>#,##0.0</c:formatCode>
                <c:ptCount val="30"/>
                <c:pt idx="0">
                  <c:v>10</c:v>
                </c:pt>
                <c:pt idx="1">
                  <c:v>8.2000000000000011</c:v>
                </c:pt>
                <c:pt idx="2">
                  <c:v>2.2999999999999998</c:v>
                </c:pt>
                <c:pt idx="3">
                  <c:v>3.4</c:v>
                </c:pt>
                <c:pt idx="4">
                  <c:v>1.4</c:v>
                </c:pt>
                <c:pt idx="5">
                  <c:v>0.9</c:v>
                </c:pt>
                <c:pt idx="6">
                  <c:v>0.1</c:v>
                </c:pt>
                <c:pt idx="7">
                  <c:v>-5.2</c:v>
                </c:pt>
                <c:pt idx="8">
                  <c:v>-3.7</c:v>
                </c:pt>
                <c:pt idx="9">
                  <c:v>-2.8</c:v>
                </c:pt>
                <c:pt idx="10">
                  <c:v>0.8</c:v>
                </c:pt>
                <c:pt idx="11">
                  <c:v>6</c:v>
                </c:pt>
                <c:pt idx="12">
                  <c:v>6.9</c:v>
                </c:pt>
                <c:pt idx="13">
                  <c:v>6.1</c:v>
                </c:pt>
                <c:pt idx="14">
                  <c:v>2.8</c:v>
                </c:pt>
                <c:pt idx="15">
                  <c:v>4.0999999999999996</c:v>
                </c:pt>
                <c:pt idx="16">
                  <c:v>4.9000000000000004</c:v>
                </c:pt>
                <c:pt idx="17">
                  <c:v>5.2</c:v>
                </c:pt>
                <c:pt idx="18">
                  <c:v>6</c:v>
                </c:pt>
                <c:pt idx="19">
                  <c:v>2.2999999999999998</c:v>
                </c:pt>
                <c:pt idx="20">
                  <c:v>4.0999999999999996</c:v>
                </c:pt>
                <c:pt idx="21">
                  <c:v>2.2000000000000002</c:v>
                </c:pt>
                <c:pt idx="22">
                  <c:v>1.8</c:v>
                </c:pt>
                <c:pt idx="23">
                  <c:v>3.4</c:v>
                </c:pt>
                <c:pt idx="24">
                  <c:v>4.7999999999999927</c:v>
                </c:pt>
                <c:pt idx="25">
                  <c:v>8.5</c:v>
                </c:pt>
                <c:pt idx="26">
                  <c:v>6.7000000000000028</c:v>
                </c:pt>
                <c:pt idx="27">
                  <c:v>7.6</c:v>
                </c:pt>
                <c:pt idx="28">
                  <c:v>3.9999999999999969</c:v>
                </c:pt>
                <c:pt idx="29">
                  <c:v>2.299999999999998</c:v>
                </c:pt>
              </c:numCache>
            </c:numRef>
          </c:val>
        </c:ser>
        <c:marker val="1"/>
        <c:axId val="143142912"/>
        <c:axId val="143144448"/>
      </c:lineChart>
      <c:catAx>
        <c:axId val="143142912"/>
        <c:scaling>
          <c:orientation val="minMax"/>
        </c:scaling>
        <c:axPos val="b"/>
        <c:numFmt formatCode="General" sourceLinked="1"/>
        <c:tickLblPos val="low"/>
        <c:txPr>
          <a:bodyPr/>
          <a:lstStyle/>
          <a:p>
            <a:pPr>
              <a:defRPr sz="800">
                <a:latin typeface="Arial" pitchFamily="34" charset="0"/>
                <a:cs typeface="Arial" pitchFamily="34" charset="0"/>
              </a:defRPr>
            </a:pPr>
            <a:endParaRPr lang="cs-CZ"/>
          </a:p>
        </c:txPr>
        <c:crossAx val="143144448"/>
        <c:crosses val="autoZero"/>
        <c:auto val="1"/>
        <c:lblAlgn val="ctr"/>
        <c:lblOffset val="0"/>
      </c:catAx>
      <c:valAx>
        <c:axId val="143144448"/>
        <c:scaling>
          <c:orientation val="minMax"/>
          <c:max val="11"/>
          <c:min val="-6"/>
        </c:scaling>
        <c:axPos val="l"/>
        <c:majorGridlines/>
        <c:numFmt formatCode="0" sourceLinked="0"/>
        <c:tickLblPos val="nextTo"/>
        <c:txPr>
          <a:bodyPr/>
          <a:lstStyle/>
          <a:p>
            <a:pPr>
              <a:defRPr sz="800">
                <a:latin typeface="Arial" pitchFamily="34" charset="0"/>
                <a:cs typeface="Arial" pitchFamily="34" charset="0"/>
              </a:defRPr>
            </a:pPr>
            <a:endParaRPr lang="cs-CZ"/>
          </a:p>
        </c:txPr>
        <c:crossAx val="143142912"/>
        <c:crosses val="autoZero"/>
        <c:crossBetween val="between"/>
        <c:majorUnit val="1"/>
      </c:valAx>
      <c:spPr>
        <a:noFill/>
        <a:ln w="6350">
          <a:solidFill>
            <a:prstClr val="black">
              <a:lumMod val="95000"/>
              <a:lumOff val="5000"/>
            </a:prstClr>
          </a:solidFill>
        </a:ln>
      </c:spPr>
    </c:plotArea>
    <c:legend>
      <c:legendPos val="r"/>
      <c:layout>
        <c:manualLayout>
          <c:xMode val="edge"/>
          <c:yMode val="edge"/>
          <c:x val="0"/>
          <c:y val="0.82802404283095155"/>
          <c:w val="0.98963720414686951"/>
          <c:h val="0.16188919209533761"/>
        </c:manualLayout>
      </c:layout>
      <c:spPr>
        <a:ln w="6350">
          <a:solidFill>
            <a:prstClr val="black">
              <a:lumMod val="95000"/>
              <a:lumOff val="5000"/>
            </a:prstClr>
          </a:solidFill>
        </a:ln>
      </c:spPr>
      <c:txPr>
        <a:bodyPr/>
        <a:lstStyle/>
        <a:p>
          <a:pPr>
            <a:defRPr sz="800">
              <a:latin typeface="Arial" pitchFamily="34" charset="0"/>
              <a:cs typeface="Arial" pitchFamily="34" charset="0"/>
            </a:defRPr>
          </a:pPr>
          <a:endParaRPr lang="cs-CZ"/>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2277854581154255E-2"/>
          <c:y val="1.643251153889452E-2"/>
          <c:w val="0.92988062751698064"/>
          <c:h val="0.77409039738827323"/>
        </c:manualLayout>
      </c:layout>
      <c:barChart>
        <c:barDir val="col"/>
        <c:grouping val="clustered"/>
        <c:ser>
          <c:idx val="0"/>
          <c:order val="0"/>
          <c:tx>
            <c:strRef>
              <c:f>'výkonnost odvětví 2'!$B$31</c:f>
              <c:strCache>
                <c:ptCount val="1"/>
                <c:pt idx="0">
                  <c:v>Total industry orders</c:v>
                </c:pt>
              </c:strCache>
            </c:strRef>
          </c:tx>
          <c:spPr>
            <a:solidFill>
              <a:schemeClr val="bg1">
                <a:lumMod val="65000"/>
              </a:schemeClr>
            </a:solidFill>
            <a:ln w="12700">
              <a:noFill/>
              <a:prstDash val="solid"/>
            </a:ln>
          </c:spPr>
          <c:cat>
            <c:multiLvlStrRef>
              <c:f>'výkonnost odvětví 2'!$C$29:$AF$30</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'výkonnost odvětví 2'!$C$31:$AF$31</c:f>
              <c:numCache>
                <c:formatCode>#,##0.0__</c:formatCode>
                <c:ptCount val="30"/>
                <c:pt idx="0">
                  <c:v>12.043107093421796</c:v>
                </c:pt>
                <c:pt idx="1">
                  <c:v>5.3292904020963094</c:v>
                </c:pt>
                <c:pt idx="2">
                  <c:v>-1.5038236293274396</c:v>
                </c:pt>
                <c:pt idx="3">
                  <c:v>0.49985199872995273</c:v>
                </c:pt>
                <c:pt idx="4">
                  <c:v>7.8919882289544265</c:v>
                </c:pt>
                <c:pt idx="5">
                  <c:v>0.24363263911027391</c:v>
                </c:pt>
                <c:pt idx="6">
                  <c:v>2.6780600325356119</c:v>
                </c:pt>
                <c:pt idx="7">
                  <c:v>-2.2927798243121345</c:v>
                </c:pt>
                <c:pt idx="8">
                  <c:v>-6.7566875441004868</c:v>
                </c:pt>
                <c:pt idx="9">
                  <c:v>-0.77743908810788365</c:v>
                </c:pt>
                <c:pt idx="10">
                  <c:v>12.110592029586021</c:v>
                </c:pt>
                <c:pt idx="11">
                  <c:v>12.611542535334834</c:v>
                </c:pt>
                <c:pt idx="12">
                  <c:v>18.45457625725863</c:v>
                </c:pt>
                <c:pt idx="13">
                  <c:v>13.812603337719345</c:v>
                </c:pt>
                <c:pt idx="14">
                  <c:v>11.164927309703883</c:v>
                </c:pt>
                <c:pt idx="15">
                  <c:v>7.3250322249586759</c:v>
                </c:pt>
                <c:pt idx="16">
                  <c:v>8.5397251010390214</c:v>
                </c:pt>
                <c:pt idx="17">
                  <c:v>6.4894834031568394</c:v>
                </c:pt>
                <c:pt idx="18">
                  <c:v>4.1045761314248068</c:v>
                </c:pt>
                <c:pt idx="19">
                  <c:v>6.0151063810169205</c:v>
                </c:pt>
                <c:pt idx="20">
                  <c:v>1.3550678522953064</c:v>
                </c:pt>
                <c:pt idx="21">
                  <c:v>10.856046878525477</c:v>
                </c:pt>
                <c:pt idx="22">
                  <c:v>1.6431282237439291</c:v>
                </c:pt>
                <c:pt idx="23">
                  <c:v>6.7220844736941086</c:v>
                </c:pt>
                <c:pt idx="24">
                  <c:v>10.841479121555905</c:v>
                </c:pt>
                <c:pt idx="25">
                  <c:v>4.5315942367003705</c:v>
                </c:pt>
                <c:pt idx="26">
                  <c:v>6.9082617878945811</c:v>
                </c:pt>
                <c:pt idx="27">
                  <c:v>7.5112613571588724</c:v>
                </c:pt>
                <c:pt idx="28">
                  <c:v>1.9174044931699514</c:v>
                </c:pt>
                <c:pt idx="29">
                  <c:v>4.5205907145015232</c:v>
                </c:pt>
              </c:numCache>
            </c:numRef>
          </c:val>
        </c:ser>
        <c:gapWidth val="34"/>
        <c:overlap val="28"/>
        <c:axId val="146150528"/>
        <c:axId val="146152448"/>
      </c:barChart>
      <c:lineChart>
        <c:grouping val="standard"/>
        <c:ser>
          <c:idx val="2"/>
          <c:order val="1"/>
          <c:tx>
            <c:strRef>
              <c:f>'výkonnost odvětví 2'!$B$32</c:f>
              <c:strCache>
                <c:ptCount val="1"/>
                <c:pt idx="0">
                  <c:v>Domestic industry orders </c:v>
                </c:pt>
              </c:strCache>
            </c:strRef>
          </c:tx>
          <c:spPr>
            <a:ln w="19050">
              <a:solidFill>
                <a:srgbClr val="BD1B21"/>
              </a:solidFill>
              <a:prstDash val="solid"/>
            </a:ln>
          </c:spPr>
          <c:marker>
            <c:symbol val="none"/>
          </c:marker>
          <c:cat>
            <c:multiLvlStrRef>
              <c:f>'výkonnost odvětví 2'!$C$29:$AF$30</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'výkonnost odvětví 2'!$C$32:$AF$32</c:f>
              <c:numCache>
                <c:formatCode>#,##0.0__</c:formatCode>
                <c:ptCount val="30"/>
                <c:pt idx="0">
                  <c:v>2.8145814762462464</c:v>
                </c:pt>
                <c:pt idx="1">
                  <c:v>-0.65160361804250244</c:v>
                </c:pt>
                <c:pt idx="2">
                  <c:v>-11.671782921579478</c:v>
                </c:pt>
                <c:pt idx="3">
                  <c:v>-10.696553890943122</c:v>
                </c:pt>
                <c:pt idx="4">
                  <c:v>2.6214056871317126</c:v>
                </c:pt>
                <c:pt idx="5">
                  <c:v>-9.2467743432498679</c:v>
                </c:pt>
                <c:pt idx="6">
                  <c:v>-2.8571545096936277</c:v>
                </c:pt>
                <c:pt idx="7">
                  <c:v>-4.0487324448534139</c:v>
                </c:pt>
                <c:pt idx="8">
                  <c:v>-7.112663177047466</c:v>
                </c:pt>
                <c:pt idx="9">
                  <c:v>-0.59561460542927591</c:v>
                </c:pt>
                <c:pt idx="10">
                  <c:v>9.3847374388735147</c:v>
                </c:pt>
                <c:pt idx="11">
                  <c:v>7.0782158358476011</c:v>
                </c:pt>
                <c:pt idx="12">
                  <c:v>14.183839645941402</c:v>
                </c:pt>
                <c:pt idx="13">
                  <c:v>7.7929541685002039</c:v>
                </c:pt>
                <c:pt idx="14">
                  <c:v>16.845115352064926</c:v>
                </c:pt>
                <c:pt idx="15">
                  <c:v>9.6787104542652713</c:v>
                </c:pt>
                <c:pt idx="16">
                  <c:v>4.3419613010107314</c:v>
                </c:pt>
                <c:pt idx="17">
                  <c:v>10.024449168168022</c:v>
                </c:pt>
                <c:pt idx="18">
                  <c:v>-4.7604240586837046</c:v>
                </c:pt>
                <c:pt idx="19">
                  <c:v>0.56107209694786753</c:v>
                </c:pt>
                <c:pt idx="20">
                  <c:v>0.20304376106223324</c:v>
                </c:pt>
                <c:pt idx="21">
                  <c:v>4.9376200007964304</c:v>
                </c:pt>
                <c:pt idx="22">
                  <c:v>-0.65834656713856565</c:v>
                </c:pt>
                <c:pt idx="23">
                  <c:v>2.873089889380704</c:v>
                </c:pt>
                <c:pt idx="24">
                  <c:v>16.722989365311626</c:v>
                </c:pt>
                <c:pt idx="25">
                  <c:v>11.567742610098025</c:v>
                </c:pt>
                <c:pt idx="26">
                  <c:v>14.702871802754668</c:v>
                </c:pt>
                <c:pt idx="27">
                  <c:v>15.641374658030248</c:v>
                </c:pt>
                <c:pt idx="28">
                  <c:v>-0.60650382327463603</c:v>
                </c:pt>
                <c:pt idx="29">
                  <c:v>3.3658740827299312</c:v>
                </c:pt>
              </c:numCache>
            </c:numRef>
          </c:val>
        </c:ser>
        <c:ser>
          <c:idx val="5"/>
          <c:order val="2"/>
          <c:tx>
            <c:strRef>
              <c:f>'výkonnost odvětví 2'!$B$33</c:f>
              <c:strCache>
                <c:ptCount val="1"/>
                <c:pt idx="0">
                  <c:v>Foreign industry orders</c:v>
                </c:pt>
              </c:strCache>
            </c:strRef>
          </c:tx>
          <c:spPr>
            <a:ln w="19050">
              <a:solidFill>
                <a:srgbClr val="0071BC"/>
              </a:solidFill>
              <a:prstDash val="solid"/>
            </a:ln>
          </c:spPr>
          <c:marker>
            <c:symbol val="none"/>
          </c:marker>
          <c:cat>
            <c:multiLvlStrRef>
              <c:f>'výkonnost odvětví 2'!$C$29:$AF$30</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'výkonnost odvětví 2'!$C$33:$AF$33</c:f>
              <c:numCache>
                <c:formatCode>#,##0.0__</c:formatCode>
                <c:ptCount val="30"/>
                <c:pt idx="0">
                  <c:v>18.348366232182013</c:v>
                </c:pt>
                <c:pt idx="1">
                  <c:v>9.5205491734487566</c:v>
                </c:pt>
                <c:pt idx="2">
                  <c:v>5.6720014781022305</c:v>
                </c:pt>
                <c:pt idx="3">
                  <c:v>8.6383031975398499</c:v>
                </c:pt>
                <c:pt idx="4">
                  <c:v>11.020383939537369</c:v>
                </c:pt>
                <c:pt idx="5">
                  <c:v>6.2765650038583463</c:v>
                </c:pt>
                <c:pt idx="6">
                  <c:v>5.9432769293397172</c:v>
                </c:pt>
                <c:pt idx="7">
                  <c:v>-1.2435728368122061</c:v>
                </c:pt>
                <c:pt idx="8">
                  <c:v>-6.5613801859878391</c:v>
                </c:pt>
                <c:pt idx="9">
                  <c:v>-0.87613985904688874</c:v>
                </c:pt>
                <c:pt idx="10">
                  <c:v>13.585000036266131</c:v>
                </c:pt>
                <c:pt idx="11">
                  <c:v>15.823871636824705</c:v>
                </c:pt>
                <c:pt idx="12">
                  <c:v>20.558652721652525</c:v>
                </c:pt>
                <c:pt idx="13">
                  <c:v>16.687921882537509</c:v>
                </c:pt>
                <c:pt idx="14">
                  <c:v>8.5531225813094967</c:v>
                </c:pt>
                <c:pt idx="15">
                  <c:v>6.3161284689543784</c:v>
                </c:pt>
                <c:pt idx="16">
                  <c:v>10.348522192193441</c:v>
                </c:pt>
                <c:pt idx="17">
                  <c:v>5.0066840085656965</c:v>
                </c:pt>
                <c:pt idx="18">
                  <c:v>8.2506299270615511</c:v>
                </c:pt>
                <c:pt idx="19">
                  <c:v>8.5340301032502452</c:v>
                </c:pt>
                <c:pt idx="20">
                  <c:v>1.8244492596639788</c:v>
                </c:pt>
                <c:pt idx="21">
                  <c:v>13.457258781079091</c:v>
                </c:pt>
                <c:pt idx="22">
                  <c:v>2.5901270212493452</c:v>
                </c:pt>
                <c:pt idx="23">
                  <c:v>8.3691406681191598</c:v>
                </c:pt>
                <c:pt idx="24">
                  <c:v>8.483271558879153</c:v>
                </c:pt>
                <c:pt idx="25">
                  <c:v>1.6713484154001037</c:v>
                </c:pt>
                <c:pt idx="26">
                  <c:v>3.8025338260982653</c:v>
                </c:pt>
                <c:pt idx="27">
                  <c:v>4.2086773810061393</c:v>
                </c:pt>
                <c:pt idx="28">
                  <c:v>3.0062352307807028</c:v>
                </c:pt>
                <c:pt idx="29">
                  <c:v>5.0356815867785674</c:v>
                </c:pt>
              </c:numCache>
            </c:numRef>
          </c:val>
        </c:ser>
        <c:ser>
          <c:idx val="3"/>
          <c:order val="3"/>
          <c:tx>
            <c:strRef>
              <c:f>'výkonnost odvětví 2'!$B$34</c:f>
              <c:strCache>
                <c:ptCount val="1"/>
                <c:pt idx="0">
                  <c:v>Total orders (motor vehicles)</c:v>
                </c:pt>
              </c:strCache>
            </c:strRef>
          </c:tx>
          <c:spPr>
            <a:ln w="19050">
              <a:noFill/>
              <a:prstDash val="sysDash"/>
            </a:ln>
          </c:spPr>
          <c:marker>
            <c:symbol val="diamond"/>
            <c:size val="5"/>
            <c:spPr>
              <a:solidFill>
                <a:srgbClr val="FFFF00"/>
              </a:solidFill>
              <a:ln>
                <a:solidFill>
                  <a:prstClr val="black">
                    <a:lumMod val="95000"/>
                    <a:lumOff val="5000"/>
                  </a:prstClr>
                </a:solidFill>
              </a:ln>
            </c:spPr>
          </c:marker>
          <c:cat>
            <c:multiLvlStrRef>
              <c:f>'výkonnost odvětví 2'!$C$29:$AF$30</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'výkonnost odvětví 2'!$C$34:$AF$34</c:f>
              <c:numCache>
                <c:formatCode>#,##0.0__</c:formatCode>
                <c:ptCount val="30"/>
                <c:pt idx="0">
                  <c:v>11.429400379513879</c:v>
                </c:pt>
                <c:pt idx="1">
                  <c:v>9.2048286805520885</c:v>
                </c:pt>
                <c:pt idx="2">
                  <c:v>4.4139955552265207</c:v>
                </c:pt>
                <c:pt idx="3">
                  <c:v>5.3718735076924125</c:v>
                </c:pt>
                <c:pt idx="4">
                  <c:v>19.54636851917148</c:v>
                </c:pt>
                <c:pt idx="5">
                  <c:v>4.6887564118292016</c:v>
                </c:pt>
                <c:pt idx="6">
                  <c:v>1.3322326875189248</c:v>
                </c:pt>
                <c:pt idx="7">
                  <c:v>-2.0219087809167182</c:v>
                </c:pt>
                <c:pt idx="8">
                  <c:v>-15.423726227988514</c:v>
                </c:pt>
                <c:pt idx="9">
                  <c:v>-3.0233686336023182</c:v>
                </c:pt>
                <c:pt idx="10">
                  <c:v>24.654149056071926</c:v>
                </c:pt>
                <c:pt idx="11">
                  <c:v>18.47099648902336</c:v>
                </c:pt>
                <c:pt idx="12">
                  <c:v>33.791068906341536</c:v>
                </c:pt>
                <c:pt idx="13">
                  <c:v>22.392943648551348</c:v>
                </c:pt>
                <c:pt idx="14">
                  <c:v>16.969041222835095</c:v>
                </c:pt>
                <c:pt idx="15">
                  <c:v>12.211301534151112</c:v>
                </c:pt>
                <c:pt idx="16">
                  <c:v>15.316352438277947</c:v>
                </c:pt>
                <c:pt idx="17">
                  <c:v>5.5843434565174555</c:v>
                </c:pt>
                <c:pt idx="18">
                  <c:v>13.898535777390734</c:v>
                </c:pt>
                <c:pt idx="19">
                  <c:v>18.975191723154538</c:v>
                </c:pt>
                <c:pt idx="20">
                  <c:v>11.460497347422466</c:v>
                </c:pt>
                <c:pt idx="21">
                  <c:v>33.085131031292171</c:v>
                </c:pt>
                <c:pt idx="22">
                  <c:v>5.912380139380474</c:v>
                </c:pt>
                <c:pt idx="23">
                  <c:v>12.001000805244416</c:v>
                </c:pt>
                <c:pt idx="24">
                  <c:v>7.9804719471503214</c:v>
                </c:pt>
                <c:pt idx="25">
                  <c:v>-1.7592612473364921</c:v>
                </c:pt>
                <c:pt idx="26">
                  <c:v>3.8626497182263222</c:v>
                </c:pt>
                <c:pt idx="27">
                  <c:v>0.3737671056841238</c:v>
                </c:pt>
                <c:pt idx="28">
                  <c:v>0.16803199459185691</c:v>
                </c:pt>
                <c:pt idx="29">
                  <c:v>3.1477893347092731</c:v>
                </c:pt>
              </c:numCache>
            </c:numRef>
          </c:val>
        </c:ser>
        <c:marker val="1"/>
        <c:axId val="146150528"/>
        <c:axId val="146152448"/>
      </c:lineChart>
      <c:lineChart>
        <c:grouping val="standard"/>
        <c:ser>
          <c:idx val="4"/>
          <c:order val="4"/>
          <c:tx>
            <c:strRef>
              <c:f>'výkonnost odvětví 2'!$B$35</c:f>
              <c:strCache>
                <c:ptCount val="1"/>
                <c:pt idx="0">
                  <c:v>Balance of confidence indicator in industry</c:v>
                </c:pt>
              </c:strCache>
            </c:strRef>
          </c:tx>
          <c:spPr>
            <a:ln w="19050">
              <a:noFill/>
            </a:ln>
          </c:spPr>
          <c:marker>
            <c:symbol val="dash"/>
            <c:size val="9"/>
            <c:spPr>
              <a:solidFill>
                <a:srgbClr val="984807"/>
              </a:solidFill>
              <a:ln>
                <a:noFill/>
              </a:ln>
            </c:spPr>
          </c:marker>
          <c:cat>
            <c:multiLvlStrRef>
              <c:f>'výkonnost odvětví 2'!$C$29:$AF$30</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'výkonnost odvětví 2'!$C$35:$AF$35</c:f>
              <c:numCache>
                <c:formatCode>0.0</c:formatCode>
                <c:ptCount val="30"/>
                <c:pt idx="0">
                  <c:v>12.200000000000001</c:v>
                </c:pt>
                <c:pt idx="1">
                  <c:v>5.8999999999999995</c:v>
                </c:pt>
                <c:pt idx="2">
                  <c:v>2.4333333333333331</c:v>
                </c:pt>
                <c:pt idx="3">
                  <c:v>1.8</c:v>
                </c:pt>
                <c:pt idx="4">
                  <c:v>1.5666666666666667</c:v>
                </c:pt>
                <c:pt idx="5">
                  <c:v>-2.5666666666666669</c:v>
                </c:pt>
                <c:pt idx="6">
                  <c:v>-8.9</c:v>
                </c:pt>
                <c:pt idx="7">
                  <c:v>-10.200000000000001</c:v>
                </c:pt>
                <c:pt idx="8">
                  <c:v>-8.9</c:v>
                </c:pt>
                <c:pt idx="9">
                  <c:v>-10</c:v>
                </c:pt>
                <c:pt idx="10">
                  <c:v>-6.2333333333333458</c:v>
                </c:pt>
                <c:pt idx="11">
                  <c:v>1.7000000000000002</c:v>
                </c:pt>
                <c:pt idx="12">
                  <c:v>2.3333333333333335</c:v>
                </c:pt>
                <c:pt idx="13">
                  <c:v>3.6333333333333342</c:v>
                </c:pt>
                <c:pt idx="14">
                  <c:v>2.5333333333333332</c:v>
                </c:pt>
                <c:pt idx="15">
                  <c:v>2.6666666666666665</c:v>
                </c:pt>
                <c:pt idx="16">
                  <c:v>3</c:v>
                </c:pt>
                <c:pt idx="17">
                  <c:v>3.7666666666666671</c:v>
                </c:pt>
                <c:pt idx="18">
                  <c:v>3.7666666666666671</c:v>
                </c:pt>
                <c:pt idx="19">
                  <c:v>0.76666666666666661</c:v>
                </c:pt>
                <c:pt idx="20">
                  <c:v>3.5666666666666664</c:v>
                </c:pt>
                <c:pt idx="21">
                  <c:v>1.9000000000000001</c:v>
                </c:pt>
                <c:pt idx="22">
                  <c:v>3.7666666666666671</c:v>
                </c:pt>
                <c:pt idx="23">
                  <c:v>5.3333333333333428</c:v>
                </c:pt>
                <c:pt idx="24">
                  <c:v>3.3333333333333335</c:v>
                </c:pt>
                <c:pt idx="25">
                  <c:v>0.8333333333333337</c:v>
                </c:pt>
                <c:pt idx="26">
                  <c:v>3.8666666666666667</c:v>
                </c:pt>
                <c:pt idx="27">
                  <c:v>5.8</c:v>
                </c:pt>
                <c:pt idx="28">
                  <c:v>3.9</c:v>
                </c:pt>
                <c:pt idx="29">
                  <c:v>3.4333333333333336</c:v>
                </c:pt>
              </c:numCache>
            </c:numRef>
          </c:val>
        </c:ser>
        <c:marker val="1"/>
        <c:axId val="146686720"/>
        <c:axId val="146688256"/>
      </c:lineChart>
      <c:catAx>
        <c:axId val="146150528"/>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46152448"/>
        <c:crossesAt val="0"/>
        <c:lblAlgn val="ctr"/>
        <c:lblOffset val="0"/>
        <c:tickLblSkip val="1"/>
        <c:tickMarkSkip val="4"/>
      </c:catAx>
      <c:valAx>
        <c:axId val="146152448"/>
        <c:scaling>
          <c:orientation val="minMax"/>
          <c:max val="36"/>
          <c:min val="-16"/>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46150528"/>
        <c:crosses val="autoZero"/>
        <c:crossBetween val="between"/>
        <c:majorUnit val="4"/>
      </c:valAx>
      <c:catAx>
        <c:axId val="146686720"/>
        <c:scaling>
          <c:orientation val="minMax"/>
        </c:scaling>
        <c:delete val="1"/>
        <c:axPos val="b"/>
        <c:numFmt formatCode="General" sourceLinked="1"/>
        <c:tickLblPos val="none"/>
        <c:crossAx val="146688256"/>
        <c:crosses val="autoZero"/>
        <c:auto val="1"/>
        <c:lblAlgn val="ctr"/>
        <c:lblOffset val="100"/>
      </c:catAx>
      <c:valAx>
        <c:axId val="146688256"/>
        <c:scaling>
          <c:orientation val="minMax"/>
          <c:max val="40"/>
          <c:min val="-30"/>
        </c:scaling>
        <c:delete val="1"/>
        <c:axPos val="r"/>
        <c:numFmt formatCode="0" sourceLinked="0"/>
        <c:majorTickMark val="in"/>
        <c:tickLblPos val="none"/>
        <c:crossAx val="146686720"/>
        <c:crosses val="max"/>
        <c:crossBetween val="between"/>
        <c:majorUnit val="10"/>
      </c:valAx>
      <c:spPr>
        <a:solidFill>
          <a:srgbClr val="FFFFFF"/>
        </a:solidFill>
        <a:ln w="9525">
          <a:solidFill>
            <a:schemeClr val="tx1"/>
          </a:solidFill>
        </a:ln>
      </c:spPr>
    </c:plotArea>
    <c:legend>
      <c:legendPos val="b"/>
      <c:layout>
        <c:manualLayout>
          <c:xMode val="edge"/>
          <c:yMode val="edge"/>
          <c:x val="5.2455780139263733E-2"/>
          <c:y val="0.878960936620515"/>
          <c:w val="0.93069499440685233"/>
          <c:h val="0.10687971406056511"/>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15040945877997E-2"/>
          <c:y val="1.6563187842952787E-2"/>
          <c:w val="0.92847707700101312"/>
          <c:h val="0.77141137087919465"/>
        </c:manualLayout>
      </c:layout>
      <c:barChart>
        <c:barDir val="col"/>
        <c:grouping val="clustered"/>
        <c:ser>
          <c:idx val="0"/>
          <c:order val="0"/>
          <c:tx>
            <c:strRef>
              <c:f>'výkonnost odvětví 3'!$C$10</c:f>
              <c:strCache>
                <c:ptCount val="1"/>
                <c:pt idx="0">
                  <c:v>Construction production index (CPI)*</c:v>
                </c:pt>
              </c:strCache>
            </c:strRef>
          </c:tx>
          <c:spPr>
            <a:solidFill>
              <a:schemeClr val="bg1">
                <a:lumMod val="65000"/>
              </a:schemeClr>
            </a:solidFill>
            <a:ln w="12700">
              <a:noFill/>
              <a:prstDash val="solid"/>
            </a:ln>
          </c:spPr>
          <c:cat>
            <c:multiLvlStrRef>
              <c:f>'výkonnost odvětví 3'!$A$15:$B$44</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'výkonnost odvětví 3'!$C$15:$C$44</c:f>
              <c:numCache>
                <c:formatCode>0.0</c:formatCode>
                <c:ptCount val="30"/>
                <c:pt idx="0">
                  <c:v>5.4547967684881087</c:v>
                </c:pt>
                <c:pt idx="1">
                  <c:v>-5.1734325285670089</c:v>
                </c:pt>
                <c:pt idx="2">
                  <c:v>-9.0565782351272794</c:v>
                </c:pt>
                <c:pt idx="3">
                  <c:v>-0.49270322945649525</c:v>
                </c:pt>
                <c:pt idx="4">
                  <c:v>-9.8158539490479111</c:v>
                </c:pt>
                <c:pt idx="5">
                  <c:v>-4.9399811658648929</c:v>
                </c:pt>
                <c:pt idx="6">
                  <c:v>-5.6510757148012516</c:v>
                </c:pt>
                <c:pt idx="7">
                  <c:v>-9.499054465131703</c:v>
                </c:pt>
                <c:pt idx="8">
                  <c:v>-10.572618150498869</c:v>
                </c:pt>
                <c:pt idx="9">
                  <c:v>-11.627766064039051</c:v>
                </c:pt>
                <c:pt idx="10">
                  <c:v>-4.9398947451908262</c:v>
                </c:pt>
                <c:pt idx="11">
                  <c:v>-2.6212387790635887</c:v>
                </c:pt>
                <c:pt idx="12">
                  <c:v>13.065404457593223</c:v>
                </c:pt>
                <c:pt idx="13">
                  <c:v>5.5566493948498783</c:v>
                </c:pt>
                <c:pt idx="14">
                  <c:v>2.446634556092425</c:v>
                </c:pt>
                <c:pt idx="15">
                  <c:v>1.1198511878155839</c:v>
                </c:pt>
                <c:pt idx="16">
                  <c:v>9.196002855501753</c:v>
                </c:pt>
                <c:pt idx="17">
                  <c:v>11.97873044320497</c:v>
                </c:pt>
                <c:pt idx="18">
                  <c:v>7.8527866781581688</c:v>
                </c:pt>
                <c:pt idx="19">
                  <c:v>0.93515611046851299</c:v>
                </c:pt>
                <c:pt idx="20">
                  <c:v>-6.2655201570786065</c:v>
                </c:pt>
                <c:pt idx="21">
                  <c:v>-10.232071921410991</c:v>
                </c:pt>
                <c:pt idx="22">
                  <c:v>-5.9099820656760329</c:v>
                </c:pt>
                <c:pt idx="23">
                  <c:v>-1.6489038957721638</c:v>
                </c:pt>
                <c:pt idx="24">
                  <c:v>-0.85013277421342082</c:v>
                </c:pt>
                <c:pt idx="25">
                  <c:v>9.0007470610050877</c:v>
                </c:pt>
                <c:pt idx="26">
                  <c:v>2.0581071575725844</c:v>
                </c:pt>
                <c:pt idx="27">
                  <c:v>2.9381763458613812</c:v>
                </c:pt>
                <c:pt idx="28">
                  <c:v>13.181946330304072</c:v>
                </c:pt>
                <c:pt idx="29">
                  <c:v>6.426917995731813</c:v>
                </c:pt>
              </c:numCache>
            </c:numRef>
          </c:val>
        </c:ser>
        <c:gapWidth val="31"/>
        <c:axId val="149373696"/>
        <c:axId val="149375616"/>
      </c:barChart>
      <c:lineChart>
        <c:grouping val="standard"/>
        <c:ser>
          <c:idx val="1"/>
          <c:order val="1"/>
          <c:tx>
            <c:strRef>
              <c:f>'výkonnost odvětví 3'!$D$10</c:f>
              <c:strCache>
                <c:ptCount val="1"/>
                <c:pt idx="0">
                  <c:v>CPI in the building construction*</c:v>
                </c:pt>
              </c:strCache>
            </c:strRef>
          </c:tx>
          <c:spPr>
            <a:ln w="19050">
              <a:solidFill>
                <a:srgbClr val="0071BC"/>
              </a:solidFill>
              <a:prstDash val="solid"/>
            </a:ln>
          </c:spPr>
          <c:marker>
            <c:symbol val="none"/>
          </c:marker>
          <c:cat>
            <c:multiLvlStrRef>
              <c:f>'výkonnost odvětví 3'!$A$15:$B$44</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'výkonnost odvětví 3'!$D$15:$D$44</c:f>
              <c:numCache>
                <c:formatCode>0.0</c:formatCode>
                <c:ptCount val="30"/>
                <c:pt idx="0">
                  <c:v>8.643687148281515</c:v>
                </c:pt>
                <c:pt idx="1">
                  <c:v>-1.7629575853668227</c:v>
                </c:pt>
                <c:pt idx="2">
                  <c:v>-6.4095020002379499</c:v>
                </c:pt>
                <c:pt idx="3">
                  <c:v>2.1112324310021933</c:v>
                </c:pt>
                <c:pt idx="4">
                  <c:v>-7.1532412146404596</c:v>
                </c:pt>
                <c:pt idx="5">
                  <c:v>-2.3484865143246028</c:v>
                </c:pt>
                <c:pt idx="6">
                  <c:v>-5.1485451817733594</c:v>
                </c:pt>
                <c:pt idx="7">
                  <c:v>-9.6734545797586122</c:v>
                </c:pt>
                <c:pt idx="8">
                  <c:v>-9.7993229316906607</c:v>
                </c:pt>
                <c:pt idx="9">
                  <c:v>-11.07864863156108</c:v>
                </c:pt>
                <c:pt idx="10">
                  <c:v>-1.5544956967322878</c:v>
                </c:pt>
                <c:pt idx="11">
                  <c:v>-2.8814188410152184</c:v>
                </c:pt>
                <c:pt idx="12">
                  <c:v>16.321006513626514</c:v>
                </c:pt>
                <c:pt idx="13">
                  <c:v>5.2628048628393342</c:v>
                </c:pt>
                <c:pt idx="14">
                  <c:v>-0.63581651846185161</c:v>
                </c:pt>
                <c:pt idx="15">
                  <c:v>-0.52994003482804464</c:v>
                </c:pt>
                <c:pt idx="16">
                  <c:v>7.7256468103625622</c:v>
                </c:pt>
                <c:pt idx="17">
                  <c:v>7.3251629054349925</c:v>
                </c:pt>
                <c:pt idx="18">
                  <c:v>1.2043700315632861</c:v>
                </c:pt>
                <c:pt idx="19">
                  <c:v>-2.6463735386968072</c:v>
                </c:pt>
                <c:pt idx="20">
                  <c:v>-6.4584025270336314</c:v>
                </c:pt>
                <c:pt idx="21">
                  <c:v>-7.5484465898539304</c:v>
                </c:pt>
                <c:pt idx="22">
                  <c:v>1.2341559267486042</c:v>
                </c:pt>
                <c:pt idx="23">
                  <c:v>6.1457971578372455</c:v>
                </c:pt>
                <c:pt idx="24">
                  <c:v>3.0113147792611699</c:v>
                </c:pt>
                <c:pt idx="25">
                  <c:v>14.58606830794295</c:v>
                </c:pt>
                <c:pt idx="26">
                  <c:v>5.0006934347103575</c:v>
                </c:pt>
                <c:pt idx="27">
                  <c:v>3.8225430782295997</c:v>
                </c:pt>
                <c:pt idx="28">
                  <c:v>14.689957913218009</c:v>
                </c:pt>
                <c:pt idx="29">
                  <c:v>7.4324099151760814</c:v>
                </c:pt>
              </c:numCache>
            </c:numRef>
          </c:val>
        </c:ser>
        <c:ser>
          <c:idx val="2"/>
          <c:order val="2"/>
          <c:tx>
            <c:strRef>
              <c:f>'výkonnost odvětví 3'!$E$10</c:f>
              <c:strCache>
                <c:ptCount val="1"/>
                <c:pt idx="0">
                  <c:v>CPI in the civil engineering construction*</c:v>
                </c:pt>
              </c:strCache>
            </c:strRef>
          </c:tx>
          <c:spPr>
            <a:ln w="19050">
              <a:solidFill>
                <a:srgbClr val="BD1B21"/>
              </a:solidFill>
              <a:prstDash val="solid"/>
            </a:ln>
          </c:spPr>
          <c:marker>
            <c:symbol val="none"/>
          </c:marker>
          <c:cat>
            <c:multiLvlStrRef>
              <c:f>'výkonnost odvětví 3'!$A$15:$B$44</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'výkonnost odvětví 3'!$E$15:$E$44</c:f>
              <c:numCache>
                <c:formatCode>0.0</c:formatCode>
                <c:ptCount val="30"/>
                <c:pt idx="0">
                  <c:v>-2.7890894488650044</c:v>
                </c:pt>
                <c:pt idx="1">
                  <c:v>-11.787487635893656</c:v>
                </c:pt>
                <c:pt idx="2">
                  <c:v>-14.375798659442022</c:v>
                </c:pt>
                <c:pt idx="3">
                  <c:v>-5.9114243768010475</c:v>
                </c:pt>
                <c:pt idx="4">
                  <c:v>-17.508750433219717</c:v>
                </c:pt>
                <c:pt idx="5">
                  <c:v>-10.536891513552632</c:v>
                </c:pt>
                <c:pt idx="6">
                  <c:v>-6.7548473187488005</c:v>
                </c:pt>
                <c:pt idx="7">
                  <c:v>-9.1051871494778283</c:v>
                </c:pt>
                <c:pt idx="8">
                  <c:v>-13.087317526163702</c:v>
                </c:pt>
                <c:pt idx="9">
                  <c:v>-12.92225475103762</c:v>
                </c:pt>
                <c:pt idx="10">
                  <c:v>-12.503770089076568</c:v>
                </c:pt>
                <c:pt idx="11">
                  <c:v>-2.0373185905058597</c:v>
                </c:pt>
                <c:pt idx="12">
                  <c:v>2.0779090558675564</c:v>
                </c:pt>
                <c:pt idx="13">
                  <c:v>6.2640240917004775</c:v>
                </c:pt>
                <c:pt idx="14">
                  <c:v>10.19548421525206</c:v>
                </c:pt>
                <c:pt idx="15">
                  <c:v>4.7905616685082855</c:v>
                </c:pt>
                <c:pt idx="16">
                  <c:v>14.850790359833038</c:v>
                </c:pt>
                <c:pt idx="17">
                  <c:v>23.075756570990844</c:v>
                </c:pt>
                <c:pt idx="18">
                  <c:v>22.923206180836129</c:v>
                </c:pt>
                <c:pt idx="19">
                  <c:v>8.4993021566949665</c:v>
                </c:pt>
                <c:pt idx="20">
                  <c:v>-5.5697409692054745</c:v>
                </c:pt>
                <c:pt idx="21">
                  <c:v>-15.812551358433454</c:v>
                </c:pt>
                <c:pt idx="22">
                  <c:v>-19.242811842824889</c:v>
                </c:pt>
                <c:pt idx="23">
                  <c:v>-16.420111674620721</c:v>
                </c:pt>
                <c:pt idx="24">
                  <c:v>-14.648339343580091</c:v>
                </c:pt>
                <c:pt idx="25">
                  <c:v>-3.753788568554421</c:v>
                </c:pt>
                <c:pt idx="26">
                  <c:v>-4.8259993710043565</c:v>
                </c:pt>
                <c:pt idx="27">
                  <c:v>0.80979248445301388</c:v>
                </c:pt>
                <c:pt idx="28">
                  <c:v>6.6784015645310575</c:v>
                </c:pt>
                <c:pt idx="29">
                  <c:v>3.693265827719955</c:v>
                </c:pt>
              </c:numCache>
            </c:numRef>
          </c:val>
        </c:ser>
        <c:ser>
          <c:idx val="3"/>
          <c:order val="3"/>
          <c:tx>
            <c:strRef>
              <c:f>'výkonnost odvětví 3'!$F$10</c:f>
              <c:strCache>
                <c:ptCount val="1"/>
                <c:pt idx="0">
                  <c:v>Total new orders in construction</c:v>
                </c:pt>
              </c:strCache>
            </c:strRef>
          </c:tx>
          <c:spPr>
            <a:ln w="19050">
              <a:solidFill>
                <a:srgbClr val="7DBB2D"/>
              </a:solidFill>
              <a:prstDash val="sysDash"/>
            </a:ln>
          </c:spPr>
          <c:marker>
            <c:symbol val="none"/>
          </c:marker>
          <c:cat>
            <c:multiLvlStrRef>
              <c:f>'výkonnost odvětví 3'!$A$15:$B$44</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'výkonnost odvětví 3'!$F$15:$F$44</c:f>
              <c:numCache>
                <c:formatCode>0.0</c:formatCode>
                <c:ptCount val="30"/>
                <c:pt idx="0">
                  <c:v>37.795405718063222</c:v>
                </c:pt>
                <c:pt idx="1">
                  <c:v>-23.565672566981124</c:v>
                </c:pt>
                <c:pt idx="2">
                  <c:v>-23.360716461156017</c:v>
                </c:pt>
                <c:pt idx="3">
                  <c:v>-9.1653963414634205</c:v>
                </c:pt>
                <c:pt idx="4">
                  <c:v>-46.322059646597978</c:v>
                </c:pt>
                <c:pt idx="5">
                  <c:v>-13.714800630772698</c:v>
                </c:pt>
                <c:pt idx="6">
                  <c:v>-7.672974888836368</c:v>
                </c:pt>
                <c:pt idx="7">
                  <c:v>7.5624082232011753</c:v>
                </c:pt>
                <c:pt idx="8">
                  <c:v>-17.695687793252446</c:v>
                </c:pt>
                <c:pt idx="9">
                  <c:v>-1.584773641063137</c:v>
                </c:pt>
                <c:pt idx="10">
                  <c:v>-1.3308205951467045</c:v>
                </c:pt>
                <c:pt idx="11">
                  <c:v>16.153096050706978</c:v>
                </c:pt>
                <c:pt idx="12">
                  <c:v>67.50972762645894</c:v>
                </c:pt>
                <c:pt idx="13">
                  <c:v>18.97864438254404</c:v>
                </c:pt>
                <c:pt idx="14">
                  <c:v>34.050931384107542</c:v>
                </c:pt>
                <c:pt idx="15">
                  <c:v>-1</c:v>
                </c:pt>
                <c:pt idx="16">
                  <c:v>-3.1547956675580053</c:v>
                </c:pt>
                <c:pt idx="17">
                  <c:v>9.7504961091663453</c:v>
                </c:pt>
                <c:pt idx="18">
                  <c:v>-1.0976060227612561</c:v>
                </c:pt>
                <c:pt idx="19">
                  <c:v>-2.3987783410040464</c:v>
                </c:pt>
                <c:pt idx="20">
                  <c:v>-6.6406358945753805</c:v>
                </c:pt>
                <c:pt idx="21">
                  <c:v>-0.49977652269311085</c:v>
                </c:pt>
                <c:pt idx="22">
                  <c:v>-7.0322087253454839</c:v>
                </c:pt>
                <c:pt idx="23">
                  <c:v>10.122126124559955</c:v>
                </c:pt>
                <c:pt idx="24">
                  <c:v>16.17721745884749</c:v>
                </c:pt>
                <c:pt idx="25">
                  <c:v>9.5350878984013292</c:v>
                </c:pt>
                <c:pt idx="26">
                  <c:v>-1.2817324431350698</c:v>
                </c:pt>
                <c:pt idx="27">
                  <c:v>15.620806693503823</c:v>
                </c:pt>
                <c:pt idx="28">
                  <c:v>28.623225673729639</c:v>
                </c:pt>
                <c:pt idx="29">
                  <c:v>32.03907021827883</c:v>
                </c:pt>
              </c:numCache>
            </c:numRef>
          </c:val>
        </c:ser>
        <c:ser>
          <c:idx val="4"/>
          <c:order val="4"/>
          <c:tx>
            <c:strRef>
              <c:f>'výkonnost odvětví 3'!$G$10</c:f>
              <c:strCache>
                <c:ptCount val="1"/>
                <c:pt idx="0">
                  <c:v>Balance of confidence indicator in construction</c:v>
                </c:pt>
              </c:strCache>
            </c:strRef>
          </c:tx>
          <c:spPr>
            <a:ln w="19050">
              <a:noFill/>
              <a:prstDash val="solid"/>
            </a:ln>
          </c:spPr>
          <c:marker>
            <c:symbol val="dash"/>
            <c:size val="9"/>
            <c:spPr>
              <a:solidFill>
                <a:srgbClr val="984807"/>
              </a:solidFill>
              <a:ln>
                <a:noFill/>
              </a:ln>
            </c:spPr>
          </c:marker>
          <c:cat>
            <c:multiLvlStrRef>
              <c:f>'výkonnost odvětví 3'!$A$15:$B$44</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'výkonnost odvětví 3'!$G$15:$G$44</c:f>
              <c:numCache>
                <c:formatCode>0.0</c:formatCode>
                <c:ptCount val="30"/>
                <c:pt idx="0">
                  <c:v>-40</c:v>
                </c:pt>
                <c:pt idx="1">
                  <c:v>-40.333333333333336</c:v>
                </c:pt>
                <c:pt idx="2">
                  <c:v>-39.166666666666508</c:v>
                </c:pt>
                <c:pt idx="3">
                  <c:v>-39.333333333333336</c:v>
                </c:pt>
                <c:pt idx="4">
                  <c:v>-46</c:v>
                </c:pt>
                <c:pt idx="5">
                  <c:v>-45.333333333333336</c:v>
                </c:pt>
                <c:pt idx="6">
                  <c:v>-43.5</c:v>
                </c:pt>
                <c:pt idx="7">
                  <c:v>-44.666666666666508</c:v>
                </c:pt>
                <c:pt idx="8">
                  <c:v>-46</c:v>
                </c:pt>
                <c:pt idx="9">
                  <c:v>-53.333333333333336</c:v>
                </c:pt>
                <c:pt idx="10">
                  <c:v>-49.5</c:v>
                </c:pt>
                <c:pt idx="11">
                  <c:v>-50.833333333333336</c:v>
                </c:pt>
                <c:pt idx="12">
                  <c:v>-45.166666666666508</c:v>
                </c:pt>
                <c:pt idx="13">
                  <c:v>-38.333333333333336</c:v>
                </c:pt>
                <c:pt idx="14">
                  <c:v>-32</c:v>
                </c:pt>
                <c:pt idx="15">
                  <c:v>-25.166666666666668</c:v>
                </c:pt>
                <c:pt idx="16">
                  <c:v>-20.833333333333261</c:v>
                </c:pt>
                <c:pt idx="17">
                  <c:v>-16.333333333333261</c:v>
                </c:pt>
                <c:pt idx="18">
                  <c:v>-18.666666666666668</c:v>
                </c:pt>
                <c:pt idx="19">
                  <c:v>-15.666666666666687</c:v>
                </c:pt>
                <c:pt idx="20">
                  <c:v>-17.166666666666668</c:v>
                </c:pt>
                <c:pt idx="21">
                  <c:v>-24</c:v>
                </c:pt>
                <c:pt idx="22">
                  <c:v>-26.666666666666668</c:v>
                </c:pt>
                <c:pt idx="23">
                  <c:v>-25.833333333333261</c:v>
                </c:pt>
                <c:pt idx="24">
                  <c:v>-24.5</c:v>
                </c:pt>
                <c:pt idx="25">
                  <c:v>-22.666666666666668</c:v>
                </c:pt>
                <c:pt idx="26">
                  <c:v>-19.833333333333261</c:v>
                </c:pt>
                <c:pt idx="27">
                  <c:v>-15.166666666666687</c:v>
                </c:pt>
                <c:pt idx="28">
                  <c:v>-9.6666666666666767</c:v>
                </c:pt>
                <c:pt idx="29">
                  <c:v>-5.666666666666667</c:v>
                </c:pt>
              </c:numCache>
            </c:numRef>
          </c:val>
        </c:ser>
        <c:marker val="1"/>
        <c:axId val="149373696"/>
        <c:axId val="149375616"/>
      </c:lineChart>
      <c:catAx>
        <c:axId val="149373696"/>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49375616"/>
        <c:crossesAt val="0"/>
        <c:lblAlgn val="ctr"/>
        <c:lblOffset val="0"/>
        <c:tickLblSkip val="1"/>
        <c:tickMarkSkip val="4"/>
      </c:catAx>
      <c:valAx>
        <c:axId val="149375616"/>
        <c:scaling>
          <c:orientation val="minMax"/>
          <c:max val="50"/>
          <c:min val="-60"/>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49373696"/>
        <c:crosses val="autoZero"/>
        <c:crossBetween val="between"/>
        <c:majorUnit val="10"/>
      </c:valAx>
      <c:spPr>
        <a:solidFill>
          <a:srgbClr val="FFFFFF"/>
        </a:solidFill>
        <a:ln w="9525">
          <a:solidFill>
            <a:schemeClr val="tx1"/>
          </a:solidFill>
        </a:ln>
      </c:spPr>
    </c:plotArea>
    <c:legend>
      <c:legendPos val="b"/>
      <c:layout>
        <c:manualLayout>
          <c:xMode val="edge"/>
          <c:yMode val="edge"/>
          <c:x val="6.0104910389042733E-2"/>
          <c:y val="0.86288036570346338"/>
          <c:w val="0.92926297419605119"/>
          <c:h val="0.12280263680764775"/>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3423395892477486E-2"/>
          <c:y val="2.510016539676168E-2"/>
          <c:w val="0.91372590696101663"/>
          <c:h val="0.7315066857385305"/>
        </c:manualLayout>
      </c:layout>
      <c:barChart>
        <c:barDir val="col"/>
        <c:grouping val="clustered"/>
        <c:ser>
          <c:idx val="0"/>
          <c:order val="0"/>
          <c:tx>
            <c:strRef>
              <c:f>'výkonnost odvětví 5'!$C$10</c:f>
              <c:strCache>
                <c:ptCount val="1"/>
                <c:pt idx="0">
                  <c:v>Retail trade+sale and repair of motor vehicl.</c:v>
                </c:pt>
              </c:strCache>
            </c:strRef>
          </c:tx>
          <c:spPr>
            <a:solidFill>
              <a:schemeClr val="bg1">
                <a:lumMod val="65000"/>
              </a:schemeClr>
            </a:solidFill>
            <a:ln w="12700">
              <a:noFill/>
              <a:prstDash val="solid"/>
            </a:ln>
          </c:spPr>
          <c:cat>
            <c:multiLvlStrRef>
              <c:f>'výkonnost odvětví 5'!$A$11:$B$40</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'výkonnost odvětví 5'!$C$11:$C$40</c:f>
              <c:numCache>
                <c:formatCode>0.0</c:formatCode>
                <c:ptCount val="30"/>
                <c:pt idx="0">
                  <c:v>4.7022153336137915</c:v>
                </c:pt>
                <c:pt idx="1">
                  <c:v>1.1056630641874958</c:v>
                </c:pt>
                <c:pt idx="2">
                  <c:v>0.29046692688700765</c:v>
                </c:pt>
                <c:pt idx="3">
                  <c:v>1.2385223521683713</c:v>
                </c:pt>
                <c:pt idx="4">
                  <c:v>-0.32381494465177313</c:v>
                </c:pt>
                <c:pt idx="5">
                  <c:v>-1.1174633520534869</c:v>
                </c:pt>
                <c:pt idx="6">
                  <c:v>-0.50575432020986</c:v>
                </c:pt>
                <c:pt idx="7">
                  <c:v>-2.0391145885964113</c:v>
                </c:pt>
                <c:pt idx="8">
                  <c:v>-0.84510191443204974</c:v>
                </c:pt>
                <c:pt idx="9">
                  <c:v>0.35871815795015038</c:v>
                </c:pt>
                <c:pt idx="10">
                  <c:v>1.1858793524466336</c:v>
                </c:pt>
                <c:pt idx="11">
                  <c:v>4.3551040936846022</c:v>
                </c:pt>
                <c:pt idx="12">
                  <c:v>4.8018367725111091</c:v>
                </c:pt>
                <c:pt idx="13">
                  <c:v>4.1758728266076446</c:v>
                </c:pt>
                <c:pt idx="14">
                  <c:v>5.7018700308560284</c:v>
                </c:pt>
                <c:pt idx="15">
                  <c:v>6.9891847370430185</c:v>
                </c:pt>
                <c:pt idx="16">
                  <c:v>7.7785155499143155</c:v>
                </c:pt>
                <c:pt idx="17">
                  <c:v>8.2376231011680989</c:v>
                </c:pt>
                <c:pt idx="18">
                  <c:v>7.10969277354884</c:v>
                </c:pt>
                <c:pt idx="19">
                  <c:v>7.9141358275167937</c:v>
                </c:pt>
                <c:pt idx="20">
                  <c:v>6.6658477515745025</c:v>
                </c:pt>
                <c:pt idx="21">
                  <c:v>6.3702236381586914</c:v>
                </c:pt>
                <c:pt idx="22">
                  <c:v>5.2972437081185433</c:v>
                </c:pt>
                <c:pt idx="23">
                  <c:v>4.2948037512185095</c:v>
                </c:pt>
                <c:pt idx="24">
                  <c:v>6.0190332933022024</c:v>
                </c:pt>
                <c:pt idx="25">
                  <c:v>5.7245372121730931</c:v>
                </c:pt>
                <c:pt idx="26">
                  <c:v>3.8989794451072437</c:v>
                </c:pt>
                <c:pt idx="27">
                  <c:v>4.6771124312793546</c:v>
                </c:pt>
                <c:pt idx="28">
                  <c:v>3.8962023514729225</c:v>
                </c:pt>
                <c:pt idx="29">
                  <c:v>2.3801290747379702</c:v>
                </c:pt>
              </c:numCache>
            </c:numRef>
          </c:val>
        </c:ser>
        <c:gapWidth val="31"/>
        <c:axId val="150514688"/>
        <c:axId val="150525056"/>
      </c:barChart>
      <c:lineChart>
        <c:grouping val="standard"/>
        <c:ser>
          <c:idx val="1"/>
          <c:order val="1"/>
          <c:tx>
            <c:strRef>
              <c:f>'výkonnost odvětví 5'!$D$10</c:f>
              <c:strCache>
                <c:ptCount val="1"/>
                <c:pt idx="0">
                  <c:v>Total retail trade of food </c:v>
                </c:pt>
              </c:strCache>
            </c:strRef>
          </c:tx>
          <c:spPr>
            <a:ln w="19050">
              <a:solidFill>
                <a:srgbClr val="0071BC"/>
              </a:solidFill>
              <a:prstDash val="solid"/>
            </a:ln>
          </c:spPr>
          <c:marker>
            <c:symbol val="none"/>
          </c:marker>
          <c:cat>
            <c:multiLvlStrRef>
              <c:f>'výkonnost odvětví 5'!$A$11:$B$40</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'výkonnost odvětví 5'!$D$11:$D$40</c:f>
              <c:numCache>
                <c:formatCode>0.0</c:formatCode>
                <c:ptCount val="30"/>
                <c:pt idx="0">
                  <c:v>1.0200203339011864</c:v>
                </c:pt>
                <c:pt idx="1">
                  <c:v>-0.77245895457782865</c:v>
                </c:pt>
                <c:pt idx="2">
                  <c:v>-2.2030263793203977</c:v>
                </c:pt>
                <c:pt idx="3">
                  <c:v>-2.612266374046166</c:v>
                </c:pt>
                <c:pt idx="4">
                  <c:v>-4.1792292117951853</c:v>
                </c:pt>
                <c:pt idx="5">
                  <c:v>-2.5411879709738088</c:v>
                </c:pt>
                <c:pt idx="6">
                  <c:v>-1.6989545563239403</c:v>
                </c:pt>
                <c:pt idx="7">
                  <c:v>-2.0584542937760637</c:v>
                </c:pt>
                <c:pt idx="8">
                  <c:v>-1.0845437387326626</c:v>
                </c:pt>
                <c:pt idx="9">
                  <c:v>-1.9839890101918061</c:v>
                </c:pt>
                <c:pt idx="10">
                  <c:v>-0.64564084428930635</c:v>
                </c:pt>
                <c:pt idx="11">
                  <c:v>-0.21671648530670562</c:v>
                </c:pt>
                <c:pt idx="12">
                  <c:v>-0.64931062632504799</c:v>
                </c:pt>
                <c:pt idx="13">
                  <c:v>2.5968329035568534</c:v>
                </c:pt>
                <c:pt idx="14">
                  <c:v>-0.28362848708874938</c:v>
                </c:pt>
                <c:pt idx="15">
                  <c:v>2.8999737539912189</c:v>
                </c:pt>
                <c:pt idx="16">
                  <c:v>4.6183141075948955</c:v>
                </c:pt>
                <c:pt idx="17">
                  <c:v>3.0246216416932192</c:v>
                </c:pt>
                <c:pt idx="18">
                  <c:v>4.9291779201594155</c:v>
                </c:pt>
                <c:pt idx="19">
                  <c:v>3.9476511009256972</c:v>
                </c:pt>
                <c:pt idx="20">
                  <c:v>4.6571808562617329</c:v>
                </c:pt>
                <c:pt idx="21">
                  <c:v>3.8281360945831864</c:v>
                </c:pt>
                <c:pt idx="22">
                  <c:v>2.6514068516015641</c:v>
                </c:pt>
                <c:pt idx="23">
                  <c:v>-0.29933130313158085</c:v>
                </c:pt>
                <c:pt idx="24">
                  <c:v>1.8133469855121398</c:v>
                </c:pt>
                <c:pt idx="25">
                  <c:v>3.7507118685608787</c:v>
                </c:pt>
                <c:pt idx="26">
                  <c:v>3.0407748275680442</c:v>
                </c:pt>
                <c:pt idx="27">
                  <c:v>2.6385416371036827</c:v>
                </c:pt>
                <c:pt idx="28">
                  <c:v>3.3838929394877777</c:v>
                </c:pt>
                <c:pt idx="29">
                  <c:v>1.0670683892079598</c:v>
                </c:pt>
              </c:numCache>
            </c:numRef>
          </c:val>
        </c:ser>
        <c:ser>
          <c:idx val="2"/>
          <c:order val="2"/>
          <c:tx>
            <c:strRef>
              <c:f>'výkonnost odvětví 5'!$E$10</c:f>
              <c:strCache>
                <c:ptCount val="1"/>
                <c:pt idx="0">
                  <c:v>Retail trade o goods other than food</c:v>
                </c:pt>
              </c:strCache>
            </c:strRef>
          </c:tx>
          <c:spPr>
            <a:ln w="19050">
              <a:solidFill>
                <a:srgbClr val="48AEE7"/>
              </a:solidFill>
              <a:prstDash val="solid"/>
            </a:ln>
          </c:spPr>
          <c:marker>
            <c:symbol val="none"/>
          </c:marker>
          <c:cat>
            <c:multiLvlStrRef>
              <c:f>'výkonnost odvětví 5'!$A$11:$B$40</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'výkonnost odvětví 5'!$E$11:$E$40</c:f>
              <c:numCache>
                <c:formatCode>0.0</c:formatCode>
                <c:ptCount val="30"/>
                <c:pt idx="0">
                  <c:v>4.4885846405339365</c:v>
                </c:pt>
                <c:pt idx="1">
                  <c:v>3.1795216115752396</c:v>
                </c:pt>
                <c:pt idx="2">
                  <c:v>0.28880471681390046</c:v>
                </c:pt>
                <c:pt idx="3">
                  <c:v>2.5197824737785282</c:v>
                </c:pt>
                <c:pt idx="4">
                  <c:v>1.4765577560249596</c:v>
                </c:pt>
                <c:pt idx="5">
                  <c:v>0.88006052933151557</c:v>
                </c:pt>
                <c:pt idx="6">
                  <c:v>1.3147204053338868</c:v>
                </c:pt>
                <c:pt idx="7">
                  <c:v>9.7872831308464497E-2</c:v>
                </c:pt>
                <c:pt idx="8">
                  <c:v>1.5419364795675958</c:v>
                </c:pt>
                <c:pt idx="9">
                  <c:v>0.72034669617839808</c:v>
                </c:pt>
                <c:pt idx="10">
                  <c:v>0.80534167805757495</c:v>
                </c:pt>
                <c:pt idx="11">
                  <c:v>2.9834553392845167</c:v>
                </c:pt>
                <c:pt idx="12">
                  <c:v>2.8974454049186589</c:v>
                </c:pt>
                <c:pt idx="13">
                  <c:v>2.2398901534830835</c:v>
                </c:pt>
                <c:pt idx="14">
                  <c:v>4.2989038934441934</c:v>
                </c:pt>
                <c:pt idx="15">
                  <c:v>7.5937472464603495</c:v>
                </c:pt>
                <c:pt idx="16">
                  <c:v>7.2486276037651116</c:v>
                </c:pt>
                <c:pt idx="17">
                  <c:v>8.3737481542950292</c:v>
                </c:pt>
                <c:pt idx="18">
                  <c:v>5.8312031677395417</c:v>
                </c:pt>
                <c:pt idx="19">
                  <c:v>7.2083201340207994</c:v>
                </c:pt>
                <c:pt idx="20">
                  <c:v>5.7307041293387613</c:v>
                </c:pt>
                <c:pt idx="21">
                  <c:v>5.6062752574786705</c:v>
                </c:pt>
                <c:pt idx="22">
                  <c:v>6.9055706835124511</c:v>
                </c:pt>
                <c:pt idx="23">
                  <c:v>7.0177001189283317</c:v>
                </c:pt>
                <c:pt idx="24">
                  <c:v>9.0064474167916728</c:v>
                </c:pt>
                <c:pt idx="25">
                  <c:v>8.9842659419007589</c:v>
                </c:pt>
                <c:pt idx="26">
                  <c:v>8.5595664443738571</c:v>
                </c:pt>
                <c:pt idx="27">
                  <c:v>8.8620472976245512</c:v>
                </c:pt>
                <c:pt idx="28">
                  <c:v>8.6607378826210208</c:v>
                </c:pt>
                <c:pt idx="29">
                  <c:v>7.3614102762324602</c:v>
                </c:pt>
              </c:numCache>
            </c:numRef>
          </c:val>
        </c:ser>
        <c:ser>
          <c:idx val="3"/>
          <c:order val="3"/>
          <c:tx>
            <c:strRef>
              <c:f>'výkonnost odvětví 5'!$F$10</c:f>
              <c:strCache>
                <c:ptCount val="1"/>
                <c:pt idx="0">
                  <c:v>Retail sale of automotive fuel</c:v>
                </c:pt>
              </c:strCache>
            </c:strRef>
          </c:tx>
          <c:spPr>
            <a:ln w="19050">
              <a:solidFill>
                <a:srgbClr val="BD1B21"/>
              </a:solidFill>
            </a:ln>
          </c:spPr>
          <c:marker>
            <c:symbol val="none"/>
          </c:marker>
          <c:cat>
            <c:multiLvlStrRef>
              <c:f>'výkonnost odvětví 5'!$A$11:$B$40</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'výkonnost odvětví 5'!$F$11:$F$40</c:f>
              <c:numCache>
                <c:formatCode>0.0</c:formatCode>
                <c:ptCount val="30"/>
                <c:pt idx="0">
                  <c:v>-4.631133777242141</c:v>
                </c:pt>
                <c:pt idx="1">
                  <c:v>-3.8994040732664388</c:v>
                </c:pt>
                <c:pt idx="2">
                  <c:v>-2.1621003597324253</c:v>
                </c:pt>
                <c:pt idx="3">
                  <c:v>-2.9915509879464541</c:v>
                </c:pt>
                <c:pt idx="4">
                  <c:v>-1.895852118088954</c:v>
                </c:pt>
                <c:pt idx="5">
                  <c:v>-3.4936345742771997</c:v>
                </c:pt>
                <c:pt idx="6">
                  <c:v>0.78230350222703748</c:v>
                </c:pt>
                <c:pt idx="7">
                  <c:v>-2.0730044432309152</c:v>
                </c:pt>
                <c:pt idx="8">
                  <c:v>0.43687421293950168</c:v>
                </c:pt>
                <c:pt idx="9">
                  <c:v>-0.5205966829206532</c:v>
                </c:pt>
                <c:pt idx="10">
                  <c:v>-5.2781034501008914</c:v>
                </c:pt>
                <c:pt idx="11">
                  <c:v>-0.86506996874481967</c:v>
                </c:pt>
                <c:pt idx="12">
                  <c:v>0.48207387094959214</c:v>
                </c:pt>
                <c:pt idx="13">
                  <c:v>3.8856542982543402E-2</c:v>
                </c:pt>
                <c:pt idx="14">
                  <c:v>2.5788957521098732</c:v>
                </c:pt>
                <c:pt idx="15">
                  <c:v>3.5103721443907574</c:v>
                </c:pt>
                <c:pt idx="16">
                  <c:v>6.1539270131965651</c:v>
                </c:pt>
                <c:pt idx="17">
                  <c:v>4.5607008813701704</c:v>
                </c:pt>
                <c:pt idx="18">
                  <c:v>6.1265662157100955</c:v>
                </c:pt>
                <c:pt idx="19">
                  <c:v>8.9586655169460681</c:v>
                </c:pt>
                <c:pt idx="20">
                  <c:v>4.9193940911014522</c:v>
                </c:pt>
                <c:pt idx="21">
                  <c:v>5.3582796877753704</c:v>
                </c:pt>
                <c:pt idx="22">
                  <c:v>4.599124297537986</c:v>
                </c:pt>
                <c:pt idx="23">
                  <c:v>5.1789206112660775</c:v>
                </c:pt>
                <c:pt idx="24">
                  <c:v>3.9491266441740152</c:v>
                </c:pt>
                <c:pt idx="25">
                  <c:v>5.9221498576280345</c:v>
                </c:pt>
                <c:pt idx="26">
                  <c:v>6.2898941708549234</c:v>
                </c:pt>
                <c:pt idx="27">
                  <c:v>6.3299633437876404</c:v>
                </c:pt>
                <c:pt idx="28">
                  <c:v>5.7111878533216975</c:v>
                </c:pt>
                <c:pt idx="29">
                  <c:v>4.6804505710196445</c:v>
                </c:pt>
              </c:numCache>
            </c:numRef>
          </c:val>
        </c:ser>
        <c:ser>
          <c:idx val="4"/>
          <c:order val="4"/>
          <c:tx>
            <c:strRef>
              <c:f>'výkonnost odvětví 5'!$G$10</c:f>
              <c:strCache>
                <c:ptCount val="1"/>
                <c:pt idx="0">
                  <c:v>Sale, maintenance+repair of motor vehicles</c:v>
                </c:pt>
              </c:strCache>
            </c:strRef>
          </c:tx>
          <c:spPr>
            <a:ln w="19050">
              <a:solidFill>
                <a:srgbClr val="7DBB2D"/>
              </a:solidFill>
            </a:ln>
          </c:spPr>
          <c:marker>
            <c:symbol val="none"/>
          </c:marker>
          <c:cat>
            <c:multiLvlStrRef>
              <c:f>'výkonnost odvětví 5'!$A$11:$B$40</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'výkonnost odvětví 5'!$G$11:$G$40</c:f>
              <c:numCache>
                <c:formatCode>0.0</c:formatCode>
                <c:ptCount val="30"/>
                <c:pt idx="0">
                  <c:v>12.399114095060966</c:v>
                </c:pt>
                <c:pt idx="1">
                  <c:v>1.5393113464408679</c:v>
                </c:pt>
                <c:pt idx="2">
                  <c:v>4.1676015774581598</c:v>
                </c:pt>
                <c:pt idx="3">
                  <c:v>4.8417140167407355</c:v>
                </c:pt>
                <c:pt idx="4">
                  <c:v>2.6476463856385948</c:v>
                </c:pt>
                <c:pt idx="5">
                  <c:v>-0.83083598852759744</c:v>
                </c:pt>
                <c:pt idx="6">
                  <c:v>-1.0054999885675358</c:v>
                </c:pt>
                <c:pt idx="7">
                  <c:v>-5.3031820450899545</c:v>
                </c:pt>
                <c:pt idx="8">
                  <c:v>-6.0597265900881716</c:v>
                </c:pt>
                <c:pt idx="9">
                  <c:v>4.0744346599402679</c:v>
                </c:pt>
                <c:pt idx="10">
                  <c:v>5.5422103353407692</c:v>
                </c:pt>
                <c:pt idx="11">
                  <c:v>12.84016879143066</c:v>
                </c:pt>
                <c:pt idx="12">
                  <c:v>14.893046851327806</c:v>
                </c:pt>
                <c:pt idx="13">
                  <c:v>7.0031832029953165</c:v>
                </c:pt>
                <c:pt idx="14">
                  <c:v>12.995196318598188</c:v>
                </c:pt>
                <c:pt idx="15">
                  <c:v>12.528076582509229</c:v>
                </c:pt>
                <c:pt idx="16">
                  <c:v>11.675877956018224</c:v>
                </c:pt>
                <c:pt idx="17">
                  <c:v>14.129424017702457</c:v>
                </c:pt>
                <c:pt idx="18">
                  <c:v>10.81301464376272</c:v>
                </c:pt>
                <c:pt idx="19">
                  <c:v>12.285366427220751</c:v>
                </c:pt>
                <c:pt idx="20">
                  <c:v>10.012458360183604</c:v>
                </c:pt>
                <c:pt idx="21">
                  <c:v>9.2274670118200977</c:v>
                </c:pt>
                <c:pt idx="22">
                  <c:v>6.6565459161231972</c:v>
                </c:pt>
                <c:pt idx="23">
                  <c:v>4.7882185594400681</c:v>
                </c:pt>
                <c:pt idx="24">
                  <c:v>6.211471159436428</c:v>
                </c:pt>
                <c:pt idx="25">
                  <c:v>4.4659425641385297</c:v>
                </c:pt>
                <c:pt idx="26">
                  <c:v>-0.120016178112067</c:v>
                </c:pt>
                <c:pt idx="27">
                  <c:v>1.4641268177413718</c:v>
                </c:pt>
                <c:pt idx="28">
                  <c:v>-1.2563520967836723</c:v>
                </c:pt>
                <c:pt idx="29">
                  <c:v>-0.87544066141409072</c:v>
                </c:pt>
              </c:numCache>
            </c:numRef>
          </c:val>
        </c:ser>
        <c:marker val="1"/>
        <c:axId val="150514688"/>
        <c:axId val="150525056"/>
      </c:lineChart>
      <c:lineChart>
        <c:grouping val="standard"/>
        <c:ser>
          <c:idx val="6"/>
          <c:order val="5"/>
          <c:tx>
            <c:strRef>
              <c:f>'výkonnost odvětví 5'!$H$10</c:f>
              <c:strCache>
                <c:ptCount val="1"/>
                <c:pt idx="0">
                  <c:v>Balance of consumer confidence indicator </c:v>
                </c:pt>
              </c:strCache>
            </c:strRef>
          </c:tx>
          <c:spPr>
            <a:ln w="19050">
              <a:noFill/>
            </a:ln>
          </c:spPr>
          <c:marker>
            <c:symbol val="dash"/>
            <c:size val="9"/>
            <c:spPr>
              <a:solidFill>
                <a:srgbClr val="984807"/>
              </a:solidFill>
              <a:ln>
                <a:noFill/>
              </a:ln>
            </c:spPr>
          </c:marker>
          <c:cat>
            <c:multiLvlStrRef>
              <c:f>'výkonnost odvětví 5'!$A$11:$B$40</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2011</c:v>
                  </c:pt>
                  <c:pt idx="4">
                    <c:v>2012</c:v>
                  </c:pt>
                  <c:pt idx="8">
                    <c:v>2013</c:v>
                  </c:pt>
                  <c:pt idx="12">
                    <c:v>2014</c:v>
                  </c:pt>
                  <c:pt idx="16">
                    <c:v>2015</c:v>
                  </c:pt>
                  <c:pt idx="20">
                    <c:v>2016</c:v>
                  </c:pt>
                  <c:pt idx="24">
                    <c:v>2017</c:v>
                  </c:pt>
                  <c:pt idx="28">
                    <c:v>2018</c:v>
                  </c:pt>
                </c:lvl>
              </c:multiLvlStrCache>
            </c:multiLvlStrRef>
          </c:cat>
          <c:val>
            <c:numRef>
              <c:f>'výkonnost odvětví 5'!$H$11:$H$40</c:f>
              <c:numCache>
                <c:formatCode>0.0</c:formatCode>
                <c:ptCount val="30"/>
                <c:pt idx="0">
                  <c:v>-13.433333333333332</c:v>
                </c:pt>
                <c:pt idx="1">
                  <c:v>-20.099999999999987</c:v>
                </c:pt>
                <c:pt idx="2">
                  <c:v>-22.433333333333245</c:v>
                </c:pt>
                <c:pt idx="3">
                  <c:v>-26.7</c:v>
                </c:pt>
                <c:pt idx="4">
                  <c:v>-26.766666666666666</c:v>
                </c:pt>
                <c:pt idx="5">
                  <c:v>-29.866666666666664</c:v>
                </c:pt>
                <c:pt idx="6">
                  <c:v>-28.466666666666669</c:v>
                </c:pt>
                <c:pt idx="7">
                  <c:v>-26.433333333333245</c:v>
                </c:pt>
                <c:pt idx="8">
                  <c:v>-23.63333333333328</c:v>
                </c:pt>
                <c:pt idx="9">
                  <c:v>-20.866666666666667</c:v>
                </c:pt>
                <c:pt idx="10">
                  <c:v>-17.266666666666666</c:v>
                </c:pt>
                <c:pt idx="11">
                  <c:v>-10.766666666666676</c:v>
                </c:pt>
                <c:pt idx="12">
                  <c:v>-6.6000000000000005</c:v>
                </c:pt>
                <c:pt idx="13">
                  <c:v>-3.5333333333333332</c:v>
                </c:pt>
                <c:pt idx="14">
                  <c:v>-4.1333333333333435</c:v>
                </c:pt>
                <c:pt idx="15">
                  <c:v>0.69999999999999984</c:v>
                </c:pt>
                <c:pt idx="16">
                  <c:v>3.6333333333333342</c:v>
                </c:pt>
                <c:pt idx="17">
                  <c:v>1.7666666666666666</c:v>
                </c:pt>
                <c:pt idx="18">
                  <c:v>1.2</c:v>
                </c:pt>
                <c:pt idx="19">
                  <c:v>3.5</c:v>
                </c:pt>
                <c:pt idx="20">
                  <c:v>4.6000000000000005</c:v>
                </c:pt>
                <c:pt idx="21">
                  <c:v>1.8333333333333333</c:v>
                </c:pt>
                <c:pt idx="22">
                  <c:v>2</c:v>
                </c:pt>
                <c:pt idx="23">
                  <c:v>6.1000000000000005</c:v>
                </c:pt>
                <c:pt idx="24">
                  <c:v>6.5333333333333483</c:v>
                </c:pt>
                <c:pt idx="25">
                  <c:v>5.2666666666666684</c:v>
                </c:pt>
                <c:pt idx="26">
                  <c:v>5.2</c:v>
                </c:pt>
                <c:pt idx="27">
                  <c:v>7.2</c:v>
                </c:pt>
                <c:pt idx="28">
                  <c:v>9.8666666666666956</c:v>
                </c:pt>
                <c:pt idx="29">
                  <c:v>10.6</c:v>
                </c:pt>
              </c:numCache>
            </c:numRef>
          </c:val>
        </c:ser>
        <c:marker val="1"/>
        <c:axId val="151052672"/>
        <c:axId val="150526592"/>
      </c:lineChart>
      <c:catAx>
        <c:axId val="150514688"/>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50525056"/>
        <c:crosses val="autoZero"/>
        <c:lblAlgn val="ctr"/>
        <c:lblOffset val="0"/>
        <c:tickLblSkip val="1"/>
        <c:tickMarkSkip val="4"/>
      </c:catAx>
      <c:valAx>
        <c:axId val="150525056"/>
        <c:scaling>
          <c:orientation val="minMax"/>
          <c:max val="15"/>
          <c:min val="-15"/>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50514688"/>
        <c:crosses val="autoZero"/>
        <c:crossBetween val="between"/>
        <c:majorUnit val="5"/>
      </c:valAx>
      <c:valAx>
        <c:axId val="150526592"/>
        <c:scaling>
          <c:orientation val="minMax"/>
          <c:max val="30"/>
          <c:min val="-30"/>
        </c:scaling>
        <c:axPos val="r"/>
        <c:numFmt formatCode="0" sourceLinked="0"/>
        <c:tickLblPos val="nextTo"/>
        <c:spPr>
          <a:ln w="9525">
            <a:solidFill>
              <a:schemeClr val="tx1"/>
            </a:solidFill>
          </a:ln>
        </c:spPr>
        <c:crossAx val="151052672"/>
        <c:crosses val="max"/>
        <c:crossBetween val="between"/>
      </c:valAx>
      <c:catAx>
        <c:axId val="151052672"/>
        <c:scaling>
          <c:orientation val="minMax"/>
        </c:scaling>
        <c:delete val="1"/>
        <c:axPos val="b"/>
        <c:numFmt formatCode="General" sourceLinked="1"/>
        <c:tickLblPos val="none"/>
        <c:crossAx val="150526592"/>
        <c:crosses val="autoZero"/>
        <c:auto val="1"/>
        <c:lblAlgn val="ctr"/>
        <c:lblOffset val="100"/>
      </c:catAx>
      <c:spPr>
        <a:solidFill>
          <a:srgbClr val="FFFFFF"/>
        </a:solidFill>
        <a:ln w="9525">
          <a:solidFill>
            <a:schemeClr val="tx1"/>
          </a:solidFill>
        </a:ln>
      </c:spPr>
    </c:plotArea>
    <c:legend>
      <c:legendPos val="b"/>
      <c:layout>
        <c:manualLayout>
          <c:xMode val="edge"/>
          <c:yMode val="edge"/>
          <c:x val="2.2452948160993249E-3"/>
          <c:y val="0.85447879694816364"/>
          <c:w val="0.99294335914940213"/>
          <c:h val="0.12421601680898579"/>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chartSpace>
</file>

<file path=word/drawings/drawing1.xml><?xml version="1.0" encoding="utf-8"?>
<c:userShapes xmlns:c="http://schemas.openxmlformats.org/drawingml/2006/chart">
  <cdr:relSizeAnchor xmlns:cdr="http://schemas.openxmlformats.org/drawingml/2006/chartDrawing">
    <cdr:from>
      <cdr:x>0.47088</cdr:x>
      <cdr:y>0.02335</cdr:y>
    </cdr:from>
    <cdr:to>
      <cdr:x>0.51901</cdr:x>
      <cdr:y>0.06093</cdr:y>
    </cdr:to>
    <cdr:sp macro="" textlink="">
      <cdr:nvSpPr>
        <cdr:cNvPr id="2" name="Přímá spojovací šipka 1"/>
        <cdr:cNvSpPr/>
      </cdr:nvSpPr>
      <cdr:spPr>
        <a:xfrm xmlns:a="http://schemas.openxmlformats.org/drawingml/2006/main" flipH="1" flipV="1">
          <a:off x="2236311" y="82862"/>
          <a:ext cx="228579" cy="133342"/>
        </a:xfrm>
        <a:prstGeom xmlns:a="http://schemas.openxmlformats.org/drawingml/2006/main" prst="straightConnector1">
          <a:avLst/>
        </a:prstGeom>
        <a:noFill xmlns:a="http://schemas.openxmlformats.org/drawingml/2006/main"/>
        <a:ln xmlns:a="http://schemas.openxmlformats.org/drawingml/2006/main" w="6350" cap="flat" cmpd="sng" algn="ctr">
          <a:solidFill>
            <a:srgbClr val="7DBB2D"/>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cs-CZ"/>
        </a:p>
      </cdr:txBody>
    </cdr:sp>
  </cdr:relSizeAnchor>
  <cdr:relSizeAnchor xmlns:cdr="http://schemas.openxmlformats.org/drawingml/2006/chartDrawing">
    <cdr:from>
      <cdr:x>0.52511</cdr:x>
      <cdr:y>0.04318</cdr:y>
    </cdr:from>
    <cdr:to>
      <cdr:x>0.58004</cdr:x>
      <cdr:y>0.08392</cdr:y>
    </cdr:to>
    <cdr:sp macro="" textlink="">
      <cdr:nvSpPr>
        <cdr:cNvPr id="3" name="TextovéPole 2"/>
        <cdr:cNvSpPr txBox="1"/>
      </cdr:nvSpPr>
      <cdr:spPr>
        <a:xfrm xmlns:a="http://schemas.openxmlformats.org/drawingml/2006/main">
          <a:off x="2480246" y="153850"/>
          <a:ext cx="259459" cy="14515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a:solidFill>
                <a:srgbClr val="7DBB2D"/>
              </a:solidFill>
              <a:latin typeface="Arial" pitchFamily="34" charset="0"/>
              <a:cs typeface="Arial" pitchFamily="34" charset="0"/>
            </a:rPr>
            <a:t>67,5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3402D-596F-4479-A455-52E701950530}">
  <ds:schemaRefs>
    <ds:schemaRef ds:uri="http://schemas.openxmlformats.org/officeDocument/2006/bibliography"/>
  </ds:schemaRefs>
</ds:datastoreItem>
</file>

<file path=customXml/itemProps2.xml><?xml version="1.0" encoding="utf-8"?>
<ds:datastoreItem xmlns:ds="http://schemas.openxmlformats.org/officeDocument/2006/customXml" ds:itemID="{11BBB8D0-ABFD-4340-BEBA-70743E29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3</TotalTime>
  <Pages>7</Pages>
  <Words>2767</Words>
  <Characters>16331</Characters>
  <Application>Microsoft Office Word</Application>
  <DocSecurity>0</DocSecurity>
  <Lines>136</Lines>
  <Paragraphs>38</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19060</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Mgr. Karolína Súkupová</cp:lastModifiedBy>
  <cp:revision>3</cp:revision>
  <cp:lastPrinted>2014-07-17T14:07:00Z</cp:lastPrinted>
  <dcterms:created xsi:type="dcterms:W3CDTF">2018-10-19T12:00:00Z</dcterms:created>
  <dcterms:modified xsi:type="dcterms:W3CDTF">2018-10-19T12:09:00Z</dcterms:modified>
</cp:coreProperties>
</file>