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EC" w:rsidRPr="00A81EB3" w:rsidRDefault="007504EC" w:rsidP="007504EC">
      <w:pPr>
        <w:pStyle w:val="Datum"/>
      </w:pPr>
      <w:r>
        <w:t>17</w:t>
      </w:r>
      <w:r w:rsidRPr="00A81EB3">
        <w:t xml:space="preserve">. </w:t>
      </w:r>
      <w:r>
        <w:t>2</w:t>
      </w:r>
      <w:r w:rsidRPr="00A81EB3">
        <w:t>. 201</w:t>
      </w:r>
      <w:r>
        <w:t>4</w:t>
      </w:r>
    </w:p>
    <w:p w:rsidR="007504EC" w:rsidRDefault="007504EC" w:rsidP="007504EC">
      <w:pPr>
        <w:pStyle w:val="Nzev"/>
      </w:pPr>
      <w:r w:rsidRPr="00CF570E">
        <w:t>Vývoj index</w:t>
      </w:r>
      <w:r>
        <w:t>ů cen v zahraničním obchodě</w:t>
      </w:r>
      <w:r>
        <w:br/>
        <w:t>ve 4. čtvrtletí 2013 a v roce 2013</w:t>
      </w:r>
    </w:p>
    <w:p w:rsidR="007504EC" w:rsidRPr="00B644FC" w:rsidRDefault="007504EC" w:rsidP="007504EC">
      <w:pPr>
        <w:pStyle w:val="Perex"/>
      </w:pPr>
      <w:r w:rsidRPr="001B2A09">
        <w:t xml:space="preserve">Ceny vývozu ve 4. čtvrtletí 2013 proti 3. čtvrtletí 2013 </w:t>
      </w:r>
      <w:r>
        <w:t>rost</w:t>
      </w:r>
      <w:r w:rsidRPr="001B2A09">
        <w:t>ly o 2,4 %, ceny dovozu o</w:t>
      </w:r>
      <w:r>
        <w:t> </w:t>
      </w:r>
      <w:r w:rsidRPr="001B2A09">
        <w:t>1,5 %</w:t>
      </w:r>
      <w:r>
        <w:t>, směnné relace dosáhly</w:t>
      </w:r>
      <w:r w:rsidRPr="008F14D1">
        <w:t xml:space="preserve"> hodnoty 100,9 %</w:t>
      </w:r>
      <w:r>
        <w:t xml:space="preserve">. Meziročně se ceny vývozu ve 4. čtvrtletí zvýšily o 2,9 %, ceny dovozu o 1,0 % a směnné relace dosáhly hodnoty 101,9 %.  </w:t>
      </w:r>
      <w:r w:rsidRPr="001B2A09">
        <w:t>V průměru za celý rok 2013 v porovnání s rokem 2012 se vývozní ceny zvýšily o 1,2 %, dovozní ceny se snížily o 0,2 %, směnné relace činily 101,4 %.</w:t>
      </w:r>
    </w:p>
    <w:p w:rsidR="007504EC" w:rsidRDefault="007504EC" w:rsidP="007504EC">
      <w:pPr>
        <w:pStyle w:val="Nadpis1"/>
      </w:pPr>
      <w:r>
        <w:t>Mezičtvrtletní hodnocení:</w:t>
      </w:r>
    </w:p>
    <w:p w:rsidR="007504EC" w:rsidRDefault="007504EC" w:rsidP="007504EC">
      <w:pPr>
        <w:spacing w:line="276" w:lineRule="auto"/>
        <w:jc w:val="both"/>
        <w:rPr>
          <w:rFonts w:ascii="Arial" w:hAnsi="Arial"/>
          <w:sz w:val="20"/>
        </w:rPr>
      </w:pPr>
    </w:p>
    <w:p w:rsidR="007504EC" w:rsidRDefault="007504EC" w:rsidP="007504EC">
      <w:pPr>
        <w:spacing w:line="276" w:lineRule="auto"/>
        <w:jc w:val="both"/>
        <w:rPr>
          <w:rFonts w:ascii="Arial" w:hAnsi="Arial"/>
          <w:sz w:val="20"/>
        </w:rPr>
      </w:pPr>
      <w:r w:rsidRPr="00795A17">
        <w:rPr>
          <w:rFonts w:ascii="Arial" w:hAnsi="Arial"/>
          <w:b/>
          <w:sz w:val="20"/>
        </w:rPr>
        <w:t>Ceny vývozu</w:t>
      </w:r>
      <w:r w:rsidRPr="00795A17">
        <w:rPr>
          <w:rFonts w:ascii="Arial" w:hAnsi="Arial"/>
          <w:sz w:val="20"/>
        </w:rPr>
        <w:t xml:space="preserve"> se ve </w:t>
      </w:r>
      <w:r w:rsidRPr="00795A17">
        <w:rPr>
          <w:rFonts w:ascii="Arial" w:hAnsi="Arial"/>
          <w:b/>
          <w:sz w:val="20"/>
        </w:rPr>
        <w:t>4. čtvrtletí 2013</w:t>
      </w:r>
      <w:r w:rsidRPr="00795A17">
        <w:rPr>
          <w:rFonts w:ascii="Arial" w:hAnsi="Arial"/>
          <w:sz w:val="20"/>
        </w:rPr>
        <w:t xml:space="preserve"> proti </w:t>
      </w:r>
      <w:r w:rsidRPr="00795A17">
        <w:rPr>
          <w:rFonts w:ascii="Arial" w:hAnsi="Arial"/>
          <w:b/>
          <w:sz w:val="20"/>
        </w:rPr>
        <w:t>3. čtvrtletí 2013</w:t>
      </w:r>
      <w:r w:rsidRPr="00795A17">
        <w:rPr>
          <w:rFonts w:ascii="Arial" w:hAnsi="Arial"/>
          <w:sz w:val="20"/>
        </w:rPr>
        <w:t xml:space="preserve"> zvýšily o 2,4 % (ve 3. čtvrtletí pokles o 0,7 %)</w:t>
      </w:r>
      <w:r>
        <w:rPr>
          <w:rFonts w:ascii="Arial" w:hAnsi="Arial"/>
          <w:sz w:val="20"/>
        </w:rPr>
        <w:t>. Z významnějších skupin nejvíce rostly ceny ostatních surovin o 4,2 %, průmyslového spotřebního zboží o 3,1 %</w:t>
      </w:r>
      <w:r w:rsidRPr="008255F9">
        <w:rPr>
          <w:rFonts w:ascii="Arial" w:hAnsi="Arial"/>
          <w:sz w:val="20"/>
        </w:rPr>
        <w:t xml:space="preserve"> </w:t>
      </w:r>
      <w:r>
        <w:rPr>
          <w:rFonts w:ascii="Arial" w:hAnsi="Arial"/>
          <w:sz w:val="20"/>
        </w:rPr>
        <w:t>a ceny strojů a dopravních prostředků o 2,4 %.</w:t>
      </w:r>
      <w:r w:rsidRPr="003564C9">
        <w:rPr>
          <w:rFonts w:ascii="Arial" w:hAnsi="Arial"/>
          <w:sz w:val="20"/>
        </w:rPr>
        <w:t xml:space="preserve"> </w:t>
      </w:r>
      <w:r>
        <w:rPr>
          <w:rFonts w:ascii="Arial" w:hAnsi="Arial"/>
          <w:sz w:val="20"/>
        </w:rPr>
        <w:t>Klesly pouze ceny živočišných a rostlinných olejů o 3,8 %.</w:t>
      </w:r>
    </w:p>
    <w:p w:rsidR="007504EC" w:rsidRDefault="007504EC" w:rsidP="007504EC">
      <w:pPr>
        <w:spacing w:line="276" w:lineRule="auto"/>
        <w:jc w:val="both"/>
        <w:rPr>
          <w:rFonts w:ascii="Arial" w:hAnsi="Arial"/>
          <w:sz w:val="20"/>
          <w:highlight w:val="green"/>
        </w:rPr>
      </w:pPr>
    </w:p>
    <w:p w:rsidR="007504EC" w:rsidRDefault="007504EC" w:rsidP="007504EC">
      <w:pPr>
        <w:spacing w:line="276" w:lineRule="auto"/>
        <w:jc w:val="both"/>
        <w:rPr>
          <w:rFonts w:ascii="Arial" w:hAnsi="Arial"/>
          <w:sz w:val="20"/>
        </w:rPr>
      </w:pPr>
      <w:r w:rsidRPr="00945CA2">
        <w:rPr>
          <w:rFonts w:ascii="Arial" w:hAnsi="Arial"/>
          <w:b/>
          <w:sz w:val="20"/>
        </w:rPr>
        <w:t>Ceny dovozu</w:t>
      </w:r>
      <w:r w:rsidRPr="00945CA2">
        <w:rPr>
          <w:rFonts w:ascii="Arial" w:hAnsi="Arial"/>
          <w:sz w:val="20"/>
        </w:rPr>
        <w:t xml:space="preserve"> </w:t>
      </w:r>
      <w:r>
        <w:rPr>
          <w:rFonts w:ascii="Arial" w:hAnsi="Arial"/>
          <w:sz w:val="20"/>
        </w:rPr>
        <w:t xml:space="preserve">ve </w:t>
      </w:r>
      <w:r w:rsidRPr="00945CA2">
        <w:rPr>
          <w:rFonts w:ascii="Arial" w:hAnsi="Arial"/>
          <w:b/>
          <w:sz w:val="20"/>
        </w:rPr>
        <w:t>4. čtvrtletí 2013</w:t>
      </w:r>
      <w:r w:rsidRPr="00945CA2">
        <w:rPr>
          <w:rFonts w:ascii="Arial" w:hAnsi="Arial"/>
          <w:sz w:val="20"/>
        </w:rPr>
        <w:t xml:space="preserve"> proti </w:t>
      </w:r>
      <w:r w:rsidRPr="00945CA2">
        <w:rPr>
          <w:rFonts w:ascii="Arial" w:hAnsi="Arial"/>
          <w:b/>
          <w:sz w:val="20"/>
        </w:rPr>
        <w:t>3. čtvrtletí 2013</w:t>
      </w:r>
      <w:r w:rsidRPr="00945CA2">
        <w:rPr>
          <w:rFonts w:ascii="Arial" w:hAnsi="Arial"/>
          <w:sz w:val="20"/>
        </w:rPr>
        <w:t xml:space="preserve"> rostly o </w:t>
      </w:r>
      <w:r w:rsidR="00FC7C14">
        <w:rPr>
          <w:rFonts w:ascii="Arial" w:hAnsi="Arial"/>
          <w:sz w:val="20"/>
        </w:rPr>
        <w:t>1,5 % (ve 3. čtvrtletí pokles o </w:t>
      </w:r>
      <w:r w:rsidRPr="00945CA2">
        <w:rPr>
          <w:rFonts w:ascii="Arial" w:hAnsi="Arial"/>
          <w:sz w:val="20"/>
        </w:rPr>
        <w:t>0,8 %).</w:t>
      </w:r>
      <w:r>
        <w:rPr>
          <w:rFonts w:ascii="Arial" w:hAnsi="Arial"/>
          <w:sz w:val="20"/>
        </w:rPr>
        <w:t xml:space="preserve"> Nejvíce se zvýšily ceny polotovarů o 1,8 %, strojů a dopravních prostředků o 1,7 % a ceny průmyslového spotřebního zboží o 1,5 %.</w:t>
      </w:r>
      <w:r w:rsidRPr="00943472">
        <w:rPr>
          <w:rFonts w:ascii="Arial" w:hAnsi="Arial"/>
          <w:sz w:val="20"/>
        </w:rPr>
        <w:t xml:space="preserve"> </w:t>
      </w:r>
      <w:r>
        <w:rPr>
          <w:rFonts w:ascii="Arial" w:hAnsi="Arial"/>
          <w:sz w:val="20"/>
        </w:rPr>
        <w:t>Pokles zaznamenaly, podobně jako u </w:t>
      </w:r>
      <w:r w:rsidRPr="008F14D1">
        <w:rPr>
          <w:rFonts w:ascii="Arial" w:hAnsi="Arial"/>
          <w:sz w:val="20"/>
        </w:rPr>
        <w:t xml:space="preserve">vývozních cen, </w:t>
      </w:r>
      <w:r>
        <w:rPr>
          <w:rFonts w:ascii="Arial" w:hAnsi="Arial"/>
          <w:sz w:val="20"/>
        </w:rPr>
        <w:t xml:space="preserve">pouze ceny </w:t>
      </w:r>
      <w:r w:rsidRPr="008F14D1">
        <w:rPr>
          <w:rFonts w:ascii="Arial" w:hAnsi="Arial"/>
          <w:sz w:val="20"/>
        </w:rPr>
        <w:t>živ</w:t>
      </w:r>
      <w:r>
        <w:rPr>
          <w:rFonts w:ascii="Arial" w:hAnsi="Arial"/>
          <w:sz w:val="20"/>
        </w:rPr>
        <w:t>očišných a rostlinných olejů o 5</w:t>
      </w:r>
      <w:r w:rsidRPr="008F14D1">
        <w:rPr>
          <w:rFonts w:ascii="Arial" w:hAnsi="Arial"/>
          <w:sz w:val="20"/>
        </w:rPr>
        <w:t>,</w:t>
      </w:r>
      <w:r>
        <w:rPr>
          <w:rFonts w:ascii="Arial" w:hAnsi="Arial"/>
          <w:sz w:val="20"/>
        </w:rPr>
        <w:t>3</w:t>
      </w:r>
      <w:r w:rsidRPr="008F14D1">
        <w:rPr>
          <w:rFonts w:ascii="Arial" w:hAnsi="Arial"/>
          <w:sz w:val="20"/>
        </w:rPr>
        <w:t xml:space="preserve"> %</w:t>
      </w:r>
      <w:r>
        <w:rPr>
          <w:rFonts w:ascii="Arial" w:hAnsi="Arial"/>
          <w:sz w:val="20"/>
        </w:rPr>
        <w:t>.</w:t>
      </w:r>
    </w:p>
    <w:p w:rsidR="007504EC" w:rsidRDefault="007504EC" w:rsidP="007504EC">
      <w:pPr>
        <w:spacing w:line="276" w:lineRule="auto"/>
        <w:jc w:val="both"/>
        <w:rPr>
          <w:rFonts w:ascii="Arial" w:hAnsi="Arial"/>
          <w:sz w:val="20"/>
        </w:rPr>
      </w:pPr>
    </w:p>
    <w:p w:rsidR="007504EC" w:rsidRDefault="007504EC" w:rsidP="007504EC">
      <w:pPr>
        <w:spacing w:line="276" w:lineRule="auto"/>
        <w:jc w:val="both"/>
        <w:rPr>
          <w:rFonts w:ascii="Arial" w:hAnsi="Arial"/>
          <w:sz w:val="20"/>
        </w:rPr>
      </w:pPr>
      <w:r>
        <w:rPr>
          <w:rFonts w:ascii="Arial" w:hAnsi="Arial"/>
          <w:b/>
          <w:bCs/>
          <w:sz w:val="20"/>
        </w:rPr>
        <w:t>Směnné relace</w:t>
      </w:r>
      <w:r>
        <w:rPr>
          <w:rFonts w:ascii="Arial" w:hAnsi="Arial"/>
          <w:sz w:val="20"/>
        </w:rPr>
        <w:t xml:space="preserve"> ve </w:t>
      </w:r>
      <w:r>
        <w:rPr>
          <w:rFonts w:ascii="Arial" w:hAnsi="Arial"/>
          <w:b/>
          <w:bCs/>
          <w:sz w:val="20"/>
        </w:rPr>
        <w:t>4. čtvrtletí 2013</w:t>
      </w:r>
      <w:r>
        <w:rPr>
          <w:rFonts w:ascii="Arial" w:hAnsi="Arial"/>
          <w:sz w:val="20"/>
        </w:rPr>
        <w:t xml:space="preserve"> proti </w:t>
      </w:r>
      <w:r>
        <w:rPr>
          <w:rFonts w:ascii="Arial" w:hAnsi="Arial"/>
          <w:b/>
          <w:bCs/>
          <w:sz w:val="20"/>
        </w:rPr>
        <w:t>3. čtvrtletí 2013</w:t>
      </w:r>
      <w:r>
        <w:rPr>
          <w:rFonts w:ascii="Arial" w:hAnsi="Arial"/>
          <w:sz w:val="20"/>
        </w:rPr>
        <w:t xml:space="preserve"> dosáhly hodnoty 100,9 % (ve 3. čtvrtletí hodnota 100,1 %). Významnější pozitivní hodnoty směnných relací zaznamenaly ostatní suroviny (104,0 %), průmyslové spotřební zboží (101,6 %)</w:t>
      </w:r>
      <w:r w:rsidRPr="00F64F49">
        <w:rPr>
          <w:rFonts w:ascii="Arial" w:hAnsi="Arial"/>
          <w:sz w:val="20"/>
        </w:rPr>
        <w:t xml:space="preserve"> </w:t>
      </w:r>
      <w:r>
        <w:rPr>
          <w:rFonts w:ascii="Arial" w:hAnsi="Arial"/>
          <w:sz w:val="20"/>
        </w:rPr>
        <w:t>a stroje a dopravní prostředky (100,7 %). Nejnižších negativních hodnot</w:t>
      </w:r>
      <w:r w:rsidRPr="001B0744">
        <w:rPr>
          <w:rFonts w:ascii="Arial" w:hAnsi="Arial"/>
          <w:sz w:val="20"/>
        </w:rPr>
        <w:t xml:space="preserve"> </w:t>
      </w:r>
      <w:r>
        <w:rPr>
          <w:rFonts w:ascii="Arial" w:hAnsi="Arial"/>
          <w:sz w:val="20"/>
        </w:rPr>
        <w:t>dosáhla minerální paliva (99,6 %) a chemikálie (99,8 %).</w:t>
      </w:r>
      <w:r w:rsidRPr="00F12281">
        <w:rPr>
          <w:rFonts w:ascii="Arial" w:hAnsi="Arial"/>
          <w:sz w:val="20"/>
        </w:rPr>
        <w:t xml:space="preserve"> </w:t>
      </w:r>
    </w:p>
    <w:p w:rsidR="007504EC" w:rsidRDefault="007504EC" w:rsidP="007504EC">
      <w:pPr>
        <w:spacing w:line="276" w:lineRule="auto"/>
        <w:jc w:val="both"/>
        <w:rPr>
          <w:rFonts w:ascii="Arial" w:hAnsi="Arial"/>
          <w:sz w:val="20"/>
        </w:rPr>
      </w:pPr>
    </w:p>
    <w:p w:rsidR="009E3F31" w:rsidRDefault="009E3F31" w:rsidP="007504EC">
      <w:pPr>
        <w:spacing w:line="276" w:lineRule="auto"/>
        <w:jc w:val="both"/>
        <w:rPr>
          <w:rFonts w:ascii="Arial" w:hAnsi="Arial"/>
          <w:sz w:val="20"/>
        </w:rPr>
      </w:pPr>
      <w:r>
        <w:rPr>
          <w:rFonts w:ascii="Arial" w:hAnsi="Arial"/>
          <w:sz w:val="20"/>
        </w:rPr>
        <w:br w:type="page"/>
      </w:r>
    </w:p>
    <w:p w:rsidR="007504EC" w:rsidRDefault="009E3F31" w:rsidP="007504EC">
      <w:pPr>
        <w:spacing w:line="276" w:lineRule="auto"/>
        <w:jc w:val="both"/>
        <w:rPr>
          <w:szCs w:val="20"/>
        </w:rPr>
      </w:pPr>
      <w:r w:rsidRPr="009E3F31">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4.5pt;height:261.75pt">
            <v:imagedata r:id="rId7" o:title=""/>
          </v:shape>
        </w:pict>
      </w:r>
    </w:p>
    <w:p w:rsidR="007504EC" w:rsidRPr="00325FD7" w:rsidRDefault="007504EC" w:rsidP="007504EC">
      <w:pPr>
        <w:spacing w:line="276" w:lineRule="auto"/>
        <w:jc w:val="both"/>
        <w:rPr>
          <w:rFonts w:ascii="Arial" w:hAnsi="Arial" w:cs="Arial"/>
          <w:sz w:val="20"/>
          <w:szCs w:val="20"/>
        </w:rPr>
      </w:pPr>
    </w:p>
    <w:p w:rsidR="007504EC" w:rsidRDefault="007504EC" w:rsidP="007504EC">
      <w:pPr>
        <w:spacing w:line="276" w:lineRule="auto"/>
        <w:jc w:val="both"/>
        <w:rPr>
          <w:rFonts w:ascii="Arial" w:hAnsi="Arial"/>
          <w:sz w:val="20"/>
        </w:rPr>
      </w:pPr>
      <w:r>
        <w:rPr>
          <w:rFonts w:ascii="Arial" w:hAnsi="Arial"/>
          <w:sz w:val="20"/>
        </w:rPr>
        <w:t>Vývoj cen zahraničního obchodu významně ovlivňoval rovněž kurz koruny k hlavním zahraničním měnám. Do mezičtvrtletního indexu kurzu byly zahrnuty dvě nejvýznamnější měny z hlediska českého zahraničního obchodu, tedy EUR a USD. Mezičtvrtletní indexy kurzů CZK k těmto měnám byly</w:t>
      </w:r>
      <w:r>
        <w:t xml:space="preserve"> </w:t>
      </w:r>
      <w:r>
        <w:rPr>
          <w:rFonts w:ascii="Arial" w:hAnsi="Arial"/>
          <w:sz w:val="20"/>
        </w:rPr>
        <w:t>váženy váhou, která těmto zahraničním měnám přísluší v indexu vývozních cen, resp. dovozních cen.</w:t>
      </w:r>
    </w:p>
    <w:p w:rsidR="007504EC" w:rsidRDefault="007504EC" w:rsidP="007504EC">
      <w:pPr>
        <w:spacing w:line="276" w:lineRule="auto"/>
        <w:jc w:val="both"/>
        <w:rPr>
          <w:rFonts w:ascii="Arial" w:hAnsi="Arial"/>
          <w:sz w:val="20"/>
        </w:rPr>
      </w:pPr>
    </w:p>
    <w:p w:rsidR="007504EC" w:rsidRDefault="007504EC" w:rsidP="007504EC">
      <w:pPr>
        <w:spacing w:line="276" w:lineRule="auto"/>
        <w:jc w:val="both"/>
        <w:rPr>
          <w:rFonts w:ascii="Arial" w:hAnsi="Arial" w:cs="Arial"/>
          <w:sz w:val="20"/>
        </w:rPr>
      </w:pPr>
      <w:r w:rsidRPr="009827B3">
        <w:rPr>
          <w:rFonts w:ascii="Arial" w:hAnsi="Arial"/>
          <w:sz w:val="20"/>
          <w:szCs w:val="20"/>
        </w:rPr>
        <w:br w:type="page"/>
      </w:r>
    </w:p>
    <w:p w:rsidR="007504EC" w:rsidRPr="009827B3" w:rsidRDefault="009E3F31" w:rsidP="007504EC">
      <w:pPr>
        <w:spacing w:line="276" w:lineRule="auto"/>
        <w:jc w:val="both"/>
        <w:rPr>
          <w:rFonts w:ascii="Arial" w:hAnsi="Arial" w:cs="Arial"/>
          <w:sz w:val="20"/>
          <w:szCs w:val="20"/>
        </w:rPr>
      </w:pPr>
      <w:r w:rsidRPr="009E3F31">
        <w:rPr>
          <w:szCs w:val="20"/>
        </w:rPr>
        <w:pict>
          <v:shape id="_x0000_i1033" type="#_x0000_t75" style="width:424.5pt;height:261.75pt">
            <v:imagedata r:id="rId8" o:title=""/>
          </v:shape>
        </w:pict>
      </w:r>
    </w:p>
    <w:p w:rsidR="007504EC" w:rsidRPr="009827B3" w:rsidRDefault="009E3F31" w:rsidP="007504EC">
      <w:pPr>
        <w:spacing w:line="276" w:lineRule="auto"/>
        <w:jc w:val="both"/>
        <w:rPr>
          <w:rFonts w:ascii="Arial" w:hAnsi="Arial" w:cs="Arial"/>
          <w:sz w:val="20"/>
          <w:szCs w:val="20"/>
        </w:rPr>
      </w:pPr>
      <w:r w:rsidRPr="009E3F31">
        <w:rPr>
          <w:szCs w:val="20"/>
        </w:rPr>
        <w:pict>
          <v:shape id="_x0000_i1034" type="#_x0000_t75" style="width:424.5pt;height:261.75pt">
            <v:imagedata r:id="rId9" o:title=""/>
          </v:shape>
        </w:pict>
      </w:r>
    </w:p>
    <w:p w:rsidR="007504EC" w:rsidRDefault="007504EC" w:rsidP="007504EC">
      <w:pPr>
        <w:spacing w:line="276" w:lineRule="auto"/>
        <w:jc w:val="both"/>
        <w:rPr>
          <w:rFonts w:ascii="Arial" w:hAnsi="Arial"/>
          <w:sz w:val="20"/>
        </w:rPr>
      </w:pPr>
      <w:r>
        <w:rPr>
          <w:rFonts w:ascii="Arial" w:hAnsi="Arial"/>
          <w:sz w:val="20"/>
          <w:highlight w:val="green"/>
        </w:rPr>
        <w:br w:type="page"/>
      </w:r>
      <w:r>
        <w:rPr>
          <w:rFonts w:ascii="Arial" w:hAnsi="Arial"/>
          <w:sz w:val="20"/>
        </w:rPr>
        <w:t>Z výše uvedených grafů číslo 2 a 3 je patrné, že v případě vývozu i dovozu jsou ceny zahraničního obchodu vázány na kurzové vlivy. Kontrakty se zahraničními subjekty jsou zpravidla uzavírány na delší časové období a čím je období kontraktu delší, tím je vazba na kurzy silnější.</w:t>
      </w:r>
    </w:p>
    <w:p w:rsidR="007504EC" w:rsidRDefault="007504EC" w:rsidP="007504EC">
      <w:pPr>
        <w:spacing w:line="276" w:lineRule="auto"/>
        <w:jc w:val="both"/>
        <w:rPr>
          <w:rFonts w:ascii="Arial" w:hAnsi="Arial"/>
          <w:sz w:val="20"/>
        </w:rPr>
      </w:pPr>
    </w:p>
    <w:p w:rsidR="007504EC" w:rsidRDefault="007504EC" w:rsidP="007504EC">
      <w:pPr>
        <w:pStyle w:val="Nadpis1"/>
      </w:pPr>
      <w:r>
        <w:t>Meziroční hodnocení:</w:t>
      </w:r>
    </w:p>
    <w:p w:rsidR="007504EC" w:rsidRDefault="007504EC" w:rsidP="007504EC">
      <w:pPr>
        <w:spacing w:line="276" w:lineRule="auto"/>
        <w:jc w:val="both"/>
        <w:rPr>
          <w:rFonts w:ascii="Arial" w:hAnsi="Arial"/>
          <w:sz w:val="20"/>
          <w:highlight w:val="green"/>
        </w:rPr>
      </w:pPr>
    </w:p>
    <w:p w:rsidR="007504EC" w:rsidRDefault="007504EC" w:rsidP="007504EC">
      <w:pPr>
        <w:spacing w:line="276" w:lineRule="auto"/>
        <w:jc w:val="both"/>
        <w:rPr>
          <w:rFonts w:ascii="Arial" w:hAnsi="Arial"/>
          <w:sz w:val="20"/>
        </w:rPr>
      </w:pPr>
      <w:r>
        <w:rPr>
          <w:rFonts w:ascii="Arial" w:hAnsi="Arial"/>
          <w:b/>
          <w:bCs/>
          <w:sz w:val="20"/>
        </w:rPr>
        <w:t>Vývozní ceny</w:t>
      </w:r>
      <w:r>
        <w:rPr>
          <w:rFonts w:ascii="Arial" w:hAnsi="Arial"/>
          <w:sz w:val="20"/>
        </w:rPr>
        <w:t xml:space="preserve"> se ve</w:t>
      </w:r>
      <w:r>
        <w:rPr>
          <w:rFonts w:ascii="Arial" w:hAnsi="Arial"/>
          <w:b/>
          <w:bCs/>
          <w:sz w:val="20"/>
        </w:rPr>
        <w:t xml:space="preserve"> 4.</w:t>
      </w:r>
      <w:r>
        <w:rPr>
          <w:rFonts w:ascii="Arial" w:hAnsi="Arial"/>
          <w:sz w:val="20"/>
        </w:rPr>
        <w:t xml:space="preserve"> </w:t>
      </w:r>
      <w:r>
        <w:rPr>
          <w:rFonts w:ascii="Arial" w:hAnsi="Arial"/>
          <w:b/>
          <w:bCs/>
          <w:sz w:val="20"/>
        </w:rPr>
        <w:t>čtvrtletí 2013</w:t>
      </w:r>
      <w:r>
        <w:rPr>
          <w:rFonts w:ascii="Arial" w:hAnsi="Arial"/>
          <w:sz w:val="20"/>
        </w:rPr>
        <w:t xml:space="preserve"> zvýšily o 2,9 % (ve 3. čtvrtletí o 0,4 %). Nejvíce rostly ceny nápojů a tabáku o 20,8 %, průmyslového spotřebního zboží o 4,2 %</w:t>
      </w:r>
      <w:r w:rsidRPr="004D02D0">
        <w:rPr>
          <w:rFonts w:ascii="Arial" w:hAnsi="Arial"/>
          <w:sz w:val="20"/>
        </w:rPr>
        <w:t xml:space="preserve"> </w:t>
      </w:r>
      <w:r>
        <w:rPr>
          <w:rFonts w:ascii="Arial" w:hAnsi="Arial"/>
          <w:sz w:val="20"/>
        </w:rPr>
        <w:t>a ceny strojů a dopravních prostředků o 3,7 %. Naopak ceny minerálních paliv</w:t>
      </w:r>
      <w:r w:rsidRPr="009268C2">
        <w:rPr>
          <w:rFonts w:ascii="Arial" w:hAnsi="Arial"/>
          <w:sz w:val="20"/>
        </w:rPr>
        <w:t xml:space="preserve"> </w:t>
      </w:r>
      <w:r>
        <w:rPr>
          <w:rFonts w:ascii="Arial" w:hAnsi="Arial"/>
          <w:sz w:val="20"/>
        </w:rPr>
        <w:t>klesly o 0,8 % a ceny ostatních surovin o 0,5 %.</w:t>
      </w:r>
    </w:p>
    <w:p w:rsidR="007504EC" w:rsidRDefault="007504EC" w:rsidP="007504EC">
      <w:pPr>
        <w:spacing w:line="276" w:lineRule="auto"/>
        <w:jc w:val="both"/>
        <w:rPr>
          <w:rFonts w:ascii="Arial" w:hAnsi="Arial"/>
          <w:sz w:val="20"/>
        </w:rPr>
      </w:pPr>
    </w:p>
    <w:p w:rsidR="007504EC" w:rsidRDefault="007504EC" w:rsidP="007504EC">
      <w:pPr>
        <w:spacing w:line="276" w:lineRule="auto"/>
        <w:jc w:val="both"/>
        <w:rPr>
          <w:rFonts w:ascii="Arial" w:hAnsi="Arial"/>
          <w:sz w:val="20"/>
        </w:rPr>
      </w:pPr>
      <w:r w:rsidRPr="00336AD0">
        <w:rPr>
          <w:rFonts w:ascii="Arial" w:hAnsi="Arial"/>
          <w:b/>
          <w:bCs/>
          <w:sz w:val="20"/>
        </w:rPr>
        <w:t>Dovozní ceny</w:t>
      </w:r>
      <w:r w:rsidRPr="00336AD0">
        <w:rPr>
          <w:rFonts w:ascii="Arial" w:hAnsi="Arial"/>
          <w:sz w:val="20"/>
        </w:rPr>
        <w:t xml:space="preserve"> v</w:t>
      </w:r>
      <w:r>
        <w:rPr>
          <w:rFonts w:ascii="Arial" w:hAnsi="Arial"/>
          <w:sz w:val="20"/>
        </w:rPr>
        <w:t>e</w:t>
      </w:r>
      <w:r>
        <w:rPr>
          <w:rFonts w:ascii="Arial" w:hAnsi="Arial"/>
          <w:b/>
          <w:bCs/>
          <w:sz w:val="20"/>
        </w:rPr>
        <w:t xml:space="preserve"> 4</w:t>
      </w:r>
      <w:r w:rsidRPr="00336AD0">
        <w:rPr>
          <w:rFonts w:ascii="Arial" w:hAnsi="Arial"/>
          <w:b/>
          <w:bCs/>
          <w:sz w:val="20"/>
        </w:rPr>
        <w:t>. čtvrtletí 201</w:t>
      </w:r>
      <w:r>
        <w:rPr>
          <w:rFonts w:ascii="Arial" w:hAnsi="Arial"/>
          <w:b/>
          <w:bCs/>
          <w:sz w:val="20"/>
        </w:rPr>
        <w:t>3</w:t>
      </w:r>
      <w:r w:rsidRPr="00336AD0">
        <w:rPr>
          <w:rFonts w:ascii="Arial" w:hAnsi="Arial"/>
          <w:sz w:val="20"/>
        </w:rPr>
        <w:t xml:space="preserve"> </w:t>
      </w:r>
      <w:r>
        <w:rPr>
          <w:rFonts w:ascii="Arial" w:hAnsi="Arial"/>
          <w:sz w:val="20"/>
        </w:rPr>
        <w:t>rost</w:t>
      </w:r>
      <w:r w:rsidRPr="00336AD0">
        <w:rPr>
          <w:rFonts w:ascii="Arial" w:hAnsi="Arial"/>
          <w:sz w:val="20"/>
        </w:rPr>
        <w:t>ly o </w:t>
      </w:r>
      <w:r>
        <w:rPr>
          <w:rFonts w:ascii="Arial" w:hAnsi="Arial"/>
          <w:sz w:val="20"/>
        </w:rPr>
        <w:t>1</w:t>
      </w:r>
      <w:r w:rsidRPr="00336AD0">
        <w:rPr>
          <w:rFonts w:ascii="Arial" w:hAnsi="Arial"/>
          <w:sz w:val="20"/>
        </w:rPr>
        <w:t>,</w:t>
      </w:r>
      <w:r>
        <w:rPr>
          <w:rFonts w:ascii="Arial" w:hAnsi="Arial"/>
          <w:sz w:val="20"/>
        </w:rPr>
        <w:t>0 % (ve</w:t>
      </w:r>
      <w:r w:rsidRPr="00336AD0">
        <w:rPr>
          <w:rFonts w:ascii="Arial" w:hAnsi="Arial"/>
          <w:sz w:val="20"/>
        </w:rPr>
        <w:t xml:space="preserve"> </w:t>
      </w:r>
      <w:r>
        <w:rPr>
          <w:rFonts w:ascii="Arial" w:hAnsi="Arial"/>
          <w:sz w:val="20"/>
        </w:rPr>
        <w:t>3</w:t>
      </w:r>
      <w:r w:rsidRPr="00336AD0">
        <w:rPr>
          <w:rFonts w:ascii="Arial" w:hAnsi="Arial"/>
          <w:sz w:val="20"/>
        </w:rPr>
        <w:t xml:space="preserve">. čtvrtletí </w:t>
      </w:r>
      <w:r>
        <w:rPr>
          <w:rFonts w:ascii="Arial" w:hAnsi="Arial"/>
          <w:sz w:val="20"/>
        </w:rPr>
        <w:t xml:space="preserve">pokles </w:t>
      </w:r>
      <w:r w:rsidRPr="00336AD0">
        <w:rPr>
          <w:rFonts w:ascii="Arial" w:hAnsi="Arial"/>
          <w:sz w:val="20"/>
        </w:rPr>
        <w:t xml:space="preserve">o </w:t>
      </w:r>
      <w:r>
        <w:rPr>
          <w:rFonts w:ascii="Arial" w:hAnsi="Arial"/>
          <w:sz w:val="20"/>
        </w:rPr>
        <w:t>0</w:t>
      </w:r>
      <w:r w:rsidRPr="00336AD0">
        <w:rPr>
          <w:rFonts w:ascii="Arial" w:hAnsi="Arial"/>
          <w:sz w:val="20"/>
        </w:rPr>
        <w:t>,</w:t>
      </w:r>
      <w:r>
        <w:rPr>
          <w:rFonts w:ascii="Arial" w:hAnsi="Arial"/>
          <w:sz w:val="20"/>
        </w:rPr>
        <w:t>9</w:t>
      </w:r>
      <w:r w:rsidRPr="00336AD0">
        <w:rPr>
          <w:rFonts w:ascii="Arial" w:hAnsi="Arial"/>
          <w:sz w:val="20"/>
        </w:rPr>
        <w:t> %).</w:t>
      </w:r>
      <w:r>
        <w:rPr>
          <w:rFonts w:ascii="Arial" w:hAnsi="Arial"/>
          <w:sz w:val="20"/>
        </w:rPr>
        <w:t xml:space="preserve"> </w:t>
      </w:r>
      <w:r w:rsidRPr="00573222">
        <w:rPr>
          <w:rFonts w:ascii="Arial" w:hAnsi="Arial"/>
          <w:sz w:val="20"/>
        </w:rPr>
        <w:t>Z</w:t>
      </w:r>
      <w:r>
        <w:rPr>
          <w:rFonts w:ascii="Arial" w:hAnsi="Arial"/>
          <w:sz w:val="20"/>
        </w:rPr>
        <w:t> </w:t>
      </w:r>
      <w:r w:rsidRPr="00573222">
        <w:rPr>
          <w:rFonts w:ascii="Arial" w:hAnsi="Arial"/>
          <w:sz w:val="20"/>
        </w:rPr>
        <w:t xml:space="preserve">významnějších skupin </w:t>
      </w:r>
      <w:r>
        <w:rPr>
          <w:rFonts w:ascii="Arial" w:hAnsi="Arial"/>
          <w:sz w:val="20"/>
        </w:rPr>
        <w:t xml:space="preserve">se </w:t>
      </w:r>
      <w:r w:rsidRPr="00573222">
        <w:rPr>
          <w:rFonts w:ascii="Arial" w:hAnsi="Arial"/>
          <w:sz w:val="20"/>
        </w:rPr>
        <w:t>nejvíce</w:t>
      </w:r>
      <w:r>
        <w:rPr>
          <w:rFonts w:ascii="Arial" w:hAnsi="Arial"/>
          <w:sz w:val="20"/>
        </w:rPr>
        <w:t xml:space="preserve"> zvýšily ceny potravin o 5,3 %, průmyslového spotřebního zboží o 3,2 % a ceny</w:t>
      </w:r>
      <w:r w:rsidRPr="00573222">
        <w:rPr>
          <w:rFonts w:ascii="Arial" w:hAnsi="Arial"/>
          <w:sz w:val="20"/>
        </w:rPr>
        <w:t xml:space="preserve"> </w:t>
      </w:r>
      <w:r>
        <w:rPr>
          <w:rFonts w:ascii="Arial" w:hAnsi="Arial"/>
          <w:sz w:val="20"/>
        </w:rPr>
        <w:t>strojů a dopravních prostředků o 2,4 %. Klesly ceny minerálních paliv o 4,7 %, ostatních surovin</w:t>
      </w:r>
      <w:r w:rsidRPr="00CA393C">
        <w:rPr>
          <w:rFonts w:ascii="Arial" w:hAnsi="Arial"/>
          <w:sz w:val="20"/>
        </w:rPr>
        <w:t xml:space="preserve"> </w:t>
      </w:r>
      <w:r>
        <w:rPr>
          <w:rFonts w:ascii="Arial" w:hAnsi="Arial"/>
          <w:sz w:val="20"/>
        </w:rPr>
        <w:t>o 1,7 % a ceny chemikálií o 0,7 %.</w:t>
      </w:r>
    </w:p>
    <w:p w:rsidR="007504EC" w:rsidRDefault="007504EC" w:rsidP="007504EC">
      <w:pPr>
        <w:spacing w:line="276" w:lineRule="auto"/>
        <w:jc w:val="both"/>
        <w:rPr>
          <w:rFonts w:ascii="Arial" w:hAnsi="Arial"/>
          <w:sz w:val="20"/>
        </w:rPr>
      </w:pPr>
    </w:p>
    <w:p w:rsidR="007504EC" w:rsidRDefault="007504EC" w:rsidP="007504EC">
      <w:pPr>
        <w:spacing w:line="276" w:lineRule="auto"/>
        <w:jc w:val="both"/>
        <w:rPr>
          <w:rFonts w:ascii="Arial" w:hAnsi="Arial"/>
          <w:sz w:val="20"/>
        </w:rPr>
      </w:pPr>
      <w:r>
        <w:rPr>
          <w:rFonts w:ascii="Arial" w:hAnsi="Arial"/>
          <w:b/>
          <w:bCs/>
          <w:sz w:val="20"/>
        </w:rPr>
        <w:t>Směnné relace</w:t>
      </w:r>
      <w:r>
        <w:rPr>
          <w:rFonts w:ascii="Arial" w:hAnsi="Arial"/>
          <w:sz w:val="20"/>
        </w:rPr>
        <w:t xml:space="preserve"> se meziročně ve</w:t>
      </w:r>
      <w:r>
        <w:rPr>
          <w:rFonts w:ascii="Arial" w:hAnsi="Arial"/>
          <w:b/>
          <w:bCs/>
          <w:sz w:val="20"/>
        </w:rPr>
        <w:t xml:space="preserve"> 4. čtvrtletí 2013</w:t>
      </w:r>
      <w:r>
        <w:rPr>
          <w:rFonts w:ascii="Arial" w:hAnsi="Arial"/>
          <w:sz w:val="20"/>
        </w:rPr>
        <w:t xml:space="preserve"> zvýšily na hodnotu 101,9 % (ve 3. čtvrtletí hodnota 101,3 %) a čtvrté čtvrtletí zůstaly v pozitivních hodnotách – viz graf číslo 4. Významné pozitivní hodnoty byly zaznamenány</w:t>
      </w:r>
      <w:r w:rsidRPr="00ED776A">
        <w:rPr>
          <w:rFonts w:ascii="Arial" w:hAnsi="Arial"/>
          <w:sz w:val="20"/>
        </w:rPr>
        <w:t xml:space="preserve"> </w:t>
      </w:r>
      <w:r>
        <w:rPr>
          <w:rFonts w:ascii="Arial" w:hAnsi="Arial"/>
          <w:sz w:val="20"/>
        </w:rPr>
        <w:t>u minerálních paliv (104,1 %), strojů a dopravních prostředků (101,3 %)</w:t>
      </w:r>
      <w:r w:rsidRPr="00274F51">
        <w:rPr>
          <w:rFonts w:ascii="Arial" w:hAnsi="Arial"/>
          <w:sz w:val="20"/>
        </w:rPr>
        <w:t xml:space="preserve"> </w:t>
      </w:r>
      <w:r>
        <w:rPr>
          <w:rFonts w:ascii="Arial" w:hAnsi="Arial"/>
          <w:sz w:val="20"/>
        </w:rPr>
        <w:t>a ostatních surovin (101,2 %). Negativních hodnot směnných relací dosáhly pouze potraviny (95,0 %).</w:t>
      </w:r>
    </w:p>
    <w:p w:rsidR="007504EC" w:rsidRDefault="007504EC" w:rsidP="007504EC">
      <w:pPr>
        <w:spacing w:line="276" w:lineRule="auto"/>
        <w:jc w:val="both"/>
        <w:rPr>
          <w:rFonts w:ascii="Arial" w:hAnsi="Arial" w:cs="Arial"/>
          <w:sz w:val="20"/>
        </w:rPr>
      </w:pPr>
    </w:p>
    <w:p w:rsidR="007504EC" w:rsidRPr="009827B3" w:rsidRDefault="009E3F31" w:rsidP="007504EC">
      <w:pPr>
        <w:spacing w:line="276" w:lineRule="auto"/>
        <w:jc w:val="both"/>
        <w:rPr>
          <w:rFonts w:ascii="Arial" w:hAnsi="Arial" w:cs="Arial"/>
          <w:sz w:val="20"/>
          <w:szCs w:val="20"/>
        </w:rPr>
      </w:pPr>
      <w:r w:rsidRPr="009E3F31">
        <w:rPr>
          <w:szCs w:val="20"/>
        </w:rPr>
        <w:pict>
          <v:shape id="_x0000_i1035" type="#_x0000_t75" style="width:424.5pt;height:261.75pt">
            <v:imagedata r:id="rId10" o:title=""/>
          </v:shape>
        </w:pict>
      </w:r>
    </w:p>
    <w:p w:rsidR="007504EC" w:rsidRDefault="007504EC" w:rsidP="007504EC">
      <w:pPr>
        <w:spacing w:line="276" w:lineRule="auto"/>
        <w:rPr>
          <w:rFonts w:ascii="Arial" w:hAnsi="Arial" w:cs="Arial"/>
          <w:sz w:val="20"/>
        </w:rPr>
      </w:pPr>
      <w:r>
        <w:rPr>
          <w:rFonts w:ascii="Arial" w:hAnsi="Arial"/>
          <w:sz w:val="20"/>
        </w:rPr>
        <w:br w:type="page"/>
      </w:r>
    </w:p>
    <w:p w:rsidR="007504EC" w:rsidRPr="00A62AA1" w:rsidRDefault="007504EC" w:rsidP="00FC7C14">
      <w:pPr>
        <w:pStyle w:val="Nadpis1"/>
        <w:jc w:val="both"/>
      </w:pPr>
      <w:r w:rsidRPr="00A62AA1">
        <w:t>Vývoj v roce 2013</w:t>
      </w:r>
    </w:p>
    <w:p w:rsidR="007504EC" w:rsidRPr="00A62AA1" w:rsidRDefault="007504EC" w:rsidP="00FC7C14">
      <w:pPr>
        <w:spacing w:line="276" w:lineRule="auto"/>
        <w:jc w:val="both"/>
        <w:rPr>
          <w:rFonts w:ascii="Arial" w:hAnsi="Arial" w:cs="Arial"/>
          <w:sz w:val="20"/>
          <w:szCs w:val="20"/>
        </w:rPr>
      </w:pPr>
    </w:p>
    <w:p w:rsidR="007504EC" w:rsidRPr="00A62AA1" w:rsidRDefault="007504EC" w:rsidP="00FC7C14">
      <w:pPr>
        <w:spacing w:line="276" w:lineRule="auto"/>
        <w:jc w:val="both"/>
        <w:rPr>
          <w:rFonts w:ascii="Arial" w:hAnsi="Arial" w:cs="Arial"/>
          <w:sz w:val="20"/>
          <w:szCs w:val="20"/>
        </w:rPr>
      </w:pPr>
      <w:r w:rsidRPr="00A62AA1">
        <w:rPr>
          <w:rFonts w:ascii="Arial" w:hAnsi="Arial" w:cs="Arial"/>
          <w:b/>
          <w:sz w:val="20"/>
          <w:szCs w:val="20"/>
        </w:rPr>
        <w:t>V průměru za celý rok 2013</w:t>
      </w:r>
      <w:r w:rsidRPr="00A62AA1">
        <w:rPr>
          <w:rFonts w:ascii="Arial" w:hAnsi="Arial" w:cs="Arial"/>
          <w:sz w:val="20"/>
          <w:szCs w:val="20"/>
        </w:rPr>
        <w:t xml:space="preserve"> se </w:t>
      </w:r>
      <w:r w:rsidRPr="00A62AA1">
        <w:rPr>
          <w:rFonts w:ascii="Arial" w:hAnsi="Arial" w:cs="Arial"/>
          <w:b/>
          <w:sz w:val="20"/>
          <w:szCs w:val="20"/>
        </w:rPr>
        <w:t>vývozní ceny</w:t>
      </w:r>
      <w:r w:rsidRPr="00A62AA1">
        <w:rPr>
          <w:rFonts w:ascii="Arial" w:hAnsi="Arial" w:cs="Arial"/>
          <w:sz w:val="20"/>
          <w:szCs w:val="20"/>
        </w:rPr>
        <w:t xml:space="preserve"> zvýšily o 1,2 % (za rok 2012 o 2,9 %), </w:t>
      </w:r>
      <w:r w:rsidRPr="00FC7C14">
        <w:rPr>
          <w:rFonts w:ascii="Arial" w:hAnsi="Arial" w:cs="Arial"/>
          <w:b/>
          <w:sz w:val="20"/>
          <w:szCs w:val="20"/>
        </w:rPr>
        <w:t>d</w:t>
      </w:r>
      <w:r w:rsidRPr="00A62AA1">
        <w:rPr>
          <w:rFonts w:ascii="Arial" w:hAnsi="Arial" w:cs="Arial"/>
          <w:b/>
          <w:sz w:val="20"/>
          <w:szCs w:val="20"/>
        </w:rPr>
        <w:t>ovozní ceny</w:t>
      </w:r>
      <w:r w:rsidRPr="00A62AA1">
        <w:rPr>
          <w:rFonts w:ascii="Arial" w:hAnsi="Arial" w:cs="Arial"/>
          <w:sz w:val="20"/>
          <w:szCs w:val="20"/>
        </w:rPr>
        <w:t xml:space="preserve"> se snížily o 0,2 % (za rok 2012 růst o 4,2 %).</w:t>
      </w:r>
    </w:p>
    <w:p w:rsidR="007504EC" w:rsidRPr="00A62AA1" w:rsidRDefault="007504EC" w:rsidP="00FC7C14">
      <w:pPr>
        <w:spacing w:line="276" w:lineRule="auto"/>
        <w:jc w:val="both"/>
        <w:rPr>
          <w:rFonts w:ascii="Arial" w:hAnsi="Arial" w:cs="Arial"/>
          <w:sz w:val="20"/>
          <w:szCs w:val="20"/>
        </w:rPr>
      </w:pPr>
    </w:p>
    <w:p w:rsidR="007504EC" w:rsidRPr="00A62AA1" w:rsidRDefault="007504EC" w:rsidP="00FC7C14">
      <w:pPr>
        <w:spacing w:line="276" w:lineRule="auto"/>
        <w:jc w:val="both"/>
        <w:rPr>
          <w:rFonts w:ascii="Arial" w:hAnsi="Arial" w:cs="Arial"/>
          <w:sz w:val="20"/>
          <w:szCs w:val="20"/>
        </w:rPr>
      </w:pPr>
      <w:r w:rsidRPr="00A62AA1">
        <w:rPr>
          <w:rFonts w:ascii="Arial" w:hAnsi="Arial" w:cs="Arial"/>
          <w:sz w:val="20"/>
          <w:szCs w:val="20"/>
        </w:rPr>
        <w:t xml:space="preserve">Ve </w:t>
      </w:r>
      <w:r w:rsidRPr="00A62AA1">
        <w:rPr>
          <w:rFonts w:ascii="Arial" w:hAnsi="Arial" w:cs="Arial"/>
          <w:b/>
          <w:sz w:val="20"/>
          <w:szCs w:val="20"/>
        </w:rPr>
        <w:t>vývozních cenách</w:t>
      </w:r>
      <w:r w:rsidRPr="00A62AA1">
        <w:rPr>
          <w:rFonts w:ascii="Arial" w:hAnsi="Arial" w:cs="Arial"/>
          <w:sz w:val="20"/>
          <w:szCs w:val="20"/>
        </w:rPr>
        <w:t xml:space="preserve"> se z významnějších skupin zvýšily ceny průmyslového spotřebního zboží o 2,5 %, potravin o 2,4 %, strojů a dopravních prostředků </w:t>
      </w:r>
      <w:r w:rsidR="00FC7C14">
        <w:rPr>
          <w:rFonts w:ascii="Arial" w:hAnsi="Arial" w:cs="Arial"/>
          <w:sz w:val="20"/>
          <w:szCs w:val="20"/>
        </w:rPr>
        <w:t>o 2,0 % a ceny chemikálií o 0,4 </w:t>
      </w:r>
      <w:r w:rsidRPr="00A62AA1">
        <w:rPr>
          <w:rFonts w:ascii="Arial" w:hAnsi="Arial" w:cs="Arial"/>
          <w:sz w:val="20"/>
          <w:szCs w:val="20"/>
        </w:rPr>
        <w:t>%. Ceny minerálních paliv klesly o 3,6 % a ceny ostatních surovin o 1,7 %.</w:t>
      </w:r>
    </w:p>
    <w:p w:rsidR="007504EC" w:rsidRPr="00A62AA1" w:rsidRDefault="007504EC" w:rsidP="00FC7C14">
      <w:pPr>
        <w:spacing w:line="276" w:lineRule="auto"/>
        <w:jc w:val="both"/>
        <w:rPr>
          <w:rFonts w:ascii="Arial" w:hAnsi="Arial" w:cs="Arial"/>
          <w:sz w:val="20"/>
          <w:szCs w:val="20"/>
        </w:rPr>
      </w:pPr>
    </w:p>
    <w:p w:rsidR="007504EC" w:rsidRPr="00A62AA1" w:rsidRDefault="007504EC" w:rsidP="00FC7C14">
      <w:pPr>
        <w:spacing w:line="276" w:lineRule="auto"/>
        <w:jc w:val="both"/>
        <w:rPr>
          <w:rFonts w:ascii="Arial" w:hAnsi="Arial" w:cs="Arial"/>
          <w:sz w:val="20"/>
          <w:szCs w:val="20"/>
        </w:rPr>
      </w:pPr>
      <w:r w:rsidRPr="00A62AA1">
        <w:rPr>
          <w:rFonts w:ascii="Arial" w:hAnsi="Arial" w:cs="Arial"/>
          <w:sz w:val="20"/>
          <w:szCs w:val="20"/>
        </w:rPr>
        <w:t xml:space="preserve">V </w:t>
      </w:r>
      <w:r w:rsidRPr="00A62AA1">
        <w:rPr>
          <w:rFonts w:ascii="Arial" w:hAnsi="Arial" w:cs="Arial"/>
          <w:b/>
          <w:sz w:val="20"/>
          <w:szCs w:val="20"/>
        </w:rPr>
        <w:t>dovozních cenách</w:t>
      </w:r>
      <w:r w:rsidRPr="00A62AA1">
        <w:rPr>
          <w:rFonts w:ascii="Arial" w:hAnsi="Arial" w:cs="Arial"/>
          <w:sz w:val="20"/>
          <w:szCs w:val="20"/>
        </w:rPr>
        <w:t xml:space="preserve"> se významně snížily ceny minerálních pa</w:t>
      </w:r>
      <w:r w:rsidR="00FC7C14">
        <w:rPr>
          <w:rFonts w:ascii="Arial" w:hAnsi="Arial" w:cs="Arial"/>
          <w:sz w:val="20"/>
          <w:szCs w:val="20"/>
        </w:rPr>
        <w:t>liv o 6,0 % (v roce 2012 růst o </w:t>
      </w:r>
      <w:r w:rsidRPr="00A62AA1">
        <w:rPr>
          <w:rFonts w:ascii="Arial" w:hAnsi="Arial" w:cs="Arial"/>
          <w:sz w:val="20"/>
          <w:szCs w:val="20"/>
        </w:rPr>
        <w:t>15,7 %), ostatních surovin o 5,8 % a ceny chemikálií o 0,7 %.</w:t>
      </w:r>
      <w:r w:rsidR="004C6D61">
        <w:rPr>
          <w:rFonts w:ascii="Arial" w:hAnsi="Arial" w:cs="Arial"/>
          <w:sz w:val="20"/>
          <w:szCs w:val="20"/>
        </w:rPr>
        <w:t xml:space="preserve"> Ceny potravin se zvýšily o 5,7 </w:t>
      </w:r>
      <w:r w:rsidRPr="00A62AA1">
        <w:rPr>
          <w:rFonts w:ascii="Arial" w:hAnsi="Arial" w:cs="Arial"/>
          <w:sz w:val="20"/>
          <w:szCs w:val="20"/>
        </w:rPr>
        <w:t>%, průmyslového spotřebního zboží o 1,9 % a ceny stroj</w:t>
      </w:r>
      <w:r w:rsidR="004C6D61">
        <w:rPr>
          <w:rFonts w:ascii="Arial" w:hAnsi="Arial" w:cs="Arial"/>
          <w:sz w:val="20"/>
          <w:szCs w:val="20"/>
        </w:rPr>
        <w:t>ů a dopravních prostředků o 1,0 </w:t>
      </w:r>
      <w:r w:rsidRPr="00A62AA1">
        <w:rPr>
          <w:rFonts w:ascii="Arial" w:hAnsi="Arial" w:cs="Arial"/>
          <w:sz w:val="20"/>
          <w:szCs w:val="20"/>
        </w:rPr>
        <w:t>%.</w:t>
      </w:r>
    </w:p>
    <w:p w:rsidR="007504EC" w:rsidRPr="00A62AA1" w:rsidRDefault="007504EC" w:rsidP="00FC7C14">
      <w:pPr>
        <w:spacing w:line="276" w:lineRule="auto"/>
        <w:jc w:val="both"/>
        <w:rPr>
          <w:rFonts w:ascii="Arial" w:hAnsi="Arial" w:cs="Arial"/>
          <w:sz w:val="20"/>
          <w:szCs w:val="20"/>
        </w:rPr>
      </w:pPr>
    </w:p>
    <w:p w:rsidR="007504EC" w:rsidRPr="00A62AA1" w:rsidRDefault="007504EC" w:rsidP="00FC7C14">
      <w:pPr>
        <w:spacing w:line="276" w:lineRule="auto"/>
        <w:jc w:val="both"/>
        <w:rPr>
          <w:rFonts w:ascii="Arial" w:hAnsi="Arial" w:cs="Arial"/>
          <w:sz w:val="20"/>
          <w:szCs w:val="20"/>
        </w:rPr>
      </w:pPr>
      <w:r w:rsidRPr="00A62AA1">
        <w:rPr>
          <w:rFonts w:ascii="Arial" w:hAnsi="Arial" w:cs="Arial"/>
          <w:b/>
          <w:sz w:val="20"/>
          <w:szCs w:val="20"/>
        </w:rPr>
        <w:t>Směnné relace</w:t>
      </w:r>
      <w:r w:rsidRPr="00A62AA1">
        <w:rPr>
          <w:rFonts w:ascii="Arial" w:hAnsi="Arial" w:cs="Arial"/>
          <w:sz w:val="20"/>
          <w:szCs w:val="20"/>
        </w:rPr>
        <w:t xml:space="preserve"> dosáhly v úhrnu v roce 2013 hodnoty 101,4 % (</w:t>
      </w:r>
      <w:r w:rsidR="00FC7C14">
        <w:rPr>
          <w:rFonts w:ascii="Arial" w:hAnsi="Arial" w:cs="Arial"/>
          <w:sz w:val="20"/>
          <w:szCs w:val="20"/>
        </w:rPr>
        <w:t>v roce 2012 činily 98,8 %) a po </w:t>
      </w:r>
      <w:r w:rsidRPr="00A62AA1">
        <w:rPr>
          <w:rFonts w:ascii="Arial" w:hAnsi="Arial" w:cs="Arial"/>
          <w:sz w:val="20"/>
          <w:szCs w:val="20"/>
        </w:rPr>
        <w:t>třech letech zaznamenaly pozitivní hodnoty.</w:t>
      </w:r>
    </w:p>
    <w:p w:rsidR="007504EC" w:rsidRPr="00A62AA1" w:rsidRDefault="007504EC" w:rsidP="007504EC">
      <w:pPr>
        <w:spacing w:line="276" w:lineRule="auto"/>
        <w:rPr>
          <w:rFonts w:ascii="Arial" w:hAnsi="Arial" w:cs="Arial"/>
          <w:sz w:val="20"/>
          <w:szCs w:val="20"/>
        </w:rPr>
      </w:pPr>
    </w:p>
    <w:p w:rsidR="007504EC" w:rsidRPr="009827B3" w:rsidRDefault="00FB3479" w:rsidP="007504EC">
      <w:pPr>
        <w:spacing w:line="276" w:lineRule="auto"/>
        <w:jc w:val="both"/>
        <w:rPr>
          <w:rFonts w:ascii="Arial" w:hAnsi="Arial" w:cs="Arial"/>
          <w:sz w:val="20"/>
          <w:szCs w:val="20"/>
        </w:rPr>
      </w:pPr>
      <w:r w:rsidRPr="00FB3479">
        <w:rPr>
          <w:szCs w:val="20"/>
        </w:rPr>
        <w:pict>
          <v:shape id="_x0000_i1029" type="#_x0000_t75" style="width:424.5pt;height:261.75pt">
            <v:imagedata r:id="rId11" o:title=""/>
          </v:shape>
        </w:pict>
      </w:r>
    </w:p>
    <w:p w:rsidR="007504EC" w:rsidRDefault="007504EC" w:rsidP="007504EC">
      <w:pPr>
        <w:spacing w:line="276" w:lineRule="auto"/>
        <w:jc w:val="both"/>
        <w:rPr>
          <w:rFonts w:ascii="Arial" w:hAnsi="Arial" w:cs="Arial"/>
          <w:sz w:val="20"/>
        </w:rPr>
      </w:pPr>
    </w:p>
    <w:p w:rsidR="007504EC" w:rsidRPr="004B7530" w:rsidRDefault="007504EC" w:rsidP="007504EC">
      <w:pPr>
        <w:pStyle w:val="Nadpis1"/>
      </w:pPr>
      <w:r w:rsidRPr="009827B3">
        <w:br w:type="page"/>
      </w:r>
      <w:r w:rsidRPr="004B7530">
        <w:t>Meziroční kurzově očištěné indexy cen zahraničního obchodu</w:t>
      </w:r>
    </w:p>
    <w:p w:rsidR="007504EC" w:rsidRDefault="007504EC" w:rsidP="007504EC">
      <w:pPr>
        <w:spacing w:line="276" w:lineRule="auto"/>
        <w:jc w:val="both"/>
        <w:rPr>
          <w:rFonts w:ascii="Arial" w:hAnsi="Arial" w:cs="Arial"/>
          <w:b/>
          <w:bCs/>
          <w:sz w:val="20"/>
        </w:rPr>
      </w:pPr>
    </w:p>
    <w:p w:rsidR="007504EC" w:rsidRPr="004B7530" w:rsidRDefault="007504EC" w:rsidP="007504EC">
      <w:pPr>
        <w:spacing w:line="276" w:lineRule="auto"/>
        <w:jc w:val="both"/>
        <w:rPr>
          <w:rFonts w:ascii="Arial" w:hAnsi="Arial" w:cs="Arial"/>
          <w:sz w:val="20"/>
          <w:szCs w:val="20"/>
        </w:rPr>
      </w:pPr>
      <w:r w:rsidRPr="004B7530">
        <w:rPr>
          <w:rFonts w:ascii="Arial" w:hAnsi="Arial" w:cs="Arial"/>
          <w:sz w:val="20"/>
          <w:szCs w:val="20"/>
        </w:rPr>
        <w:t xml:space="preserve">ČSÚ počítá také meziroční indexy cen zahraničního obchodu očištěné o kurzové vlivy. Postupuje se tak, že ceny v cizích měnách vykázané za aktuální měsíc jsou </w:t>
      </w:r>
      <w:r w:rsidRPr="004B7530">
        <w:rPr>
          <w:rFonts w:ascii="Arial" w:hAnsi="Arial" w:cs="Arial"/>
          <w:b/>
          <w:bCs/>
          <w:sz w:val="20"/>
          <w:szCs w:val="20"/>
        </w:rPr>
        <w:t>přepočteny</w:t>
      </w:r>
      <w:r w:rsidRPr="004B7530">
        <w:rPr>
          <w:rFonts w:ascii="Arial" w:hAnsi="Arial" w:cs="Arial"/>
          <w:sz w:val="20"/>
          <w:szCs w:val="20"/>
        </w:rPr>
        <w:t xml:space="preserve"> na české koruny </w:t>
      </w:r>
      <w:r w:rsidRPr="004B7530">
        <w:rPr>
          <w:rFonts w:ascii="Arial" w:hAnsi="Arial" w:cs="Arial"/>
          <w:b/>
          <w:bCs/>
          <w:sz w:val="20"/>
          <w:szCs w:val="20"/>
        </w:rPr>
        <w:t>kurzem</w:t>
      </w:r>
      <w:r w:rsidRPr="004B7530">
        <w:rPr>
          <w:rFonts w:ascii="Arial" w:hAnsi="Arial" w:cs="Arial"/>
          <w:sz w:val="20"/>
          <w:szCs w:val="20"/>
        </w:rPr>
        <w:t xml:space="preserve"> stejného měsíce </w:t>
      </w:r>
      <w:r w:rsidRPr="004B7530">
        <w:rPr>
          <w:rFonts w:ascii="Arial" w:hAnsi="Arial" w:cs="Arial"/>
          <w:b/>
          <w:bCs/>
          <w:sz w:val="20"/>
          <w:szCs w:val="20"/>
        </w:rPr>
        <w:t>minulého roku</w:t>
      </w:r>
      <w:r w:rsidRPr="004B7530">
        <w:rPr>
          <w:rFonts w:ascii="Arial" w:hAnsi="Arial" w:cs="Arial"/>
          <w:sz w:val="20"/>
          <w:szCs w:val="20"/>
        </w:rPr>
        <w:t xml:space="preserve">. Spolu s cenami vykazovanými v CZK vstupují do výpočtu váženého průměru. Tento kurzově očištěný bazický cenový index je vztažen k neočištěnému bazickému cenovému indexu stejného měsíce minulého roku, tím je spočten meziroční očištěný cenový index. </w:t>
      </w:r>
      <w:r w:rsidRPr="004B7530">
        <w:rPr>
          <w:rFonts w:ascii="Arial" w:hAnsi="Arial" w:cs="Arial"/>
          <w:b/>
          <w:bCs/>
          <w:sz w:val="20"/>
          <w:szCs w:val="20"/>
        </w:rPr>
        <w:t>Rozdíly mezi očištěnými a neočištěnými cenovými indexy mohou být značné</w:t>
      </w:r>
      <w:r w:rsidRPr="004B7530">
        <w:rPr>
          <w:rFonts w:ascii="Arial" w:hAnsi="Arial" w:cs="Arial"/>
          <w:sz w:val="20"/>
          <w:szCs w:val="20"/>
        </w:rPr>
        <w:t>, dobře viditelné jsou z graf</w:t>
      </w:r>
      <w:r>
        <w:rPr>
          <w:rFonts w:ascii="Arial" w:hAnsi="Arial" w:cs="Arial"/>
          <w:sz w:val="20"/>
          <w:szCs w:val="20"/>
        </w:rPr>
        <w:t>u číslo 6 a 7, například v </w:t>
      </w:r>
      <w:r w:rsidR="00601E1B">
        <w:rPr>
          <w:rFonts w:ascii="Arial" w:hAnsi="Arial" w:cs="Arial"/>
          <w:sz w:val="20"/>
          <w:szCs w:val="20"/>
        </w:rPr>
        <w:t>listopadu</w:t>
      </w:r>
      <w:r>
        <w:rPr>
          <w:rFonts w:ascii="Arial" w:hAnsi="Arial" w:cs="Arial"/>
          <w:sz w:val="20"/>
          <w:szCs w:val="20"/>
        </w:rPr>
        <w:t xml:space="preserve"> a </w:t>
      </w:r>
      <w:r w:rsidR="00601E1B">
        <w:rPr>
          <w:rFonts w:ascii="Arial" w:hAnsi="Arial" w:cs="Arial"/>
          <w:sz w:val="20"/>
          <w:szCs w:val="20"/>
        </w:rPr>
        <w:t>prosinci</w:t>
      </w:r>
      <w:r>
        <w:rPr>
          <w:rFonts w:ascii="Arial" w:hAnsi="Arial" w:cs="Arial"/>
          <w:sz w:val="20"/>
          <w:szCs w:val="20"/>
        </w:rPr>
        <w:t xml:space="preserve"> 201</w:t>
      </w:r>
      <w:r w:rsidR="00601E1B">
        <w:rPr>
          <w:rFonts w:ascii="Arial" w:hAnsi="Arial" w:cs="Arial"/>
          <w:sz w:val="20"/>
          <w:szCs w:val="20"/>
        </w:rPr>
        <w:t>3</w:t>
      </w:r>
      <w:r w:rsidRPr="004B7530">
        <w:rPr>
          <w:rFonts w:ascii="Arial" w:hAnsi="Arial" w:cs="Arial"/>
          <w:sz w:val="20"/>
          <w:szCs w:val="20"/>
        </w:rPr>
        <w:t>.</w:t>
      </w:r>
    </w:p>
    <w:p w:rsidR="007504EC" w:rsidRPr="004B7530" w:rsidRDefault="007504EC" w:rsidP="007504EC">
      <w:pPr>
        <w:spacing w:line="276" w:lineRule="auto"/>
        <w:jc w:val="both"/>
        <w:rPr>
          <w:rFonts w:ascii="Arial" w:hAnsi="Arial" w:cs="Arial"/>
          <w:sz w:val="20"/>
          <w:szCs w:val="20"/>
        </w:rPr>
      </w:pPr>
      <w:r w:rsidRPr="004B7530">
        <w:rPr>
          <w:rFonts w:ascii="Arial" w:hAnsi="Arial" w:cs="Arial"/>
          <w:sz w:val="20"/>
          <w:szCs w:val="20"/>
        </w:rPr>
        <w:t>Použitá metoda z řady praktických důvodů neumožňuje 100% kurzové očištění, protože všechny realizace v cizích měnách nejsou v cizích měnách vykazo</w:t>
      </w:r>
      <w:r>
        <w:rPr>
          <w:rFonts w:ascii="Arial" w:hAnsi="Arial" w:cs="Arial"/>
          <w:sz w:val="20"/>
          <w:szCs w:val="20"/>
        </w:rPr>
        <w:t>vány; tento podíl činí do 30 </w:t>
      </w:r>
      <w:r w:rsidRPr="004B7530">
        <w:rPr>
          <w:rFonts w:ascii="Arial" w:hAnsi="Arial" w:cs="Arial"/>
          <w:sz w:val="20"/>
          <w:szCs w:val="20"/>
        </w:rPr>
        <w:t xml:space="preserve">%. Z uvedeného vyplývá, že </w:t>
      </w:r>
      <w:r w:rsidRPr="004B7530">
        <w:rPr>
          <w:rFonts w:ascii="Arial" w:hAnsi="Arial" w:cs="Arial"/>
          <w:b/>
          <w:bCs/>
          <w:sz w:val="20"/>
          <w:szCs w:val="20"/>
        </w:rPr>
        <w:t>při</w:t>
      </w:r>
      <w:r w:rsidRPr="004B7530">
        <w:rPr>
          <w:rFonts w:ascii="Arial" w:hAnsi="Arial" w:cs="Arial"/>
          <w:sz w:val="20"/>
          <w:szCs w:val="20"/>
        </w:rPr>
        <w:t xml:space="preserve"> </w:t>
      </w:r>
      <w:r w:rsidRPr="004B7530">
        <w:rPr>
          <w:rFonts w:ascii="Arial" w:hAnsi="Arial" w:cs="Arial"/>
          <w:b/>
          <w:bCs/>
          <w:sz w:val="20"/>
          <w:szCs w:val="20"/>
        </w:rPr>
        <w:t>plném kurzovém očištění</w:t>
      </w:r>
      <w:r w:rsidRPr="004B7530">
        <w:rPr>
          <w:rFonts w:ascii="Arial" w:hAnsi="Arial" w:cs="Arial"/>
          <w:sz w:val="20"/>
          <w:szCs w:val="20"/>
        </w:rPr>
        <w:t xml:space="preserve"> </w:t>
      </w:r>
      <w:r w:rsidRPr="004B7530">
        <w:rPr>
          <w:rFonts w:ascii="Arial" w:hAnsi="Arial" w:cs="Arial"/>
          <w:b/>
          <w:bCs/>
          <w:sz w:val="20"/>
          <w:szCs w:val="20"/>
        </w:rPr>
        <w:t>by se rozdíly</w:t>
      </w:r>
      <w:r w:rsidRPr="004B7530">
        <w:rPr>
          <w:rFonts w:ascii="Arial" w:hAnsi="Arial" w:cs="Arial"/>
          <w:sz w:val="20"/>
          <w:szCs w:val="20"/>
        </w:rPr>
        <w:t xml:space="preserve"> mezi publikovanými cenovými indexy a kurzově očištěnými cenovými indexy pravděpodobně dále </w:t>
      </w:r>
      <w:r w:rsidRPr="004B7530">
        <w:rPr>
          <w:rFonts w:ascii="Arial" w:hAnsi="Arial" w:cs="Arial"/>
          <w:b/>
          <w:bCs/>
          <w:sz w:val="20"/>
          <w:szCs w:val="20"/>
        </w:rPr>
        <w:t>zvětšovaly</w:t>
      </w:r>
      <w:r w:rsidRPr="004B7530">
        <w:rPr>
          <w:rFonts w:ascii="Arial" w:hAnsi="Arial" w:cs="Arial"/>
          <w:sz w:val="20"/>
          <w:szCs w:val="20"/>
        </w:rPr>
        <w:t>.</w:t>
      </w:r>
    </w:p>
    <w:p w:rsidR="007504EC" w:rsidRPr="00B41F41" w:rsidRDefault="007504EC" w:rsidP="007504EC">
      <w:pPr>
        <w:spacing w:line="276" w:lineRule="auto"/>
        <w:jc w:val="both"/>
        <w:rPr>
          <w:rFonts w:ascii="Arial" w:hAnsi="Arial" w:cs="Arial"/>
          <w:sz w:val="20"/>
          <w:szCs w:val="20"/>
        </w:rPr>
      </w:pPr>
    </w:p>
    <w:p w:rsidR="007504EC" w:rsidRPr="00B41F41" w:rsidRDefault="007504EC" w:rsidP="007504EC">
      <w:pPr>
        <w:spacing w:line="276" w:lineRule="auto"/>
        <w:jc w:val="both"/>
        <w:rPr>
          <w:rFonts w:ascii="Arial" w:hAnsi="Arial" w:cs="Arial"/>
          <w:sz w:val="20"/>
          <w:szCs w:val="20"/>
        </w:rPr>
      </w:pPr>
      <w:r w:rsidRPr="00B41F41">
        <w:rPr>
          <w:rFonts w:ascii="Arial" w:hAnsi="Arial" w:cs="Arial"/>
          <w:sz w:val="20"/>
          <w:szCs w:val="20"/>
        </w:rPr>
        <w:t xml:space="preserve">Z výše popsaných kurzově očištěných indexů lze vytvořit také kurzově očištěný rozklad přírůstků indexů cen. Tabulka 1 na straně </w:t>
      </w:r>
      <w:r w:rsidR="00601E1B">
        <w:rPr>
          <w:rFonts w:ascii="Arial" w:hAnsi="Arial" w:cs="Arial"/>
          <w:sz w:val="20"/>
          <w:szCs w:val="20"/>
        </w:rPr>
        <w:t>10</w:t>
      </w:r>
      <w:r w:rsidRPr="00B41F41">
        <w:rPr>
          <w:rFonts w:ascii="Arial" w:hAnsi="Arial" w:cs="Arial"/>
          <w:sz w:val="20"/>
          <w:szCs w:val="20"/>
        </w:rPr>
        <w:t xml:space="preserve"> uvádí </w:t>
      </w:r>
      <w:r w:rsidRPr="00B41F41">
        <w:rPr>
          <w:rFonts w:ascii="Arial" w:hAnsi="Arial" w:cs="Arial"/>
          <w:b/>
          <w:bCs/>
          <w:sz w:val="20"/>
          <w:szCs w:val="20"/>
        </w:rPr>
        <w:t xml:space="preserve">publikovaný a kurzově očištěný rozklad přírůstků </w:t>
      </w:r>
      <w:r w:rsidRPr="00B41F41">
        <w:rPr>
          <w:rFonts w:ascii="Arial" w:hAnsi="Arial" w:cs="Arial"/>
          <w:sz w:val="20"/>
          <w:szCs w:val="20"/>
        </w:rPr>
        <w:t>indexů cen vývozu a dovozu, s rozšířením o nejvýznamnější dvoumístné skupiny SITC 7. Tento rozklad dobře ilustruje, kolika procentními body každá skupina "kurzově přispívala" do indexu.</w:t>
      </w:r>
    </w:p>
    <w:p w:rsidR="007504EC" w:rsidRPr="00B41F41" w:rsidRDefault="007504EC" w:rsidP="007504EC">
      <w:pPr>
        <w:spacing w:line="276" w:lineRule="auto"/>
        <w:jc w:val="both"/>
        <w:rPr>
          <w:rFonts w:ascii="Arial" w:hAnsi="Arial" w:cs="Arial"/>
          <w:sz w:val="20"/>
          <w:szCs w:val="20"/>
        </w:rPr>
      </w:pPr>
    </w:p>
    <w:p w:rsidR="007504EC" w:rsidRPr="009827B3" w:rsidRDefault="007504EC" w:rsidP="007504EC">
      <w:pPr>
        <w:spacing w:line="276" w:lineRule="auto"/>
        <w:jc w:val="both"/>
        <w:rPr>
          <w:rFonts w:ascii="Arial" w:hAnsi="Arial" w:cs="Arial"/>
          <w:sz w:val="20"/>
          <w:szCs w:val="20"/>
        </w:rPr>
      </w:pPr>
      <w:r w:rsidRPr="009827B3">
        <w:rPr>
          <w:rFonts w:ascii="Arial" w:hAnsi="Arial" w:cs="Arial"/>
          <w:sz w:val="20"/>
          <w:szCs w:val="20"/>
        </w:rPr>
        <w:t>Obecně platí, že kurzový vliv snižuje cenové indexy zahraničního obchodu, pokud koruna v úhrnu proti zahraničním měnám posiluje. Naopak kurzový vliv působí na zvyšování indexů cen, pokud koruna v úhrnu proti zahraničním měnám oslabuje. Z následujících grafů číslo 6 a 7 je patrné, jak významně kurzový vliv působil na výši indexů cen vývozu a dovozu.</w:t>
      </w:r>
    </w:p>
    <w:p w:rsidR="007504EC" w:rsidRDefault="007504EC" w:rsidP="007504EC">
      <w:pPr>
        <w:spacing w:line="276" w:lineRule="auto"/>
        <w:rPr>
          <w:rFonts w:ascii="Arial" w:hAnsi="Arial" w:cs="Arial"/>
          <w:sz w:val="20"/>
          <w:szCs w:val="20"/>
        </w:rPr>
      </w:pPr>
    </w:p>
    <w:p w:rsidR="009E3F31" w:rsidRPr="009827B3" w:rsidRDefault="009E3F31" w:rsidP="007504EC">
      <w:pPr>
        <w:spacing w:line="276" w:lineRule="auto"/>
        <w:rPr>
          <w:rFonts w:ascii="Arial" w:hAnsi="Arial" w:cs="Arial"/>
          <w:sz w:val="20"/>
          <w:szCs w:val="20"/>
        </w:rPr>
      </w:pPr>
      <w:r>
        <w:rPr>
          <w:rFonts w:ascii="Arial" w:hAnsi="Arial" w:cs="Arial"/>
          <w:sz w:val="20"/>
          <w:szCs w:val="20"/>
        </w:rPr>
        <w:br w:type="page"/>
      </w:r>
    </w:p>
    <w:p w:rsidR="007504EC" w:rsidRPr="009827B3" w:rsidRDefault="009E3F31" w:rsidP="007504EC">
      <w:pPr>
        <w:spacing w:line="276" w:lineRule="auto"/>
        <w:jc w:val="both"/>
        <w:rPr>
          <w:rFonts w:ascii="Arial" w:hAnsi="Arial" w:cs="Arial"/>
          <w:sz w:val="20"/>
          <w:szCs w:val="20"/>
        </w:rPr>
      </w:pPr>
      <w:r w:rsidRPr="009E3F31">
        <w:rPr>
          <w:szCs w:val="20"/>
        </w:rPr>
        <w:pict>
          <v:shape id="_x0000_i1031" type="#_x0000_t75" style="width:424.5pt;height:262.5pt">
            <v:imagedata r:id="rId12" o:title=""/>
          </v:shape>
        </w:pict>
      </w:r>
    </w:p>
    <w:p w:rsidR="007504EC" w:rsidRPr="009827B3" w:rsidRDefault="007504EC" w:rsidP="007504EC">
      <w:pPr>
        <w:spacing w:line="276" w:lineRule="auto"/>
        <w:jc w:val="both"/>
        <w:rPr>
          <w:rFonts w:ascii="Arial" w:hAnsi="Arial" w:cs="Arial"/>
          <w:sz w:val="20"/>
          <w:szCs w:val="20"/>
        </w:rPr>
      </w:pPr>
    </w:p>
    <w:p w:rsidR="007504EC" w:rsidRPr="009827B3" w:rsidRDefault="00875587" w:rsidP="007504EC">
      <w:pPr>
        <w:spacing w:line="276" w:lineRule="auto"/>
        <w:jc w:val="both"/>
        <w:rPr>
          <w:rFonts w:ascii="Arial" w:hAnsi="Arial" w:cs="Arial"/>
          <w:sz w:val="20"/>
          <w:szCs w:val="20"/>
        </w:rPr>
      </w:pPr>
      <w:r w:rsidRPr="00875587">
        <w:rPr>
          <w:szCs w:val="20"/>
        </w:rPr>
        <w:pict>
          <v:shape id="_x0000_i1036" type="#_x0000_t75" style="width:424.5pt;height:262.5pt">
            <v:imagedata r:id="rId13" o:title=""/>
          </v:shape>
        </w:pict>
      </w:r>
    </w:p>
    <w:p w:rsidR="007504EC" w:rsidRDefault="007504EC" w:rsidP="007504EC">
      <w:pPr>
        <w:spacing w:line="276" w:lineRule="auto"/>
        <w:jc w:val="both"/>
        <w:rPr>
          <w:rFonts w:ascii="Arial" w:hAnsi="Arial" w:cs="Arial"/>
          <w:sz w:val="20"/>
        </w:rPr>
      </w:pPr>
      <w:r>
        <w:rPr>
          <w:rFonts w:ascii="Arial" w:hAnsi="Arial" w:cs="Arial"/>
          <w:sz w:val="20"/>
        </w:rPr>
        <w:br w:type="page"/>
      </w:r>
    </w:p>
    <w:p w:rsidR="007504EC" w:rsidRPr="009827B3" w:rsidRDefault="00FB3479" w:rsidP="007504EC">
      <w:pPr>
        <w:spacing w:line="276" w:lineRule="auto"/>
        <w:jc w:val="both"/>
        <w:rPr>
          <w:rFonts w:ascii="Arial" w:hAnsi="Arial" w:cs="Arial"/>
          <w:sz w:val="20"/>
          <w:szCs w:val="20"/>
        </w:rPr>
      </w:pPr>
      <w:r w:rsidRPr="00FB3479">
        <w:rPr>
          <w:szCs w:val="20"/>
        </w:rPr>
        <w:pict>
          <v:shape id="_x0000_i1030" type="#_x0000_t75" style="width:424.5pt;height:261.75pt">
            <v:imagedata r:id="rId14" o:title=""/>
          </v:shape>
        </w:pict>
      </w:r>
    </w:p>
    <w:p w:rsidR="007504EC" w:rsidRPr="009827B3" w:rsidRDefault="007504EC" w:rsidP="007504EC">
      <w:pPr>
        <w:spacing w:line="276" w:lineRule="auto"/>
        <w:jc w:val="both"/>
        <w:rPr>
          <w:rFonts w:ascii="Arial" w:hAnsi="Arial" w:cs="Arial"/>
          <w:sz w:val="20"/>
          <w:szCs w:val="20"/>
        </w:rPr>
      </w:pPr>
    </w:p>
    <w:p w:rsidR="007504EC" w:rsidRPr="009827B3" w:rsidRDefault="00FC7C14" w:rsidP="007504EC">
      <w:pPr>
        <w:spacing w:line="276" w:lineRule="auto"/>
        <w:jc w:val="both"/>
        <w:rPr>
          <w:rFonts w:ascii="Arial" w:hAnsi="Arial" w:cs="Arial"/>
          <w:sz w:val="20"/>
          <w:szCs w:val="20"/>
        </w:rPr>
      </w:pPr>
      <w:r w:rsidRPr="00ED7A26">
        <w:rPr>
          <w:szCs w:val="20"/>
        </w:rPr>
        <w:pict>
          <v:shape id="_x0000_i1025" type="#_x0000_t75" style="width:424.5pt;height:262.5pt">
            <v:imagedata r:id="rId15" o:title=""/>
          </v:shape>
        </w:pict>
      </w:r>
    </w:p>
    <w:p w:rsidR="007504EC" w:rsidRDefault="007504EC" w:rsidP="007504EC">
      <w:pPr>
        <w:spacing w:line="276" w:lineRule="auto"/>
        <w:jc w:val="both"/>
        <w:rPr>
          <w:rFonts w:ascii="Arial" w:hAnsi="Arial" w:cs="Arial"/>
          <w:sz w:val="20"/>
          <w:szCs w:val="20"/>
        </w:rPr>
      </w:pPr>
    </w:p>
    <w:p w:rsidR="007504EC" w:rsidRPr="009827B3" w:rsidRDefault="007504EC" w:rsidP="007504EC">
      <w:pPr>
        <w:spacing w:line="276" w:lineRule="auto"/>
        <w:jc w:val="both"/>
        <w:rPr>
          <w:rFonts w:ascii="Arial" w:hAnsi="Arial" w:cs="Arial"/>
          <w:sz w:val="20"/>
          <w:szCs w:val="20"/>
        </w:rPr>
      </w:pPr>
      <w:r w:rsidRPr="009827B3">
        <w:rPr>
          <w:rFonts w:ascii="Arial" w:hAnsi="Arial" w:cs="Arial"/>
          <w:sz w:val="20"/>
          <w:szCs w:val="20"/>
        </w:rPr>
        <w:t>Z grafu číslo 9 je patrné působení kurzového vlivu na meziroční směnné relace.</w:t>
      </w:r>
    </w:p>
    <w:p w:rsidR="007504EC" w:rsidRPr="009827B3" w:rsidRDefault="007504EC" w:rsidP="007504EC">
      <w:pPr>
        <w:spacing w:line="276" w:lineRule="auto"/>
        <w:jc w:val="both"/>
        <w:rPr>
          <w:rFonts w:ascii="Arial" w:hAnsi="Arial" w:cs="Arial"/>
          <w:sz w:val="20"/>
          <w:szCs w:val="20"/>
        </w:rPr>
      </w:pPr>
      <w:r>
        <w:rPr>
          <w:rFonts w:ascii="Arial" w:hAnsi="Arial" w:cs="Arial"/>
          <w:sz w:val="20"/>
          <w:szCs w:val="20"/>
        </w:rPr>
        <w:br w:type="page"/>
      </w:r>
    </w:p>
    <w:p w:rsidR="007504EC" w:rsidRPr="009827B3" w:rsidRDefault="007504EC" w:rsidP="007504EC">
      <w:pPr>
        <w:spacing w:line="276" w:lineRule="auto"/>
        <w:jc w:val="both"/>
        <w:rPr>
          <w:rFonts w:ascii="Arial" w:hAnsi="Arial" w:cs="Arial"/>
          <w:sz w:val="20"/>
          <w:szCs w:val="20"/>
        </w:rPr>
      </w:pPr>
      <w:r w:rsidRPr="009827B3">
        <w:rPr>
          <w:rFonts w:ascii="Arial" w:hAnsi="Arial" w:cs="Arial"/>
          <w:sz w:val="20"/>
          <w:szCs w:val="20"/>
        </w:rPr>
        <w:t>Graf číslo 10 ukazuje vývoj hodnoty směnných relací, pokud by ze sledování byla vyloučena skupina minerálních paliv.</w:t>
      </w:r>
    </w:p>
    <w:p w:rsidR="007504EC" w:rsidRPr="009827B3" w:rsidRDefault="007504EC" w:rsidP="007504EC">
      <w:pPr>
        <w:spacing w:line="276" w:lineRule="auto"/>
        <w:jc w:val="both"/>
        <w:rPr>
          <w:rFonts w:ascii="Arial" w:hAnsi="Arial" w:cs="Arial"/>
          <w:sz w:val="20"/>
          <w:szCs w:val="20"/>
        </w:rPr>
      </w:pPr>
    </w:p>
    <w:p w:rsidR="007504EC" w:rsidRPr="009827B3" w:rsidRDefault="00FC7C14" w:rsidP="007504EC">
      <w:pPr>
        <w:spacing w:line="276" w:lineRule="auto"/>
        <w:jc w:val="both"/>
        <w:rPr>
          <w:rFonts w:ascii="Arial" w:hAnsi="Arial" w:cs="Arial"/>
          <w:sz w:val="20"/>
          <w:szCs w:val="20"/>
        </w:rPr>
      </w:pPr>
      <w:r w:rsidRPr="00ED7A26">
        <w:rPr>
          <w:szCs w:val="20"/>
        </w:rPr>
        <w:pict>
          <v:shape id="_x0000_i1026" type="#_x0000_t75" style="width:423.75pt;height:261.75pt">
            <v:imagedata r:id="rId16" o:title=""/>
          </v:shape>
        </w:pict>
      </w:r>
    </w:p>
    <w:p w:rsidR="007504EC" w:rsidRDefault="007504EC" w:rsidP="007504EC">
      <w:pPr>
        <w:spacing w:line="276" w:lineRule="auto"/>
        <w:jc w:val="both"/>
        <w:rPr>
          <w:rFonts w:ascii="Arial" w:hAnsi="Arial" w:cs="Arial"/>
          <w:sz w:val="20"/>
        </w:rPr>
      </w:pPr>
    </w:p>
    <w:p w:rsidR="007504EC" w:rsidRDefault="007504EC" w:rsidP="007504EC">
      <w:pPr>
        <w:spacing w:line="276" w:lineRule="auto"/>
        <w:jc w:val="both"/>
        <w:rPr>
          <w:rFonts w:ascii="Arial" w:hAnsi="Arial" w:cs="Arial"/>
          <w:sz w:val="20"/>
        </w:rPr>
      </w:pPr>
      <w:r>
        <w:rPr>
          <w:rFonts w:ascii="Arial" w:hAnsi="Arial" w:cs="Arial"/>
          <w:sz w:val="20"/>
        </w:rPr>
        <w:t xml:space="preserve">V grafu číslo 10 můžeme pozorovat </w:t>
      </w:r>
      <w:r w:rsidR="00F45ACA">
        <w:rPr>
          <w:rFonts w:ascii="Arial" w:hAnsi="Arial" w:cs="Arial"/>
          <w:sz w:val="20"/>
        </w:rPr>
        <w:t xml:space="preserve">od 4. čtvrtletí 2009, že </w:t>
      </w:r>
      <w:r>
        <w:rPr>
          <w:rFonts w:ascii="Arial" w:hAnsi="Arial" w:cs="Arial"/>
          <w:sz w:val="20"/>
        </w:rPr>
        <w:t>minerální paliva začala snižovat celkovou hodnotu meziročních směnných relací. V 1. čtvrtletí 2013 se situace obrátila a minerální paliva začala směnné relace zvyšovat. Souvisí to pochopitelně s vývojem cen na světových trzích, zejména ropy. Dovozní ceny, které mají proti cenám vývozním vyšší podíl surovin, reagují citlivěji na cenové turbulence. Při růstu cen surovin se proto směnné relace zpravidla snižují a naopak při poklesu cen surovin směnné relace rostou.</w:t>
      </w:r>
    </w:p>
    <w:p w:rsidR="007504EC" w:rsidRDefault="007504EC" w:rsidP="007504EC">
      <w:pPr>
        <w:spacing w:line="276" w:lineRule="auto"/>
        <w:jc w:val="both"/>
        <w:rPr>
          <w:rFonts w:ascii="Arial" w:hAnsi="Arial" w:cs="Arial"/>
          <w:sz w:val="20"/>
        </w:rPr>
      </w:pPr>
    </w:p>
    <w:p w:rsidR="007504EC" w:rsidRPr="00091C39" w:rsidRDefault="007504EC" w:rsidP="007504EC">
      <w:pPr>
        <w:spacing w:line="276" w:lineRule="auto"/>
        <w:jc w:val="both"/>
        <w:rPr>
          <w:rFonts w:ascii="Arial" w:hAnsi="Arial" w:cs="Arial"/>
          <w:sz w:val="20"/>
          <w:szCs w:val="20"/>
        </w:rPr>
      </w:pPr>
      <w:r>
        <w:rPr>
          <w:rFonts w:ascii="Arial" w:hAnsi="Arial" w:cs="Arial"/>
          <w:sz w:val="20"/>
        </w:rPr>
        <w:br w:type="page"/>
      </w:r>
      <w:r w:rsidR="00FC7C14">
        <w:pict>
          <v:shape id="_x0000_i1027" type="#_x0000_t75" style="width:424.5pt;height:593.25pt">
            <v:imagedata r:id="rId17" o:title=""/>
          </v:shape>
        </w:pict>
      </w:r>
    </w:p>
    <w:p w:rsidR="007504EC" w:rsidRDefault="007504EC" w:rsidP="007504EC">
      <w:pPr>
        <w:spacing w:line="276" w:lineRule="auto"/>
        <w:jc w:val="both"/>
        <w:rPr>
          <w:rFonts w:ascii="Arial" w:hAnsi="Arial" w:cs="Arial"/>
          <w:sz w:val="20"/>
        </w:rPr>
      </w:pPr>
      <w:r>
        <w:rPr>
          <w:rFonts w:ascii="Arial" w:hAnsi="Arial" w:cs="Arial"/>
          <w:sz w:val="20"/>
        </w:rPr>
        <w:br w:type="page"/>
        <w:t xml:space="preserve">Závěrečná tabulka uvádí publikované </w:t>
      </w:r>
      <w:r>
        <w:rPr>
          <w:rFonts w:ascii="Arial" w:hAnsi="Arial" w:cs="Arial"/>
          <w:b/>
          <w:bCs/>
          <w:sz w:val="20"/>
        </w:rPr>
        <w:t>neočištěné</w:t>
      </w:r>
      <w:r>
        <w:rPr>
          <w:rFonts w:ascii="Arial" w:hAnsi="Arial" w:cs="Arial"/>
          <w:sz w:val="20"/>
        </w:rPr>
        <w:t xml:space="preserve"> indexy cen zahraničního obchodu.</w:t>
      </w:r>
    </w:p>
    <w:p w:rsidR="007504EC" w:rsidRDefault="007504EC" w:rsidP="007504EC">
      <w:pPr>
        <w:spacing w:line="276" w:lineRule="auto"/>
        <w:jc w:val="both"/>
        <w:rPr>
          <w:rFonts w:ascii="Arial" w:hAnsi="Arial" w:cs="Arial"/>
          <w:sz w:val="20"/>
        </w:rPr>
      </w:pPr>
    </w:p>
    <w:p w:rsidR="007504EC" w:rsidRPr="009827B3" w:rsidRDefault="00FC7C14" w:rsidP="007504EC">
      <w:pPr>
        <w:spacing w:line="276" w:lineRule="auto"/>
        <w:jc w:val="both"/>
        <w:rPr>
          <w:rFonts w:ascii="Arial" w:hAnsi="Arial" w:cs="Arial"/>
          <w:sz w:val="20"/>
          <w:szCs w:val="20"/>
        </w:rPr>
      </w:pPr>
      <w:r w:rsidRPr="00ED7A26">
        <w:rPr>
          <w:szCs w:val="20"/>
        </w:rPr>
        <w:pict>
          <v:shape id="_x0000_i1028" type="#_x0000_t75" style="width:425.25pt;height:515.25pt">
            <v:imagedata r:id="rId18" o:title=""/>
          </v:shape>
        </w:pict>
      </w:r>
    </w:p>
    <w:p w:rsidR="007504EC" w:rsidRDefault="007504EC" w:rsidP="007504EC">
      <w:pPr>
        <w:spacing w:line="276" w:lineRule="auto"/>
        <w:jc w:val="both"/>
        <w:rPr>
          <w:rFonts w:ascii="Arial" w:hAnsi="Arial"/>
          <w:sz w:val="20"/>
        </w:rPr>
      </w:pPr>
    </w:p>
    <w:p w:rsidR="007504EC" w:rsidRDefault="007504EC" w:rsidP="007504EC">
      <w:pPr>
        <w:spacing w:line="276" w:lineRule="auto"/>
        <w:jc w:val="both"/>
        <w:rPr>
          <w:rFonts w:ascii="Arial" w:hAnsi="Arial"/>
          <w:sz w:val="20"/>
        </w:rPr>
      </w:pPr>
      <w:r w:rsidRPr="00DF1FD4">
        <w:rPr>
          <w:rFonts w:ascii="Arial" w:hAnsi="Arial"/>
          <w:b/>
          <w:sz w:val="20"/>
        </w:rPr>
        <w:t>Zpracoval:</w:t>
      </w:r>
      <w:r>
        <w:rPr>
          <w:rFonts w:ascii="Arial" w:hAnsi="Arial"/>
          <w:sz w:val="20"/>
        </w:rPr>
        <w:t xml:space="preserve"> Ing. Vladimír Klimeš, odbor statistiky cen</w:t>
      </w:r>
    </w:p>
    <w:p w:rsidR="004920AD" w:rsidRPr="007504EC" w:rsidRDefault="007504EC" w:rsidP="007504EC">
      <w:pPr>
        <w:spacing w:line="276" w:lineRule="auto"/>
        <w:jc w:val="both"/>
        <w:rPr>
          <w:rFonts w:ascii="Arial" w:hAnsi="Arial"/>
          <w:sz w:val="20"/>
          <w:lang w:val="en-GB"/>
        </w:rPr>
      </w:pPr>
      <w:r w:rsidRPr="00DF1FD4">
        <w:rPr>
          <w:rFonts w:ascii="Arial" w:hAnsi="Arial"/>
          <w:b/>
          <w:sz w:val="20"/>
        </w:rPr>
        <w:t>Ředitel odboru:</w:t>
      </w:r>
      <w:r>
        <w:rPr>
          <w:rFonts w:ascii="Arial" w:hAnsi="Arial"/>
          <w:sz w:val="20"/>
        </w:rPr>
        <w:t xml:space="preserve"> RNDr. Jiří Mrázek, tel.</w:t>
      </w:r>
      <w:r>
        <w:rPr>
          <w:rFonts w:ascii="Arial" w:hAnsi="Arial"/>
          <w:sz w:val="20"/>
          <w:lang w:val="en-GB"/>
        </w:rPr>
        <w:t xml:space="preserve"> 274 052 533</w:t>
      </w:r>
    </w:p>
    <w:sectPr w:rsidR="004920AD" w:rsidRPr="007504EC" w:rsidSect="00405244">
      <w:headerReference w:type="default" r:id="rId19"/>
      <w:footerReference w:type="default" r:id="rId20"/>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152" w:rsidRDefault="00F61152" w:rsidP="00BA6370">
      <w:r>
        <w:separator/>
      </w:r>
    </w:p>
  </w:endnote>
  <w:endnote w:type="continuationSeparator" w:id="0">
    <w:p w:rsidR="00F61152" w:rsidRDefault="00F61152"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ED7A26">
    <w:pPr>
      <w:pStyle w:val="Zpat"/>
    </w:pPr>
    <w:r>
      <w:rPr>
        <w:noProof/>
        <w:lang w:eastAsia="en-US"/>
      </w:rPr>
      <w:pict>
        <v:shapetype id="_x0000_t202" coordsize="21600,21600" o:spt="202" path="m,l,21600r21600,l21600,xe">
          <v:stroke joinstyle="miter"/>
          <v:path gradientshapeok="t" o:connecttype="rect"/>
        </v:shapetype>
        <v:shape id="Textové pole 2" o:spid="_x0000_s2051" type="#_x0000_t202" style="position:absolute;margin-left:99.2pt;margin-top:773.95pt;width:426.5pt;height:3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" filled="f" stroked="f">
          <v:textbox style="mso-next-textbox:#Textové pole 2" inset="0,0,0,0">
            <w:txbxContent>
              <w:p w:rsidR="003D0499" w:rsidRPr="001404AB" w:rsidRDefault="003D0499" w:rsidP="0045547F">
                <w:pPr>
                  <w:spacing w:line="220" w:lineRule="atLeast"/>
                  <w:rPr>
                    <w:rFonts w:cs="Arial"/>
                    <w:b/>
                    <w:bCs/>
                    <w:sz w:val="15"/>
                    <w:szCs w:val="15"/>
                  </w:rPr>
                </w:pPr>
                <w:r w:rsidRPr="001404AB">
                  <w:rPr>
                    <w:rFonts w:cs="Arial"/>
                    <w:b/>
                    <w:bCs/>
                    <w:sz w:val="15"/>
                    <w:szCs w:val="15"/>
                  </w:rPr>
                  <w:t>Oddělení informačních služeb – ústředí</w:t>
                </w:r>
              </w:p>
              <w:p w:rsidR="003D0499" w:rsidRPr="00A81EB3" w:rsidRDefault="003D0499" w:rsidP="00175ABA">
                <w:pPr>
                  <w:tabs>
                    <w:tab w:val="right" w:pos="8505"/>
                  </w:tabs>
                  <w:spacing w:before="60" w:line="220" w:lineRule="atLeas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www.czso.cz</w:t>
                </w:r>
                <w:r w:rsidRPr="001404AB">
                  <w:rPr>
                    <w:rFonts w:cs="Arial"/>
                    <w:b/>
                    <w:bCs/>
                    <w:sz w:val="15"/>
                    <w:szCs w:val="15"/>
                  </w:rPr>
                  <w:t xml:space="preserve">  |  </w:t>
                </w:r>
                <w:r w:rsidRPr="001404AB">
                  <w:rPr>
                    <w:rFonts w:cs="Arial"/>
                    <w:sz w:val="15"/>
                    <w:szCs w:val="15"/>
                  </w:rPr>
                  <w:t>tel.: 274 052 304, 274 052 425, e-mail</w:t>
                </w:r>
                <w:hyperlink r:id="rId1" w:history="1">
                  <w:r w:rsidRPr="001404AB">
                    <w:rPr>
                      <w:rStyle w:val="Hypertextovodkaz"/>
                      <w:rFonts w:cs="Arial"/>
                      <w:color w:val="auto"/>
                      <w:sz w:val="15"/>
                      <w:szCs w:val="15"/>
                      <w:u w:val="none"/>
                    </w:rPr>
                    <w:t xml:space="preserve">: </w:t>
                  </w:r>
                  <w:r w:rsidR="004E479E" w:rsidRPr="00175ABA">
                    <w:rPr>
                      <w:rStyle w:val="Hypertextovodkaz"/>
                      <w:rFonts w:cs="Arial"/>
                      <w:color w:val="0071BC"/>
                      <w:sz w:val="15"/>
                      <w:szCs w:val="15"/>
                    </w:rPr>
                    <w:t>infoservis@czso.cz</w:t>
                  </w:r>
                </w:hyperlink>
                <w:r w:rsidR="004E479E">
                  <w:rPr>
                    <w:rFonts w:cs="Arial"/>
                    <w:sz w:val="15"/>
                    <w:szCs w:val="15"/>
                  </w:rPr>
                  <w:tab/>
                </w:r>
                <w:r w:rsidR="00ED7A26" w:rsidRPr="004E479E">
                  <w:rPr>
                    <w:rFonts w:cs="Arial"/>
                    <w:szCs w:val="15"/>
                  </w:rPr>
                  <w:fldChar w:fldCharType="begin"/>
                </w:r>
                <w:r w:rsidR="004E479E" w:rsidRPr="004E479E">
                  <w:rPr>
                    <w:rFonts w:cs="Arial"/>
                    <w:szCs w:val="15"/>
                  </w:rPr>
                  <w:instrText xml:space="preserve"> PAGE   \* MERGEFORMAT </w:instrText>
                </w:r>
                <w:r w:rsidR="00ED7A26" w:rsidRPr="004E479E">
                  <w:rPr>
                    <w:rFonts w:cs="Arial"/>
                    <w:szCs w:val="15"/>
                  </w:rPr>
                  <w:fldChar w:fldCharType="separate"/>
                </w:r>
                <w:r w:rsidR="00F61152">
                  <w:rPr>
                    <w:rFonts w:cs="Arial"/>
                    <w:noProof/>
                    <w:szCs w:val="15"/>
                  </w:rPr>
                  <w:t>1</w:t>
                </w:r>
                <w:r w:rsidR="00ED7A26" w:rsidRPr="004E479E">
                  <w:rPr>
                    <w:rFonts w:cs="Arial"/>
                    <w:szCs w:val="15"/>
                  </w:rPr>
                  <w:fldChar w:fldCharType="end"/>
                </w:r>
              </w:p>
            </w:txbxContent>
          </v:textbox>
          <w10:wrap anchorx="page" anchory="page"/>
        </v:shape>
      </w:pict>
    </w:r>
    <w:r>
      <w:rPr>
        <w:noProof/>
        <w:lang w:eastAsia="en-US"/>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152" w:rsidRDefault="00F61152" w:rsidP="00BA6370">
      <w:r>
        <w:separator/>
      </w:r>
    </w:p>
  </w:footnote>
  <w:footnote w:type="continuationSeparator" w:id="0">
    <w:p w:rsidR="00F61152" w:rsidRDefault="00F61152"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ED7A26">
    <w:pPr>
      <w:pStyle w:val="Zhlav"/>
    </w:pPr>
    <w:r>
      <w:rPr>
        <w:noProof/>
      </w:rPr>
      <w:pict>
        <v:group id="_x0000_s2054" style="position:absolute;margin-left:28.35pt;margin-top:42.55pt;width:498.35pt;height:82.35pt;z-index:3;mso-position-horizontal-relative:page;mso-position-vertical-relative:page" coordorigin="571,846" coordsize="9967,1647">
          <v:rect id="_x0000_s2055" style="position:absolute;left:1219;top:896;width:676;height:154" fillcolor="#0071bc" stroked="f"/>
          <v:rect id="_x0000_s2056" style="position:absolute;left:571;top:1126;width:1324;height:154" fillcolor="#0071bc" stroked="f"/>
          <v:rect id="_x0000_s2057" style="position:absolute;left:1292;top:1356;width:603;height:153" fillcolor="#0071bc" stroked="f"/>
          <v:shape id="_x0000_s2058" style="position:absolute;left:1973;top:1306;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59" style="position:absolute;left:1966;top:1076;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60" style="position:absolute;left:1966;top:846;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61" style="position:absolute;left:1963;top:1925;width:8575;height:568" fillcolor="#0071bc" stroked="f"/>
          <v:shape id="_x0000_s2062" style="position:absolute;left:2178;top:2129;width:195;height:186" coordsize="391,374" path="m197,116l156,236r81,l197,116xm128,309r-24,65l,374,143,,251,,391,374r-104,l263,309r-135,xe" stroked="f">
            <v:path arrowok="t"/>
            <o:lock v:ext="edit" verticies="t"/>
          </v:shape>
          <v:shape id="_x0000_s2063" style="position:absolute;left:2394;top:2129;width:187;height:186" coordsize="373,374" path="m,l97,,276,229,276,r97,l373,374r-97,l97,146r,228l,374,,xe" stroked="f">
            <v:path arrowok="t"/>
          </v:shape>
          <v:shape id="_x0000_s2064" style="position:absolute;left:2603;top:2129;width:195;height:186" coordsize="390,374" path="m196,116l155,236r81,l196,116xm128,309r-26,65l,374,143,,249,,390,374r-103,l263,309r-135,xe" stroked="f">
            <v:path arrowok="t"/>
            <o:lock v:ext="edit" verticies="t"/>
          </v:shape>
          <v:shape id="_x0000_s2065" style="position:absolute;left:2820;top:2129;width:106;height:186" coordsize="213,374" path="m97,292r116,l213,374,,374,,,97,r,292xe" stroked="f">
            <v:path arrowok="t"/>
          </v:shape>
          <v:shape id="_x0000_s2066" style="position:absolute;left:2909;top:2068;width:187;height:247" coordsize="374,495" path="m188,102l154,69,234,r47,43l188,102xm,121r117,l187,223,255,121r119,l233,316r,179l136,495r,-179l,121xe" stroked="f">
            <v:path arrowok="t"/>
            <o:lock v:ext="edit" verticies="t"/>
          </v:shape>
          <v:shape id="_x0000_s2067" style="position:absolute;left:3099;top:2129;width:170;height:186" coordsize="340,374" path="m320,292r,82l,374,177,82,30,82,30,,340,,163,292r157,xe" stroked="f">
            <v:path arrowok="t"/>
          </v:shape>
          <v:shape id="_x0000_s2068" style="position:absolute;left:3278;top:2129;width:195;height:186" coordsize="392,374" path="m197,116l156,236r81,l197,116xm129,309r-27,65l,374,144,,251,,392,374r-105,l263,309r-134,xe" stroked="f">
            <v:path arrowok="t"/>
            <o:lock v:ext="edit" verticies="t"/>
          </v:shape>
          <v:shape id="_x0000_s2069" style="position:absolute;left:6643;top:1371;width:3880;height:179" coordsize="7760,358"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r,xm1197,171r24,l1221,150r-24,l1197,101r-23,l1174,150r-15,l1159,171r15,l1174,283r23,l1197,171xm1264,150r-22,l1242,283r22,l1264,150xm1253,82r-6,3l1242,87r-4,5l1237,99r1,3l1238,106r1,3l1242,111r2,1l1247,115r3,l1253,116r6,-1l1265,111r3,-5l1269,100r-1,-8l1265,87r-6,-2l1253,82r,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r,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r,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r,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r,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r,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r,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r,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r,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r,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r,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r,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lock v:ext="edit" verticies="t"/>
          </v:shape>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savePreviewPicture/>
  <w:hdrShapeDefaults>
    <o:shapedefaults v:ext="edit" spidmax="1331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EC0"/>
    <w:rsid w:val="00043BF4"/>
    <w:rsid w:val="000843A5"/>
    <w:rsid w:val="000B6F63"/>
    <w:rsid w:val="000F5B28"/>
    <w:rsid w:val="00127216"/>
    <w:rsid w:val="001404AB"/>
    <w:rsid w:val="001658A9"/>
    <w:rsid w:val="001702C3"/>
    <w:rsid w:val="0017231D"/>
    <w:rsid w:val="00175ABA"/>
    <w:rsid w:val="001810DC"/>
    <w:rsid w:val="001A59BF"/>
    <w:rsid w:val="001B607F"/>
    <w:rsid w:val="001D369A"/>
    <w:rsid w:val="001F6C45"/>
    <w:rsid w:val="002070FB"/>
    <w:rsid w:val="00213729"/>
    <w:rsid w:val="002406FA"/>
    <w:rsid w:val="002B2E47"/>
    <w:rsid w:val="002D6A6C"/>
    <w:rsid w:val="003301A3"/>
    <w:rsid w:val="0036777B"/>
    <w:rsid w:val="0038282A"/>
    <w:rsid w:val="00397580"/>
    <w:rsid w:val="003A1794"/>
    <w:rsid w:val="003A2B87"/>
    <w:rsid w:val="003A45C8"/>
    <w:rsid w:val="003C2DCF"/>
    <w:rsid w:val="003C7FE7"/>
    <w:rsid w:val="003D0499"/>
    <w:rsid w:val="003F526A"/>
    <w:rsid w:val="00405244"/>
    <w:rsid w:val="004436EE"/>
    <w:rsid w:val="0045547F"/>
    <w:rsid w:val="00461AA0"/>
    <w:rsid w:val="004920AD"/>
    <w:rsid w:val="004B028F"/>
    <w:rsid w:val="004C6D61"/>
    <w:rsid w:val="004D05B3"/>
    <w:rsid w:val="004E479E"/>
    <w:rsid w:val="004F78E6"/>
    <w:rsid w:val="00512D99"/>
    <w:rsid w:val="00514EC0"/>
    <w:rsid w:val="00531DBB"/>
    <w:rsid w:val="005320B3"/>
    <w:rsid w:val="00553DAA"/>
    <w:rsid w:val="005646B3"/>
    <w:rsid w:val="00597CA4"/>
    <w:rsid w:val="005F699D"/>
    <w:rsid w:val="005F79FB"/>
    <w:rsid w:val="00601E1B"/>
    <w:rsid w:val="00604406"/>
    <w:rsid w:val="00605F4A"/>
    <w:rsid w:val="00607822"/>
    <w:rsid w:val="006103AA"/>
    <w:rsid w:val="00613BBF"/>
    <w:rsid w:val="00622B80"/>
    <w:rsid w:val="0064139A"/>
    <w:rsid w:val="006C09DD"/>
    <w:rsid w:val="006E024F"/>
    <w:rsid w:val="006E4E81"/>
    <w:rsid w:val="00707F7D"/>
    <w:rsid w:val="00717EC5"/>
    <w:rsid w:val="00737B80"/>
    <w:rsid w:val="007504EC"/>
    <w:rsid w:val="007A57F2"/>
    <w:rsid w:val="007B1333"/>
    <w:rsid w:val="007E23A3"/>
    <w:rsid w:val="007F4AEB"/>
    <w:rsid w:val="007F75B2"/>
    <w:rsid w:val="008043C4"/>
    <w:rsid w:val="00815588"/>
    <w:rsid w:val="00830309"/>
    <w:rsid w:val="00831B1B"/>
    <w:rsid w:val="00832DCC"/>
    <w:rsid w:val="00861D0E"/>
    <w:rsid w:val="00867569"/>
    <w:rsid w:val="00875587"/>
    <w:rsid w:val="008A18A9"/>
    <w:rsid w:val="008A750A"/>
    <w:rsid w:val="008C384C"/>
    <w:rsid w:val="008D0F11"/>
    <w:rsid w:val="008F73B4"/>
    <w:rsid w:val="0090741A"/>
    <w:rsid w:val="0091232B"/>
    <w:rsid w:val="00931A52"/>
    <w:rsid w:val="009B55B1"/>
    <w:rsid w:val="009E3F31"/>
    <w:rsid w:val="00A4343D"/>
    <w:rsid w:val="00A502F1"/>
    <w:rsid w:val="00A56C80"/>
    <w:rsid w:val="00A70A83"/>
    <w:rsid w:val="00A81EB3"/>
    <w:rsid w:val="00B00C1D"/>
    <w:rsid w:val="00B33194"/>
    <w:rsid w:val="00B83825"/>
    <w:rsid w:val="00BA439F"/>
    <w:rsid w:val="00BA6370"/>
    <w:rsid w:val="00BC748B"/>
    <w:rsid w:val="00C269D4"/>
    <w:rsid w:val="00C4160D"/>
    <w:rsid w:val="00C8406E"/>
    <w:rsid w:val="00CB2709"/>
    <w:rsid w:val="00CB6F89"/>
    <w:rsid w:val="00CE228C"/>
    <w:rsid w:val="00CF545B"/>
    <w:rsid w:val="00D27D69"/>
    <w:rsid w:val="00D448C2"/>
    <w:rsid w:val="00D666C3"/>
    <w:rsid w:val="00DD1EAE"/>
    <w:rsid w:val="00DF47FE"/>
    <w:rsid w:val="00E26704"/>
    <w:rsid w:val="00E31980"/>
    <w:rsid w:val="00E42E00"/>
    <w:rsid w:val="00E6423C"/>
    <w:rsid w:val="00E93830"/>
    <w:rsid w:val="00E93E0E"/>
    <w:rsid w:val="00EA7B94"/>
    <w:rsid w:val="00EB1ED3"/>
    <w:rsid w:val="00EC2D51"/>
    <w:rsid w:val="00ED7A26"/>
    <w:rsid w:val="00ED7B69"/>
    <w:rsid w:val="00F13564"/>
    <w:rsid w:val="00F26395"/>
    <w:rsid w:val="00F32DA4"/>
    <w:rsid w:val="00F45ACA"/>
    <w:rsid w:val="00F61152"/>
    <w:rsid w:val="00FB3479"/>
    <w:rsid w:val="00FB687C"/>
    <w:rsid w:val="00FC7C14"/>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7504EC"/>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12_0217\anal&#253;za\Anal&#253;z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9813-4A7B-4FB2-B305-36208DE7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CZ.dotx</Template>
  <TotalTime>128</TotalTime>
  <Pages>11</Pages>
  <Words>983</Words>
  <Characters>5805</Characters>
  <Application>Microsoft Office Word</Application>
  <DocSecurity>0</DocSecurity>
  <Lines>48</Lines>
  <Paragraphs>13</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Titulek – Arial (16 b), tučně, barva RGB 189/27/33, zarovnat text doleva</vt:lpstr>
      <vt:lpstr>Mezititulek – Arial (10 b), tučně, barva automatická, zarovnat text doleva</vt:lpstr>
    </vt:vector>
  </TitlesOfParts>
  <Company/>
  <LinksUpToDate>false</LinksUpToDate>
  <CharactersWithSpaces>6775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Klimeš</dc:creator>
  <cp:keywords/>
  <cp:lastModifiedBy>Vladimír Klimeš</cp:lastModifiedBy>
  <cp:revision>10</cp:revision>
  <dcterms:created xsi:type="dcterms:W3CDTF">2014-02-12T14:14:00Z</dcterms:created>
  <dcterms:modified xsi:type="dcterms:W3CDTF">2014-02-13T10:37:00Z</dcterms:modified>
</cp:coreProperties>
</file>