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6EC55" w14:textId="18E8D419" w:rsidR="00106BCC" w:rsidRPr="00DD6E6B" w:rsidRDefault="00106BCC" w:rsidP="00106BCC">
      <w:pPr>
        <w:pStyle w:val="Nadpis11"/>
        <w:rPr>
          <w:lang w:val="en-GB"/>
        </w:rPr>
      </w:pPr>
      <w:bookmarkStart w:id="0" w:name="_Toc137233031"/>
      <w:bookmarkStart w:id="1" w:name="_Toc148437391"/>
      <w:bookmarkStart w:id="2" w:name="_GoBack"/>
      <w:bookmarkEnd w:id="2"/>
      <w:r w:rsidRPr="00DD6E6B">
        <w:rPr>
          <w:szCs w:val="32"/>
          <w:lang w:val="en-GB"/>
        </w:rPr>
        <w:t>8</w:t>
      </w:r>
      <w:r w:rsidRPr="00DD6E6B">
        <w:rPr>
          <w:lang w:val="en-GB"/>
        </w:rPr>
        <w:t>. St</w:t>
      </w:r>
      <w:r w:rsidR="00691DDB" w:rsidRPr="00DD6E6B">
        <w:rPr>
          <w:lang w:val="en-GB"/>
        </w:rPr>
        <w:t>ate Budget</w:t>
      </w:r>
      <w:bookmarkEnd w:id="0"/>
      <w:bookmarkEnd w:id="1"/>
    </w:p>
    <w:tbl>
      <w:tblPr>
        <w:tblW w:w="9669" w:type="dxa"/>
        <w:tblInd w:w="-20" w:type="dxa"/>
        <w:tblLayout w:type="fixed"/>
        <w:tblCellMar>
          <w:left w:w="0" w:type="dxa"/>
          <w:right w:w="0" w:type="dxa"/>
        </w:tblCellMar>
        <w:tblLook w:val="00A0" w:firstRow="1" w:lastRow="0" w:firstColumn="1" w:lastColumn="0" w:noHBand="0" w:noVBand="0"/>
      </w:tblPr>
      <w:tblGrid>
        <w:gridCol w:w="1792"/>
        <w:gridCol w:w="203"/>
        <w:gridCol w:w="7674"/>
      </w:tblGrid>
      <w:tr w:rsidR="00106BCC" w:rsidRPr="00DD6E6B" w14:paraId="16CEED79" w14:textId="77777777" w:rsidTr="006849F8">
        <w:trPr>
          <w:trHeight w:val="60"/>
        </w:trPr>
        <w:tc>
          <w:tcPr>
            <w:tcW w:w="1792" w:type="dxa"/>
            <w:shd w:val="clear" w:color="auto" w:fill="auto"/>
            <w:tcMar>
              <w:left w:w="0" w:type="dxa"/>
            </w:tcMar>
          </w:tcPr>
          <w:p w14:paraId="19B55A37" w14:textId="4228AA38" w:rsidR="00106BCC" w:rsidRPr="00DD6E6B" w:rsidRDefault="00487BA1" w:rsidP="006849F8">
            <w:pPr>
              <w:pStyle w:val="Marginlie"/>
              <w:rPr>
                <w:lang w:val="en-GB"/>
              </w:rPr>
            </w:pPr>
            <w:r w:rsidRPr="00DD6E6B">
              <w:rPr>
                <w:lang w:val="en-GB"/>
              </w:rPr>
              <w:t>Deficit of the SB considerably deepened year-on-year, which even</w:t>
            </w:r>
            <w:r w:rsidR="00867EE9" w:rsidRPr="00DD6E6B">
              <w:rPr>
                <w:lang w:val="en-GB"/>
              </w:rPr>
              <w:t xml:space="preserve"> </w:t>
            </w:r>
            <w:r w:rsidRPr="00DD6E6B">
              <w:rPr>
                <w:lang w:val="en-GB"/>
              </w:rPr>
              <w:t xml:space="preserve">the swift growth of revenues from the EU budget did not prevent. </w:t>
            </w:r>
          </w:p>
        </w:tc>
        <w:tc>
          <w:tcPr>
            <w:tcW w:w="203" w:type="dxa"/>
            <w:shd w:val="clear" w:color="auto" w:fill="auto"/>
            <w:tcMar>
              <w:left w:w="0" w:type="dxa"/>
            </w:tcMar>
          </w:tcPr>
          <w:p w14:paraId="5D52A195"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460DB469" w14:textId="489D2C34" w:rsidR="00106BCC" w:rsidRPr="00DD6E6B" w:rsidRDefault="00D37DBD" w:rsidP="006849F8">
            <w:pPr>
              <w:spacing w:after="200"/>
              <w:rPr>
                <w:spacing w:val="-4"/>
                <w:lang w:val="en-GB"/>
              </w:rPr>
            </w:pPr>
            <w:r w:rsidRPr="00DD6E6B">
              <w:rPr>
                <w:spacing w:val="-4"/>
                <w:lang w:val="en-GB"/>
              </w:rPr>
              <w:t xml:space="preserve">State budget </w:t>
            </w:r>
            <w:r w:rsidR="00106BCC" w:rsidRPr="00DD6E6B">
              <w:rPr>
                <w:spacing w:val="-4"/>
                <w:lang w:val="en-GB"/>
              </w:rPr>
              <w:t>(S</w:t>
            </w:r>
            <w:r w:rsidRPr="00DD6E6B">
              <w:rPr>
                <w:spacing w:val="-4"/>
                <w:lang w:val="en-GB"/>
              </w:rPr>
              <w:t>B</w:t>
            </w:r>
            <w:r w:rsidR="00106BCC" w:rsidRPr="00DD6E6B">
              <w:rPr>
                <w:spacing w:val="-4"/>
                <w:lang w:val="en-GB"/>
              </w:rPr>
              <w:t>)</w:t>
            </w:r>
            <w:r w:rsidR="00106BCC" w:rsidRPr="00DD6E6B">
              <w:rPr>
                <w:rStyle w:val="Znakapoznpodarou"/>
                <w:spacing w:val="-4"/>
                <w:lang w:val="en-GB"/>
              </w:rPr>
              <w:footnoteReference w:id="1"/>
            </w:r>
            <w:r w:rsidR="00106BCC" w:rsidRPr="00DD6E6B">
              <w:rPr>
                <w:spacing w:val="-4"/>
                <w:lang w:val="en-GB"/>
              </w:rPr>
              <w:t xml:space="preserve"> </w:t>
            </w:r>
            <w:r w:rsidR="00412885" w:rsidRPr="00DD6E6B">
              <w:rPr>
                <w:spacing w:val="-4"/>
                <w:lang w:val="en-GB"/>
              </w:rPr>
              <w:t xml:space="preserve">showed a deficit of </w:t>
            </w:r>
            <w:r w:rsidR="00106BCC" w:rsidRPr="00DD6E6B">
              <w:rPr>
                <w:spacing w:val="-4"/>
                <w:lang w:val="en-GB"/>
              </w:rPr>
              <w:t>215</w:t>
            </w:r>
            <w:r w:rsidR="00412885" w:rsidRPr="00DD6E6B">
              <w:rPr>
                <w:spacing w:val="-4"/>
                <w:lang w:val="en-GB"/>
              </w:rPr>
              <w:t>.</w:t>
            </w:r>
            <w:r w:rsidR="00106BCC" w:rsidRPr="00DD6E6B">
              <w:rPr>
                <w:spacing w:val="-4"/>
                <w:lang w:val="en-GB"/>
              </w:rPr>
              <w:t>4</w:t>
            </w:r>
            <w:r w:rsidR="00412885" w:rsidRPr="00DD6E6B">
              <w:rPr>
                <w:spacing w:val="-4"/>
                <w:lang w:val="en-GB"/>
              </w:rPr>
              <w:t xml:space="preserve"> CZK bn in H1 2023, which already represented nearly three quarters of the yearly planned deficit</w:t>
            </w:r>
            <w:r w:rsidR="00106BCC" w:rsidRPr="00DD6E6B">
              <w:rPr>
                <w:rStyle w:val="Znakapoznpodarou"/>
                <w:spacing w:val="-4"/>
                <w:lang w:val="en-GB"/>
              </w:rPr>
              <w:footnoteReference w:id="2"/>
            </w:r>
            <w:r w:rsidR="00106BCC" w:rsidRPr="00DD6E6B">
              <w:rPr>
                <w:spacing w:val="-4"/>
                <w:lang w:val="en-GB"/>
              </w:rPr>
              <w:t>.</w:t>
            </w:r>
            <w:r w:rsidR="00412885" w:rsidRPr="00DD6E6B">
              <w:rPr>
                <w:spacing w:val="-4"/>
                <w:lang w:val="en-GB"/>
              </w:rPr>
              <w:t xml:space="preserve"> SB attains deep deficit already for the fourth year in a row, only H1 2021 (when the pandemics of covid-19 was culminating as well as its perceptible impacts on both the revenue and </w:t>
            </w:r>
            <w:r w:rsidR="0004131B" w:rsidRPr="00DD6E6B">
              <w:rPr>
                <w:spacing w:val="-4"/>
                <w:lang w:val="en-GB"/>
              </w:rPr>
              <w:t xml:space="preserve">outlay </w:t>
            </w:r>
            <w:r w:rsidR="00412885" w:rsidRPr="00DD6E6B">
              <w:rPr>
                <w:spacing w:val="-4"/>
                <w:lang w:val="en-GB"/>
              </w:rPr>
              <w:t>side of the SB) brought more pronounced deficit than deficit this year.</w:t>
            </w:r>
            <w:r w:rsidR="004934E3" w:rsidRPr="00DD6E6B">
              <w:rPr>
                <w:spacing w:val="-4"/>
                <w:lang w:val="en-GB"/>
              </w:rPr>
              <w:t xml:space="preserve"> This year’s deficit was in addition mitigated by the revenues from the National recovery plan</w:t>
            </w:r>
            <w:r w:rsidR="00106BCC" w:rsidRPr="00DD6E6B">
              <w:rPr>
                <w:spacing w:val="-4"/>
                <w:lang w:val="en-GB"/>
              </w:rPr>
              <w:t xml:space="preserve">. </w:t>
            </w:r>
            <w:r w:rsidR="00154325" w:rsidRPr="00DD6E6B">
              <w:rPr>
                <w:spacing w:val="-4"/>
                <w:lang w:val="en-GB"/>
              </w:rPr>
              <w:t xml:space="preserve">Half-yearly SB balance after adjustment for all revenues and outlays associated with the common CR and EU projects mildly exceeded </w:t>
            </w:r>
            <w:r w:rsidR="00106BCC" w:rsidRPr="00DD6E6B">
              <w:rPr>
                <w:spacing w:val="-4"/>
                <w:lang w:val="en-GB"/>
              </w:rPr>
              <w:t>250</w:t>
            </w:r>
            <w:r w:rsidR="00154325" w:rsidRPr="00DD6E6B">
              <w:rPr>
                <w:spacing w:val="-4"/>
                <w:lang w:val="en-GB"/>
              </w:rPr>
              <w:t xml:space="preserve"> CZK bn a</w:t>
            </w:r>
            <w:r w:rsidR="0004131B" w:rsidRPr="00DD6E6B">
              <w:rPr>
                <w:spacing w:val="-4"/>
                <w:lang w:val="en-GB"/>
              </w:rPr>
              <w:t xml:space="preserve">nd </w:t>
            </w:r>
            <w:r w:rsidR="00D74667" w:rsidRPr="00DD6E6B">
              <w:rPr>
                <w:spacing w:val="-4"/>
                <w:lang w:val="en-GB"/>
              </w:rPr>
              <w:t>deepened</w:t>
            </w:r>
            <w:r w:rsidR="0004131B" w:rsidRPr="00DD6E6B">
              <w:rPr>
                <w:spacing w:val="-4"/>
                <w:lang w:val="en-GB"/>
              </w:rPr>
              <w:t xml:space="preserve"> by </w:t>
            </w:r>
            <w:r w:rsidR="00106BCC" w:rsidRPr="00DD6E6B">
              <w:rPr>
                <w:spacing w:val="-4"/>
                <w:lang w:val="en-GB"/>
              </w:rPr>
              <w:t>68</w:t>
            </w:r>
            <w:r w:rsidR="0004131B" w:rsidRPr="00DD6E6B">
              <w:rPr>
                <w:spacing w:val="-4"/>
                <w:lang w:val="en-GB"/>
              </w:rPr>
              <w:t>.</w:t>
            </w:r>
            <w:r w:rsidR="00106BCC" w:rsidRPr="00DD6E6B">
              <w:rPr>
                <w:spacing w:val="-4"/>
                <w:lang w:val="en-GB"/>
              </w:rPr>
              <w:t xml:space="preserve">6 </w:t>
            </w:r>
            <w:r w:rsidR="0004131B" w:rsidRPr="00DD6E6B">
              <w:rPr>
                <w:spacing w:val="-4"/>
                <w:lang w:val="en-GB"/>
              </w:rPr>
              <w:t xml:space="preserve">CZK bn year-on-year </w:t>
            </w:r>
            <w:r w:rsidR="00106BCC" w:rsidRPr="00DD6E6B">
              <w:rPr>
                <w:spacing w:val="-4"/>
                <w:lang w:val="en-GB"/>
              </w:rPr>
              <w:t>(</w:t>
            </w:r>
            <w:r w:rsidR="0004131B" w:rsidRPr="00DD6E6B">
              <w:rPr>
                <w:spacing w:val="-4"/>
                <w:lang w:val="en-GB"/>
              </w:rPr>
              <w:t xml:space="preserve">balance without this adjustment then analogically by </w:t>
            </w:r>
            <w:r w:rsidR="00106BCC" w:rsidRPr="00DD6E6B">
              <w:rPr>
                <w:spacing w:val="-4"/>
                <w:lang w:val="en-GB"/>
              </w:rPr>
              <w:t>32</w:t>
            </w:r>
            <w:r w:rsidR="0004131B" w:rsidRPr="00DD6E6B">
              <w:rPr>
                <w:spacing w:val="-4"/>
                <w:lang w:val="en-GB"/>
              </w:rPr>
              <w:t>.</w:t>
            </w:r>
            <w:r w:rsidR="00106BCC" w:rsidRPr="00DD6E6B">
              <w:rPr>
                <w:spacing w:val="-4"/>
                <w:lang w:val="en-GB"/>
              </w:rPr>
              <w:t>4</w:t>
            </w:r>
            <w:r w:rsidR="0004131B" w:rsidRPr="00DD6E6B">
              <w:rPr>
                <w:spacing w:val="-4"/>
                <w:lang w:val="en-GB"/>
              </w:rPr>
              <w:t xml:space="preserve"> bn</w:t>
            </w:r>
            <w:r w:rsidR="00106BCC" w:rsidRPr="00DD6E6B">
              <w:rPr>
                <w:spacing w:val="-4"/>
                <w:lang w:val="en-GB"/>
              </w:rPr>
              <w:t xml:space="preserve">).    </w:t>
            </w:r>
          </w:p>
        </w:tc>
      </w:tr>
      <w:tr w:rsidR="00106BCC" w:rsidRPr="00DD6E6B" w14:paraId="10764AD0" w14:textId="77777777" w:rsidTr="006849F8">
        <w:trPr>
          <w:trHeight w:val="145"/>
        </w:trPr>
        <w:tc>
          <w:tcPr>
            <w:tcW w:w="1792" w:type="dxa"/>
            <w:shd w:val="clear" w:color="auto" w:fill="auto"/>
            <w:tcMar>
              <w:left w:w="0" w:type="dxa"/>
            </w:tcMar>
          </w:tcPr>
          <w:p w14:paraId="1B78FFD2" w14:textId="41503DE4" w:rsidR="00106BCC" w:rsidRPr="00DD6E6B" w:rsidRDefault="004B3094" w:rsidP="006849F8">
            <w:pPr>
              <w:pStyle w:val="Marginlie"/>
              <w:rPr>
                <w:lang w:val="en-GB"/>
              </w:rPr>
            </w:pPr>
            <w:r w:rsidRPr="00DD6E6B">
              <w:rPr>
                <w:lang w:val="en-GB"/>
              </w:rPr>
              <w:t xml:space="preserve">Growth of SB revenues was the most driven by total tax collection. Its dynamics nevertheless weakened. SB balance was supported by the stable growth of revenues from the social security insurance, rising revenues from the EU budget also had a favourable effect. </w:t>
            </w:r>
          </w:p>
        </w:tc>
        <w:tc>
          <w:tcPr>
            <w:tcW w:w="203" w:type="dxa"/>
            <w:shd w:val="clear" w:color="auto" w:fill="auto"/>
            <w:tcMar>
              <w:left w:w="0" w:type="dxa"/>
            </w:tcMar>
          </w:tcPr>
          <w:p w14:paraId="0BFACBFF"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2F70ABA9" w14:textId="7AE5A8F6" w:rsidR="00106BCC" w:rsidRPr="00DD6E6B" w:rsidRDefault="00154325" w:rsidP="006849F8">
            <w:pPr>
              <w:spacing w:after="200"/>
              <w:rPr>
                <w:spacing w:val="-5"/>
                <w:lang w:val="en-GB"/>
              </w:rPr>
            </w:pPr>
            <w:r w:rsidRPr="00DD6E6B">
              <w:rPr>
                <w:spacing w:val="-3"/>
                <w:lang w:val="en-GB"/>
              </w:rPr>
              <w:t xml:space="preserve">Total SB revenues </w:t>
            </w:r>
            <w:r w:rsidR="004934E3" w:rsidRPr="00DD6E6B">
              <w:rPr>
                <w:spacing w:val="-3"/>
                <w:lang w:val="en-GB"/>
              </w:rPr>
              <w:t xml:space="preserve">also as a result of high price growth in the economy swiftly grew </w:t>
            </w:r>
            <w:r w:rsidR="00106BCC" w:rsidRPr="00DD6E6B">
              <w:rPr>
                <w:spacing w:val="-3"/>
                <w:lang w:val="en-GB"/>
              </w:rPr>
              <w:t>(16</w:t>
            </w:r>
            <w:r w:rsidR="004934E3" w:rsidRPr="00DD6E6B">
              <w:rPr>
                <w:spacing w:val="-3"/>
                <w:lang w:val="en-GB"/>
              </w:rPr>
              <w:t>.</w:t>
            </w:r>
            <w:r w:rsidR="00106BCC" w:rsidRPr="00DD6E6B">
              <w:rPr>
                <w:spacing w:val="-3"/>
                <w:lang w:val="en-GB"/>
              </w:rPr>
              <w:t>5%)</w:t>
            </w:r>
            <w:r w:rsidR="004934E3" w:rsidRPr="00DD6E6B">
              <w:rPr>
                <w:spacing w:val="-3"/>
                <w:lang w:val="en-GB"/>
              </w:rPr>
              <w:t xml:space="preserve"> year-on-year in H1</w:t>
            </w:r>
            <w:r w:rsidR="00106BCC" w:rsidRPr="00DD6E6B">
              <w:rPr>
                <w:spacing w:val="-3"/>
                <w:lang w:val="en-GB"/>
              </w:rPr>
              <w:t xml:space="preserve">, </w:t>
            </w:r>
            <w:r w:rsidR="004934E3" w:rsidRPr="00DD6E6B">
              <w:rPr>
                <w:spacing w:val="-3"/>
                <w:lang w:val="en-GB"/>
              </w:rPr>
              <w:t>however did not completely fullfed the budget anticipations</w:t>
            </w:r>
            <w:r w:rsidR="00106BCC" w:rsidRPr="00DD6E6B">
              <w:rPr>
                <w:rStyle w:val="Znakapoznpodarou"/>
                <w:spacing w:val="-3"/>
                <w:lang w:val="en-GB"/>
              </w:rPr>
              <w:footnoteReference w:id="3"/>
            </w:r>
            <w:r w:rsidR="00106BCC" w:rsidRPr="00DD6E6B">
              <w:rPr>
                <w:spacing w:val="-3"/>
                <w:lang w:val="en-GB"/>
              </w:rPr>
              <w:t xml:space="preserve">. </w:t>
            </w:r>
            <w:r w:rsidR="00D661A0" w:rsidRPr="00DD6E6B">
              <w:rPr>
                <w:spacing w:val="-3"/>
                <w:lang w:val="en-GB"/>
              </w:rPr>
              <w:t xml:space="preserve">Especially the higher collection of taxes without insurance </w:t>
            </w:r>
            <w:r w:rsidR="00106BCC" w:rsidRPr="00DD6E6B">
              <w:rPr>
                <w:spacing w:val="-3"/>
                <w:lang w:val="en-GB"/>
              </w:rPr>
              <w:t>(+51</w:t>
            </w:r>
            <w:r w:rsidR="00D661A0" w:rsidRPr="00DD6E6B">
              <w:rPr>
                <w:spacing w:val="-3"/>
                <w:lang w:val="en-GB"/>
              </w:rPr>
              <w:t>.</w:t>
            </w:r>
            <w:r w:rsidR="00106BCC" w:rsidRPr="00DD6E6B">
              <w:rPr>
                <w:spacing w:val="-3"/>
                <w:lang w:val="en-GB"/>
              </w:rPr>
              <w:t>4</w:t>
            </w:r>
            <w:r w:rsidR="00D661A0" w:rsidRPr="00DD6E6B">
              <w:rPr>
                <w:spacing w:val="-3"/>
                <w:lang w:val="en-GB"/>
              </w:rPr>
              <w:t xml:space="preserve"> CZK bn</w:t>
            </w:r>
            <w:r w:rsidR="00106BCC" w:rsidRPr="00DD6E6B">
              <w:rPr>
                <w:spacing w:val="-3"/>
                <w:lang w:val="en-GB"/>
              </w:rPr>
              <w:t>)</w:t>
            </w:r>
            <w:r w:rsidR="00D661A0" w:rsidRPr="00DD6E6B">
              <w:rPr>
                <w:spacing w:val="-3"/>
                <w:lang w:val="en-GB"/>
              </w:rPr>
              <w:t xml:space="preserve"> </w:t>
            </w:r>
            <w:r w:rsidR="004B3094" w:rsidRPr="00DD6E6B">
              <w:rPr>
                <w:spacing w:val="-3"/>
                <w:lang w:val="en-GB"/>
              </w:rPr>
              <w:t>stood behind the revenue strengthening</w:t>
            </w:r>
            <w:r w:rsidR="00106BCC" w:rsidRPr="00DD6E6B">
              <w:rPr>
                <w:spacing w:val="-3"/>
                <w:lang w:val="en-GB"/>
              </w:rPr>
              <w:t>.</w:t>
            </w:r>
            <w:r w:rsidR="004B3094" w:rsidRPr="00DD6E6B">
              <w:rPr>
                <w:spacing w:val="-3"/>
                <w:lang w:val="en-GB"/>
              </w:rPr>
              <w:t xml:space="preserve"> Rate of growth of the state-wide tax collection however weakened during H1 this year </w:t>
            </w:r>
            <w:r w:rsidR="00106BCC" w:rsidRPr="00DD6E6B">
              <w:rPr>
                <w:spacing w:val="-3"/>
                <w:lang w:val="en-GB"/>
              </w:rPr>
              <w:t>(+15</w:t>
            </w:r>
            <w:r w:rsidR="004B3094" w:rsidRPr="00DD6E6B">
              <w:rPr>
                <w:spacing w:val="-3"/>
                <w:lang w:val="en-GB"/>
              </w:rPr>
              <w:t>.</w:t>
            </w:r>
            <w:r w:rsidR="00106BCC" w:rsidRPr="00DD6E6B">
              <w:rPr>
                <w:spacing w:val="-3"/>
                <w:lang w:val="en-GB"/>
              </w:rPr>
              <w:t>4%</w:t>
            </w:r>
            <w:r w:rsidR="004B3094" w:rsidRPr="00DD6E6B">
              <w:rPr>
                <w:spacing w:val="-3"/>
                <w:lang w:val="en-GB"/>
              </w:rPr>
              <w:t xml:space="preserve"> in Q1</w:t>
            </w:r>
            <w:r w:rsidR="00106BCC" w:rsidRPr="00DD6E6B">
              <w:rPr>
                <w:spacing w:val="-3"/>
                <w:lang w:val="en-GB"/>
              </w:rPr>
              <w:t>, +12</w:t>
            </w:r>
            <w:r w:rsidR="004B3094" w:rsidRPr="00DD6E6B">
              <w:rPr>
                <w:spacing w:val="-3"/>
                <w:lang w:val="en-GB"/>
              </w:rPr>
              <w:t>.</w:t>
            </w:r>
            <w:r w:rsidR="00106BCC" w:rsidRPr="00DD6E6B">
              <w:rPr>
                <w:spacing w:val="-3"/>
                <w:lang w:val="en-GB"/>
              </w:rPr>
              <w:t>5%</w:t>
            </w:r>
            <w:r w:rsidR="004B3094" w:rsidRPr="00DD6E6B">
              <w:rPr>
                <w:spacing w:val="-3"/>
                <w:lang w:val="en-GB"/>
              </w:rPr>
              <w:t xml:space="preserve"> in Q2</w:t>
            </w:r>
            <w:r w:rsidR="00106BCC" w:rsidRPr="00DD6E6B">
              <w:rPr>
                <w:spacing w:val="-3"/>
                <w:lang w:val="en-GB"/>
              </w:rPr>
              <w:t>) a</w:t>
            </w:r>
            <w:r w:rsidR="004B3094" w:rsidRPr="00DD6E6B">
              <w:rPr>
                <w:spacing w:val="-3"/>
                <w:lang w:val="en-GB"/>
              </w:rPr>
              <w:t>nd remained in the shadow of the record pace from H</w:t>
            </w:r>
            <w:r w:rsidR="00106BCC" w:rsidRPr="00DD6E6B">
              <w:rPr>
                <w:spacing w:val="-3"/>
                <w:lang w:val="en-GB"/>
              </w:rPr>
              <w:t>1</w:t>
            </w:r>
            <w:r w:rsidR="004B3094" w:rsidRPr="00DD6E6B">
              <w:rPr>
                <w:spacing w:val="-3"/>
                <w:lang w:val="en-GB"/>
              </w:rPr>
              <w:t xml:space="preserve"> </w:t>
            </w:r>
            <w:r w:rsidR="00106BCC" w:rsidRPr="00DD6E6B">
              <w:rPr>
                <w:spacing w:val="-3"/>
                <w:lang w:val="en-GB"/>
              </w:rPr>
              <w:t>2022 (+18</w:t>
            </w:r>
            <w:r w:rsidR="004B3094" w:rsidRPr="00DD6E6B">
              <w:rPr>
                <w:spacing w:val="-3"/>
                <w:lang w:val="en-GB"/>
              </w:rPr>
              <w:t>.</w:t>
            </w:r>
            <w:r w:rsidR="00106BCC" w:rsidRPr="00DD6E6B">
              <w:rPr>
                <w:spacing w:val="-3"/>
                <w:lang w:val="en-GB"/>
              </w:rPr>
              <w:t>7%). T</w:t>
            </w:r>
            <w:r w:rsidR="00D661A0" w:rsidRPr="00DD6E6B">
              <w:rPr>
                <w:spacing w:val="-3"/>
                <w:lang w:val="en-GB"/>
              </w:rPr>
              <w:t xml:space="preserve">his development was influenced by the ongoing decrease of the household consumption, which adversely impacted the collection of indirect taxes. On the contrary the revenues from the social security insurance (also including the contributions on the state employment policy) have not lagged behind the budget anticipations so far and increased by 29 CZK bn year-on-year. </w:t>
            </w:r>
            <w:r w:rsidR="00300E7D" w:rsidRPr="00DD6E6B">
              <w:rPr>
                <w:spacing w:val="-3"/>
                <w:lang w:val="en-GB"/>
              </w:rPr>
              <w:t xml:space="preserve">The non-tax revenues then strengthened by nearly </w:t>
            </w:r>
            <w:r w:rsidR="00106BCC" w:rsidRPr="00DD6E6B">
              <w:rPr>
                <w:spacing w:val="-3"/>
                <w:lang w:val="en-GB"/>
              </w:rPr>
              <w:t>50</w:t>
            </w:r>
            <w:r w:rsidR="00300E7D" w:rsidRPr="00DD6E6B">
              <w:rPr>
                <w:spacing w:val="-3"/>
                <w:lang w:val="en-GB"/>
              </w:rPr>
              <w:t xml:space="preserve"> bn </w:t>
            </w:r>
            <w:r w:rsidR="00106BCC" w:rsidRPr="00DD6E6B">
              <w:rPr>
                <w:spacing w:val="-5"/>
                <w:lang w:val="en-GB"/>
              </w:rPr>
              <w:t>(</w:t>
            </w:r>
            <w:r w:rsidR="00300E7D" w:rsidRPr="00DD6E6B">
              <w:rPr>
                <w:spacing w:val="-5"/>
                <w:lang w:val="en-GB"/>
              </w:rPr>
              <w:t>incl. capital income and received transfers</w:t>
            </w:r>
            <w:r w:rsidR="00106BCC" w:rsidRPr="00DD6E6B">
              <w:rPr>
                <w:spacing w:val="-5"/>
                <w:lang w:val="en-GB"/>
              </w:rPr>
              <w:t>).</w:t>
            </w:r>
            <w:r w:rsidR="00300E7D" w:rsidRPr="00DD6E6B">
              <w:rPr>
                <w:spacing w:val="-5"/>
                <w:lang w:val="en-GB"/>
              </w:rPr>
              <w:t xml:space="preserve"> It was primarily thanks to its weight dominant item, i.e. revenues from the EU and </w:t>
            </w:r>
            <w:r w:rsidR="00106BCC" w:rsidRPr="00DD6E6B">
              <w:rPr>
                <w:spacing w:val="-5"/>
                <w:lang w:val="en-GB"/>
              </w:rPr>
              <w:t xml:space="preserve"> </w:t>
            </w:r>
            <w:r w:rsidR="00300E7D" w:rsidRPr="00DD6E6B">
              <w:rPr>
                <w:spacing w:val="-5"/>
                <w:lang w:val="en-GB"/>
              </w:rPr>
              <w:t>Financial mechanisms</w:t>
            </w:r>
            <w:r w:rsidR="00106BCC" w:rsidRPr="00DD6E6B">
              <w:rPr>
                <w:rStyle w:val="Znakapoznpodarou"/>
                <w:spacing w:val="-5"/>
                <w:lang w:val="en-GB"/>
              </w:rPr>
              <w:footnoteReference w:id="4"/>
            </w:r>
            <w:r w:rsidR="00106BCC" w:rsidRPr="00DD6E6B">
              <w:rPr>
                <w:spacing w:val="-5"/>
                <w:lang w:val="en-GB"/>
              </w:rPr>
              <w:t xml:space="preserve"> (+44</w:t>
            </w:r>
            <w:r w:rsidR="00300E7D" w:rsidRPr="00DD6E6B">
              <w:rPr>
                <w:spacing w:val="-5"/>
                <w:lang w:val="en-GB"/>
              </w:rPr>
              <w:t>.</w:t>
            </w:r>
            <w:r w:rsidR="00106BCC" w:rsidRPr="00DD6E6B">
              <w:rPr>
                <w:spacing w:val="-5"/>
                <w:lang w:val="en-GB"/>
              </w:rPr>
              <w:t>6</w:t>
            </w:r>
            <w:r w:rsidR="00300E7D" w:rsidRPr="00DD6E6B">
              <w:rPr>
                <w:spacing w:val="-5"/>
                <w:lang w:val="en-GB"/>
              </w:rPr>
              <w:t xml:space="preserve"> CZK bn</w:t>
            </w:r>
            <w:r w:rsidR="00106BCC" w:rsidRPr="00DD6E6B">
              <w:rPr>
                <w:spacing w:val="-5"/>
                <w:lang w:val="en-GB"/>
              </w:rPr>
              <w:t xml:space="preserve">), </w:t>
            </w:r>
            <w:r w:rsidR="00300E7D" w:rsidRPr="00DD6E6B">
              <w:rPr>
                <w:spacing w:val="-5"/>
                <w:lang w:val="en-GB"/>
              </w:rPr>
              <w:t xml:space="preserve">where the essential June increase of revenues owing to the funds from the EU Recovery Instrument had an effect </w:t>
            </w:r>
            <w:r w:rsidR="00106BCC" w:rsidRPr="00DD6E6B">
              <w:rPr>
                <w:spacing w:val="-5"/>
                <w:lang w:val="en-GB"/>
              </w:rPr>
              <w:t>(</w:t>
            </w:r>
            <w:r w:rsidR="00300E7D" w:rsidRPr="00DD6E6B">
              <w:rPr>
                <w:spacing w:val="-5"/>
                <w:lang w:val="en-GB"/>
              </w:rPr>
              <w:t>implemented locally via the National recovery plan</w:t>
            </w:r>
            <w:r w:rsidR="00106BCC" w:rsidRPr="00DD6E6B">
              <w:rPr>
                <w:spacing w:val="-5"/>
                <w:lang w:val="en-GB"/>
              </w:rPr>
              <w:t>).</w:t>
            </w:r>
          </w:p>
        </w:tc>
      </w:tr>
      <w:tr w:rsidR="00106BCC" w:rsidRPr="00DD6E6B" w14:paraId="7124B3BE" w14:textId="77777777" w:rsidTr="006849F8">
        <w:trPr>
          <w:trHeight w:val="145"/>
        </w:trPr>
        <w:tc>
          <w:tcPr>
            <w:tcW w:w="1792" w:type="dxa"/>
            <w:shd w:val="clear" w:color="auto" w:fill="auto"/>
            <w:tcMar>
              <w:left w:w="0" w:type="dxa"/>
            </w:tcMar>
          </w:tcPr>
          <w:p w14:paraId="2520CDEE" w14:textId="348193B1" w:rsidR="00106BCC" w:rsidRPr="00DD6E6B" w:rsidRDefault="004934E3" w:rsidP="006849F8">
            <w:pPr>
              <w:pStyle w:val="Marginlie"/>
              <w:rPr>
                <w:lang w:val="en-GB"/>
              </w:rPr>
            </w:pPr>
            <w:r w:rsidRPr="00DD6E6B">
              <w:rPr>
                <w:color w:val="0D0D0D" w:themeColor="text1" w:themeTint="F2"/>
                <w:lang w:val="en-GB"/>
              </w:rPr>
              <w:t xml:space="preserve">Collection of </w:t>
            </w:r>
            <w:r w:rsidR="00C96EF5" w:rsidRPr="00DD6E6B">
              <w:rPr>
                <w:color w:val="0D0D0D" w:themeColor="text1" w:themeTint="F2"/>
                <w:lang w:val="en-GB"/>
              </w:rPr>
              <w:t>income tax</w:t>
            </w:r>
            <w:r w:rsidR="002C15ED" w:rsidRPr="00DD6E6B">
              <w:rPr>
                <w:color w:val="0D0D0D" w:themeColor="text1" w:themeTint="F2"/>
                <w:lang w:val="en-GB"/>
              </w:rPr>
              <w:t>es</w:t>
            </w:r>
            <w:r w:rsidR="00C96EF5" w:rsidRPr="00DD6E6B">
              <w:rPr>
                <w:color w:val="0D0D0D" w:themeColor="text1" w:themeTint="F2"/>
                <w:lang w:val="en-GB"/>
              </w:rPr>
              <w:t xml:space="preserve"> of legal persons continued </w:t>
            </w:r>
            <w:r w:rsidR="00274240" w:rsidRPr="00DD6E6B">
              <w:rPr>
                <w:color w:val="0D0D0D" w:themeColor="text1" w:themeTint="F2"/>
                <w:lang w:val="en-GB"/>
              </w:rPr>
              <w:t>at</w:t>
            </w:r>
            <w:r w:rsidR="00C96EF5" w:rsidRPr="00DD6E6B">
              <w:rPr>
                <w:color w:val="0D0D0D" w:themeColor="text1" w:themeTint="F2"/>
                <w:lang w:val="en-GB"/>
              </w:rPr>
              <w:t xml:space="preserve"> brisk pace and above the level of budget anticipations. </w:t>
            </w:r>
          </w:p>
        </w:tc>
        <w:tc>
          <w:tcPr>
            <w:tcW w:w="203" w:type="dxa"/>
            <w:shd w:val="clear" w:color="auto" w:fill="auto"/>
            <w:tcMar>
              <w:left w:w="0" w:type="dxa"/>
            </w:tcMar>
          </w:tcPr>
          <w:p w14:paraId="7688D80F"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7AD5A4EB" w14:textId="0EED5FD2" w:rsidR="00106BCC" w:rsidRPr="00DD6E6B" w:rsidRDefault="00C96EF5" w:rsidP="006849F8">
            <w:pPr>
              <w:spacing w:after="200"/>
              <w:rPr>
                <w:spacing w:val="-4"/>
                <w:lang w:val="en-GB"/>
              </w:rPr>
            </w:pPr>
            <w:r w:rsidRPr="00DD6E6B">
              <w:rPr>
                <w:spacing w:val="-4"/>
                <w:lang w:val="en-GB"/>
              </w:rPr>
              <w:t xml:space="preserve">Corporate tax whose collection strengthened by nearly one quarter year-on-year </w:t>
            </w:r>
            <w:r w:rsidR="00106BCC" w:rsidRPr="00DD6E6B">
              <w:rPr>
                <w:spacing w:val="-4"/>
                <w:lang w:val="en-GB"/>
              </w:rPr>
              <w:t>(+20</w:t>
            </w:r>
            <w:r w:rsidRPr="00DD6E6B">
              <w:rPr>
                <w:spacing w:val="-4"/>
                <w:lang w:val="en-GB"/>
              </w:rPr>
              <w:t>.</w:t>
            </w:r>
            <w:r w:rsidR="00106BCC" w:rsidRPr="00DD6E6B">
              <w:rPr>
                <w:spacing w:val="-4"/>
                <w:lang w:val="en-GB"/>
              </w:rPr>
              <w:t>9</w:t>
            </w:r>
            <w:r w:rsidRPr="00DD6E6B">
              <w:rPr>
                <w:spacing w:val="-4"/>
                <w:lang w:val="en-GB"/>
              </w:rPr>
              <w:t xml:space="preserve"> CZK bn</w:t>
            </w:r>
            <w:r w:rsidR="00106BCC" w:rsidRPr="00DD6E6B">
              <w:rPr>
                <w:spacing w:val="-4"/>
                <w:lang w:val="en-GB"/>
              </w:rPr>
              <w:t>)</w:t>
            </w:r>
            <w:r w:rsidRPr="00DD6E6B">
              <w:rPr>
                <w:spacing w:val="-4"/>
                <w:lang w:val="en-GB"/>
              </w:rPr>
              <w:t xml:space="preserve"> the most contributed to the growth of the total SB tax income in H1 2023. </w:t>
            </w:r>
            <w:r w:rsidR="007E5FFD" w:rsidRPr="00DD6E6B">
              <w:rPr>
                <w:spacing w:val="-4"/>
                <w:lang w:val="en-GB"/>
              </w:rPr>
              <w:t xml:space="preserve">The high profit rate of the non-financial businesses in the CR (it has been rising continuously since the beginning of the last year) is also reflected in the swiftly growing collection of this tax, which exceeds the budget anticipations. </w:t>
            </w:r>
            <w:r w:rsidR="00F32B8A" w:rsidRPr="00DD6E6B">
              <w:rPr>
                <w:spacing w:val="-4"/>
                <w:lang w:val="en-GB"/>
              </w:rPr>
              <w:t xml:space="preserve">Businesses in the area of the financial sector also participated on the high collection. </w:t>
            </w:r>
            <w:r w:rsidR="008B3454" w:rsidRPr="00DD6E6B">
              <w:rPr>
                <w:spacing w:val="-4"/>
                <w:lang w:val="en-GB"/>
              </w:rPr>
              <w:t>Beyond the standard corporate tax the SB also acquired the levy on excess income from the energy companies</w:t>
            </w:r>
            <w:r w:rsidR="00106BCC" w:rsidRPr="00DD6E6B">
              <w:rPr>
                <w:rStyle w:val="Znakapoznpodarou"/>
                <w:spacing w:val="-4"/>
                <w:lang w:val="en-GB"/>
              </w:rPr>
              <w:footnoteReference w:id="5"/>
            </w:r>
            <w:r w:rsidR="00106BCC" w:rsidRPr="00DD6E6B">
              <w:rPr>
                <w:spacing w:val="-4"/>
                <w:lang w:val="en-GB"/>
              </w:rPr>
              <w:t xml:space="preserve"> (12</w:t>
            </w:r>
            <w:r w:rsidR="00F32B8A" w:rsidRPr="00DD6E6B">
              <w:rPr>
                <w:spacing w:val="-4"/>
                <w:lang w:val="en-GB"/>
              </w:rPr>
              <w:t>.</w:t>
            </w:r>
            <w:r w:rsidR="00106BCC" w:rsidRPr="00DD6E6B">
              <w:rPr>
                <w:spacing w:val="-4"/>
                <w:lang w:val="en-GB"/>
              </w:rPr>
              <w:t>8</w:t>
            </w:r>
            <w:r w:rsidR="00F32B8A" w:rsidRPr="00DD6E6B">
              <w:rPr>
                <w:spacing w:val="-4"/>
                <w:lang w:val="en-GB"/>
              </w:rPr>
              <w:t xml:space="preserve"> CZK bn</w:t>
            </w:r>
            <w:r w:rsidR="00106BCC" w:rsidRPr="00DD6E6B">
              <w:rPr>
                <w:spacing w:val="-4"/>
                <w:lang w:val="en-GB"/>
              </w:rPr>
              <w:t>)</w:t>
            </w:r>
            <w:r w:rsidR="008B3454" w:rsidRPr="00DD6E6B">
              <w:rPr>
                <w:spacing w:val="-4"/>
                <w:lang w:val="en-GB"/>
              </w:rPr>
              <w:t xml:space="preserve"> in H1</w:t>
            </w:r>
            <w:r w:rsidR="00106BCC" w:rsidRPr="00DD6E6B">
              <w:rPr>
                <w:spacing w:val="-4"/>
                <w:lang w:val="en-GB"/>
              </w:rPr>
              <w:t>.</w:t>
            </w:r>
            <w:r w:rsidR="00F32B8A" w:rsidRPr="00DD6E6B">
              <w:rPr>
                <w:spacing w:val="-4"/>
                <w:lang w:val="en-GB"/>
              </w:rPr>
              <w:t xml:space="preserve"> On the contrary for another extraordinary income </w:t>
            </w:r>
            <w:r w:rsidR="00106BCC" w:rsidRPr="00DD6E6B">
              <w:rPr>
                <w:spacing w:val="-4"/>
                <w:lang w:val="en-GB"/>
              </w:rPr>
              <w:t xml:space="preserve">– </w:t>
            </w:r>
            <w:r w:rsidR="00F32B8A" w:rsidRPr="00DD6E6B">
              <w:rPr>
                <w:spacing w:val="-4"/>
                <w:lang w:val="en-GB"/>
              </w:rPr>
              <w:t>windfall tax</w:t>
            </w:r>
            <w:r w:rsidR="00106BCC" w:rsidRPr="00DD6E6B">
              <w:rPr>
                <w:rStyle w:val="Znakapoznpodarou"/>
                <w:spacing w:val="-4"/>
                <w:lang w:val="en-GB"/>
              </w:rPr>
              <w:footnoteReference w:id="6"/>
            </w:r>
            <w:r w:rsidR="00106BCC" w:rsidRPr="00DD6E6B">
              <w:rPr>
                <w:spacing w:val="-4"/>
                <w:lang w:val="en-GB"/>
              </w:rPr>
              <w:t xml:space="preserve"> – </w:t>
            </w:r>
            <w:r w:rsidR="00F32B8A" w:rsidRPr="00DD6E6B">
              <w:rPr>
                <w:spacing w:val="-4"/>
                <w:lang w:val="en-GB"/>
              </w:rPr>
              <w:t>the first payments of businesses are presumed only this year in September</w:t>
            </w:r>
            <w:r w:rsidR="00106BCC" w:rsidRPr="00DD6E6B">
              <w:rPr>
                <w:rStyle w:val="Znakapoznpodarou"/>
                <w:spacing w:val="-4"/>
                <w:lang w:val="en-GB"/>
              </w:rPr>
              <w:footnoteReference w:id="7"/>
            </w:r>
            <w:r w:rsidR="00106BCC" w:rsidRPr="00DD6E6B">
              <w:rPr>
                <w:spacing w:val="-4"/>
                <w:lang w:val="en-GB"/>
              </w:rPr>
              <w:t xml:space="preserve">. </w:t>
            </w:r>
          </w:p>
        </w:tc>
      </w:tr>
      <w:tr w:rsidR="00106BCC" w:rsidRPr="00DD6E6B" w14:paraId="06EDD977" w14:textId="77777777" w:rsidTr="006849F8">
        <w:trPr>
          <w:trHeight w:val="145"/>
        </w:trPr>
        <w:tc>
          <w:tcPr>
            <w:tcW w:w="1792" w:type="dxa"/>
            <w:shd w:val="clear" w:color="auto" w:fill="auto"/>
            <w:tcMar>
              <w:left w:w="0" w:type="dxa"/>
            </w:tcMar>
          </w:tcPr>
          <w:p w14:paraId="28108147" w14:textId="5E935C64" w:rsidR="00106BCC" w:rsidRPr="00DD6E6B" w:rsidRDefault="008B3454" w:rsidP="006849F8">
            <w:pPr>
              <w:pStyle w:val="Marginlie"/>
              <w:rPr>
                <w:spacing w:val="-5"/>
                <w:lang w:val="en-GB"/>
              </w:rPr>
            </w:pPr>
            <w:r w:rsidRPr="00DD6E6B">
              <w:rPr>
                <w:lang w:val="en-GB"/>
              </w:rPr>
              <w:t>Brisk growth of the collection of income tax</w:t>
            </w:r>
            <w:r w:rsidR="002C15ED" w:rsidRPr="00DD6E6B">
              <w:rPr>
                <w:lang w:val="en-GB"/>
              </w:rPr>
              <w:t>es</w:t>
            </w:r>
            <w:r w:rsidRPr="00DD6E6B">
              <w:rPr>
                <w:lang w:val="en-GB"/>
              </w:rPr>
              <w:t xml:space="preserve"> of natural persons sprang from the favourable </w:t>
            </w:r>
            <w:r w:rsidR="006E6182" w:rsidRPr="00DD6E6B">
              <w:rPr>
                <w:lang w:val="en-GB"/>
              </w:rPr>
              <w:t xml:space="preserve">position of employees on the labour market as well </w:t>
            </w:r>
            <w:r w:rsidR="006E6182" w:rsidRPr="00DD6E6B">
              <w:rPr>
                <w:lang w:val="en-GB"/>
              </w:rPr>
              <w:lastRenderedPageBreak/>
              <w:t xml:space="preserve">as the growth of the interest rates on deposits. </w:t>
            </w:r>
          </w:p>
        </w:tc>
        <w:tc>
          <w:tcPr>
            <w:tcW w:w="203" w:type="dxa"/>
            <w:shd w:val="clear" w:color="auto" w:fill="auto"/>
            <w:tcMar>
              <w:left w:w="0" w:type="dxa"/>
            </w:tcMar>
          </w:tcPr>
          <w:p w14:paraId="1C3C4102"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4E96B6C1" w14:textId="28E1D360" w:rsidR="00106BCC" w:rsidRPr="00DD6E6B" w:rsidRDefault="009E34C4" w:rsidP="00EE6137">
            <w:pPr>
              <w:spacing w:after="0"/>
              <w:rPr>
                <w:spacing w:val="-4"/>
                <w:lang w:val="en-GB"/>
              </w:rPr>
            </w:pPr>
            <w:r w:rsidRPr="00DD6E6B">
              <w:rPr>
                <w:color w:val="0D0D0D" w:themeColor="text1" w:themeTint="F2"/>
                <w:spacing w:val="-4"/>
                <w:lang w:val="en-GB"/>
              </w:rPr>
              <w:t>SB revenues from the income tax</w:t>
            </w:r>
            <w:r w:rsidR="002C15ED" w:rsidRPr="00DD6E6B">
              <w:rPr>
                <w:color w:val="0D0D0D" w:themeColor="text1" w:themeTint="F2"/>
                <w:spacing w:val="-4"/>
                <w:lang w:val="en-GB"/>
              </w:rPr>
              <w:t>es</w:t>
            </w:r>
            <w:r w:rsidRPr="00DD6E6B">
              <w:rPr>
                <w:color w:val="0D0D0D" w:themeColor="text1" w:themeTint="F2"/>
                <w:spacing w:val="-4"/>
                <w:lang w:val="en-GB"/>
              </w:rPr>
              <w:t xml:space="preserve"> of natural persons </w:t>
            </w:r>
            <w:r w:rsidR="00106BCC" w:rsidRPr="00DD6E6B">
              <w:rPr>
                <w:color w:val="0D0D0D" w:themeColor="text1" w:themeTint="F2"/>
                <w:spacing w:val="-4"/>
                <w:lang w:val="en-GB"/>
              </w:rPr>
              <w:t>(</w:t>
            </w:r>
            <w:r w:rsidRPr="00DD6E6B">
              <w:rPr>
                <w:color w:val="0D0D0D" w:themeColor="text1" w:themeTint="F2"/>
                <w:spacing w:val="-4"/>
                <w:lang w:val="en-GB"/>
              </w:rPr>
              <w:t>ITNP</w:t>
            </w:r>
            <w:r w:rsidR="00106BCC" w:rsidRPr="00DD6E6B">
              <w:rPr>
                <w:color w:val="0D0D0D" w:themeColor="text1" w:themeTint="F2"/>
                <w:spacing w:val="-4"/>
                <w:lang w:val="en-GB"/>
              </w:rPr>
              <w:t>)</w:t>
            </w:r>
            <w:r w:rsidRPr="00DD6E6B">
              <w:rPr>
                <w:color w:val="0D0D0D" w:themeColor="text1" w:themeTint="F2"/>
                <w:spacing w:val="-4"/>
                <w:lang w:val="en-GB"/>
              </w:rPr>
              <w:t xml:space="preserve"> also grew </w:t>
            </w:r>
            <w:r w:rsidR="0052659F" w:rsidRPr="00DD6E6B">
              <w:rPr>
                <w:color w:val="0D0D0D" w:themeColor="text1" w:themeTint="F2"/>
                <w:spacing w:val="-4"/>
                <w:lang w:val="en-GB"/>
              </w:rPr>
              <w:t>briskly when</w:t>
            </w:r>
            <w:r w:rsidRPr="00DD6E6B">
              <w:rPr>
                <w:color w:val="0D0D0D" w:themeColor="text1" w:themeTint="F2"/>
                <w:spacing w:val="-4"/>
                <w:lang w:val="en-GB"/>
              </w:rPr>
              <w:t xml:space="preserve"> it was by </w:t>
            </w:r>
            <w:r w:rsidR="00106BCC" w:rsidRPr="00DD6E6B">
              <w:rPr>
                <w:color w:val="0D0D0D" w:themeColor="text1" w:themeTint="F2"/>
                <w:spacing w:val="-4"/>
                <w:lang w:val="en-GB"/>
              </w:rPr>
              <w:t>25</w:t>
            </w:r>
            <w:r w:rsidR="005403FA" w:rsidRPr="00DD6E6B">
              <w:rPr>
                <w:color w:val="0D0D0D" w:themeColor="text1" w:themeTint="F2"/>
                <w:spacing w:val="-4"/>
                <w:lang w:val="en-GB"/>
              </w:rPr>
              <w:t>.</w:t>
            </w:r>
            <w:r w:rsidR="00106BCC" w:rsidRPr="00DD6E6B">
              <w:rPr>
                <w:color w:val="0D0D0D" w:themeColor="text1" w:themeTint="F2"/>
                <w:spacing w:val="-4"/>
                <w:lang w:val="en-GB"/>
              </w:rPr>
              <w:t>2%</w:t>
            </w:r>
            <w:r w:rsidR="00EE6137">
              <w:rPr>
                <w:color w:val="0D0D0D" w:themeColor="text1" w:themeTint="F2"/>
                <w:spacing w:val="-4"/>
                <w:lang w:val="en-GB"/>
              </w:rPr>
              <w:t>, i.e. by</w:t>
            </w:r>
            <w:r w:rsidR="00F90968" w:rsidRPr="00DD6E6B">
              <w:rPr>
                <w:color w:val="0D0D0D" w:themeColor="text1" w:themeTint="F2"/>
                <w:spacing w:val="-4"/>
                <w:lang w:val="en-GB"/>
              </w:rPr>
              <w:t xml:space="preserve"> 13.3 CZK bn</w:t>
            </w:r>
            <w:r w:rsidR="00EE6137">
              <w:rPr>
                <w:color w:val="0D0D0D" w:themeColor="text1" w:themeTint="F2"/>
                <w:spacing w:val="-4"/>
                <w:lang w:val="en-GB"/>
              </w:rPr>
              <w:t>,</w:t>
            </w:r>
            <w:r w:rsidR="00F90968" w:rsidRPr="00DD6E6B">
              <w:rPr>
                <w:color w:val="0D0D0D" w:themeColor="text1" w:themeTint="F2"/>
                <w:spacing w:val="-4"/>
                <w:lang w:val="en-GB"/>
              </w:rPr>
              <w:t xml:space="preserve"> h</w:t>
            </w:r>
            <w:r w:rsidRPr="00DD6E6B">
              <w:rPr>
                <w:color w:val="0D0D0D" w:themeColor="text1" w:themeTint="F2"/>
                <w:spacing w:val="-4"/>
                <w:lang w:val="en-GB"/>
              </w:rPr>
              <w:t xml:space="preserve">igher year-on-year. </w:t>
            </w:r>
            <w:r w:rsidR="004C0CA8" w:rsidRPr="00DD6E6B">
              <w:rPr>
                <w:color w:val="0D0D0D" w:themeColor="text1" w:themeTint="F2"/>
                <w:spacing w:val="-4"/>
                <w:lang w:val="en-GB"/>
              </w:rPr>
              <w:t>It was mainly thanks to the key income tax</w:t>
            </w:r>
            <w:r w:rsidR="006369D5" w:rsidRPr="00DD6E6B">
              <w:rPr>
                <w:color w:val="0D0D0D" w:themeColor="text1" w:themeTint="F2"/>
                <w:spacing w:val="-4"/>
                <w:lang w:val="en-GB"/>
              </w:rPr>
              <w:t>es</w:t>
            </w:r>
            <w:r w:rsidR="004C0CA8" w:rsidRPr="00DD6E6B">
              <w:rPr>
                <w:color w:val="0D0D0D" w:themeColor="text1" w:themeTint="F2"/>
                <w:spacing w:val="-4"/>
                <w:lang w:val="en-GB"/>
              </w:rPr>
              <w:t xml:space="preserve"> paid by payers </w:t>
            </w:r>
            <w:r w:rsidR="00106BCC" w:rsidRPr="00DD6E6B">
              <w:rPr>
                <w:color w:val="0D0D0D" w:themeColor="text1" w:themeTint="F2"/>
                <w:spacing w:val="-4"/>
                <w:lang w:val="en-GB"/>
              </w:rPr>
              <w:t>(</w:t>
            </w:r>
            <w:r w:rsidR="004C0CA8" w:rsidRPr="00DD6E6B">
              <w:rPr>
                <w:color w:val="0D0D0D" w:themeColor="text1" w:themeTint="F2"/>
                <w:spacing w:val="-4"/>
                <w:lang w:val="en-GB"/>
              </w:rPr>
              <w:t>from dependent activity</w:t>
            </w:r>
            <w:r w:rsidR="00106BCC" w:rsidRPr="00DD6E6B">
              <w:rPr>
                <w:color w:val="0D0D0D" w:themeColor="text1" w:themeTint="F2"/>
                <w:spacing w:val="-4"/>
                <w:lang w:val="en-GB"/>
              </w:rPr>
              <w:t>)</w:t>
            </w:r>
            <w:r w:rsidR="00106BCC" w:rsidRPr="00DD6E6B">
              <w:rPr>
                <w:rStyle w:val="Znakapoznpodarou"/>
                <w:color w:val="0D0D0D" w:themeColor="text1" w:themeTint="F2"/>
                <w:spacing w:val="-4"/>
                <w:lang w:val="en-GB"/>
              </w:rPr>
              <w:footnoteReference w:id="8"/>
            </w:r>
            <w:r w:rsidR="00106BCC" w:rsidRPr="00DD6E6B">
              <w:rPr>
                <w:color w:val="0D0D0D" w:themeColor="text1" w:themeTint="F2"/>
                <w:spacing w:val="-4"/>
                <w:lang w:val="en-GB"/>
              </w:rPr>
              <w:t xml:space="preserve">, </w:t>
            </w:r>
            <w:r w:rsidR="004C0CA8" w:rsidRPr="00DD6E6B">
              <w:rPr>
                <w:color w:val="0D0D0D" w:themeColor="text1" w:themeTint="F2"/>
                <w:spacing w:val="-4"/>
                <w:lang w:val="en-GB"/>
              </w:rPr>
              <w:t xml:space="preserve">which reflected the persisting growth of employment as well as the slightly accelerating growth of the average wage. </w:t>
            </w:r>
            <w:r w:rsidR="003C5015" w:rsidRPr="00DD6E6B">
              <w:rPr>
                <w:color w:val="0D0D0D" w:themeColor="text1" w:themeTint="F2"/>
                <w:spacing w:val="-4"/>
                <w:lang w:val="en-GB"/>
              </w:rPr>
              <w:t xml:space="preserve">The effect of tax changes also had an effect to a lesser extent here </w:t>
            </w:r>
            <w:r w:rsidR="00106BCC" w:rsidRPr="00DD6E6B">
              <w:rPr>
                <w:color w:val="0D0D0D" w:themeColor="text1" w:themeTint="F2"/>
                <w:spacing w:val="-4"/>
                <w:lang w:val="en-GB"/>
              </w:rPr>
              <w:t>(</w:t>
            </w:r>
            <w:r w:rsidR="00E24411" w:rsidRPr="00DD6E6B">
              <w:rPr>
                <w:color w:val="0D0D0D" w:themeColor="text1" w:themeTint="F2"/>
                <w:spacing w:val="-4"/>
                <w:lang w:val="en-GB"/>
              </w:rPr>
              <w:t xml:space="preserve">continuing </w:t>
            </w:r>
            <w:r w:rsidR="001F6360" w:rsidRPr="00DD6E6B">
              <w:rPr>
                <w:color w:val="0D0D0D" w:themeColor="text1" w:themeTint="F2"/>
                <w:spacing w:val="-4"/>
                <w:lang w:val="en-GB"/>
              </w:rPr>
              <w:t xml:space="preserve">increase of the tax discount </w:t>
            </w:r>
            <w:r w:rsidR="00774430" w:rsidRPr="00DD6E6B">
              <w:rPr>
                <w:color w:val="0D0D0D" w:themeColor="text1" w:themeTint="F2"/>
                <w:spacing w:val="-4"/>
                <w:lang w:val="en-GB"/>
              </w:rPr>
              <w:t xml:space="preserve">per the taxpayer, </w:t>
            </w:r>
            <w:r w:rsidR="001D5D52" w:rsidRPr="00DD6E6B">
              <w:rPr>
                <w:color w:val="0D0D0D" w:themeColor="text1" w:themeTint="F2"/>
                <w:spacing w:val="-4"/>
                <w:lang w:val="en-GB"/>
              </w:rPr>
              <w:t>abolition</w:t>
            </w:r>
            <w:r w:rsidR="00A67605" w:rsidRPr="00DD6E6B">
              <w:rPr>
                <w:color w:val="0D0D0D" w:themeColor="text1" w:themeTint="F2"/>
                <w:spacing w:val="-4"/>
                <w:lang w:val="en-GB"/>
              </w:rPr>
              <w:t xml:space="preserve"> of the </w:t>
            </w:r>
            <w:r w:rsidR="001D5D52" w:rsidRPr="00DD6E6B">
              <w:rPr>
                <w:color w:val="0D0D0D" w:themeColor="text1" w:themeTint="F2"/>
                <w:spacing w:val="-4"/>
                <w:lang w:val="en-GB"/>
              </w:rPr>
              <w:t xml:space="preserve">compensation </w:t>
            </w:r>
            <w:r w:rsidR="00A67605" w:rsidRPr="00DD6E6B">
              <w:rPr>
                <w:color w:val="0D0D0D" w:themeColor="text1" w:themeTint="F2"/>
                <w:spacing w:val="-4"/>
                <w:lang w:val="en-GB"/>
              </w:rPr>
              <w:t xml:space="preserve">bonus </w:t>
            </w:r>
            <w:r w:rsidR="006442DB" w:rsidRPr="00DD6E6B">
              <w:rPr>
                <w:color w:val="0D0D0D" w:themeColor="text1" w:themeTint="F2"/>
                <w:spacing w:val="-4"/>
                <w:lang w:val="en-GB"/>
              </w:rPr>
              <w:t xml:space="preserve">to aid small businesses </w:t>
            </w:r>
            <w:r w:rsidR="00917DDF" w:rsidRPr="00DD6E6B">
              <w:rPr>
                <w:color w:val="0D0D0D" w:themeColor="text1" w:themeTint="F2"/>
                <w:spacing w:val="-4"/>
                <w:lang w:val="en-GB"/>
              </w:rPr>
              <w:lastRenderedPageBreak/>
              <w:t>during the pandemics</w:t>
            </w:r>
            <w:r w:rsidR="00106BCC" w:rsidRPr="00DD6E6B">
              <w:rPr>
                <w:color w:val="0D0D0D" w:themeColor="text1" w:themeTint="F2"/>
                <w:spacing w:val="-4"/>
                <w:lang w:val="en-GB"/>
              </w:rPr>
              <w:t xml:space="preserve">). </w:t>
            </w:r>
            <w:r w:rsidR="002D0599" w:rsidRPr="00DD6E6B">
              <w:rPr>
                <w:color w:val="0D0D0D" w:themeColor="text1" w:themeTint="F2"/>
                <w:spacing w:val="-4"/>
                <w:lang w:val="en-GB"/>
              </w:rPr>
              <w:t xml:space="preserve">Collection of the ITNP </w:t>
            </w:r>
            <w:r w:rsidR="00440AC0" w:rsidRPr="00DD6E6B">
              <w:rPr>
                <w:color w:val="0D0D0D" w:themeColor="text1" w:themeTint="F2"/>
                <w:spacing w:val="-4"/>
                <w:lang w:val="en-GB"/>
              </w:rPr>
              <w:t>collected by deduction</w:t>
            </w:r>
            <w:r w:rsidR="00106BCC" w:rsidRPr="00DD6E6B">
              <w:rPr>
                <w:spacing w:val="-4"/>
                <w:lang w:val="en-GB"/>
              </w:rPr>
              <w:t xml:space="preserve">, </w:t>
            </w:r>
            <w:r w:rsidR="00DE4882" w:rsidRPr="00DD6E6B">
              <w:rPr>
                <w:spacing w:val="-4"/>
                <w:lang w:val="en-GB"/>
              </w:rPr>
              <w:t xml:space="preserve">where the state collected by </w:t>
            </w:r>
            <w:r w:rsidR="00106BCC" w:rsidRPr="00DD6E6B">
              <w:rPr>
                <w:spacing w:val="-4"/>
                <w:lang w:val="en-GB"/>
              </w:rPr>
              <w:t>45%</w:t>
            </w:r>
            <w:r w:rsidR="00A06CA7" w:rsidRPr="00DD6E6B">
              <w:rPr>
                <w:spacing w:val="-4"/>
                <w:lang w:val="en-GB"/>
              </w:rPr>
              <w:t xml:space="preserve"> more year-on-year </w:t>
            </w:r>
            <w:r w:rsidR="00106BCC" w:rsidRPr="00DD6E6B">
              <w:rPr>
                <w:spacing w:val="-4"/>
                <w:lang w:val="en-GB"/>
              </w:rPr>
              <w:t>(</w:t>
            </w:r>
            <w:r w:rsidR="00A06CA7" w:rsidRPr="00DD6E6B">
              <w:rPr>
                <w:spacing w:val="-4"/>
                <w:lang w:val="en-GB"/>
              </w:rPr>
              <w:t>thanks to the growth of the interest rates or larger number of persons with job agreement contracts as well</w:t>
            </w:r>
            <w:r w:rsidR="00106BCC" w:rsidRPr="00DD6E6B">
              <w:rPr>
                <w:spacing w:val="-4"/>
                <w:lang w:val="en-GB"/>
              </w:rPr>
              <w:t>)</w:t>
            </w:r>
            <w:r w:rsidR="00440AC0" w:rsidRPr="00DD6E6B">
              <w:rPr>
                <w:spacing w:val="-4"/>
                <w:lang w:val="en-GB"/>
              </w:rPr>
              <w:t xml:space="preserve"> also </w:t>
            </w:r>
            <w:r w:rsidR="009A74DC" w:rsidRPr="00DD6E6B">
              <w:rPr>
                <w:spacing w:val="-4"/>
                <w:lang w:val="en-GB"/>
              </w:rPr>
              <w:t>flourished</w:t>
            </w:r>
            <w:r w:rsidR="00106BCC" w:rsidRPr="00DD6E6B">
              <w:rPr>
                <w:spacing w:val="-4"/>
                <w:lang w:val="en-GB"/>
              </w:rPr>
              <w:t xml:space="preserve">. </w:t>
            </w:r>
            <w:r w:rsidR="00E35C5E" w:rsidRPr="00DD6E6B">
              <w:rPr>
                <w:spacing w:val="-4"/>
                <w:lang w:val="en-GB"/>
              </w:rPr>
              <w:t xml:space="preserve">On the contrary </w:t>
            </w:r>
            <w:r w:rsidR="00FA5D42" w:rsidRPr="00DD6E6B">
              <w:rPr>
                <w:spacing w:val="-4"/>
                <w:lang w:val="en-GB"/>
              </w:rPr>
              <w:t xml:space="preserve">collection of the weight less significant tax ITNP paid by payers, </w:t>
            </w:r>
            <w:r w:rsidR="00877216" w:rsidRPr="00DD6E6B">
              <w:rPr>
                <w:spacing w:val="-4"/>
                <w:lang w:val="en-GB"/>
              </w:rPr>
              <w:t>which mainly aims at small entrepreneurs</w:t>
            </w:r>
            <w:r w:rsidR="00545529" w:rsidRPr="00DD6E6B">
              <w:rPr>
                <w:spacing w:val="-4"/>
                <w:lang w:val="en-GB"/>
              </w:rPr>
              <w:t>, lowered by nearly one fifth year-on-year</w:t>
            </w:r>
            <w:r w:rsidR="00106BCC" w:rsidRPr="00DD6E6B">
              <w:rPr>
                <w:rStyle w:val="Znakapoznpodarou"/>
                <w:spacing w:val="-4"/>
                <w:lang w:val="en-GB"/>
              </w:rPr>
              <w:footnoteReference w:id="9"/>
            </w:r>
            <w:r w:rsidR="00106BCC" w:rsidRPr="00DD6E6B">
              <w:rPr>
                <w:spacing w:val="-4"/>
                <w:lang w:val="en-GB"/>
              </w:rPr>
              <w:t xml:space="preserve">. </w:t>
            </w:r>
          </w:p>
        </w:tc>
      </w:tr>
      <w:tr w:rsidR="00106BCC" w:rsidRPr="00DD6E6B" w14:paraId="37CFAD30" w14:textId="77777777" w:rsidTr="006849F8">
        <w:trPr>
          <w:trHeight w:val="145"/>
        </w:trPr>
        <w:tc>
          <w:tcPr>
            <w:tcW w:w="1792" w:type="dxa"/>
            <w:shd w:val="clear" w:color="auto" w:fill="auto"/>
            <w:tcMar>
              <w:left w:w="0" w:type="dxa"/>
            </w:tcMar>
          </w:tcPr>
          <w:p w14:paraId="6DBC6B6A" w14:textId="6ED3A69A" w:rsidR="00106BCC" w:rsidRPr="00DD6E6B" w:rsidRDefault="00BE00D1" w:rsidP="006849F8">
            <w:pPr>
              <w:pStyle w:val="Marginlie"/>
              <w:rPr>
                <w:spacing w:val="-5"/>
                <w:lang w:val="en-GB"/>
              </w:rPr>
            </w:pPr>
            <w:r w:rsidRPr="00DD6E6B">
              <w:rPr>
                <w:spacing w:val="-5"/>
                <w:lang w:val="en-GB"/>
              </w:rPr>
              <w:lastRenderedPageBreak/>
              <w:t>Rate of growth of the VAT still weakened during H</w:t>
            </w:r>
            <w:r w:rsidR="00106BCC" w:rsidRPr="00DD6E6B">
              <w:rPr>
                <w:spacing w:val="-5"/>
                <w:lang w:val="en-GB"/>
              </w:rPr>
              <w:t>1.</w:t>
            </w:r>
          </w:p>
        </w:tc>
        <w:tc>
          <w:tcPr>
            <w:tcW w:w="203" w:type="dxa"/>
            <w:shd w:val="clear" w:color="auto" w:fill="auto"/>
            <w:tcMar>
              <w:left w:w="0" w:type="dxa"/>
            </w:tcMar>
          </w:tcPr>
          <w:p w14:paraId="7071C2C2"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5749730D" w14:textId="79EEB23F" w:rsidR="00106BCC" w:rsidRPr="00DD6E6B" w:rsidRDefault="0001083F" w:rsidP="006849F8">
            <w:pPr>
              <w:spacing w:after="220"/>
              <w:rPr>
                <w:spacing w:val="-4"/>
                <w:lang w:val="en-GB"/>
              </w:rPr>
            </w:pPr>
            <w:r w:rsidRPr="00DD6E6B">
              <w:rPr>
                <w:spacing w:val="-4"/>
                <w:lang w:val="en-GB"/>
              </w:rPr>
              <w:t xml:space="preserve">The VAT </w:t>
            </w:r>
            <w:r w:rsidR="00614D60" w:rsidRPr="00DD6E6B">
              <w:rPr>
                <w:spacing w:val="-4"/>
                <w:lang w:val="en-GB"/>
              </w:rPr>
              <w:t>remains the most significant tax income for the SB</w:t>
            </w:r>
            <w:r w:rsidR="00106BCC" w:rsidRPr="00DD6E6B">
              <w:rPr>
                <w:color w:val="0D0D0D" w:themeColor="text1" w:themeTint="F2"/>
                <w:spacing w:val="-4"/>
                <w:lang w:val="en-GB"/>
              </w:rPr>
              <w:t xml:space="preserve">. </w:t>
            </w:r>
            <w:r w:rsidR="00614D60" w:rsidRPr="00DD6E6B">
              <w:rPr>
                <w:color w:val="0D0D0D" w:themeColor="text1" w:themeTint="F2"/>
                <w:spacing w:val="-4"/>
                <w:lang w:val="en-GB"/>
              </w:rPr>
              <w:t>It</w:t>
            </w:r>
            <w:r w:rsidR="009E274E" w:rsidRPr="00DD6E6B">
              <w:rPr>
                <w:color w:val="0D0D0D" w:themeColor="text1" w:themeTint="F2"/>
                <w:spacing w:val="-4"/>
                <w:lang w:val="en-GB"/>
              </w:rPr>
              <w:t>s</w:t>
            </w:r>
            <w:r w:rsidR="00E32DD9" w:rsidRPr="00DD6E6B">
              <w:rPr>
                <w:color w:val="0D0D0D" w:themeColor="text1" w:themeTint="F2"/>
                <w:spacing w:val="-4"/>
                <w:lang w:val="en-GB"/>
              </w:rPr>
              <w:t xml:space="preserve"> collection </w:t>
            </w:r>
            <w:r w:rsidR="006423CE" w:rsidRPr="00DD6E6B">
              <w:rPr>
                <w:color w:val="0D0D0D" w:themeColor="text1" w:themeTint="F2"/>
                <w:spacing w:val="-4"/>
                <w:lang w:val="en-GB"/>
              </w:rPr>
              <w:t>strengthened</w:t>
            </w:r>
            <w:r w:rsidR="00E32DD9" w:rsidRPr="00DD6E6B">
              <w:rPr>
                <w:color w:val="0D0D0D" w:themeColor="text1" w:themeTint="F2"/>
                <w:spacing w:val="-4"/>
                <w:lang w:val="en-GB"/>
              </w:rPr>
              <w:t xml:space="preserve"> by </w:t>
            </w:r>
            <w:r w:rsidR="009E274E" w:rsidRPr="00DD6E6B">
              <w:rPr>
                <w:color w:val="0D0D0D" w:themeColor="text1" w:themeTint="F2"/>
                <w:spacing w:val="-4"/>
                <w:lang w:val="en-GB"/>
              </w:rPr>
              <w:t xml:space="preserve"> </w:t>
            </w:r>
            <w:r w:rsidR="00106BCC" w:rsidRPr="00DD6E6B">
              <w:rPr>
                <w:spacing w:val="-4"/>
                <w:lang w:val="en-GB"/>
              </w:rPr>
              <w:t>6</w:t>
            </w:r>
            <w:r w:rsidR="00E32DD9" w:rsidRPr="00DD6E6B">
              <w:rPr>
                <w:spacing w:val="-4"/>
                <w:lang w:val="en-GB"/>
              </w:rPr>
              <w:t>.</w:t>
            </w:r>
            <w:r w:rsidR="00106BCC" w:rsidRPr="00DD6E6B">
              <w:rPr>
                <w:spacing w:val="-4"/>
                <w:lang w:val="en-GB"/>
              </w:rPr>
              <w:t>1%</w:t>
            </w:r>
            <w:r w:rsidR="00E32DD9" w:rsidRPr="00DD6E6B">
              <w:rPr>
                <w:spacing w:val="-4"/>
                <w:lang w:val="en-GB"/>
              </w:rPr>
              <w:t xml:space="preserve"> year-on-year in H1 2023</w:t>
            </w:r>
            <w:r w:rsidR="00106BCC" w:rsidRPr="00DD6E6B">
              <w:rPr>
                <w:spacing w:val="-4"/>
                <w:lang w:val="en-GB"/>
              </w:rPr>
              <w:t xml:space="preserve"> (</w:t>
            </w:r>
            <w:r w:rsidR="006147AA" w:rsidRPr="00DD6E6B">
              <w:rPr>
                <w:spacing w:val="-4"/>
                <w:lang w:val="en-GB"/>
              </w:rPr>
              <w:t xml:space="preserve">the pace of collection further weakened </w:t>
            </w:r>
            <w:r w:rsidR="001E099C" w:rsidRPr="00DD6E6B">
              <w:rPr>
                <w:spacing w:val="-4"/>
                <w:lang w:val="en-GB"/>
              </w:rPr>
              <w:t>during the half-year,</w:t>
            </w:r>
            <w:r w:rsidR="002726A8" w:rsidRPr="00DD6E6B">
              <w:rPr>
                <w:spacing w:val="-4"/>
                <w:lang w:val="en-GB"/>
              </w:rPr>
              <w:t xml:space="preserve"> i</w:t>
            </w:r>
            <w:r w:rsidR="001E099C" w:rsidRPr="00DD6E6B">
              <w:rPr>
                <w:spacing w:val="-4"/>
                <w:lang w:val="en-GB"/>
              </w:rPr>
              <w:t xml:space="preserve">t </w:t>
            </w:r>
            <w:r w:rsidR="00A04D56" w:rsidRPr="00DD6E6B">
              <w:rPr>
                <w:spacing w:val="-4"/>
                <w:lang w:val="en-GB"/>
              </w:rPr>
              <w:t xml:space="preserve">totalled only </w:t>
            </w:r>
            <w:r w:rsidR="00106BCC" w:rsidRPr="00DD6E6B">
              <w:rPr>
                <w:spacing w:val="-4"/>
                <w:lang w:val="en-GB"/>
              </w:rPr>
              <w:t>3</w:t>
            </w:r>
            <w:r w:rsidR="006350FD" w:rsidRPr="00DD6E6B">
              <w:rPr>
                <w:spacing w:val="-4"/>
                <w:lang w:val="en-GB"/>
              </w:rPr>
              <w:t>.</w:t>
            </w:r>
            <w:r w:rsidR="00106BCC" w:rsidRPr="00DD6E6B">
              <w:rPr>
                <w:spacing w:val="-4"/>
                <w:lang w:val="en-GB"/>
              </w:rPr>
              <w:t>2%</w:t>
            </w:r>
            <w:r w:rsidR="006350FD" w:rsidRPr="00DD6E6B">
              <w:rPr>
                <w:spacing w:val="-4"/>
                <w:lang w:val="en-GB"/>
              </w:rPr>
              <w:t xml:space="preserve"> in Q2 itself</w:t>
            </w:r>
            <w:r w:rsidR="00106BCC" w:rsidRPr="00DD6E6B">
              <w:rPr>
                <w:spacing w:val="-4"/>
                <w:lang w:val="en-GB"/>
              </w:rPr>
              <w:t xml:space="preserve">). </w:t>
            </w:r>
            <w:r w:rsidR="000C0FFC" w:rsidRPr="00DD6E6B">
              <w:rPr>
                <w:spacing w:val="-4"/>
                <w:lang w:val="en-GB"/>
              </w:rPr>
              <w:t xml:space="preserve">From the view of the </w:t>
            </w:r>
            <w:r w:rsidR="00621533" w:rsidRPr="00DD6E6B">
              <w:rPr>
                <w:spacing w:val="-4"/>
                <w:lang w:val="en-GB"/>
              </w:rPr>
              <w:t xml:space="preserve">collection of tax the positive effect of the high growth of consumer prices </w:t>
            </w:r>
            <w:r w:rsidR="00BF3201" w:rsidRPr="00DD6E6B">
              <w:rPr>
                <w:spacing w:val="-4"/>
                <w:lang w:val="en-GB"/>
              </w:rPr>
              <w:t xml:space="preserve">was corrected </w:t>
            </w:r>
            <w:r w:rsidR="006C1984" w:rsidRPr="00DD6E6B">
              <w:rPr>
                <w:spacing w:val="-4"/>
                <w:lang w:val="en-GB"/>
              </w:rPr>
              <w:t xml:space="preserve">by the adverse effect of the decrease of the household consumption </w:t>
            </w:r>
            <w:r w:rsidR="00E159C6" w:rsidRPr="00DD6E6B">
              <w:rPr>
                <w:spacing w:val="-4"/>
                <w:lang w:val="en-GB"/>
              </w:rPr>
              <w:t>(</w:t>
            </w:r>
            <w:r w:rsidR="00ED2B13" w:rsidRPr="00DD6E6B">
              <w:rPr>
                <w:spacing w:val="-4"/>
                <w:lang w:val="en-GB"/>
              </w:rPr>
              <w:t>it lasted in the year-on-year perception six quarters in a row</w:t>
            </w:r>
            <w:r w:rsidR="00106BCC" w:rsidRPr="00DD6E6B">
              <w:rPr>
                <w:rStyle w:val="Znakapoznpodarou"/>
                <w:spacing w:val="-4"/>
                <w:lang w:val="en-GB"/>
              </w:rPr>
              <w:footnoteReference w:id="10"/>
            </w:r>
            <w:r w:rsidR="00106BCC" w:rsidRPr="00DD6E6B">
              <w:rPr>
                <w:spacing w:val="-4"/>
                <w:lang w:val="en-GB"/>
              </w:rPr>
              <w:t xml:space="preserve">). </w:t>
            </w:r>
            <w:r w:rsidR="00690EAD" w:rsidRPr="00DD6E6B">
              <w:rPr>
                <w:spacing w:val="-4"/>
                <w:lang w:val="en-GB"/>
              </w:rPr>
              <w:t xml:space="preserve">Growth of collection was </w:t>
            </w:r>
            <w:r w:rsidR="0084327A" w:rsidRPr="00DD6E6B">
              <w:rPr>
                <w:spacing w:val="-4"/>
                <w:lang w:val="en-GB"/>
              </w:rPr>
              <w:t xml:space="preserve">in a lesser order subdued </w:t>
            </w:r>
            <w:r w:rsidR="001909EA" w:rsidRPr="00DD6E6B">
              <w:rPr>
                <w:spacing w:val="-4"/>
                <w:lang w:val="en-GB"/>
              </w:rPr>
              <w:t>also by the increase of limit of sales for the VAT registration</w:t>
            </w:r>
            <w:r w:rsidR="00106BCC" w:rsidRPr="00DD6E6B">
              <w:rPr>
                <w:rStyle w:val="Znakapoznpodarou"/>
                <w:spacing w:val="-4"/>
                <w:lang w:val="en-GB"/>
              </w:rPr>
              <w:footnoteReference w:id="11"/>
            </w:r>
            <w:r w:rsidR="00106BCC" w:rsidRPr="00DD6E6B">
              <w:rPr>
                <w:spacing w:val="-4"/>
                <w:lang w:val="en-GB"/>
              </w:rPr>
              <w:t xml:space="preserve">. </w:t>
            </w:r>
          </w:p>
        </w:tc>
      </w:tr>
      <w:tr w:rsidR="00106BCC" w:rsidRPr="00DD6E6B" w14:paraId="754310D7" w14:textId="77777777" w:rsidTr="006849F8">
        <w:trPr>
          <w:trHeight w:val="170"/>
        </w:trPr>
        <w:tc>
          <w:tcPr>
            <w:tcW w:w="1792" w:type="dxa"/>
            <w:vMerge w:val="restart"/>
            <w:shd w:val="clear" w:color="auto" w:fill="auto"/>
            <w:tcMar>
              <w:left w:w="0" w:type="dxa"/>
            </w:tcMar>
          </w:tcPr>
          <w:p w14:paraId="0D62B353" w14:textId="77777777" w:rsidR="00106BCC" w:rsidRPr="00DD6E6B" w:rsidRDefault="00106BCC" w:rsidP="006849F8">
            <w:pPr>
              <w:pStyle w:val="Marginlie"/>
              <w:rPr>
                <w:lang w:val="en-GB"/>
              </w:rPr>
            </w:pPr>
          </w:p>
        </w:tc>
        <w:tc>
          <w:tcPr>
            <w:tcW w:w="203" w:type="dxa"/>
            <w:vMerge w:val="restart"/>
            <w:shd w:val="clear" w:color="auto" w:fill="auto"/>
            <w:tcMar>
              <w:left w:w="0" w:type="dxa"/>
            </w:tcMar>
          </w:tcPr>
          <w:p w14:paraId="1E862622"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1B71BBEC" w14:textId="1916160C" w:rsidR="00106BCC" w:rsidRPr="00D80129" w:rsidRDefault="00691DDB" w:rsidP="006849F8">
            <w:pPr>
              <w:spacing w:after="20"/>
              <w:rPr>
                <w:rFonts w:cs="Arial"/>
                <w:b/>
                <w:bCs/>
                <w:color w:val="000000"/>
                <w:spacing w:val="-4"/>
                <w:szCs w:val="20"/>
                <w:lang w:val="en-GB"/>
              </w:rPr>
            </w:pPr>
            <w:r w:rsidRPr="00D80129">
              <w:rPr>
                <w:rFonts w:cs="Arial"/>
                <w:b/>
                <w:bCs/>
                <w:color w:val="000000"/>
                <w:spacing w:val="-4"/>
                <w:szCs w:val="20"/>
                <w:lang w:val="en-GB"/>
              </w:rPr>
              <w:t xml:space="preserve">Chart </w:t>
            </w:r>
            <w:r w:rsidR="00FA2C07" w:rsidRPr="00D80129">
              <w:rPr>
                <w:rFonts w:cs="Arial"/>
                <w:b/>
                <w:bCs/>
                <w:color w:val="000000"/>
                <w:spacing w:val="-4"/>
                <w:szCs w:val="20"/>
                <w:lang w:val="en-GB"/>
              </w:rPr>
              <w:t>17</w:t>
            </w:r>
            <w:r w:rsidR="00106BCC" w:rsidRPr="00D80129">
              <w:rPr>
                <w:rFonts w:cs="Arial"/>
                <w:b/>
                <w:bCs/>
                <w:color w:val="000000"/>
                <w:spacing w:val="-4"/>
                <w:szCs w:val="20"/>
                <w:lang w:val="en-GB"/>
              </w:rPr>
              <w:t xml:space="preserve"> </w:t>
            </w:r>
            <w:r w:rsidR="008624BC" w:rsidRPr="00D80129">
              <w:rPr>
                <w:rFonts w:cs="Arial"/>
                <w:b/>
                <w:bCs/>
                <w:color w:val="000000"/>
                <w:spacing w:val="-4"/>
                <w:szCs w:val="20"/>
                <w:lang w:val="en-GB"/>
              </w:rPr>
              <w:t>Contribution of constituent revenues to the growth of the s</w:t>
            </w:r>
            <w:r w:rsidR="008624BC" w:rsidRPr="00D80129">
              <w:rPr>
                <w:rFonts w:cs="Arial"/>
                <w:b/>
                <w:bCs/>
                <w:spacing w:val="-4"/>
                <w:lang w:val="en-GB"/>
              </w:rPr>
              <w:t xml:space="preserve">tate wide tax collection </w:t>
            </w:r>
            <w:r w:rsidR="008624BC" w:rsidRPr="00D80129">
              <w:rPr>
                <w:rFonts w:cs="Arial"/>
                <w:bCs/>
                <w:spacing w:val="-4"/>
                <w:lang w:val="en-GB"/>
              </w:rPr>
              <w:t>(in p. p.</w:t>
            </w:r>
            <w:r w:rsidR="00C408AE" w:rsidRPr="00D80129">
              <w:rPr>
                <w:bCs/>
                <w:spacing w:val="-4"/>
                <w:lang w:val="en-GB"/>
              </w:rPr>
              <w:t>),</w:t>
            </w:r>
            <w:r w:rsidR="008624BC" w:rsidRPr="00D80129">
              <w:rPr>
                <w:rFonts w:cs="Arial"/>
                <w:b/>
                <w:bCs/>
                <w:spacing w:val="-4"/>
                <w:lang w:val="en-GB"/>
              </w:rPr>
              <w:t xml:space="preserve"> state budget balance </w:t>
            </w:r>
            <w:r w:rsidR="008624BC" w:rsidRPr="00D80129">
              <w:rPr>
                <w:rFonts w:cs="Arial"/>
                <w:bCs/>
                <w:spacing w:val="-4"/>
                <w:lang w:val="en-GB"/>
              </w:rPr>
              <w:t xml:space="preserve">(in CZK bn) </w:t>
            </w:r>
            <w:r w:rsidR="00C408AE" w:rsidRPr="00D80129">
              <w:rPr>
                <w:rFonts w:cs="Arial"/>
                <w:b/>
                <w:bCs/>
                <w:spacing w:val="-4"/>
                <w:lang w:val="en-GB"/>
              </w:rPr>
              <w:t>in cumulation for</w:t>
            </w:r>
            <w:r w:rsidR="008624BC" w:rsidRPr="00D80129">
              <w:rPr>
                <w:rFonts w:cs="Arial"/>
                <w:b/>
                <w:bCs/>
                <w:spacing w:val="-4"/>
                <w:lang w:val="en-GB"/>
              </w:rPr>
              <w:t xml:space="preserve"> H1</w:t>
            </w:r>
            <w:r w:rsidR="00D60D0C" w:rsidRPr="00D80129">
              <w:rPr>
                <w:rFonts w:cs="Arial"/>
                <w:b/>
                <w:bCs/>
                <w:spacing w:val="-4"/>
                <w:lang w:val="en-GB"/>
              </w:rPr>
              <w:t xml:space="preserve"> </w:t>
            </w:r>
            <w:r w:rsidR="00C408AE" w:rsidRPr="00D80129">
              <w:rPr>
                <w:rFonts w:cs="Arial"/>
                <w:bCs/>
                <w:spacing w:val="-4"/>
                <w:lang w:val="en-GB"/>
              </w:rPr>
              <w:t>(1</w:t>
            </w:r>
            <w:r w:rsidR="00C408AE" w:rsidRPr="00D80129">
              <w:rPr>
                <w:rFonts w:cs="Arial"/>
                <w:bCs/>
                <w:spacing w:val="-4"/>
                <w:vertAlign w:val="superscript"/>
                <w:lang w:val="en-GB"/>
              </w:rPr>
              <w:t>st</w:t>
            </w:r>
            <w:r w:rsidR="00D60D0C" w:rsidRPr="00D80129">
              <w:rPr>
                <w:rFonts w:cs="Arial"/>
                <w:bCs/>
                <w:spacing w:val="-4"/>
                <w:lang w:val="en-GB"/>
              </w:rPr>
              <w:t xml:space="preserve"> </w:t>
            </w:r>
            <w:r w:rsidR="00D60D0C" w:rsidRPr="00D80129">
              <w:rPr>
                <w:spacing w:val="-4"/>
                <w:lang w:val="en-GB"/>
              </w:rPr>
              <w:t>half-year)</w:t>
            </w:r>
          </w:p>
        </w:tc>
      </w:tr>
      <w:tr w:rsidR="00106BCC" w:rsidRPr="00DD6E6B" w14:paraId="4257F8B3" w14:textId="77777777" w:rsidTr="00D60D0C">
        <w:tblPrEx>
          <w:tblCellMar>
            <w:left w:w="70" w:type="dxa"/>
            <w:right w:w="70" w:type="dxa"/>
          </w:tblCellMar>
        </w:tblPrEx>
        <w:trPr>
          <w:trHeight w:val="170"/>
        </w:trPr>
        <w:tc>
          <w:tcPr>
            <w:tcW w:w="1792" w:type="dxa"/>
            <w:vMerge/>
            <w:shd w:val="clear" w:color="auto" w:fill="auto"/>
          </w:tcPr>
          <w:p w14:paraId="28EA0C95" w14:textId="77777777" w:rsidR="00106BCC" w:rsidRPr="00DD6E6B" w:rsidRDefault="00106BCC" w:rsidP="006849F8">
            <w:pPr>
              <w:pStyle w:val="Marginlie"/>
              <w:rPr>
                <w:lang w:val="en-GB"/>
              </w:rPr>
            </w:pPr>
          </w:p>
        </w:tc>
        <w:tc>
          <w:tcPr>
            <w:tcW w:w="203" w:type="dxa"/>
            <w:vMerge/>
            <w:shd w:val="clear" w:color="auto" w:fill="auto"/>
          </w:tcPr>
          <w:p w14:paraId="35F16900" w14:textId="77777777" w:rsidR="00106BCC" w:rsidRPr="00DD6E6B" w:rsidRDefault="00106BCC" w:rsidP="006849F8">
            <w:pPr>
              <w:pStyle w:val="Textpoznpodarou"/>
              <w:jc w:val="both"/>
              <w:rPr>
                <w:spacing w:val="-4"/>
                <w:lang w:val="en-GB"/>
              </w:rPr>
            </w:pPr>
          </w:p>
        </w:tc>
        <w:tc>
          <w:tcPr>
            <w:tcW w:w="7674" w:type="dxa"/>
            <w:shd w:val="clear" w:color="auto" w:fill="auto"/>
          </w:tcPr>
          <w:p w14:paraId="0955F9AC" w14:textId="0AF60C1F" w:rsidR="00106BCC" w:rsidRPr="00DD6E6B" w:rsidRDefault="00D60D0C" w:rsidP="006849F8">
            <w:pPr>
              <w:spacing w:after="0"/>
              <w:rPr>
                <w:spacing w:val="-6"/>
                <w:lang w:val="en-GB"/>
              </w:rPr>
            </w:pPr>
            <w:r>
              <w:rPr>
                <w:noProof/>
              </w:rPr>
              <w:drawing>
                <wp:inline distT="0" distB="0" distL="0" distR="0" wp14:anchorId="1C3BB5CA" wp14:editId="1B3D5A78">
                  <wp:extent cx="4742061" cy="3586369"/>
                  <wp:effectExtent l="0" t="0" r="1905"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06BCC" w:rsidRPr="00DD6E6B" w14:paraId="01689068" w14:textId="77777777" w:rsidTr="006849F8">
        <w:trPr>
          <w:trHeight w:val="170"/>
        </w:trPr>
        <w:tc>
          <w:tcPr>
            <w:tcW w:w="1792" w:type="dxa"/>
            <w:vMerge/>
            <w:shd w:val="clear" w:color="auto" w:fill="auto"/>
            <w:tcMar>
              <w:left w:w="0" w:type="dxa"/>
            </w:tcMar>
          </w:tcPr>
          <w:p w14:paraId="43ECD43A" w14:textId="77777777" w:rsidR="00106BCC" w:rsidRPr="00DD6E6B" w:rsidRDefault="00106BCC" w:rsidP="006849F8">
            <w:pPr>
              <w:pStyle w:val="Marginlie"/>
              <w:rPr>
                <w:lang w:val="en-GB"/>
              </w:rPr>
            </w:pPr>
          </w:p>
        </w:tc>
        <w:tc>
          <w:tcPr>
            <w:tcW w:w="203" w:type="dxa"/>
            <w:vMerge/>
            <w:shd w:val="clear" w:color="auto" w:fill="auto"/>
            <w:tcMar>
              <w:left w:w="0" w:type="dxa"/>
            </w:tcMar>
          </w:tcPr>
          <w:p w14:paraId="6F968FCE" w14:textId="77777777" w:rsidR="00106BCC" w:rsidRPr="00DD6E6B" w:rsidRDefault="00106BCC" w:rsidP="006849F8">
            <w:pPr>
              <w:pStyle w:val="Textpoznpodarou"/>
              <w:jc w:val="both"/>
              <w:rPr>
                <w:spacing w:val="-4"/>
                <w:lang w:val="en-GB"/>
              </w:rPr>
            </w:pPr>
          </w:p>
        </w:tc>
        <w:tc>
          <w:tcPr>
            <w:tcW w:w="7674" w:type="dxa"/>
            <w:shd w:val="clear" w:color="auto" w:fill="auto"/>
            <w:tcMar>
              <w:left w:w="0" w:type="dxa"/>
            </w:tcMar>
          </w:tcPr>
          <w:p w14:paraId="7CBC81BB" w14:textId="3A8A52FB" w:rsidR="00D60D0C" w:rsidRDefault="00106BCC" w:rsidP="00D60D0C">
            <w:pPr>
              <w:tabs>
                <w:tab w:val="right" w:pos="7683"/>
              </w:tabs>
              <w:spacing w:after="0" w:line="240" w:lineRule="auto"/>
              <w:rPr>
                <w:sz w:val="14"/>
                <w:szCs w:val="14"/>
                <w:lang w:val="en-GB"/>
              </w:rPr>
            </w:pPr>
            <w:r w:rsidRPr="00DD6E6B">
              <w:rPr>
                <w:sz w:val="14"/>
                <w:szCs w:val="14"/>
                <w:lang w:val="en-GB"/>
              </w:rPr>
              <w:t>*</w:t>
            </w:r>
            <w:r w:rsidR="00E159C6" w:rsidRPr="00DD6E6B">
              <w:rPr>
                <w:sz w:val="14"/>
                <w:szCs w:val="14"/>
                <w:lang w:val="en-GB"/>
              </w:rPr>
              <w:t>O</w:t>
            </w:r>
            <w:r w:rsidR="003E6DE2" w:rsidRPr="00DD6E6B">
              <w:rPr>
                <w:sz w:val="14"/>
                <w:szCs w:val="14"/>
                <w:lang w:val="en-GB"/>
              </w:rPr>
              <w:t xml:space="preserve">ther taxes and fees include mainly tax from real estate, </w:t>
            </w:r>
            <w:r w:rsidR="00B82420" w:rsidRPr="00DD6E6B">
              <w:rPr>
                <w:sz w:val="14"/>
                <w:szCs w:val="14"/>
                <w:lang w:val="en-GB"/>
              </w:rPr>
              <w:t xml:space="preserve">tax </w:t>
            </w:r>
            <w:r w:rsidR="00E8745E" w:rsidRPr="00DD6E6B">
              <w:rPr>
                <w:sz w:val="14"/>
                <w:szCs w:val="14"/>
                <w:lang w:val="en-GB"/>
              </w:rPr>
              <w:t xml:space="preserve">on gambling winnings, </w:t>
            </w:r>
            <w:r w:rsidR="00283770" w:rsidRPr="00DD6E6B">
              <w:rPr>
                <w:sz w:val="14"/>
                <w:szCs w:val="14"/>
                <w:lang w:val="en-GB"/>
              </w:rPr>
              <w:t>toll and in year 2023 also newly the levy from excess income</w:t>
            </w:r>
            <w:r w:rsidR="00D60D0C">
              <w:rPr>
                <w:sz w:val="14"/>
                <w:szCs w:val="14"/>
                <w:lang w:val="en-GB"/>
              </w:rPr>
              <w:t>.</w:t>
            </w:r>
          </w:p>
          <w:p w14:paraId="679E4405" w14:textId="5A50B3A8" w:rsidR="00D60D0C" w:rsidRPr="00D60D0C" w:rsidRDefault="00D60D0C" w:rsidP="00D60D0C">
            <w:pPr>
              <w:tabs>
                <w:tab w:val="right" w:pos="7683"/>
              </w:tabs>
              <w:spacing w:after="0" w:line="240" w:lineRule="auto"/>
              <w:rPr>
                <w:sz w:val="16"/>
                <w:szCs w:val="16"/>
                <w:lang w:val="en-GB"/>
              </w:rPr>
            </w:pPr>
            <w:r>
              <w:rPr>
                <w:spacing w:val="-2"/>
                <w:sz w:val="14"/>
                <w:szCs w:val="14"/>
                <w:lang w:val="en-GB"/>
              </w:rPr>
              <w:t>**</w:t>
            </w:r>
            <w:r w:rsidRPr="00DD6E6B">
              <w:rPr>
                <w:spacing w:val="-2"/>
                <w:sz w:val="14"/>
                <w:szCs w:val="14"/>
                <w:lang w:val="en-GB"/>
              </w:rPr>
              <w:t>Data adjusted for the effect of funds from the EU and Financial mechanisms are available since year 2013.</w:t>
            </w:r>
          </w:p>
          <w:p w14:paraId="72B0BDA6" w14:textId="3615BE4E" w:rsidR="000A4E47" w:rsidRPr="00D60D0C" w:rsidRDefault="00B34CCE" w:rsidP="00D60D0C">
            <w:pPr>
              <w:tabs>
                <w:tab w:val="right" w:pos="7683"/>
              </w:tabs>
              <w:spacing w:after="200" w:line="240" w:lineRule="auto"/>
              <w:rPr>
                <w:sz w:val="14"/>
                <w:szCs w:val="14"/>
                <w:lang w:val="en-GB"/>
              </w:rPr>
            </w:pPr>
            <w:r w:rsidRPr="00DD6E6B">
              <w:rPr>
                <w:sz w:val="14"/>
                <w:szCs w:val="14"/>
                <w:lang w:val="en-GB"/>
              </w:rPr>
              <w:t>Source</w:t>
            </w:r>
            <w:r w:rsidR="00106BCC" w:rsidRPr="00DD6E6B">
              <w:rPr>
                <w:sz w:val="14"/>
                <w:szCs w:val="14"/>
                <w:lang w:val="en-GB"/>
              </w:rPr>
              <w:t xml:space="preserve">: MF </w:t>
            </w:r>
            <w:r w:rsidRPr="00DD6E6B">
              <w:rPr>
                <w:sz w:val="14"/>
                <w:szCs w:val="14"/>
                <w:lang w:val="en-GB"/>
              </w:rPr>
              <w:t>C</w:t>
            </w:r>
            <w:r w:rsidR="00D60D0C">
              <w:rPr>
                <w:sz w:val="14"/>
                <w:szCs w:val="14"/>
                <w:lang w:val="en-GB"/>
              </w:rPr>
              <w:t>R</w:t>
            </w:r>
          </w:p>
        </w:tc>
      </w:tr>
      <w:tr w:rsidR="00D80129" w:rsidRPr="00DD6E6B" w14:paraId="344B18AA" w14:textId="77777777" w:rsidTr="006849F8">
        <w:trPr>
          <w:trHeight w:val="170"/>
        </w:trPr>
        <w:tc>
          <w:tcPr>
            <w:tcW w:w="1792" w:type="dxa"/>
            <w:shd w:val="clear" w:color="auto" w:fill="auto"/>
            <w:tcMar>
              <w:left w:w="0" w:type="dxa"/>
            </w:tcMar>
          </w:tcPr>
          <w:p w14:paraId="176E753F" w14:textId="15FC0CF1" w:rsidR="00D80129" w:rsidRPr="00DD6E6B" w:rsidRDefault="00D80129" w:rsidP="00D80129">
            <w:pPr>
              <w:pStyle w:val="Marginlie"/>
              <w:rPr>
                <w:lang w:val="en-GB"/>
              </w:rPr>
            </w:pPr>
            <w:r w:rsidRPr="00DD6E6B">
              <w:rPr>
                <w:spacing w:val="-5"/>
                <w:lang w:val="en-GB"/>
              </w:rPr>
              <w:t>Year-on-year decrease of the collection of the consumer tax occurred for all significant commodities. Total collection considerably lagged behind the pre-crisis year 2019.</w:t>
            </w:r>
          </w:p>
        </w:tc>
        <w:tc>
          <w:tcPr>
            <w:tcW w:w="203" w:type="dxa"/>
            <w:shd w:val="clear" w:color="auto" w:fill="auto"/>
            <w:tcMar>
              <w:left w:w="0" w:type="dxa"/>
            </w:tcMar>
          </w:tcPr>
          <w:p w14:paraId="0394AE6F"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79F482CE" w14:textId="0189460F" w:rsidR="00D80129" w:rsidRPr="00DD6E6B" w:rsidRDefault="00D80129" w:rsidP="00D80129">
            <w:pPr>
              <w:spacing w:after="220"/>
              <w:rPr>
                <w:color w:val="0D0D0D" w:themeColor="text1" w:themeTint="F2"/>
                <w:spacing w:val="-5"/>
                <w:lang w:val="en-GB"/>
              </w:rPr>
            </w:pPr>
            <w:r w:rsidRPr="00DD6E6B">
              <w:rPr>
                <w:color w:val="0D0D0D" w:themeColor="text1" w:themeTint="F2"/>
                <w:spacing w:val="-4"/>
                <w:lang w:val="en-GB"/>
              </w:rPr>
              <w:t>By 7.6% (</w:t>
            </w:r>
            <w:r>
              <w:rPr>
                <w:color w:val="0D0D0D" w:themeColor="text1" w:themeTint="F2"/>
                <w:spacing w:val="-4"/>
                <w:lang w:val="en-GB"/>
              </w:rPr>
              <w:t>i.e.</w:t>
            </w:r>
            <w:r w:rsidRPr="00DD6E6B">
              <w:rPr>
                <w:color w:val="0D0D0D" w:themeColor="text1" w:themeTint="F2"/>
                <w:spacing w:val="-4"/>
                <w:lang w:val="en-GB"/>
              </w:rPr>
              <w:t xml:space="preserve"> 5.6 CZK bn) </w:t>
            </w:r>
            <w:r>
              <w:rPr>
                <w:color w:val="0D0D0D" w:themeColor="text1" w:themeTint="F2"/>
                <w:spacing w:val="-4"/>
                <w:lang w:val="en-GB"/>
              </w:rPr>
              <w:t xml:space="preserve">less </w:t>
            </w:r>
            <w:r w:rsidRPr="00DD6E6B">
              <w:rPr>
                <w:color w:val="0D0D0D" w:themeColor="text1" w:themeTint="F2"/>
                <w:spacing w:val="-4"/>
                <w:lang w:val="en-GB"/>
              </w:rPr>
              <w:t>flowed from the consumer tax (including the ecological tax and internet tax) to the SB year-on-year in H</w:t>
            </w:r>
            <w:r w:rsidRPr="00DD6E6B">
              <w:rPr>
                <w:spacing w:val="-4"/>
                <w:lang w:val="en-GB"/>
              </w:rPr>
              <w:t xml:space="preserve">1. </w:t>
            </w:r>
            <w:r w:rsidRPr="00DD6E6B">
              <w:rPr>
                <w:color w:val="0D0D0D" w:themeColor="text1" w:themeTint="F2"/>
                <w:spacing w:val="-4"/>
                <w:lang w:val="en-GB"/>
              </w:rPr>
              <w:t xml:space="preserve">The size of collection thus clearly has not fulfilled the budget anticipations for now </w:t>
            </w:r>
            <w:r w:rsidRPr="00DD6E6B">
              <w:rPr>
                <w:spacing w:val="-4"/>
                <w:lang w:val="en-GB"/>
              </w:rPr>
              <w:t xml:space="preserve">(similarly as the VAT). Collection of the tax has already been falling from the half of the last year and its size was one tenth below the level from H1 2019 this year so far. The collection of all weight more significant items of the consumer tax shrank year-on-year this year. Decrease of the collection of tax on mineral oils </w:t>
            </w:r>
            <w:r>
              <w:rPr>
                <w:spacing w:val="-4"/>
                <w:lang w:val="en-GB"/>
              </w:rPr>
              <w:t>(</w:t>
            </w:r>
            <w:r>
              <w:rPr>
                <w:color w:val="000000"/>
                <w:shd w:val="clear" w:color="auto" w:fill="FFFFFF"/>
              </w:rPr>
              <w:t>–</w:t>
            </w:r>
            <w:r w:rsidRPr="00DD6E6B">
              <w:rPr>
                <w:spacing w:val="-4"/>
                <w:lang w:val="en-GB"/>
              </w:rPr>
              <w:t>7.2%), notably influenced by the temporary decrease of the tax rate of the diesel fuel</w:t>
            </w:r>
            <w:r w:rsidRPr="00DD6E6B">
              <w:rPr>
                <w:rStyle w:val="Znakapoznpodarou"/>
                <w:spacing w:val="-4"/>
                <w:lang w:val="en-GB"/>
              </w:rPr>
              <w:footnoteReference w:id="12"/>
            </w:r>
            <w:r w:rsidRPr="00DD6E6B">
              <w:rPr>
                <w:spacing w:val="-4"/>
                <w:lang w:val="en-GB"/>
              </w:rPr>
              <w:t xml:space="preserve"> played a key role. Impact of the decrease of volume of the freight transport due to the lower </w:t>
            </w:r>
            <w:r w:rsidRPr="00DD6E6B">
              <w:rPr>
                <w:spacing w:val="-4"/>
                <w:lang w:val="en-GB"/>
              </w:rPr>
              <w:lastRenderedPageBreak/>
              <w:t xml:space="preserve">turnover of the goods foreign trade likely also had an effect. The collection of the tax on tobacco products also fell </w:t>
            </w:r>
            <w:r>
              <w:rPr>
                <w:spacing w:val="-4"/>
                <w:lang w:val="en-GB"/>
              </w:rPr>
              <w:t>(</w:t>
            </w:r>
            <w:r>
              <w:rPr>
                <w:color w:val="000000"/>
                <w:shd w:val="clear" w:color="auto" w:fill="FFFFFF"/>
              </w:rPr>
              <w:t>–</w:t>
            </w:r>
            <w:r w:rsidRPr="00DD6E6B">
              <w:rPr>
                <w:spacing w:val="-4"/>
                <w:lang w:val="en-GB"/>
              </w:rPr>
              <w:t>8.3%), despite the ongoing increase of the tax rate. Since the change of the purchasing preferences of households impacted the collection more (the transfer of consumption to alternative products, less taxed locally, strengthening of the cross border purchases). SB received less year-on-year also on the tax on specific commodities (alcohol, wine, beer), presumably as a result of curbing the not-essential expenditures by the domestic households. Saving behaviour of both households and businesses led into vigorous decrease of the ecological tax collection.</w:t>
            </w:r>
          </w:p>
        </w:tc>
      </w:tr>
      <w:tr w:rsidR="00D80129" w:rsidRPr="00DD6E6B" w14:paraId="5E12D22A" w14:textId="77777777" w:rsidTr="006849F8">
        <w:trPr>
          <w:trHeight w:val="170"/>
        </w:trPr>
        <w:tc>
          <w:tcPr>
            <w:tcW w:w="1792" w:type="dxa"/>
            <w:shd w:val="clear" w:color="auto" w:fill="auto"/>
            <w:tcMar>
              <w:left w:w="0" w:type="dxa"/>
            </w:tcMar>
          </w:tcPr>
          <w:p w14:paraId="23788614" w14:textId="668FA1AB" w:rsidR="00D80129" w:rsidRPr="00DD6E6B" w:rsidRDefault="00D80129" w:rsidP="00D80129">
            <w:pPr>
              <w:pStyle w:val="Marginlie"/>
              <w:rPr>
                <w:lang w:val="en-GB"/>
              </w:rPr>
            </w:pPr>
            <w:r w:rsidRPr="00DD6E6B">
              <w:rPr>
                <w:lang w:val="en-GB"/>
              </w:rPr>
              <w:lastRenderedPageBreak/>
              <w:t xml:space="preserve">Need for extraordinary transfers reflected in the swift growth of total SB outlays, whose rate of growth outpaced the budget anticipations. </w:t>
            </w:r>
          </w:p>
        </w:tc>
        <w:tc>
          <w:tcPr>
            <w:tcW w:w="203" w:type="dxa"/>
            <w:shd w:val="clear" w:color="auto" w:fill="auto"/>
            <w:tcMar>
              <w:left w:w="0" w:type="dxa"/>
            </w:tcMar>
          </w:tcPr>
          <w:p w14:paraId="61BC6BC1"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147EC330" w14:textId="514051E5" w:rsidR="00D80129" w:rsidRPr="00DD6E6B" w:rsidRDefault="00D80129" w:rsidP="00D80129">
            <w:pPr>
              <w:spacing w:after="220"/>
              <w:rPr>
                <w:color w:val="0D0D0D" w:themeColor="text1" w:themeTint="F2"/>
                <w:spacing w:val="-4"/>
                <w:lang w:val="en-GB"/>
              </w:rPr>
            </w:pPr>
            <w:r w:rsidRPr="00DD6E6B">
              <w:rPr>
                <w:color w:val="0D0D0D" w:themeColor="text1" w:themeTint="F2"/>
                <w:spacing w:val="-5"/>
                <w:lang w:val="en-GB"/>
              </w:rPr>
              <w:t>Total SB outlays expanded by 16.8% (+162.6 CZK bn) year-on-year in H1 2023, their pace has surpassed the annual budget anticipations so far (by 4 p. p.).</w:t>
            </w:r>
            <w:r w:rsidRPr="00DD6E6B">
              <w:rPr>
                <w:color w:val="0D0D0D" w:themeColor="text1" w:themeTint="F2"/>
                <w:spacing w:val="-4"/>
                <w:lang w:val="en-GB"/>
              </w:rPr>
              <w:t xml:space="preserve"> Both the state assistance connected to high prices of energies </w:t>
            </w:r>
            <w:r w:rsidRPr="00DD6E6B">
              <w:rPr>
                <w:spacing w:val="-2"/>
                <w:lang w:val="en-GB"/>
              </w:rPr>
              <w:t xml:space="preserve">(not yet adequately offset by the extraordinary revenues from the taxation of the selected sector of the economy) and the impacts of the prevailing runway inflation (pension adjustment, higher volume of paid out social benefits, growing repayments of the state debt) were reflected in the strong growth of SB outlays. Unlike H1 2022, not only investment but also current outlays contributed to the year-on-year growth of the SB outlays this year.  </w:t>
            </w:r>
          </w:p>
        </w:tc>
      </w:tr>
      <w:tr w:rsidR="00D80129" w:rsidRPr="00DD6E6B" w14:paraId="7C7A2886" w14:textId="77777777" w:rsidTr="006849F8">
        <w:trPr>
          <w:trHeight w:val="170"/>
        </w:trPr>
        <w:tc>
          <w:tcPr>
            <w:tcW w:w="1792" w:type="dxa"/>
            <w:shd w:val="clear" w:color="auto" w:fill="auto"/>
            <w:tcMar>
              <w:left w:w="0" w:type="dxa"/>
            </w:tcMar>
          </w:tcPr>
          <w:p w14:paraId="13158B46" w14:textId="504B2498" w:rsidR="00D80129" w:rsidRPr="00DD6E6B" w:rsidRDefault="00D80129" w:rsidP="00D80129">
            <w:pPr>
              <w:pStyle w:val="Marginlie"/>
              <w:rPr>
                <w:lang w:val="en-GB"/>
              </w:rPr>
            </w:pPr>
            <w:r w:rsidRPr="00DD6E6B">
              <w:rPr>
                <w:lang w:val="en-GB"/>
              </w:rPr>
              <w:t xml:space="preserve">Fiscal expansion was linked primarily to the legal pension adjustment in H1. </w:t>
            </w:r>
          </w:p>
          <w:p w14:paraId="3C8CB321" w14:textId="77777777" w:rsidR="00D80129" w:rsidRPr="00DD6E6B" w:rsidRDefault="00D80129" w:rsidP="00D80129">
            <w:pPr>
              <w:pStyle w:val="Marginlie"/>
              <w:rPr>
                <w:lang w:val="en-GB"/>
              </w:rPr>
            </w:pPr>
          </w:p>
          <w:p w14:paraId="7CC0C364" w14:textId="77777777" w:rsidR="00D80129" w:rsidRPr="00DD6E6B" w:rsidRDefault="00D80129" w:rsidP="00D80129">
            <w:pPr>
              <w:pStyle w:val="Marginlie"/>
              <w:rPr>
                <w:lang w:val="en-GB"/>
              </w:rPr>
            </w:pPr>
          </w:p>
          <w:p w14:paraId="0A14BB55" w14:textId="77777777" w:rsidR="00D80129" w:rsidRPr="00DD6E6B" w:rsidRDefault="00D80129" w:rsidP="00D80129">
            <w:pPr>
              <w:pStyle w:val="Marginlie"/>
              <w:rPr>
                <w:lang w:val="en-GB"/>
              </w:rPr>
            </w:pPr>
          </w:p>
          <w:p w14:paraId="586363D9" w14:textId="77777777" w:rsidR="00D80129" w:rsidRPr="00DD6E6B" w:rsidRDefault="00D80129" w:rsidP="00D80129">
            <w:pPr>
              <w:pStyle w:val="Marginlie"/>
              <w:rPr>
                <w:lang w:val="en-GB"/>
              </w:rPr>
            </w:pPr>
          </w:p>
          <w:p w14:paraId="5DA66BC3" w14:textId="7234168D" w:rsidR="00D80129" w:rsidRPr="00DD6E6B" w:rsidRDefault="00D80129" w:rsidP="00D80129">
            <w:pPr>
              <w:pStyle w:val="Marginlie"/>
              <w:rPr>
                <w:lang w:val="en-GB"/>
              </w:rPr>
            </w:pPr>
            <w:r w:rsidRPr="00DD6E6B">
              <w:rPr>
                <w:lang w:val="en-GB"/>
              </w:rPr>
              <w:t xml:space="preserve">Decrease of the number of pension recipients continued in spite of higher interest in early retirement pensions. </w:t>
            </w:r>
          </w:p>
        </w:tc>
        <w:tc>
          <w:tcPr>
            <w:tcW w:w="203" w:type="dxa"/>
            <w:shd w:val="clear" w:color="auto" w:fill="auto"/>
            <w:tcMar>
              <w:left w:w="0" w:type="dxa"/>
            </w:tcMar>
          </w:tcPr>
          <w:p w14:paraId="5480FC9E"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73681F00" w14:textId="306B1A53" w:rsidR="00D80129" w:rsidRPr="00DD6E6B" w:rsidRDefault="00D80129" w:rsidP="00D80129">
            <w:pPr>
              <w:spacing w:after="200"/>
              <w:rPr>
                <w:color w:val="0D0D0D" w:themeColor="text1" w:themeTint="F2"/>
                <w:spacing w:val="-4"/>
                <w:lang w:val="en-GB"/>
              </w:rPr>
            </w:pPr>
            <w:r w:rsidRPr="00DD6E6B">
              <w:rPr>
                <w:color w:val="0D0D0D" w:themeColor="text1" w:themeTint="F2"/>
                <w:spacing w:val="-5"/>
                <w:lang w:val="en-GB"/>
              </w:rPr>
              <w:t>Current outlays of the SB strengthened by 16.8% (+151.7 CZK bn) year-on-year in H1, which represented the highest pace in the current millennium</w:t>
            </w:r>
            <w:r w:rsidRPr="00DD6E6B">
              <w:rPr>
                <w:rStyle w:val="Znakapoznpodarou"/>
                <w:color w:val="0D0D0D" w:themeColor="text1" w:themeTint="F2"/>
                <w:spacing w:val="-5"/>
                <w:lang w:val="en-GB"/>
              </w:rPr>
              <w:footnoteReference w:id="13"/>
            </w:r>
            <w:r w:rsidRPr="00DD6E6B">
              <w:rPr>
                <w:color w:val="0D0D0D" w:themeColor="text1" w:themeTint="F2"/>
                <w:spacing w:val="-5"/>
                <w:lang w:val="en-GB"/>
              </w:rPr>
              <w:t>. Outlays on social benefits, whose volume rose by one sixth (</w:t>
            </w:r>
            <w:r>
              <w:rPr>
                <w:color w:val="0D0D0D" w:themeColor="text1" w:themeTint="F2"/>
                <w:spacing w:val="-5"/>
                <w:lang w:val="en-GB"/>
              </w:rPr>
              <w:t xml:space="preserve">i.e. </w:t>
            </w:r>
            <w:r w:rsidRPr="00DD6E6B">
              <w:rPr>
                <w:color w:val="0D0D0D" w:themeColor="text1" w:themeTint="F2"/>
                <w:spacing w:val="-5"/>
                <w:lang w:val="en-GB"/>
              </w:rPr>
              <w:t xml:space="preserve">62.5 CZK bn) presented the main source of the fiscal expansion. Expenditures on pensions, which hiked up to </w:t>
            </w:r>
            <w:r w:rsidRPr="00DD6E6B">
              <w:rPr>
                <w:color w:val="0D0D0D" w:themeColor="text1" w:themeTint="F2"/>
                <w:spacing w:val="-4"/>
                <w:lang w:val="en-GB"/>
              </w:rPr>
              <w:t>342.2 CZK bn and overtook the level from H1 by record 19.8%</w:t>
            </w:r>
            <w:r w:rsidRPr="00DD6E6B">
              <w:rPr>
                <w:rStyle w:val="Znakapoznpodarou"/>
                <w:spacing w:val="-4"/>
                <w:szCs w:val="20"/>
                <w:lang w:val="en-GB"/>
              </w:rPr>
              <w:footnoteReference w:id="14"/>
            </w:r>
            <w:r w:rsidRPr="00DD6E6B">
              <w:rPr>
                <w:color w:val="0D0D0D" w:themeColor="text1" w:themeTint="F2"/>
                <w:spacing w:val="-4"/>
                <w:lang w:val="en-GB"/>
              </w:rPr>
              <w:t xml:space="preserve"> traditionally played a key role there. Apart from the last year’s increase also the due legal adjustment from January 2023 (+4.7%) and extraordinary increase from June (by 3.9%, under already amended conditions) is reflected in their dynamics and further also the newly introduced regular allowance per every raised child (500 CZK). Number of retirement pension recipients went down, even though by a slow</w:t>
            </w:r>
            <w:r>
              <w:rPr>
                <w:color w:val="0D0D0D" w:themeColor="text1" w:themeTint="F2"/>
                <w:spacing w:val="-4"/>
                <w:lang w:val="en-GB"/>
              </w:rPr>
              <w:t>er pace (</w:t>
            </w:r>
            <w:r>
              <w:rPr>
                <w:color w:val="000000"/>
                <w:shd w:val="clear" w:color="auto" w:fill="FFFFFF"/>
              </w:rPr>
              <w:t>–</w:t>
            </w:r>
            <w:r>
              <w:rPr>
                <w:color w:val="0D0D0D" w:themeColor="text1" w:themeTint="F2"/>
                <w:spacing w:val="-4"/>
                <w:lang w:val="en-GB"/>
              </w:rPr>
              <w:t>0.3</w:t>
            </w:r>
            <w:r w:rsidRPr="00DD6E6B">
              <w:rPr>
                <w:color w:val="0D0D0D" w:themeColor="text1" w:themeTint="F2"/>
                <w:spacing w:val="-4"/>
                <w:lang w:val="en-GB"/>
              </w:rPr>
              <w:t>% year-on-year) than in the previous two years despite higher interest in early retirement pensions</w:t>
            </w:r>
            <w:r w:rsidRPr="00DD6E6B">
              <w:rPr>
                <w:rStyle w:val="Znakapoznpodarou"/>
                <w:color w:val="0D0D0D" w:themeColor="text1" w:themeTint="F2"/>
                <w:spacing w:val="-4"/>
                <w:lang w:val="en-GB"/>
              </w:rPr>
              <w:footnoteReference w:id="15"/>
            </w:r>
            <w:r w:rsidRPr="00DD6E6B">
              <w:rPr>
                <w:color w:val="0D0D0D" w:themeColor="text1" w:themeTint="F2"/>
                <w:spacing w:val="-4"/>
                <w:lang w:val="en-GB"/>
              </w:rPr>
              <w:t>. E</w:t>
            </w:r>
            <w:r w:rsidRPr="00DD6E6B">
              <w:rPr>
                <w:spacing w:val="-6"/>
                <w:lang w:val="en-GB"/>
              </w:rPr>
              <w:t>ven though the good old condition of the domestic labour market supported the continuing solid growth of the pension insurance revenues</w:t>
            </w:r>
            <w:r w:rsidRPr="00DD6E6B">
              <w:rPr>
                <w:rFonts w:cs="Arial"/>
                <w:color w:val="0D0D0D" w:themeColor="text1" w:themeTint="F2"/>
                <w:spacing w:val="-4"/>
                <w:lang w:val="en-GB"/>
              </w:rPr>
              <w:t>, its year-on-year pace was not even one half of the expenditures on pensions this year (+8.9%)</w:t>
            </w:r>
            <w:r w:rsidRPr="00DD6E6B">
              <w:rPr>
                <w:rStyle w:val="Znakapoznpodarou"/>
                <w:color w:val="0D0D0D" w:themeColor="text1" w:themeTint="F2"/>
                <w:spacing w:val="-4"/>
                <w:lang w:val="en-GB"/>
              </w:rPr>
              <w:footnoteReference w:id="16"/>
            </w:r>
            <w:r w:rsidRPr="00DD6E6B">
              <w:rPr>
                <w:rFonts w:cs="Arial"/>
                <w:color w:val="0D0D0D" w:themeColor="text1" w:themeTint="F2"/>
                <w:spacing w:val="-4"/>
                <w:lang w:val="en-GB"/>
              </w:rPr>
              <w:t>. Balance of the pension insurance system</w:t>
            </w:r>
            <w:r w:rsidRPr="00DD6E6B">
              <w:rPr>
                <w:rStyle w:val="Znakapoznpodarou"/>
                <w:color w:val="0D0D0D" w:themeColor="text1" w:themeTint="F2"/>
                <w:spacing w:val="-2"/>
                <w:lang w:val="en-GB"/>
              </w:rPr>
              <w:footnoteReference w:id="17"/>
            </w:r>
            <w:r w:rsidRPr="00DD6E6B">
              <w:rPr>
                <w:rFonts w:cs="Arial"/>
                <w:color w:val="0D0D0D" w:themeColor="text1" w:themeTint="F2"/>
                <w:spacing w:val="-2"/>
                <w:lang w:val="en-GB"/>
              </w:rPr>
              <w:t xml:space="preserve"> thus dived into record deficit in H1 (−40.3 CZK bn), four-times higher year-on-year.</w:t>
            </w:r>
            <w:r w:rsidRPr="00DD6E6B">
              <w:rPr>
                <w:color w:val="0D0D0D" w:themeColor="text1" w:themeTint="F2"/>
                <w:spacing w:val="-4"/>
                <w:lang w:val="en-GB"/>
              </w:rPr>
              <w:t xml:space="preserve"> </w:t>
            </w:r>
          </w:p>
        </w:tc>
      </w:tr>
      <w:tr w:rsidR="00D80129" w:rsidRPr="00DD6E6B" w14:paraId="2DF26F03" w14:textId="77777777" w:rsidTr="006849F8">
        <w:trPr>
          <w:trHeight w:val="170"/>
        </w:trPr>
        <w:tc>
          <w:tcPr>
            <w:tcW w:w="1792" w:type="dxa"/>
            <w:shd w:val="clear" w:color="auto" w:fill="auto"/>
            <w:tcMar>
              <w:left w:w="0" w:type="dxa"/>
            </w:tcMar>
          </w:tcPr>
          <w:p w14:paraId="7571A1AD" w14:textId="647A05A6" w:rsidR="00D80129" w:rsidRPr="00DD6E6B" w:rsidRDefault="00D80129" w:rsidP="00D80129">
            <w:pPr>
              <w:pStyle w:val="Marginlie"/>
              <w:rPr>
                <w:lang w:val="en-GB"/>
              </w:rPr>
            </w:pPr>
            <w:r w:rsidRPr="00DD6E6B">
              <w:rPr>
                <w:lang w:val="en-GB"/>
              </w:rPr>
              <w:t>Higher drawing on housing allowance contributed the most to the year-on-year acceleration of the growth of outlays on non-pension social benefits.</w:t>
            </w:r>
          </w:p>
          <w:p w14:paraId="23545393" w14:textId="77777777" w:rsidR="00D80129" w:rsidRPr="00DD6E6B" w:rsidRDefault="00D80129" w:rsidP="00D80129">
            <w:pPr>
              <w:pStyle w:val="Marginlie"/>
              <w:rPr>
                <w:lang w:val="en-GB"/>
              </w:rPr>
            </w:pPr>
          </w:p>
          <w:p w14:paraId="7516ED44" w14:textId="77777777" w:rsidR="00D80129" w:rsidRPr="00DD6E6B" w:rsidRDefault="00D80129" w:rsidP="00D80129">
            <w:pPr>
              <w:pStyle w:val="Marginlie"/>
              <w:rPr>
                <w:lang w:val="en-GB"/>
              </w:rPr>
            </w:pPr>
          </w:p>
          <w:p w14:paraId="0B9932C2" w14:textId="77777777" w:rsidR="00D80129" w:rsidRPr="00DD6E6B" w:rsidRDefault="00D80129" w:rsidP="00D80129">
            <w:pPr>
              <w:pStyle w:val="Marginlie"/>
              <w:rPr>
                <w:lang w:val="en-GB"/>
              </w:rPr>
            </w:pPr>
          </w:p>
          <w:p w14:paraId="0F3CE311" w14:textId="77777777" w:rsidR="00D80129" w:rsidRPr="00DD6E6B" w:rsidRDefault="00D80129" w:rsidP="00D80129">
            <w:pPr>
              <w:pStyle w:val="Marginlie"/>
              <w:rPr>
                <w:lang w:val="en-GB"/>
              </w:rPr>
            </w:pPr>
          </w:p>
          <w:p w14:paraId="2DDFCB8F" w14:textId="77777777" w:rsidR="00D80129" w:rsidRPr="00DD6E6B" w:rsidRDefault="00D80129" w:rsidP="00D80129">
            <w:pPr>
              <w:pStyle w:val="Marginlie"/>
              <w:rPr>
                <w:lang w:val="en-GB"/>
              </w:rPr>
            </w:pPr>
          </w:p>
          <w:p w14:paraId="7D90F241" w14:textId="77777777" w:rsidR="00D80129" w:rsidRPr="00DD6E6B" w:rsidRDefault="00D80129" w:rsidP="00D80129">
            <w:pPr>
              <w:pStyle w:val="Marginlie"/>
              <w:rPr>
                <w:lang w:val="en-GB"/>
              </w:rPr>
            </w:pPr>
          </w:p>
          <w:p w14:paraId="3CAAA87E" w14:textId="77777777" w:rsidR="00D80129" w:rsidRPr="00DD6E6B" w:rsidRDefault="00D80129" w:rsidP="00D80129">
            <w:pPr>
              <w:pStyle w:val="Marginlie"/>
              <w:rPr>
                <w:lang w:val="en-GB"/>
              </w:rPr>
            </w:pPr>
          </w:p>
          <w:p w14:paraId="7A0EAD6E" w14:textId="77777777" w:rsidR="00D80129" w:rsidRPr="00DD6E6B" w:rsidRDefault="00D80129" w:rsidP="00D80129">
            <w:pPr>
              <w:pStyle w:val="Marginlie"/>
              <w:rPr>
                <w:lang w:val="en-GB"/>
              </w:rPr>
            </w:pPr>
          </w:p>
          <w:p w14:paraId="202055FD" w14:textId="77777777" w:rsidR="00D80129" w:rsidRPr="00DD6E6B" w:rsidRDefault="00D80129" w:rsidP="00D80129">
            <w:pPr>
              <w:pStyle w:val="Marginlie"/>
              <w:rPr>
                <w:lang w:val="en-GB"/>
              </w:rPr>
            </w:pPr>
          </w:p>
          <w:p w14:paraId="138F9CA9" w14:textId="77777777" w:rsidR="00D80129" w:rsidRPr="00DD6E6B" w:rsidRDefault="00D80129" w:rsidP="00D80129">
            <w:pPr>
              <w:pStyle w:val="Marginlie"/>
              <w:rPr>
                <w:lang w:val="en-GB"/>
              </w:rPr>
            </w:pPr>
          </w:p>
          <w:p w14:paraId="0779B965" w14:textId="77777777" w:rsidR="00D80129" w:rsidRPr="00DD6E6B" w:rsidRDefault="00D80129" w:rsidP="00D80129">
            <w:pPr>
              <w:pStyle w:val="Marginlie"/>
              <w:rPr>
                <w:lang w:val="en-GB"/>
              </w:rPr>
            </w:pPr>
          </w:p>
          <w:p w14:paraId="63C9FB6E" w14:textId="77777777" w:rsidR="00D80129" w:rsidRPr="00DD6E6B" w:rsidRDefault="00D80129" w:rsidP="00D80129">
            <w:pPr>
              <w:pStyle w:val="Marginlie"/>
              <w:rPr>
                <w:lang w:val="en-GB"/>
              </w:rPr>
            </w:pPr>
          </w:p>
          <w:p w14:paraId="56BF9D73" w14:textId="77777777" w:rsidR="00D80129" w:rsidRPr="00DD6E6B" w:rsidRDefault="00D80129" w:rsidP="00D80129">
            <w:pPr>
              <w:pStyle w:val="Marginlie"/>
              <w:rPr>
                <w:lang w:val="en-GB"/>
              </w:rPr>
            </w:pPr>
          </w:p>
          <w:p w14:paraId="10083399" w14:textId="33B34B44" w:rsidR="00D80129" w:rsidRPr="00DD6E6B" w:rsidRDefault="00D80129" w:rsidP="00D80129">
            <w:pPr>
              <w:pStyle w:val="Marginlie"/>
              <w:rPr>
                <w:lang w:val="en-GB"/>
              </w:rPr>
            </w:pPr>
            <w:r w:rsidRPr="00DD6E6B">
              <w:rPr>
                <w:lang w:val="en-GB"/>
              </w:rPr>
              <w:t xml:space="preserve">Outlays on parental allowance, similarly to the sickness benefits fell for the third year in a row. </w:t>
            </w:r>
          </w:p>
          <w:p w14:paraId="25B040DC" w14:textId="77777777" w:rsidR="00D80129" w:rsidRPr="00DD6E6B" w:rsidRDefault="00D80129" w:rsidP="00D80129">
            <w:pPr>
              <w:pStyle w:val="Marginlie"/>
              <w:rPr>
                <w:lang w:val="en-GB"/>
              </w:rPr>
            </w:pPr>
          </w:p>
        </w:tc>
        <w:tc>
          <w:tcPr>
            <w:tcW w:w="203" w:type="dxa"/>
            <w:shd w:val="clear" w:color="auto" w:fill="auto"/>
            <w:tcMar>
              <w:left w:w="0" w:type="dxa"/>
            </w:tcMar>
          </w:tcPr>
          <w:p w14:paraId="75B50E50"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3DF2FD76" w14:textId="55706AF0" w:rsidR="00D80129" w:rsidRPr="00DD6E6B" w:rsidRDefault="00D80129" w:rsidP="00D80129">
            <w:pPr>
              <w:spacing w:after="0"/>
              <w:rPr>
                <w:color w:val="0D0D0D" w:themeColor="text1" w:themeTint="F2"/>
                <w:spacing w:val="-4"/>
                <w:lang w:val="en-GB"/>
              </w:rPr>
            </w:pPr>
            <w:r w:rsidRPr="00DD6E6B">
              <w:rPr>
                <w:color w:val="0D0D0D" w:themeColor="text1" w:themeTint="F2"/>
                <w:spacing w:val="-4"/>
                <w:lang w:val="en-GB"/>
              </w:rPr>
              <w:t>93.3 CZK bn aimed at the non-pension social benefits from the SB in H1 and the year-on-year growth of outlays accelerated to 6.9% (nearly doubled pace compared to the year before). Outlays on state social support (SSP, +5.3 CZK bn), which experienced a marked increase of the volume of paid out housing allowances</w:t>
            </w:r>
            <w:r w:rsidRPr="00DD6E6B">
              <w:rPr>
                <w:rStyle w:val="Znakapoznpodarou"/>
                <w:color w:val="0D0D0D" w:themeColor="text1" w:themeTint="F2"/>
                <w:spacing w:val="-4"/>
                <w:lang w:val="en-GB"/>
              </w:rPr>
              <w:footnoteReference w:id="18"/>
            </w:r>
            <w:r w:rsidRPr="00DD6E6B">
              <w:rPr>
                <w:color w:val="0D0D0D" w:themeColor="text1" w:themeTint="F2"/>
                <w:spacing w:val="-4"/>
                <w:lang w:val="en-GB"/>
              </w:rPr>
              <w:t xml:space="preserve"> (+113%, mainly as a result of high prices of energies and rise of costs eligible for the payment, further the spread of awareness regarding the possibility to draw on this assistance in population, as well as the simplification </w:t>
            </w:r>
            <w:r w:rsidRPr="00DD6E6B">
              <w:rPr>
                <w:color w:val="0D0D0D" w:themeColor="text1" w:themeTint="F2"/>
                <w:spacing w:val="-4"/>
                <w:lang w:val="en-GB"/>
              </w:rPr>
              <w:lastRenderedPageBreak/>
              <w:t>of the procedure to lodge an application for the benefit</w:t>
            </w:r>
            <w:r w:rsidRPr="00DD6E6B">
              <w:rPr>
                <w:spacing w:val="-4"/>
                <w:lang w:val="en-GB"/>
              </w:rPr>
              <w:t xml:space="preserve">) </w:t>
            </w:r>
            <w:r w:rsidRPr="00DD6E6B">
              <w:rPr>
                <w:color w:val="0D0D0D" w:themeColor="text1" w:themeTint="F2"/>
                <w:spacing w:val="-4"/>
                <w:lang w:val="en-GB"/>
              </w:rPr>
              <w:t>essentially contributed to this year’s growth</w:t>
            </w:r>
            <w:r w:rsidRPr="00DD6E6B">
              <w:rPr>
                <w:spacing w:val="-4"/>
                <w:lang w:val="en-GB"/>
              </w:rPr>
              <w:t>. The volume of paid out child allowances also grew (+62%, mainly as a result of their across the board increase as well as the rise of the subsistence wage). The drop of drawing of the still weight dominant item of SSP – parental allowances (</w:t>
            </w:r>
            <w:r w:rsidRPr="00DD6E6B">
              <w:rPr>
                <w:color w:val="0D0D0D" w:themeColor="text1" w:themeTint="F2"/>
                <w:spacing w:val="-4"/>
                <w:lang w:val="en-GB"/>
              </w:rPr>
              <w:t>−5.7%</w:t>
            </w:r>
            <w:r w:rsidRPr="00DD6E6B">
              <w:rPr>
                <w:spacing w:val="-4"/>
                <w:lang w:val="en-GB"/>
              </w:rPr>
              <w:t xml:space="preserve">) had an opposing effect. It manifested (after jump increase in year 2020) for the third year in a row. Among other benefits the social care benefits increased (+1 CZK bn). While mostly the newly introduced humanitarian benefit for the refugees from Ukraine stood behind their steep growth last year, it was living supplements this year </w:t>
            </w:r>
            <w:r w:rsidRPr="00DD6E6B">
              <w:rPr>
                <w:rFonts w:cs="Arial"/>
                <w:color w:val="0D0D0D" w:themeColor="text1" w:themeTint="F2"/>
                <w:spacing w:val="-4"/>
                <w:lang w:val="en-GB"/>
              </w:rPr>
              <w:t>(+30%), which help to individuals or families in situations of inadequate income (drawing of humanitarian benefits slightly declined at the same time – by 6%). The less significant by volume disability benefits also grew swiftly, mainly due to the higher mobility allowance. The volume of paid out unemployment benefits mildly grew this year in H1 after the last year’s decrease (+6.7%), while the quantities of registered job applicants stagnated</w:t>
            </w:r>
            <w:r w:rsidRPr="00DD6E6B">
              <w:rPr>
                <w:rStyle w:val="Znakapoznpodarou"/>
                <w:color w:val="0D0D0D" w:themeColor="text1" w:themeTint="F2"/>
                <w:spacing w:val="-4"/>
                <w:lang w:val="en-GB"/>
              </w:rPr>
              <w:footnoteReference w:id="19"/>
            </w:r>
            <w:r w:rsidRPr="00DD6E6B">
              <w:rPr>
                <w:rFonts w:cs="Arial"/>
                <w:color w:val="0D0D0D" w:themeColor="text1" w:themeTint="F2"/>
                <w:spacing w:val="-4"/>
                <w:lang w:val="en-GB"/>
              </w:rPr>
              <w:t>. Outlays on the sickness insurance benefits lowered owing to the improvement of the epidemic situation year-on-year</w:t>
            </w:r>
            <w:r w:rsidRPr="00DD6E6B">
              <w:rPr>
                <w:spacing w:val="-4"/>
                <w:lang w:val="en-GB"/>
              </w:rPr>
              <w:t xml:space="preserve"> (−4.9%), specifically for the third year in a row. Nevertheless they still exceeded the level from H1 2019 by more than one fifth and thus represented not negligible outlay for the SB (24.2 CZK bn). Despite swift growth of insurance these benefits exceeded the revenues from insurance also this year, this deficit however reduced to one half year-on-year (by 3 CZK bn).</w:t>
            </w:r>
          </w:p>
        </w:tc>
      </w:tr>
      <w:tr w:rsidR="00D80129" w:rsidRPr="00DD6E6B" w14:paraId="4984AD2F" w14:textId="77777777" w:rsidTr="006849F8">
        <w:trPr>
          <w:trHeight w:val="170"/>
        </w:trPr>
        <w:tc>
          <w:tcPr>
            <w:tcW w:w="1792" w:type="dxa"/>
            <w:shd w:val="clear" w:color="auto" w:fill="auto"/>
            <w:tcMar>
              <w:left w:w="0" w:type="dxa"/>
            </w:tcMar>
          </w:tcPr>
          <w:p w14:paraId="48998315" w14:textId="060E5438" w:rsidR="00D80129" w:rsidRPr="00DD6E6B" w:rsidRDefault="00D80129" w:rsidP="00D80129">
            <w:pPr>
              <w:pStyle w:val="Marginlie"/>
              <w:rPr>
                <w:lang w:val="en-GB"/>
              </w:rPr>
            </w:pPr>
            <w:r w:rsidRPr="00DD6E6B">
              <w:rPr>
                <w:lang w:val="en-GB"/>
              </w:rPr>
              <w:lastRenderedPageBreak/>
              <w:t xml:space="preserve">Sharp growth of the non-investment subsidies to businesses was connected to the cap on prices of energies for customers. The need for these extraordinary outlays was however weakening in Q2. </w:t>
            </w:r>
          </w:p>
        </w:tc>
        <w:tc>
          <w:tcPr>
            <w:tcW w:w="203" w:type="dxa"/>
            <w:shd w:val="clear" w:color="auto" w:fill="auto"/>
            <w:tcMar>
              <w:left w:w="0" w:type="dxa"/>
            </w:tcMar>
          </w:tcPr>
          <w:p w14:paraId="444690EC"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623294D5" w14:textId="5F1E11E0" w:rsidR="00D80129" w:rsidRPr="00DD6E6B" w:rsidRDefault="00D80129" w:rsidP="00D80129">
            <w:pPr>
              <w:spacing w:after="200"/>
              <w:rPr>
                <w:color w:val="0D0D0D" w:themeColor="text1" w:themeTint="F2"/>
                <w:spacing w:val="-5"/>
                <w:lang w:val="en-GB"/>
              </w:rPr>
            </w:pPr>
            <w:r w:rsidRPr="00DD6E6B">
              <w:rPr>
                <w:color w:val="0D0D0D" w:themeColor="text1" w:themeTint="F2"/>
                <w:spacing w:val="-5"/>
                <w:lang w:val="en-GB"/>
              </w:rPr>
              <w:t>Next to the social transfers the non-investment outlays to businesses, whose year-on-year growth accelerated up to 128% in H1 (+43.7 CZK bn) and already reached more than 90% of the annual budgeted amount, also significantly participated on the strong growth of total current outlays of the SB.</w:t>
            </w:r>
            <w:r w:rsidRPr="00DD6E6B">
              <w:rPr>
                <w:color w:val="0D0D0D" w:themeColor="text1" w:themeTint="F2"/>
                <w:spacing w:val="-4"/>
                <w:lang w:val="en-GB"/>
              </w:rPr>
              <w:t xml:space="preserve"> Mainly the extraordinary outlays are included here – mostly compensations for the supplies of electricity and gas to customers and the losses due to the cap on their prices (32.6 CZK bn, in that +23.9 CZK bn were allotted to Q1 2023)</w:t>
            </w:r>
            <w:r w:rsidRPr="00DD6E6B">
              <w:rPr>
                <w:rStyle w:val="Znakapoznpodarou"/>
                <w:color w:val="0D0D0D" w:themeColor="text1" w:themeTint="F2"/>
                <w:spacing w:val="-4"/>
                <w:lang w:val="en-GB"/>
              </w:rPr>
              <w:footnoteReference w:id="20"/>
            </w:r>
            <w:r w:rsidRPr="00DD6E6B">
              <w:rPr>
                <w:color w:val="0D0D0D" w:themeColor="text1" w:themeTint="F2"/>
                <w:spacing w:val="-4"/>
                <w:lang w:val="en-GB"/>
              </w:rPr>
              <w:t>, further subsidies to the operators of the transmission system (7.2 bn) or assistance to firms in the energy intensive branches (4.6 bn). Higher advance subsidies on renewable sources of energy or the decrease of SB outlays on the solution of impacts related to the pandemics had a smaller effect on the development of transfers to businesses.</w:t>
            </w:r>
          </w:p>
        </w:tc>
      </w:tr>
      <w:tr w:rsidR="00D80129" w:rsidRPr="00DD6E6B" w14:paraId="324B2A3A" w14:textId="77777777" w:rsidTr="006849F8">
        <w:trPr>
          <w:trHeight w:val="170"/>
        </w:trPr>
        <w:tc>
          <w:tcPr>
            <w:tcW w:w="1792" w:type="dxa"/>
            <w:shd w:val="clear" w:color="auto" w:fill="auto"/>
            <w:tcMar>
              <w:left w:w="0" w:type="dxa"/>
            </w:tcMar>
          </w:tcPr>
          <w:p w14:paraId="01F4BCF1" w14:textId="188C972E" w:rsidR="00D80129" w:rsidRPr="00DD6E6B" w:rsidRDefault="00D80129" w:rsidP="00D80129">
            <w:pPr>
              <w:pStyle w:val="Marginlie"/>
              <w:rPr>
                <w:lang w:val="en-GB"/>
              </w:rPr>
            </w:pPr>
            <w:r w:rsidRPr="00DD6E6B">
              <w:rPr>
                <w:lang w:val="en-GB"/>
              </w:rPr>
              <w:t xml:space="preserve">Wide spectrum of factors had their share on the swift growth of the current transfers to regional budgets. </w:t>
            </w:r>
          </w:p>
          <w:p w14:paraId="25012D5D" w14:textId="77777777" w:rsidR="00D80129" w:rsidRPr="00DD6E6B" w:rsidRDefault="00D80129" w:rsidP="00D80129">
            <w:pPr>
              <w:pStyle w:val="Marginlie"/>
              <w:rPr>
                <w:lang w:val="en-GB"/>
              </w:rPr>
            </w:pPr>
          </w:p>
          <w:p w14:paraId="39360B06" w14:textId="77777777" w:rsidR="00D80129" w:rsidRPr="00DD6E6B" w:rsidRDefault="00D80129" w:rsidP="00D80129">
            <w:pPr>
              <w:pStyle w:val="Marginlie"/>
              <w:rPr>
                <w:lang w:val="en-GB"/>
              </w:rPr>
            </w:pPr>
          </w:p>
          <w:p w14:paraId="6951C589" w14:textId="77777777" w:rsidR="00D80129" w:rsidRPr="00DD6E6B" w:rsidRDefault="00D80129" w:rsidP="00D80129">
            <w:pPr>
              <w:pStyle w:val="Marginlie"/>
              <w:rPr>
                <w:lang w:val="en-GB"/>
              </w:rPr>
            </w:pPr>
          </w:p>
          <w:p w14:paraId="0114093E" w14:textId="77777777" w:rsidR="00D80129" w:rsidRPr="00DD6E6B" w:rsidRDefault="00D80129" w:rsidP="00D80129">
            <w:pPr>
              <w:pStyle w:val="Marginlie"/>
              <w:rPr>
                <w:lang w:val="en-GB"/>
              </w:rPr>
            </w:pPr>
          </w:p>
          <w:p w14:paraId="78B33549" w14:textId="77777777" w:rsidR="00D80129" w:rsidRPr="00DD6E6B" w:rsidRDefault="00D80129" w:rsidP="00D80129">
            <w:pPr>
              <w:pStyle w:val="Marginlie"/>
              <w:rPr>
                <w:lang w:val="en-GB"/>
              </w:rPr>
            </w:pPr>
          </w:p>
          <w:p w14:paraId="0E102058" w14:textId="1A64E88C" w:rsidR="00D80129" w:rsidRPr="00DD6E6B" w:rsidRDefault="00D80129" w:rsidP="00D80129">
            <w:pPr>
              <w:pStyle w:val="Marginlie"/>
              <w:rPr>
                <w:lang w:val="en-GB"/>
              </w:rPr>
            </w:pPr>
            <w:r w:rsidRPr="00DD6E6B">
              <w:rPr>
                <w:lang w:val="en-GB"/>
              </w:rPr>
              <w:t xml:space="preserve">In contrast the growth of outlays on servicing the state debt to the record level was clearly based in the pay-out of the anti-inflationary bonds.  </w:t>
            </w:r>
          </w:p>
        </w:tc>
        <w:tc>
          <w:tcPr>
            <w:tcW w:w="203" w:type="dxa"/>
            <w:shd w:val="clear" w:color="auto" w:fill="auto"/>
            <w:tcMar>
              <w:left w:w="0" w:type="dxa"/>
            </w:tcMar>
          </w:tcPr>
          <w:p w14:paraId="1BB58180"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1D35C173" w14:textId="2A75334E" w:rsidR="00D80129" w:rsidRPr="00DD6E6B" w:rsidRDefault="00D80129" w:rsidP="00D80129">
            <w:pPr>
              <w:spacing w:after="200"/>
              <w:rPr>
                <w:color w:val="0D0D0D" w:themeColor="text1" w:themeTint="F2"/>
                <w:spacing w:val="-5"/>
                <w:lang w:val="en-GB"/>
              </w:rPr>
            </w:pPr>
            <w:r w:rsidRPr="00DD6E6B">
              <w:rPr>
                <w:color w:val="0D0D0D" w:themeColor="text1" w:themeTint="F2"/>
                <w:spacing w:val="-5"/>
                <w:lang w:val="en-GB"/>
              </w:rPr>
              <w:t xml:space="preserve">Weight significant current transfers to regional budgets, which were higher by one sixth compared to H1 2022 </w:t>
            </w:r>
            <w:r w:rsidRPr="00DD6E6B">
              <w:rPr>
                <w:color w:val="0D0D0D" w:themeColor="text1" w:themeTint="F2"/>
                <w:spacing w:val="-4"/>
                <w:lang w:val="en-GB"/>
              </w:rPr>
              <w:t>(+26.0 CZK bn) also notably strengthened. It was connected to the strengthening of outlays into the area of regional education (+9.2 CZK bn, primarily on the raise of the wage tariffs of both teachers and other staff), social services or compensation allowance on the housing of refugees from Ukraine. The outlays on the co-financing of programmes in the area of education, supported from the EU budget also grew. Anticipated sharply growing outlays on the servicing of the state debt also notably burdened the SB (+14.5 CZK bn)</w:t>
            </w:r>
            <w:r w:rsidRPr="00DD6E6B">
              <w:rPr>
                <w:rStyle w:val="Znakapoznpodarou"/>
                <w:spacing w:val="-4"/>
                <w:lang w:val="en-GB"/>
              </w:rPr>
              <w:footnoteReference w:id="21"/>
            </w:r>
            <w:r w:rsidRPr="00DD6E6B">
              <w:rPr>
                <w:color w:val="0D0D0D" w:themeColor="text1" w:themeTint="F2"/>
                <w:spacing w:val="-4"/>
                <w:lang w:val="en-GB"/>
              </w:rPr>
              <w:t xml:space="preserve">. The half-yearly size of these outlays attained 37.5 CZK bn (and by nearly one quarter exceeded the record debt outlays from year 2013). Payments of the anti-inflationary state debts to citizens had an essential influence here, rising interest rates of other instruments of the debt financing partial role then. Last item, which more notably supported the fiscal expansion this year, were the outlays on the wages in the central government institutions. These increased by one tenth year-on-year in H1 this year (+6.2 CZK bn) following previous two years of stagnation, which was connected mainly to the January raise of the pay tariffs of the public security forces and armed forces and last year’s September increase for employees in the civil service. In addition after the freeze during the </w:t>
            </w:r>
            <w:r w:rsidRPr="00DD6E6B">
              <w:rPr>
                <w:color w:val="0D0D0D" w:themeColor="text1" w:themeTint="F2"/>
                <w:spacing w:val="-4"/>
                <w:lang w:val="en-GB"/>
              </w:rPr>
              <w:lastRenderedPageBreak/>
              <w:t xml:space="preserve">pandemics, the outlays on the wages of constitutional authorities also considerably increased. </w:t>
            </w:r>
          </w:p>
        </w:tc>
      </w:tr>
      <w:tr w:rsidR="00D80129" w:rsidRPr="00DD6E6B" w14:paraId="7D77FA5C" w14:textId="77777777" w:rsidTr="006849F8">
        <w:trPr>
          <w:trHeight w:val="170"/>
        </w:trPr>
        <w:tc>
          <w:tcPr>
            <w:tcW w:w="1792" w:type="dxa"/>
            <w:shd w:val="clear" w:color="auto" w:fill="auto"/>
            <w:tcMar>
              <w:left w:w="0" w:type="dxa"/>
            </w:tcMar>
          </w:tcPr>
          <w:p w14:paraId="089FB78F" w14:textId="59D20B49" w:rsidR="00D80129" w:rsidRPr="00DD6E6B" w:rsidRDefault="00D80129" w:rsidP="00D80129">
            <w:pPr>
              <w:pStyle w:val="Marginlie"/>
              <w:rPr>
                <w:lang w:val="en-GB"/>
              </w:rPr>
            </w:pPr>
            <w:r w:rsidRPr="00DD6E6B">
              <w:rPr>
                <w:lang w:val="en-GB"/>
              </w:rPr>
              <w:lastRenderedPageBreak/>
              <w:t xml:space="preserve">Outlays on the non-investment purchases of the state reduced due to the lower need of extraordinary outlays in healthcare or the material reserves. </w:t>
            </w:r>
          </w:p>
        </w:tc>
        <w:tc>
          <w:tcPr>
            <w:tcW w:w="203" w:type="dxa"/>
            <w:shd w:val="clear" w:color="auto" w:fill="auto"/>
            <w:tcMar>
              <w:left w:w="0" w:type="dxa"/>
            </w:tcMar>
          </w:tcPr>
          <w:p w14:paraId="72519D2C"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400791FA" w14:textId="066A920D" w:rsidR="00D80129" w:rsidRPr="00DD6E6B" w:rsidRDefault="00D80129" w:rsidP="00D80129">
            <w:pPr>
              <w:spacing w:after="200"/>
              <w:rPr>
                <w:color w:val="0D0D0D" w:themeColor="text1" w:themeTint="F2"/>
                <w:spacing w:val="-5"/>
                <w:lang w:val="en-GB"/>
              </w:rPr>
            </w:pPr>
            <w:r w:rsidRPr="00DD6E6B">
              <w:rPr>
                <w:color w:val="0D0D0D" w:themeColor="text1" w:themeTint="F2"/>
                <w:spacing w:val="-5"/>
                <w:lang w:val="en-GB"/>
              </w:rPr>
              <w:t xml:space="preserve">Even despite the above mentioned areas, areas which subdued the sharp growth of the SB current outlays still existed. They contained mainly non-investment purchases, whose volume cut year-on-year mainly the outlays on the acquisition of vaccines </w:t>
            </w:r>
            <w:r w:rsidRPr="00DD6E6B">
              <w:rPr>
                <w:color w:val="0D0D0D" w:themeColor="text1" w:themeTint="F2"/>
                <w:spacing w:val="-4"/>
                <w:lang w:val="en-GB"/>
              </w:rPr>
              <w:t xml:space="preserve">(-5.0 CZK bn) or area of state material reserves (-5.6 CZK bn). On the other hand the high price growth still made some common operating outlays more expensive </w:t>
            </w:r>
            <w:r w:rsidRPr="00DD6E6B">
              <w:rPr>
                <w:color w:val="0D0D0D" w:themeColor="text1" w:themeTint="F2"/>
                <w:lang w:val="en-GB"/>
              </w:rPr>
              <w:t>here (for instance for purchases of water, fuels, energies or services</w:t>
            </w:r>
            <w:r w:rsidRPr="00DD6E6B">
              <w:rPr>
                <w:spacing w:val="-4"/>
                <w:lang w:val="en-GB"/>
              </w:rPr>
              <w:t xml:space="preserve">). Current transfers to state funds also mildly decreased, mainly into the area of agriculture. </w:t>
            </w:r>
          </w:p>
        </w:tc>
      </w:tr>
      <w:tr w:rsidR="00D80129" w:rsidRPr="00DD6E6B" w14:paraId="6E7D9726" w14:textId="77777777" w:rsidTr="006849F8">
        <w:trPr>
          <w:trHeight w:val="170"/>
        </w:trPr>
        <w:tc>
          <w:tcPr>
            <w:tcW w:w="1792" w:type="dxa"/>
            <w:shd w:val="clear" w:color="auto" w:fill="auto"/>
            <w:tcMar>
              <w:left w:w="0" w:type="dxa"/>
            </w:tcMar>
          </w:tcPr>
          <w:p w14:paraId="7ECC93C1" w14:textId="7EC47E21" w:rsidR="00D80129" w:rsidRPr="00DD6E6B" w:rsidRDefault="00D80129" w:rsidP="00D80129">
            <w:pPr>
              <w:pStyle w:val="Marginlie"/>
              <w:rPr>
                <w:lang w:val="en-GB"/>
              </w:rPr>
            </w:pPr>
            <w:r w:rsidRPr="00DD6E6B">
              <w:rPr>
                <w:lang w:val="en-GB"/>
              </w:rPr>
              <w:t xml:space="preserve">Capital outlays markedly increased, mainly thanks to the implementation of the National recovery plan. </w:t>
            </w:r>
          </w:p>
          <w:p w14:paraId="094D4888" w14:textId="77777777" w:rsidR="00D80129" w:rsidRPr="00DD6E6B" w:rsidRDefault="00D80129" w:rsidP="00D80129">
            <w:pPr>
              <w:pStyle w:val="Marginlie"/>
              <w:rPr>
                <w:lang w:val="en-GB"/>
              </w:rPr>
            </w:pPr>
          </w:p>
          <w:p w14:paraId="74E42ECB" w14:textId="77777777" w:rsidR="00D80129" w:rsidRPr="00DD6E6B" w:rsidRDefault="00D80129" w:rsidP="00D80129">
            <w:pPr>
              <w:pStyle w:val="Marginlie"/>
              <w:rPr>
                <w:lang w:val="en-GB"/>
              </w:rPr>
            </w:pPr>
          </w:p>
          <w:p w14:paraId="70E41416" w14:textId="77777777" w:rsidR="00D80129" w:rsidRPr="00DD6E6B" w:rsidRDefault="00D80129" w:rsidP="00D80129">
            <w:pPr>
              <w:pStyle w:val="Marginlie"/>
              <w:rPr>
                <w:lang w:val="en-GB"/>
              </w:rPr>
            </w:pPr>
          </w:p>
          <w:p w14:paraId="78E37105" w14:textId="77777777" w:rsidR="00D80129" w:rsidRPr="00DD6E6B" w:rsidRDefault="00D80129" w:rsidP="00D80129">
            <w:pPr>
              <w:pStyle w:val="Marginlie"/>
              <w:rPr>
                <w:lang w:val="en-GB"/>
              </w:rPr>
            </w:pPr>
          </w:p>
          <w:p w14:paraId="4873D5B6" w14:textId="77777777" w:rsidR="00D80129" w:rsidRPr="00DD6E6B" w:rsidRDefault="00D80129" w:rsidP="00D80129">
            <w:pPr>
              <w:pStyle w:val="Marginlie"/>
              <w:rPr>
                <w:lang w:val="en-GB"/>
              </w:rPr>
            </w:pPr>
          </w:p>
          <w:p w14:paraId="1EDA7B90" w14:textId="77777777" w:rsidR="00D80129" w:rsidRPr="00DD6E6B" w:rsidRDefault="00D80129" w:rsidP="00D80129">
            <w:pPr>
              <w:pStyle w:val="Marginlie"/>
              <w:rPr>
                <w:lang w:val="en-GB"/>
              </w:rPr>
            </w:pPr>
          </w:p>
          <w:p w14:paraId="3EC311FD" w14:textId="42392385" w:rsidR="00D80129" w:rsidRPr="00DD6E6B" w:rsidRDefault="00D80129" w:rsidP="00D80129">
            <w:pPr>
              <w:pStyle w:val="Marginlie"/>
              <w:rPr>
                <w:lang w:val="en-GB"/>
              </w:rPr>
            </w:pPr>
            <w:r w:rsidRPr="00DD6E6B">
              <w:rPr>
                <w:lang w:val="en-GB"/>
              </w:rPr>
              <w:t xml:space="preserve">The proportion of investment on total SB outlays reached an average 7%. </w:t>
            </w:r>
          </w:p>
        </w:tc>
        <w:tc>
          <w:tcPr>
            <w:tcW w:w="203" w:type="dxa"/>
            <w:shd w:val="clear" w:color="auto" w:fill="auto"/>
            <w:tcMar>
              <w:left w:w="0" w:type="dxa"/>
            </w:tcMar>
          </w:tcPr>
          <w:p w14:paraId="5C95E61C"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7DA999C8" w14:textId="2CE79B89" w:rsidR="00D80129" w:rsidRPr="00DD6E6B" w:rsidRDefault="00D80129" w:rsidP="00D80129">
            <w:pPr>
              <w:spacing w:after="200"/>
              <w:rPr>
                <w:color w:val="0D0D0D" w:themeColor="text1" w:themeTint="F2"/>
                <w:spacing w:val="-4"/>
                <w:lang w:val="en-GB"/>
              </w:rPr>
            </w:pPr>
            <w:r w:rsidRPr="00DD6E6B">
              <w:rPr>
                <w:color w:val="0D0D0D" w:themeColor="text1" w:themeTint="F2"/>
                <w:spacing w:val="-4"/>
                <w:lang w:val="en-GB"/>
              </w:rPr>
              <w:t>Capital outlays of the SR increased by considerable 16.1% (to 79 CZK bn) year-on-year in H1. The brisk pace partially reflects the effect of the weaker last year’s basis (the SB functioned in the interim regime in Q1 2022</w:t>
            </w:r>
            <w:r w:rsidRPr="00DD6E6B">
              <w:rPr>
                <w:color w:val="0D0D0D" w:themeColor="text1" w:themeTint="F2"/>
                <w:vertAlign w:val="superscript"/>
                <w:lang w:val="en-GB"/>
              </w:rPr>
              <w:footnoteReference w:id="22"/>
            </w:r>
            <w:r w:rsidRPr="00DD6E6B">
              <w:rPr>
                <w:color w:val="0D0D0D" w:themeColor="text1" w:themeTint="F2"/>
                <w:spacing w:val="-4"/>
                <w:lang w:val="en-GB"/>
              </w:rPr>
              <w:t>). 38.1% of the yearly budget size of the capital outlays has been invested so far this year (33.5% last year at the end of half-year, however 46.3% in year 2022). The largest volume of investment was aimed traditionally at the area of transport infrastructure (25.5 CZK bn), the New Green Savings Programme within the National recovery programme (where 8.9 bn was allocated, nearly double year-on-year) however mainly contributed to their growth and also the implementation of the projects within the Operational Programme Enterprise and Innovation for Competitiveness 2014+ or Integrated Regional Operational Programme 2014+. Total investment has shared even 7%  on all SB outlays so far this year (similarly to H1 2022), it presents an average value from the long-term perspective. Slightly above average volume of so far released investment from the SB was associated with the common CR and EU projects this year.</w:t>
            </w:r>
          </w:p>
        </w:tc>
      </w:tr>
      <w:tr w:rsidR="00D80129" w:rsidRPr="00DD6E6B" w14:paraId="635257CA" w14:textId="77777777" w:rsidTr="006849F8">
        <w:trPr>
          <w:trHeight w:val="170"/>
        </w:trPr>
        <w:tc>
          <w:tcPr>
            <w:tcW w:w="1792" w:type="dxa"/>
            <w:vMerge w:val="restart"/>
            <w:shd w:val="clear" w:color="auto" w:fill="auto"/>
            <w:tcMar>
              <w:left w:w="0" w:type="dxa"/>
            </w:tcMar>
          </w:tcPr>
          <w:p w14:paraId="3EC369A6" w14:textId="77777777" w:rsidR="00D80129" w:rsidRPr="00DD6E6B" w:rsidRDefault="00D80129" w:rsidP="00D80129">
            <w:pPr>
              <w:pStyle w:val="Marginlie"/>
              <w:rPr>
                <w:lang w:val="en-GB"/>
              </w:rPr>
            </w:pPr>
          </w:p>
        </w:tc>
        <w:tc>
          <w:tcPr>
            <w:tcW w:w="203" w:type="dxa"/>
            <w:vMerge w:val="restart"/>
            <w:shd w:val="clear" w:color="auto" w:fill="auto"/>
            <w:tcMar>
              <w:left w:w="0" w:type="dxa"/>
            </w:tcMar>
          </w:tcPr>
          <w:p w14:paraId="69B8D028"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721679FA" w14:textId="1CC2E67F" w:rsidR="00D80129" w:rsidRPr="00DD6E6B" w:rsidRDefault="00D80129" w:rsidP="00D80129">
            <w:pPr>
              <w:spacing w:after="20" w:line="240" w:lineRule="auto"/>
              <w:jc w:val="left"/>
              <w:rPr>
                <w:rFonts w:cs="Arial"/>
                <w:bCs/>
                <w:spacing w:val="-3"/>
                <w:lang w:val="en-GB"/>
              </w:rPr>
            </w:pPr>
            <w:r w:rsidRPr="00DD6E6B">
              <w:rPr>
                <w:b/>
                <w:spacing w:val="-3"/>
                <w:lang w:val="en-GB"/>
              </w:rPr>
              <w:t xml:space="preserve">Chart 18 </w:t>
            </w:r>
            <w:r w:rsidRPr="00DD6E6B">
              <w:rPr>
                <w:rFonts w:cs="Arial"/>
                <w:b/>
                <w:bCs/>
                <w:spacing w:val="-6"/>
                <w:lang w:val="en-GB"/>
              </w:rPr>
              <w:t xml:space="preserve">Selected expenditures of the state budget </w:t>
            </w:r>
            <w:r w:rsidRPr="00DD6E6B">
              <w:rPr>
                <w:rFonts w:cs="Arial"/>
                <w:bCs/>
                <w:spacing w:val="-3"/>
                <w:lang w:val="en-GB"/>
              </w:rPr>
              <w:t>(cumulation for H1, in CZK bn)</w:t>
            </w:r>
          </w:p>
        </w:tc>
      </w:tr>
      <w:tr w:rsidR="00D80129" w:rsidRPr="00DD6E6B" w14:paraId="797E142B" w14:textId="77777777" w:rsidTr="00D02CFF">
        <w:tblPrEx>
          <w:tblCellMar>
            <w:left w:w="70" w:type="dxa"/>
            <w:right w:w="70" w:type="dxa"/>
          </w:tblCellMar>
        </w:tblPrEx>
        <w:trPr>
          <w:trHeight w:val="170"/>
        </w:trPr>
        <w:tc>
          <w:tcPr>
            <w:tcW w:w="1792" w:type="dxa"/>
            <w:vMerge/>
            <w:shd w:val="clear" w:color="auto" w:fill="auto"/>
          </w:tcPr>
          <w:p w14:paraId="68FED6D8" w14:textId="77777777" w:rsidR="00D80129" w:rsidRPr="00DD6E6B" w:rsidRDefault="00D80129" w:rsidP="00D80129">
            <w:pPr>
              <w:pStyle w:val="Marginlie"/>
              <w:rPr>
                <w:lang w:val="en-GB"/>
              </w:rPr>
            </w:pPr>
          </w:p>
        </w:tc>
        <w:tc>
          <w:tcPr>
            <w:tcW w:w="203" w:type="dxa"/>
            <w:vMerge/>
            <w:shd w:val="clear" w:color="auto" w:fill="auto"/>
          </w:tcPr>
          <w:p w14:paraId="1384FCFB" w14:textId="77777777" w:rsidR="00D80129" w:rsidRPr="00DD6E6B" w:rsidRDefault="00D80129" w:rsidP="00D80129">
            <w:pPr>
              <w:pStyle w:val="Textpoznpodarou"/>
              <w:jc w:val="both"/>
              <w:rPr>
                <w:spacing w:val="-4"/>
                <w:lang w:val="en-GB"/>
              </w:rPr>
            </w:pPr>
          </w:p>
        </w:tc>
        <w:tc>
          <w:tcPr>
            <w:tcW w:w="7674" w:type="dxa"/>
            <w:shd w:val="clear" w:color="auto" w:fill="auto"/>
          </w:tcPr>
          <w:p w14:paraId="6FE9DADC" w14:textId="7B8F77C8" w:rsidR="00D80129" w:rsidRPr="00DD6E6B" w:rsidRDefault="00D80129" w:rsidP="00D80129">
            <w:pPr>
              <w:spacing w:after="0"/>
              <w:rPr>
                <w:spacing w:val="-6"/>
                <w:lang w:val="en-GB"/>
              </w:rPr>
            </w:pPr>
            <w:r>
              <w:rPr>
                <w:noProof/>
              </w:rPr>
              <w:drawing>
                <wp:inline distT="0" distB="0" distL="0" distR="0" wp14:anchorId="49F320C0" wp14:editId="634E0901">
                  <wp:extent cx="4720355" cy="3387587"/>
                  <wp:effectExtent l="0" t="0" r="4445" b="381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80129" w:rsidRPr="00DD6E6B" w14:paraId="46559CB1" w14:textId="77777777" w:rsidTr="006849F8">
        <w:trPr>
          <w:trHeight w:val="170"/>
        </w:trPr>
        <w:tc>
          <w:tcPr>
            <w:tcW w:w="1792" w:type="dxa"/>
            <w:vMerge/>
            <w:shd w:val="clear" w:color="auto" w:fill="auto"/>
            <w:tcMar>
              <w:left w:w="0" w:type="dxa"/>
            </w:tcMar>
          </w:tcPr>
          <w:p w14:paraId="74D8A556" w14:textId="77777777" w:rsidR="00D80129" w:rsidRPr="00DD6E6B" w:rsidRDefault="00D80129" w:rsidP="00D80129">
            <w:pPr>
              <w:pStyle w:val="Marginlie"/>
              <w:rPr>
                <w:lang w:val="en-GB"/>
              </w:rPr>
            </w:pPr>
          </w:p>
        </w:tc>
        <w:tc>
          <w:tcPr>
            <w:tcW w:w="203" w:type="dxa"/>
            <w:vMerge/>
            <w:shd w:val="clear" w:color="auto" w:fill="auto"/>
            <w:tcMar>
              <w:left w:w="0" w:type="dxa"/>
            </w:tcMar>
          </w:tcPr>
          <w:p w14:paraId="364BCDDA" w14:textId="77777777" w:rsidR="00D80129" w:rsidRPr="00DD6E6B" w:rsidRDefault="00D80129" w:rsidP="00D80129">
            <w:pPr>
              <w:pStyle w:val="Textpoznpodarou"/>
              <w:jc w:val="both"/>
              <w:rPr>
                <w:spacing w:val="-4"/>
                <w:lang w:val="en-GB"/>
              </w:rPr>
            </w:pPr>
          </w:p>
        </w:tc>
        <w:tc>
          <w:tcPr>
            <w:tcW w:w="7674" w:type="dxa"/>
            <w:shd w:val="clear" w:color="auto" w:fill="auto"/>
            <w:tcMar>
              <w:left w:w="0" w:type="dxa"/>
            </w:tcMar>
          </w:tcPr>
          <w:p w14:paraId="67DCA134" w14:textId="14E05D84" w:rsidR="00D80129" w:rsidRPr="00DD6E6B" w:rsidRDefault="00D80129" w:rsidP="00D80129">
            <w:pPr>
              <w:pStyle w:val="Textpoznpodarou"/>
              <w:rPr>
                <w:spacing w:val="-4"/>
                <w:sz w:val="14"/>
                <w:szCs w:val="14"/>
                <w:lang w:val="en-GB"/>
              </w:rPr>
            </w:pPr>
            <w:r w:rsidRPr="00DD6E6B">
              <w:rPr>
                <w:spacing w:val="-4"/>
                <w:sz w:val="14"/>
                <w:szCs w:val="14"/>
                <w:lang w:val="en-GB"/>
              </w:rPr>
              <w:t>*</w:t>
            </w:r>
            <w:r w:rsidRPr="00DD6E6B">
              <w:rPr>
                <w:spacing w:val="-6"/>
                <w:sz w:val="14"/>
                <w:szCs w:val="14"/>
                <w:lang w:val="en-GB"/>
              </w:rPr>
              <w:t xml:space="preserve"> Covers expenditures on salaries in central government institutions. Does not include e.g. wage costs of regional education.</w:t>
            </w:r>
          </w:p>
          <w:p w14:paraId="238EAA35" w14:textId="77777777" w:rsidR="00D80129" w:rsidRDefault="00D80129" w:rsidP="00D80129">
            <w:pPr>
              <w:pStyle w:val="Textpoznpodarou"/>
              <w:rPr>
                <w:spacing w:val="-4"/>
                <w:sz w:val="14"/>
                <w:szCs w:val="14"/>
                <w:lang w:val="en-GB"/>
              </w:rPr>
            </w:pPr>
            <w:r w:rsidRPr="00DD6E6B">
              <w:rPr>
                <w:spacing w:val="-4"/>
                <w:sz w:val="14"/>
                <w:szCs w:val="14"/>
                <w:lang w:val="en-GB"/>
              </w:rPr>
              <w:t>**</w:t>
            </w:r>
            <w:r w:rsidRPr="00DD6E6B">
              <w:rPr>
                <w:spacing w:val="-6"/>
                <w:sz w:val="14"/>
                <w:szCs w:val="14"/>
                <w:lang w:val="en-GB"/>
              </w:rPr>
              <w:t xml:space="preserve"> Also includes the foster care benefits</w:t>
            </w:r>
          </w:p>
          <w:p w14:paraId="38533043" w14:textId="6F90DD82" w:rsidR="00D80129" w:rsidRPr="00DD6E6B" w:rsidRDefault="00D80129" w:rsidP="00D80129">
            <w:pPr>
              <w:pStyle w:val="Textpoznpodarou"/>
              <w:rPr>
                <w:spacing w:val="-6"/>
                <w:sz w:val="14"/>
                <w:szCs w:val="14"/>
                <w:lang w:val="en-GB"/>
              </w:rPr>
            </w:pPr>
            <w:r w:rsidRPr="00DD6E6B">
              <w:rPr>
                <w:spacing w:val="-4"/>
                <w:sz w:val="14"/>
                <w:szCs w:val="14"/>
                <w:lang w:val="en-GB"/>
              </w:rPr>
              <w:t>***</w:t>
            </w:r>
            <w:r w:rsidRPr="00DD6E6B">
              <w:rPr>
                <w:spacing w:val="-6"/>
                <w:sz w:val="14"/>
                <w:szCs w:val="14"/>
                <w:lang w:val="en-GB"/>
              </w:rPr>
              <w:t xml:space="preserve"> Includes Material deprivation assistance benefits, Benefits for people with disabilities, Care benefits based on Act on State Social Support. Humanitarian aid provided for citizens of Ukraine are also included here.</w:t>
            </w:r>
          </w:p>
          <w:p w14:paraId="65D9E103" w14:textId="77777777" w:rsidR="00D80129" w:rsidRDefault="00D80129" w:rsidP="00D80129">
            <w:pPr>
              <w:pStyle w:val="Textpoznpodarou"/>
              <w:rPr>
                <w:spacing w:val="-6"/>
                <w:sz w:val="14"/>
                <w:szCs w:val="14"/>
                <w:lang w:val="en-GB"/>
              </w:rPr>
            </w:pPr>
            <w:r w:rsidRPr="00DD6E6B">
              <w:rPr>
                <w:spacing w:val="-4"/>
                <w:sz w:val="14"/>
                <w:szCs w:val="14"/>
                <w:lang w:val="en-GB"/>
              </w:rPr>
              <w:t>****</w:t>
            </w:r>
            <w:r w:rsidRPr="00DD6E6B">
              <w:rPr>
                <w:spacing w:val="-6"/>
                <w:sz w:val="14"/>
                <w:szCs w:val="14"/>
                <w:lang w:val="en-GB"/>
              </w:rPr>
              <w:t xml:space="preserve"> Contains mainly expenditures on purchase of services, materials, energies or other services (e.g. expenditures on repairs </w:t>
            </w:r>
            <w:r>
              <w:rPr>
                <w:spacing w:val="-6"/>
                <w:sz w:val="14"/>
                <w:szCs w:val="14"/>
                <w:lang w:val="en-GB"/>
              </w:rPr>
              <w:t>and maintenance).</w:t>
            </w:r>
          </w:p>
          <w:p w14:paraId="29F8E580" w14:textId="15CFF43F" w:rsidR="00D80129" w:rsidRPr="00DD6E6B" w:rsidRDefault="00D80129" w:rsidP="00D80129">
            <w:pPr>
              <w:pStyle w:val="Textpoznpodarou"/>
              <w:rPr>
                <w:spacing w:val="-4"/>
                <w:sz w:val="14"/>
                <w:szCs w:val="14"/>
                <w:lang w:val="en-GB"/>
              </w:rPr>
            </w:pPr>
            <w:r w:rsidRPr="00DD6E6B">
              <w:rPr>
                <w:spacing w:val="-4"/>
                <w:sz w:val="14"/>
                <w:szCs w:val="14"/>
                <w:lang w:val="en-GB"/>
              </w:rPr>
              <w:t xml:space="preserve">***** </w:t>
            </w:r>
            <w:r w:rsidRPr="00DD6E6B">
              <w:rPr>
                <w:spacing w:val="-6"/>
                <w:sz w:val="14"/>
                <w:szCs w:val="14"/>
                <w:lang w:val="en-GB"/>
              </w:rPr>
              <w:t>Corresponds to the balance of the budget chapter State debt</w:t>
            </w:r>
            <w:r>
              <w:rPr>
                <w:spacing w:val="-4"/>
                <w:sz w:val="14"/>
                <w:szCs w:val="14"/>
                <w:lang w:val="en-GB"/>
              </w:rPr>
              <w:t>.</w:t>
            </w:r>
          </w:p>
          <w:p w14:paraId="4C893225" w14:textId="27A6D77D" w:rsidR="00D80129" w:rsidRPr="00D02CFF" w:rsidRDefault="00D80129" w:rsidP="00D80129">
            <w:pPr>
              <w:pStyle w:val="Textpoznpodarou"/>
              <w:rPr>
                <w:spacing w:val="-4"/>
                <w:sz w:val="14"/>
                <w:szCs w:val="14"/>
                <w:lang w:val="en-GB"/>
              </w:rPr>
            </w:pPr>
            <w:r w:rsidRPr="00DD6E6B">
              <w:rPr>
                <w:spacing w:val="-4"/>
                <w:sz w:val="14"/>
                <w:szCs w:val="14"/>
                <w:lang w:val="en-GB"/>
              </w:rPr>
              <w:t>Source: MF CR, MLSA</w:t>
            </w:r>
          </w:p>
        </w:tc>
      </w:tr>
    </w:tbl>
    <w:p w14:paraId="5D6917AD" w14:textId="44FA1E2E" w:rsidR="00106BCC" w:rsidRPr="00D02CFF" w:rsidRDefault="00106BCC" w:rsidP="00106BCC">
      <w:pPr>
        <w:pStyle w:val="Nadpis11"/>
        <w:rPr>
          <w:b w:val="0"/>
          <w:sz w:val="2"/>
          <w:szCs w:val="2"/>
          <w:lang w:val="en-GB"/>
        </w:rPr>
      </w:pPr>
    </w:p>
    <w:tbl>
      <w:tblPr>
        <w:tblW w:w="9669" w:type="dxa"/>
        <w:tblInd w:w="-20" w:type="dxa"/>
        <w:tblCellMar>
          <w:left w:w="0" w:type="dxa"/>
          <w:right w:w="0" w:type="dxa"/>
        </w:tblCellMar>
        <w:tblLook w:val="00A0" w:firstRow="1" w:lastRow="0" w:firstColumn="1" w:lastColumn="0" w:noHBand="0" w:noVBand="0"/>
      </w:tblPr>
      <w:tblGrid>
        <w:gridCol w:w="1780"/>
        <w:gridCol w:w="219"/>
        <w:gridCol w:w="7670"/>
      </w:tblGrid>
      <w:tr w:rsidR="00D80129" w:rsidRPr="00DD6E6B" w14:paraId="144D1462" w14:textId="77777777" w:rsidTr="20D21749">
        <w:trPr>
          <w:trHeight w:val="145"/>
        </w:trPr>
        <w:tc>
          <w:tcPr>
            <w:tcW w:w="1780" w:type="dxa"/>
            <w:shd w:val="clear" w:color="auto" w:fill="auto"/>
            <w:tcMar>
              <w:left w:w="0" w:type="dxa"/>
            </w:tcMar>
          </w:tcPr>
          <w:p w14:paraId="2DC96299" w14:textId="731B91AF" w:rsidR="00D80129" w:rsidRPr="00DD6E6B" w:rsidRDefault="00D80129" w:rsidP="00D80129">
            <w:pPr>
              <w:pStyle w:val="Marginlie"/>
              <w:rPr>
                <w:lang w:val="en-GB"/>
              </w:rPr>
            </w:pPr>
            <w:r w:rsidRPr="00DD6E6B">
              <w:rPr>
                <w:lang w:val="en-GB"/>
              </w:rPr>
              <w:t xml:space="preserve">Net positive position of the CR in relation to the EU budget strengthened year-on-year.  </w:t>
            </w:r>
          </w:p>
        </w:tc>
        <w:tc>
          <w:tcPr>
            <w:tcW w:w="219" w:type="dxa"/>
            <w:shd w:val="clear" w:color="auto" w:fill="auto"/>
            <w:tcMar>
              <w:left w:w="0" w:type="dxa"/>
            </w:tcMar>
          </w:tcPr>
          <w:p w14:paraId="21D840D5"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003BE1AB" w14:textId="03B0DC4A" w:rsidR="00D80129" w:rsidRPr="00DD6E6B" w:rsidRDefault="00D80129" w:rsidP="00D80129">
            <w:pPr>
              <w:spacing w:after="200"/>
              <w:rPr>
                <w:color w:val="0D0D0D" w:themeColor="text1" w:themeTint="F2"/>
                <w:spacing w:val="-2"/>
                <w:lang w:val="en-GB"/>
              </w:rPr>
            </w:pPr>
            <w:r w:rsidRPr="00DD6E6B">
              <w:rPr>
                <w:color w:val="0D0D0D" w:themeColor="text1" w:themeTint="F2"/>
                <w:spacing w:val="-4"/>
                <w:lang w:val="en-GB"/>
              </w:rPr>
              <w:t>The CR further remains in the position of the net recipient in relation to the EU budget. The CR received from the EU budget 54.6 CZK bn (+13.0% year-on-year) in H1 2023, 33.9 CZK bn (+4.2%) travelled in the opposite direction. The CR has thus so far received by 20.8 CZK bn more, than it transferred to the EU budget. When including the sharply growing income from the EU instrument Recovery plan for Europe (+225%), the total positive balance arrives at 45.6 CZK bn (the second largest half-yearly value in the last seven years). Larger funds in the area of Structural funds, Cohesion fund as well as the direct payments in agriculture contributed by similar shares to the year-on-year growth of revenues. Funds on the rural development on the contrary slightly decreased (-0.9 CZK bn).</w:t>
            </w:r>
          </w:p>
        </w:tc>
      </w:tr>
      <w:tr w:rsidR="00D80129" w:rsidRPr="00DD6E6B" w14:paraId="444D1690" w14:textId="77777777" w:rsidTr="20D21749">
        <w:trPr>
          <w:trHeight w:val="145"/>
        </w:trPr>
        <w:tc>
          <w:tcPr>
            <w:tcW w:w="1780" w:type="dxa"/>
            <w:shd w:val="clear" w:color="auto" w:fill="auto"/>
            <w:tcMar>
              <w:left w:w="0" w:type="dxa"/>
            </w:tcMar>
          </w:tcPr>
          <w:p w14:paraId="23BE3ED6" w14:textId="1828C1C3" w:rsidR="00D80129" w:rsidRPr="00DD6E6B" w:rsidRDefault="00D80129" w:rsidP="00D80129">
            <w:pPr>
              <w:pStyle w:val="Marginlie"/>
              <w:rPr>
                <w:lang w:val="en-GB"/>
              </w:rPr>
            </w:pPr>
            <w:r w:rsidRPr="00DD6E6B">
              <w:rPr>
                <w:lang w:val="en-GB"/>
              </w:rPr>
              <w:t xml:space="preserve">State debt conquered the limit of 3 CZK trillion for the first time in history at the end of H1. </w:t>
            </w:r>
          </w:p>
          <w:p w14:paraId="547D5C4D" w14:textId="77777777" w:rsidR="00D80129" w:rsidRPr="00DD6E6B" w:rsidRDefault="00D80129" w:rsidP="00D80129">
            <w:pPr>
              <w:pStyle w:val="Marginlie"/>
              <w:rPr>
                <w:lang w:val="en-GB"/>
              </w:rPr>
            </w:pPr>
          </w:p>
          <w:p w14:paraId="684AD787" w14:textId="77777777" w:rsidR="00D80129" w:rsidRPr="00DD6E6B" w:rsidRDefault="00D80129" w:rsidP="00D80129">
            <w:pPr>
              <w:pStyle w:val="Marginlie"/>
              <w:rPr>
                <w:lang w:val="en-GB"/>
              </w:rPr>
            </w:pPr>
          </w:p>
          <w:p w14:paraId="6E82E1EC" w14:textId="05212AF9" w:rsidR="00D80129" w:rsidRPr="00DD6E6B" w:rsidRDefault="00D80129" w:rsidP="00D80129">
            <w:pPr>
              <w:pStyle w:val="Marginlie"/>
              <w:rPr>
                <w:lang w:val="en-GB"/>
              </w:rPr>
            </w:pPr>
          </w:p>
          <w:p w14:paraId="2E220F8D" w14:textId="77777777" w:rsidR="00D80129" w:rsidRPr="00DD6E6B" w:rsidRDefault="00D80129" w:rsidP="00D80129">
            <w:pPr>
              <w:pStyle w:val="Marginlie"/>
              <w:rPr>
                <w:lang w:val="en-GB"/>
              </w:rPr>
            </w:pPr>
          </w:p>
          <w:p w14:paraId="6BBB4E97" w14:textId="52EDF965" w:rsidR="00D80129" w:rsidRPr="00DD6E6B" w:rsidRDefault="00D80129" w:rsidP="00D80129">
            <w:pPr>
              <w:pStyle w:val="Marginlie"/>
              <w:rPr>
                <w:lang w:val="en-GB"/>
              </w:rPr>
            </w:pPr>
            <w:r w:rsidRPr="00DD6E6B">
              <w:rPr>
                <w:lang w:val="en-GB"/>
              </w:rPr>
              <w:t xml:space="preserve">Exclusively the internal indebtedness was growing, the koruna value of the external debt was shrinking. </w:t>
            </w:r>
          </w:p>
          <w:p w14:paraId="0BC2E3CE" w14:textId="77777777" w:rsidR="00D80129" w:rsidRPr="00DD6E6B" w:rsidRDefault="00D80129" w:rsidP="00D80129">
            <w:pPr>
              <w:pStyle w:val="Marginlie"/>
              <w:rPr>
                <w:lang w:val="en-GB"/>
              </w:rPr>
            </w:pPr>
          </w:p>
        </w:tc>
        <w:tc>
          <w:tcPr>
            <w:tcW w:w="219" w:type="dxa"/>
            <w:shd w:val="clear" w:color="auto" w:fill="auto"/>
            <w:tcMar>
              <w:left w:w="0" w:type="dxa"/>
            </w:tcMar>
          </w:tcPr>
          <w:p w14:paraId="4EAA0D82"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6CD50C7D" w14:textId="03B83BBD" w:rsidR="00D80129" w:rsidRPr="00DD6E6B" w:rsidRDefault="00D80129" w:rsidP="00D80129">
            <w:pPr>
              <w:spacing w:after="200"/>
              <w:rPr>
                <w:color w:val="0D0D0D" w:themeColor="text1" w:themeTint="F2"/>
                <w:spacing w:val="-2"/>
                <w:lang w:val="en-GB"/>
              </w:rPr>
            </w:pPr>
            <w:r w:rsidRPr="00DD6E6B">
              <w:rPr>
                <w:color w:val="0D0D0D" w:themeColor="text1" w:themeTint="F2"/>
                <w:spacing w:val="-2"/>
                <w:lang w:val="en-GB"/>
              </w:rPr>
              <w:t xml:space="preserve">Persisting deep budget deficits together with planned debt repayments were reflected in the high need of the state for credit. The state debt thus hiked up to record </w:t>
            </w:r>
            <w:r w:rsidRPr="00DD6E6B">
              <w:rPr>
                <w:spacing w:val="-2"/>
                <w:lang w:val="en-GB"/>
              </w:rPr>
              <w:t>3 044 CZK bn at the end of this year’s June and increased by 337 bn (12.4%). Year-on-year percentage rate of growth was similar as last year at the end of June, however the debt growth for the first this year’s half-year itself (+150 CZK bn) eased pace compared to H1 (+242 bn). Mainly the issue of medium and long-term state bonds stood behind the debt increase at the beginning of the year</w:t>
            </w:r>
            <w:r w:rsidRPr="00DD6E6B">
              <w:rPr>
                <w:rStyle w:val="Znakapoznpodarou"/>
                <w:spacing w:val="-2"/>
                <w:lang w:val="en-GB"/>
              </w:rPr>
              <w:footnoteReference w:id="23"/>
            </w:r>
            <w:r w:rsidRPr="00DD6E6B">
              <w:rPr>
                <w:spacing w:val="-2"/>
                <w:lang w:val="en-GB"/>
              </w:rPr>
              <w:t>, however increased volume of short-term loans was also added in the same period of the last year. Mostly due to the above stated, a severe increase of the internal state debt occurred (by 352 CZK bn year-on-year, in that by 257 bn since the beginning of this year). On the contrary the koruna value of the external debt slightly shrank year-on-year and mainly owing to the repayment of short-term loans dropped by more than one third during Q1 2023</w:t>
            </w:r>
            <w:r w:rsidRPr="00DD6E6B">
              <w:rPr>
                <w:rStyle w:val="Znakapoznpodarou"/>
                <w:spacing w:val="-2"/>
                <w:lang w:val="en-GB"/>
              </w:rPr>
              <w:footnoteReference w:id="24"/>
            </w:r>
            <w:r w:rsidRPr="00DD6E6B">
              <w:rPr>
                <w:spacing w:val="-2"/>
                <w:lang w:val="en-GB"/>
              </w:rPr>
              <w:t>.</w:t>
            </w:r>
          </w:p>
        </w:tc>
      </w:tr>
      <w:tr w:rsidR="00D80129" w:rsidRPr="00DD6E6B" w14:paraId="5DBD756F" w14:textId="77777777" w:rsidTr="20D21749">
        <w:trPr>
          <w:trHeight w:val="145"/>
        </w:trPr>
        <w:tc>
          <w:tcPr>
            <w:tcW w:w="1780" w:type="dxa"/>
            <w:shd w:val="clear" w:color="auto" w:fill="auto"/>
            <w:tcMar>
              <w:left w:w="0" w:type="dxa"/>
            </w:tcMar>
          </w:tcPr>
          <w:p w14:paraId="5C677597" w14:textId="5DB74833" w:rsidR="00D80129" w:rsidRPr="00DD6E6B" w:rsidRDefault="00D80129" w:rsidP="00D80129">
            <w:pPr>
              <w:pStyle w:val="Marginlie"/>
              <w:rPr>
                <w:lang w:val="en-GB"/>
              </w:rPr>
            </w:pPr>
            <w:r w:rsidRPr="00DD6E6B">
              <w:rPr>
                <w:lang w:val="en-GB"/>
              </w:rPr>
              <w:t xml:space="preserve">Budget deficit of the government institution sector increased by 32 CZK bn year-on-year in Q1.  </w:t>
            </w:r>
          </w:p>
          <w:p w14:paraId="0817158C" w14:textId="77777777" w:rsidR="00D80129" w:rsidRPr="00DD6E6B" w:rsidRDefault="00D80129" w:rsidP="00D80129">
            <w:pPr>
              <w:pStyle w:val="Marginlie"/>
              <w:rPr>
                <w:lang w:val="en-GB"/>
              </w:rPr>
            </w:pPr>
          </w:p>
          <w:p w14:paraId="78A260B7" w14:textId="77777777" w:rsidR="00D80129" w:rsidRPr="00DD6E6B" w:rsidRDefault="00D80129" w:rsidP="00D80129">
            <w:pPr>
              <w:pStyle w:val="Marginlie"/>
              <w:rPr>
                <w:lang w:val="en-GB"/>
              </w:rPr>
            </w:pPr>
          </w:p>
          <w:p w14:paraId="086549EA" w14:textId="77777777" w:rsidR="00D80129" w:rsidRPr="00DD6E6B" w:rsidRDefault="00D80129" w:rsidP="00D80129">
            <w:pPr>
              <w:pStyle w:val="Marginlie"/>
              <w:rPr>
                <w:lang w:val="en-GB"/>
              </w:rPr>
            </w:pPr>
          </w:p>
          <w:p w14:paraId="30D14C2F" w14:textId="77777777" w:rsidR="00D80129" w:rsidRPr="00DD6E6B" w:rsidRDefault="00D80129" w:rsidP="00D80129">
            <w:pPr>
              <w:pStyle w:val="Marginlie"/>
              <w:rPr>
                <w:lang w:val="en-GB"/>
              </w:rPr>
            </w:pPr>
          </w:p>
          <w:p w14:paraId="68646710" w14:textId="78924204" w:rsidR="00D80129" w:rsidRPr="00DD6E6B" w:rsidRDefault="00D80129" w:rsidP="00D80129">
            <w:pPr>
              <w:pStyle w:val="Marginlie"/>
              <w:rPr>
                <w:lang w:val="en-GB"/>
              </w:rPr>
            </w:pPr>
            <w:r w:rsidRPr="00DD6E6B">
              <w:rPr>
                <w:lang w:val="en-GB"/>
              </w:rPr>
              <w:t xml:space="preserve">Seasonally adjusted deficit was 4.2% of GDP, it has not deepened compared to H2 2022 so far. </w:t>
            </w:r>
          </w:p>
          <w:p w14:paraId="6ED2AF4B" w14:textId="77777777" w:rsidR="00D80129" w:rsidRPr="00DD6E6B" w:rsidRDefault="00D80129" w:rsidP="00D80129">
            <w:pPr>
              <w:pStyle w:val="Marginlie"/>
              <w:rPr>
                <w:lang w:val="en-GB"/>
              </w:rPr>
            </w:pPr>
          </w:p>
        </w:tc>
        <w:tc>
          <w:tcPr>
            <w:tcW w:w="219" w:type="dxa"/>
            <w:shd w:val="clear" w:color="auto" w:fill="auto"/>
            <w:tcMar>
              <w:left w:w="0" w:type="dxa"/>
            </w:tcMar>
          </w:tcPr>
          <w:p w14:paraId="239BD253"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2BE07A38" w14:textId="613264AD" w:rsidR="00D80129" w:rsidRPr="00DD6E6B" w:rsidRDefault="00D80129" w:rsidP="00D80129">
            <w:pPr>
              <w:spacing w:after="200"/>
              <w:rPr>
                <w:spacing w:val="-4"/>
                <w:szCs w:val="20"/>
                <w:lang w:val="en-GB"/>
              </w:rPr>
            </w:pPr>
            <w:r w:rsidRPr="00DD6E6B">
              <w:rPr>
                <w:color w:val="0D0D0D" w:themeColor="text1" w:themeTint="F2"/>
                <w:spacing w:val="-4"/>
                <w:lang w:val="en-GB"/>
              </w:rPr>
              <w:t xml:space="preserve">The whole sector of the government institutions (VI) had a budget with deficit in the amount of </w:t>
            </w:r>
            <w:r w:rsidRPr="00DD6E6B">
              <w:rPr>
                <w:spacing w:val="-4"/>
                <w:lang w:val="en-GB"/>
              </w:rPr>
              <w:t>100.9 CZK bn</w:t>
            </w:r>
            <w:r w:rsidRPr="00DD6E6B">
              <w:rPr>
                <w:rStyle w:val="Znakapoznpodarou"/>
                <w:color w:val="0D0D0D" w:themeColor="text1" w:themeTint="F2"/>
                <w:spacing w:val="-4"/>
                <w:lang w:val="en-GB"/>
              </w:rPr>
              <w:footnoteReference w:id="25"/>
            </w:r>
            <w:r w:rsidRPr="00DD6E6B">
              <w:rPr>
                <w:spacing w:val="-4"/>
                <w:lang w:val="en-GB"/>
              </w:rPr>
              <w:t xml:space="preserve"> in Q1 2023</w:t>
            </w:r>
            <w:r w:rsidRPr="00DD6E6B">
              <w:rPr>
                <w:rStyle w:val="Znakapoznpodarou"/>
                <w:color w:val="0D0D0D" w:themeColor="text1" w:themeTint="F2"/>
                <w:spacing w:val="-4"/>
                <w:lang w:val="en-GB"/>
              </w:rPr>
              <w:footnoteReference w:id="26"/>
            </w:r>
            <w:r w:rsidRPr="00DD6E6B">
              <w:rPr>
                <w:spacing w:val="-4"/>
                <w:szCs w:val="20"/>
                <w:lang w:val="en-GB"/>
              </w:rPr>
              <w:t xml:space="preserve">. The deficit deepened nearly by one half year-on-year and represented the second highest deficit within first quarters in the contemporary history of the CR </w:t>
            </w:r>
            <w:r w:rsidRPr="00DD6E6B">
              <w:rPr>
                <w:spacing w:val="-4"/>
                <w:lang w:val="en-GB"/>
              </w:rPr>
              <w:t>(after year 2021, when the pandemics culminated). Considerable year-on-year increase of deficit was connected to the growth of outlays (to 16%), which reflected solving of the energy crisis as well as other, mainly mandatory obligations. Deepening of the deficit was nearly solely attributed to the central government institutions (which reached deficit 137 CZK bn), in contrast the regional government institutions registered surplus of 35 bn (higher by 30 bn year-on-year) and the health insurance companies also maintained a mildly positive budget balance. Based on the seasonally adjusted data, the deficit of the whole sector VI 4.2% of GDP deepened by 1.3</w:t>
            </w:r>
            <w:r w:rsidRPr="00DD6E6B">
              <w:rPr>
                <w:spacing w:val="-4"/>
                <w:szCs w:val="20"/>
                <w:lang w:val="en-GB"/>
              </w:rPr>
              <w:t> </w:t>
            </w:r>
            <w:r w:rsidRPr="00DD6E6B">
              <w:rPr>
                <w:spacing w:val="-4"/>
                <w:lang w:val="en-GB"/>
              </w:rPr>
              <w:t xml:space="preserve">p. p. year-on-year, however signs of stabilisation can be observed compared to the last year’s second half-year. </w:t>
            </w:r>
          </w:p>
        </w:tc>
      </w:tr>
      <w:tr w:rsidR="00D80129" w:rsidRPr="00DD6E6B" w14:paraId="342D9757" w14:textId="77777777" w:rsidTr="20D21749">
        <w:trPr>
          <w:trHeight w:val="145"/>
        </w:trPr>
        <w:tc>
          <w:tcPr>
            <w:tcW w:w="1780" w:type="dxa"/>
            <w:shd w:val="clear" w:color="auto" w:fill="auto"/>
            <w:tcMar>
              <w:left w:w="0" w:type="dxa"/>
            </w:tcMar>
          </w:tcPr>
          <w:p w14:paraId="484EFAEA" w14:textId="400DB1EE" w:rsidR="00D80129" w:rsidRPr="00DD6E6B" w:rsidRDefault="00D80129" w:rsidP="00D80129">
            <w:pPr>
              <w:pStyle w:val="Marginlie"/>
              <w:rPr>
                <w:lang w:val="en-GB"/>
              </w:rPr>
            </w:pPr>
            <w:r w:rsidRPr="00DD6E6B">
              <w:rPr>
                <w:lang w:val="en-GB"/>
              </w:rPr>
              <w:t xml:space="preserve">Growth of revenues of sector VI was driven mainly by the common taxes on income. Nominal growth of the collection of taxes tied to consumption lagged behind inflation. </w:t>
            </w:r>
          </w:p>
        </w:tc>
        <w:tc>
          <w:tcPr>
            <w:tcW w:w="219" w:type="dxa"/>
            <w:shd w:val="clear" w:color="auto" w:fill="auto"/>
            <w:tcMar>
              <w:left w:w="0" w:type="dxa"/>
            </w:tcMar>
          </w:tcPr>
          <w:p w14:paraId="18FCC9D0"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34D6EC22" w14:textId="0EAF3A88" w:rsidR="00D80129" w:rsidRPr="00DD6E6B" w:rsidRDefault="00D80129" w:rsidP="00D80129">
            <w:pPr>
              <w:spacing w:after="200"/>
              <w:rPr>
                <w:spacing w:val="-4"/>
                <w:lang w:val="en-GB"/>
              </w:rPr>
            </w:pPr>
            <w:r w:rsidRPr="00DD6E6B">
              <w:rPr>
                <w:spacing w:val="-4"/>
                <w:lang w:val="en-GB"/>
              </w:rPr>
              <w:t xml:space="preserve">Taxes on income and capital (+29.0 bn), received net social contributions (+22.4 bn) and taxes from production and import (+14.2 bn), which were strengthened by extraordinary item (tax on excess income) the most contributed to the growth of revenues of sector VI </w:t>
            </w:r>
            <w:r w:rsidRPr="00DD6E6B">
              <w:rPr>
                <w:spacing w:val="-4"/>
                <w:szCs w:val="20"/>
                <w:lang w:val="en-GB"/>
              </w:rPr>
              <w:t xml:space="preserve">(+78.0 CZK bn) in Q1. Contribution of taxes tied to consumption was weaker since their yield lagged behind the inflation. Social benefits and natural social transfers </w:t>
            </w:r>
            <w:r w:rsidRPr="00DD6E6B">
              <w:rPr>
                <w:spacing w:val="-4"/>
                <w:lang w:val="en-GB"/>
              </w:rPr>
              <w:t xml:space="preserve">(+38.0 CZK bn) and also paid subsidies (+30.2 CZK bn), which mostly included compensations for the supplies of electricity and gas, mainly participated on the growth of the total outlays of the sector VI (+109.9 CZK bn). The year-on-year growth of intermediate consumption (+14.5 CZK bn) and compensations to employees (+13.9 bn) also strengthened. High level of interest rates </w:t>
            </w:r>
            <w:r w:rsidRPr="00DD6E6B">
              <w:rPr>
                <w:spacing w:val="-4"/>
                <w:lang w:val="en-GB"/>
              </w:rPr>
              <w:lastRenderedPageBreak/>
              <w:t>further affected the increase of the paid income from capital (+8.9 CZK bn). Paid capital transfers were markedly lower year-on-year (−7.4 CZK bn).</w:t>
            </w:r>
          </w:p>
        </w:tc>
      </w:tr>
      <w:tr w:rsidR="00D80129" w:rsidRPr="00DD6E6B" w14:paraId="47B2814F" w14:textId="77777777" w:rsidTr="20D21749">
        <w:trPr>
          <w:trHeight w:val="145"/>
        </w:trPr>
        <w:tc>
          <w:tcPr>
            <w:tcW w:w="1780" w:type="dxa"/>
            <w:shd w:val="clear" w:color="auto" w:fill="auto"/>
            <w:tcMar>
              <w:left w:w="0" w:type="dxa"/>
            </w:tcMar>
          </w:tcPr>
          <w:p w14:paraId="4C0A7E0E" w14:textId="77777777" w:rsidR="00D80129" w:rsidRPr="00DD6E6B" w:rsidRDefault="00D80129" w:rsidP="00D80129">
            <w:pPr>
              <w:pStyle w:val="Marginlie"/>
              <w:rPr>
                <w:lang w:val="en-GB"/>
              </w:rPr>
            </w:pPr>
          </w:p>
        </w:tc>
        <w:tc>
          <w:tcPr>
            <w:tcW w:w="219" w:type="dxa"/>
            <w:shd w:val="clear" w:color="auto" w:fill="auto"/>
            <w:tcMar>
              <w:left w:w="0" w:type="dxa"/>
            </w:tcMar>
          </w:tcPr>
          <w:p w14:paraId="4992ABAA"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1AD064AA" w14:textId="272F484F" w:rsidR="00D80129" w:rsidRPr="00DD6E6B" w:rsidRDefault="00D80129" w:rsidP="00D80129">
            <w:pPr>
              <w:spacing w:after="40"/>
              <w:rPr>
                <w:color w:val="0D0D0D" w:themeColor="text1" w:themeTint="F2"/>
                <w:spacing w:val="-4"/>
                <w:lang w:val="en-GB"/>
              </w:rPr>
            </w:pPr>
            <w:r w:rsidRPr="00DD6E6B">
              <w:rPr>
                <w:b/>
                <w:spacing w:val="-2"/>
                <w:lang w:val="en-GB"/>
              </w:rPr>
              <w:t xml:space="preserve">Chart 19 Budget balance of government institution sector in the CR, EU and its selected member states </w:t>
            </w:r>
            <w:r w:rsidRPr="00DD6E6B">
              <w:rPr>
                <w:rFonts w:cs="Arial"/>
                <w:bCs/>
                <w:spacing w:val="-2"/>
                <w:lang w:val="en-GB"/>
              </w:rPr>
              <w:t>(individual quarters</w:t>
            </w:r>
            <w:r>
              <w:rPr>
                <w:rFonts w:cs="Arial"/>
                <w:bCs/>
                <w:spacing w:val="-2"/>
                <w:lang w:val="en-GB"/>
              </w:rPr>
              <w:t>,</w:t>
            </w:r>
            <w:r w:rsidRPr="00DD6E6B">
              <w:rPr>
                <w:rFonts w:cs="Arial"/>
                <w:bCs/>
                <w:spacing w:val="-2"/>
                <w:lang w:val="en-GB"/>
              </w:rPr>
              <w:t xml:space="preserve"> in % of GDP</w:t>
            </w:r>
            <w:r>
              <w:rPr>
                <w:rFonts w:cs="Arial"/>
                <w:bCs/>
                <w:spacing w:val="-2"/>
                <w:lang w:val="en-GB"/>
              </w:rPr>
              <w:t xml:space="preserve">, </w:t>
            </w:r>
            <w:r w:rsidRPr="00DD6E6B">
              <w:rPr>
                <w:rFonts w:cs="Arial"/>
                <w:bCs/>
                <w:spacing w:val="-2"/>
                <w:lang w:val="en-GB"/>
              </w:rPr>
              <w:t>seasonally adjusted)</w:t>
            </w:r>
          </w:p>
        </w:tc>
      </w:tr>
      <w:tr w:rsidR="00D80129" w:rsidRPr="00DD6E6B" w14:paraId="672FCC20" w14:textId="77777777" w:rsidTr="00D02CFF">
        <w:tblPrEx>
          <w:tblCellMar>
            <w:left w:w="70" w:type="dxa"/>
            <w:right w:w="70" w:type="dxa"/>
          </w:tblCellMar>
        </w:tblPrEx>
        <w:trPr>
          <w:trHeight w:val="145"/>
        </w:trPr>
        <w:tc>
          <w:tcPr>
            <w:tcW w:w="1780" w:type="dxa"/>
            <w:shd w:val="clear" w:color="auto" w:fill="auto"/>
          </w:tcPr>
          <w:p w14:paraId="26178C57" w14:textId="77777777" w:rsidR="00D80129" w:rsidRPr="00DD6E6B" w:rsidRDefault="00D80129" w:rsidP="00D80129">
            <w:pPr>
              <w:pStyle w:val="Marginlie"/>
              <w:rPr>
                <w:lang w:val="en-GB"/>
              </w:rPr>
            </w:pPr>
          </w:p>
        </w:tc>
        <w:tc>
          <w:tcPr>
            <w:tcW w:w="219" w:type="dxa"/>
            <w:shd w:val="clear" w:color="auto" w:fill="auto"/>
          </w:tcPr>
          <w:p w14:paraId="706FBADF" w14:textId="77777777" w:rsidR="00D80129" w:rsidRPr="00DD6E6B" w:rsidRDefault="00D80129" w:rsidP="00D80129">
            <w:pPr>
              <w:pStyle w:val="Textpoznpodarou"/>
              <w:jc w:val="both"/>
              <w:rPr>
                <w:spacing w:val="-4"/>
                <w:lang w:val="en-GB"/>
              </w:rPr>
            </w:pPr>
          </w:p>
        </w:tc>
        <w:tc>
          <w:tcPr>
            <w:tcW w:w="7670" w:type="dxa"/>
            <w:shd w:val="clear" w:color="auto" w:fill="auto"/>
          </w:tcPr>
          <w:p w14:paraId="0960F1FA" w14:textId="6112AA68" w:rsidR="00D80129" w:rsidRPr="00DD6E6B" w:rsidRDefault="00D80129" w:rsidP="00D80129">
            <w:pPr>
              <w:spacing w:after="0"/>
              <w:rPr>
                <w:b/>
                <w:spacing w:val="-2"/>
                <w:lang w:val="en-GB"/>
              </w:rPr>
            </w:pPr>
            <w:r>
              <w:rPr>
                <w:noProof/>
              </w:rPr>
              <w:drawing>
                <wp:inline distT="0" distB="0" distL="0" distR="0" wp14:anchorId="242050DE" wp14:editId="00C732DC">
                  <wp:extent cx="4720355" cy="3401149"/>
                  <wp:effectExtent l="0" t="0" r="4445" b="889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80129" w:rsidRPr="00DD6E6B" w14:paraId="50F3D703" w14:textId="77777777" w:rsidTr="20D21749">
        <w:trPr>
          <w:trHeight w:val="145"/>
        </w:trPr>
        <w:tc>
          <w:tcPr>
            <w:tcW w:w="1780" w:type="dxa"/>
            <w:shd w:val="clear" w:color="auto" w:fill="auto"/>
            <w:tcMar>
              <w:left w:w="0" w:type="dxa"/>
            </w:tcMar>
          </w:tcPr>
          <w:p w14:paraId="76795970" w14:textId="77777777" w:rsidR="00D80129" w:rsidRPr="00DD6E6B" w:rsidRDefault="00D80129" w:rsidP="00D80129">
            <w:pPr>
              <w:pStyle w:val="Marginlie"/>
              <w:rPr>
                <w:lang w:val="en-GB"/>
              </w:rPr>
            </w:pPr>
          </w:p>
        </w:tc>
        <w:tc>
          <w:tcPr>
            <w:tcW w:w="219" w:type="dxa"/>
            <w:shd w:val="clear" w:color="auto" w:fill="auto"/>
            <w:tcMar>
              <w:left w:w="0" w:type="dxa"/>
            </w:tcMar>
          </w:tcPr>
          <w:p w14:paraId="28691F17"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63DA8381" w14:textId="619C40FA" w:rsidR="00D80129" w:rsidRPr="00D02CFF" w:rsidRDefault="00D80129" w:rsidP="00D80129">
            <w:pPr>
              <w:spacing w:after="200"/>
              <w:rPr>
                <w:spacing w:val="-4"/>
                <w:sz w:val="14"/>
                <w:szCs w:val="14"/>
                <w:lang w:val="fr-FR"/>
              </w:rPr>
            </w:pPr>
            <w:r w:rsidRPr="00FA1474">
              <w:rPr>
                <w:spacing w:val="-4"/>
                <w:sz w:val="14"/>
                <w:szCs w:val="14"/>
                <w:lang w:val="fr-FR"/>
              </w:rPr>
              <w:t>Source</w:t>
            </w:r>
            <w:r>
              <w:rPr>
                <w:spacing w:val="-4"/>
                <w:sz w:val="14"/>
                <w:szCs w:val="14"/>
                <w:lang w:val="fr-FR"/>
              </w:rPr>
              <w:t>: Eurostat</w:t>
            </w:r>
          </w:p>
        </w:tc>
      </w:tr>
      <w:tr w:rsidR="00D80129" w:rsidRPr="00DD6E6B" w14:paraId="209BEC03" w14:textId="77777777" w:rsidTr="20D21749">
        <w:trPr>
          <w:trHeight w:val="145"/>
        </w:trPr>
        <w:tc>
          <w:tcPr>
            <w:tcW w:w="1780" w:type="dxa"/>
            <w:shd w:val="clear" w:color="auto" w:fill="auto"/>
            <w:tcMar>
              <w:left w:w="0" w:type="dxa"/>
            </w:tcMar>
          </w:tcPr>
          <w:p w14:paraId="6E378F95" w14:textId="0D58FD86" w:rsidR="00D80129" w:rsidRPr="00DD6E6B" w:rsidRDefault="00D80129" w:rsidP="00D80129">
            <w:pPr>
              <w:pStyle w:val="Marginlie"/>
              <w:rPr>
                <w:lang w:val="en-GB"/>
              </w:rPr>
            </w:pPr>
            <w:r w:rsidRPr="00DD6E6B">
              <w:rPr>
                <w:lang w:val="en-GB"/>
              </w:rPr>
              <w:t xml:space="preserve">Rate of indebtedness of sector VI further grew. </w:t>
            </w:r>
          </w:p>
        </w:tc>
        <w:tc>
          <w:tcPr>
            <w:tcW w:w="219" w:type="dxa"/>
            <w:shd w:val="clear" w:color="auto" w:fill="auto"/>
            <w:tcMar>
              <w:left w:w="0" w:type="dxa"/>
            </w:tcMar>
          </w:tcPr>
          <w:p w14:paraId="648C417C" w14:textId="77777777" w:rsidR="00D80129" w:rsidRPr="00DD6E6B" w:rsidRDefault="00D80129" w:rsidP="00D80129">
            <w:pPr>
              <w:pStyle w:val="Textpoznpodarou"/>
              <w:jc w:val="both"/>
              <w:rPr>
                <w:spacing w:val="-4"/>
                <w:lang w:val="en-GB"/>
              </w:rPr>
            </w:pPr>
          </w:p>
        </w:tc>
        <w:tc>
          <w:tcPr>
            <w:tcW w:w="7670" w:type="dxa"/>
            <w:shd w:val="clear" w:color="auto" w:fill="auto"/>
            <w:tcMar>
              <w:left w:w="0" w:type="dxa"/>
            </w:tcMar>
          </w:tcPr>
          <w:p w14:paraId="73B923B6" w14:textId="2B9F57BC" w:rsidR="00D80129" w:rsidRPr="00DD6E6B" w:rsidRDefault="00D80129" w:rsidP="00D80129">
            <w:pPr>
              <w:spacing w:after="0"/>
              <w:rPr>
                <w:noProof/>
                <w:spacing w:val="-4"/>
                <w:szCs w:val="20"/>
                <w:lang w:val="en-GB"/>
              </w:rPr>
            </w:pPr>
            <w:r w:rsidRPr="00DD6E6B">
              <w:rPr>
                <w:noProof/>
                <w:spacing w:val="-4"/>
                <w:szCs w:val="20"/>
                <w:lang w:val="en-GB"/>
              </w:rPr>
              <w:t>Debt of the sector of government institutions attained 3 099.4 CZK bn in Q1 2023 and expanded by 415.3 bn year-on-year. The indebtedness rate of the government institutions was by 1.7 p. p. higher year-on-year to 44.5% of GDP. Increase of the nominal debt contributed 6.0 p. p. to the growth of the relative indebtedness and on the contrary the GDP growth added 4.3 p. p. to the decrease.</w:t>
            </w:r>
          </w:p>
        </w:tc>
      </w:tr>
    </w:tbl>
    <w:p w14:paraId="6FD91E5A" w14:textId="00B10FDB" w:rsidR="00106BCC" w:rsidRPr="00DD6E6B" w:rsidRDefault="00106BCC" w:rsidP="00607E1D">
      <w:pPr>
        <w:pStyle w:val="Nadpis11"/>
        <w:rPr>
          <w:sz w:val="2"/>
          <w:szCs w:val="2"/>
          <w:lang w:val="en-GB"/>
        </w:rPr>
      </w:pPr>
    </w:p>
    <w:sectPr w:rsidR="00106BCC" w:rsidRPr="00DD6E6B" w:rsidSect="004D0633">
      <w:headerReference w:type="even" r:id="rId15"/>
      <w:headerReference w:type="default" r:id="rId16"/>
      <w:footerReference w:type="even" r:id="rId17"/>
      <w:footerReference w:type="default" r:id="rId18"/>
      <w:pgSz w:w="11906" w:h="16838" w:code="9"/>
      <w:pgMar w:top="1134" w:right="1134" w:bottom="1418" w:left="1134" w:header="680" w:footer="737"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E4A4F" w14:textId="77777777" w:rsidR="00541E09" w:rsidRDefault="00541E09" w:rsidP="00E71A58">
      <w:r>
        <w:separator/>
      </w:r>
    </w:p>
  </w:endnote>
  <w:endnote w:type="continuationSeparator" w:id="0">
    <w:p w14:paraId="2346CB1A" w14:textId="77777777" w:rsidR="00541E09" w:rsidRDefault="00541E0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2029821F" w:rsidR="008C5AA7" w:rsidRPr="00932443" w:rsidRDefault="008C5A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4D0633">
      <w:rPr>
        <w:szCs w:val="16"/>
      </w:rPr>
      <w:t>46</w:t>
    </w:r>
    <w:r w:rsidRPr="00932443">
      <w:rPr>
        <w:szCs w:val="16"/>
      </w:rPr>
      <w:fldChar w:fldCharType="end"/>
    </w:r>
    <w:r w:rsidRPr="00932443">
      <w:rPr>
        <w:szCs w:val="16"/>
      </w:rPr>
      <w:tab/>
    </w:r>
    <w:r w:rsidRPr="002903D4">
      <w:rPr>
        <w:szCs w:val="16"/>
        <w:lang w:val="en-GB"/>
      </w:rPr>
      <w:t>First half of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6778E9EF" w:rsidR="008C5AA7" w:rsidRPr="00932443" w:rsidRDefault="008C5AA7" w:rsidP="00FA6CB6">
    <w:pPr>
      <w:pStyle w:val="Zpat"/>
      <w:rPr>
        <w:szCs w:val="16"/>
      </w:rPr>
    </w:pPr>
    <w:r>
      <w:rPr>
        <w:lang w:eastAsia="cs-CZ"/>
      </w:rPr>
      <w:drawing>
        <wp:anchor distT="0" distB="0" distL="114300" distR="114300" simplePos="0" relativeHeight="251670016" behindDoc="0" locked="0" layoutInCell="1" allowOverlap="1" wp14:anchorId="27A71EB9" wp14:editId="341C5876">
          <wp:simplePos x="0" y="0"/>
          <wp:positionH relativeFrom="margin">
            <wp:posOffset>22860</wp:posOffset>
          </wp:positionH>
          <wp:positionV relativeFrom="paragraph">
            <wp:posOffset>-58420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First half of 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4D0633">
      <w:rPr>
        <w:rStyle w:val="ZpatChar"/>
        <w:szCs w:val="16"/>
      </w:rPr>
      <w:t>47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C395" w14:textId="77777777" w:rsidR="00541E09" w:rsidRDefault="00541E09" w:rsidP="00A21B4D">
      <w:pPr>
        <w:spacing w:after="0"/>
      </w:pPr>
      <w:r>
        <w:separator/>
      </w:r>
    </w:p>
  </w:footnote>
  <w:footnote w:type="continuationSeparator" w:id="0">
    <w:p w14:paraId="05826FFA" w14:textId="77777777" w:rsidR="00541E09" w:rsidRDefault="00541E09" w:rsidP="00E71A58">
      <w:r>
        <w:continuationSeparator/>
      </w:r>
    </w:p>
  </w:footnote>
  <w:footnote w:id="1">
    <w:p w14:paraId="3CFA6B9C" w14:textId="4D904E80" w:rsidR="008C5AA7" w:rsidRPr="00E63B6E" w:rsidRDefault="008C5AA7" w:rsidP="00106BCC">
      <w:pPr>
        <w:pStyle w:val="Textpoznpodarou"/>
        <w:jc w:val="both"/>
        <w:rPr>
          <w:sz w:val="16"/>
          <w:szCs w:val="16"/>
          <w:lang w:val="en-GB"/>
        </w:rPr>
      </w:pPr>
      <w:r w:rsidRPr="008522D6">
        <w:rPr>
          <w:rStyle w:val="Znakapoznpodarou"/>
          <w:sz w:val="16"/>
          <w:szCs w:val="16"/>
        </w:rPr>
        <w:footnoteRef/>
      </w:r>
      <w:r w:rsidRPr="008522D6">
        <w:rPr>
          <w:sz w:val="16"/>
          <w:szCs w:val="16"/>
        </w:rPr>
        <w:t xml:space="preserve"> </w:t>
      </w:r>
      <w:r w:rsidRPr="00E63B6E">
        <w:rPr>
          <w:spacing w:val="-3"/>
          <w:sz w:val="16"/>
          <w:szCs w:val="16"/>
          <w:lang w:val="en-GB"/>
        </w:rPr>
        <w:t>Unless stated otherwise</w:t>
      </w:r>
      <w:r w:rsidRPr="00E63B6E">
        <w:rPr>
          <w:color w:val="0D0D0D" w:themeColor="text1" w:themeTint="F2"/>
          <w:spacing w:val="-3"/>
          <w:sz w:val="16"/>
          <w:szCs w:val="16"/>
          <w:lang w:val="en-GB"/>
        </w:rPr>
        <w:t xml:space="preserve">, </w:t>
      </w:r>
      <w:r w:rsidRPr="00E63B6E">
        <w:rPr>
          <w:sz w:val="16"/>
          <w:szCs w:val="16"/>
          <w:lang w:val="en-GB"/>
        </w:rPr>
        <w:t xml:space="preserve">all data related to the state budget stem from the data of the Ministry of Finance regarding the treasury fulfilment. </w:t>
      </w:r>
    </w:p>
  </w:footnote>
  <w:footnote w:id="2">
    <w:p w14:paraId="6DFF2546" w14:textId="0888E39B" w:rsidR="008C5AA7" w:rsidRPr="00E63B6E" w:rsidRDefault="008C5AA7" w:rsidP="00106BCC">
      <w:pPr>
        <w:pStyle w:val="Textpoznpodarou"/>
        <w:rPr>
          <w:sz w:val="16"/>
          <w:szCs w:val="16"/>
          <w:lang w:val="en-GB"/>
        </w:rPr>
      </w:pPr>
      <w:r w:rsidRPr="00E63B6E">
        <w:rPr>
          <w:rStyle w:val="Znakapoznpodarou"/>
          <w:sz w:val="16"/>
          <w:szCs w:val="16"/>
          <w:lang w:val="en-GB"/>
        </w:rPr>
        <w:footnoteRef/>
      </w:r>
      <w:r w:rsidRPr="00E63B6E">
        <w:rPr>
          <w:sz w:val="16"/>
          <w:szCs w:val="16"/>
          <w:lang w:val="en-GB"/>
        </w:rPr>
        <w:t xml:space="preserve"> Based on Act No. 449/2023 Coll., on the state budget for year 2023, approved on 30th November 2022. </w:t>
      </w:r>
    </w:p>
  </w:footnote>
  <w:footnote w:id="3">
    <w:p w14:paraId="7045D3F4" w14:textId="5BBAD93D" w:rsidR="008C5AA7" w:rsidRPr="00F137EC" w:rsidRDefault="008C5AA7" w:rsidP="00F137EC">
      <w:pPr>
        <w:pStyle w:val="Textpoznpodarou"/>
        <w:jc w:val="both"/>
        <w:rPr>
          <w:spacing w:val="-2"/>
          <w:lang w:val="en-GB"/>
        </w:rPr>
      </w:pPr>
      <w:r w:rsidRPr="00563E75">
        <w:rPr>
          <w:rStyle w:val="Znakapoznpodarou"/>
          <w:spacing w:val="-2"/>
          <w:sz w:val="16"/>
          <w:szCs w:val="16"/>
        </w:rPr>
        <w:footnoteRef/>
      </w:r>
      <w:r w:rsidRPr="00563E75">
        <w:rPr>
          <w:spacing w:val="-2"/>
        </w:rPr>
        <w:t xml:space="preserve"> </w:t>
      </w:r>
      <w:r>
        <w:rPr>
          <w:spacing w:val="-2"/>
          <w:sz w:val="16"/>
          <w:szCs w:val="16"/>
          <w:lang w:val="en-GB"/>
        </w:rPr>
        <w:t>Collections of the “</w:t>
      </w:r>
      <w:r w:rsidRPr="00F137EC">
        <w:rPr>
          <w:spacing w:val="-2"/>
          <w:sz w:val="16"/>
          <w:szCs w:val="16"/>
          <w:lang w:val="en-GB"/>
        </w:rPr>
        <w:t>se</w:t>
      </w:r>
      <w:r>
        <w:rPr>
          <w:spacing w:val="-2"/>
          <w:sz w:val="16"/>
          <w:szCs w:val="16"/>
          <w:lang w:val="en-GB"/>
        </w:rPr>
        <w:t>ctor”</w:t>
      </w:r>
      <w:r w:rsidRPr="00F137EC">
        <w:rPr>
          <w:spacing w:val="-2"/>
          <w:sz w:val="16"/>
          <w:szCs w:val="16"/>
          <w:lang w:val="en-GB"/>
        </w:rPr>
        <w:t xml:space="preserve"> </w:t>
      </w:r>
      <w:r>
        <w:rPr>
          <w:spacing w:val="-2"/>
          <w:sz w:val="16"/>
          <w:szCs w:val="16"/>
          <w:lang w:val="en-GB"/>
        </w:rPr>
        <w:t xml:space="preserve">tax from businesses from the unexpected profits and levies from the excess income </w:t>
      </w:r>
      <w:r w:rsidRPr="00F137EC">
        <w:rPr>
          <w:spacing w:val="-2"/>
          <w:sz w:val="16"/>
          <w:szCs w:val="16"/>
          <w:lang w:val="en-GB"/>
        </w:rPr>
        <w:t>(</w:t>
      </w:r>
      <w:r>
        <w:rPr>
          <w:spacing w:val="-2"/>
          <w:sz w:val="16"/>
          <w:szCs w:val="16"/>
          <w:lang w:val="en-GB"/>
        </w:rPr>
        <w:t xml:space="preserve">primarily estimated on </w:t>
      </w:r>
      <w:r w:rsidRPr="00F137EC">
        <w:rPr>
          <w:spacing w:val="-2"/>
          <w:sz w:val="16"/>
          <w:szCs w:val="16"/>
          <w:lang w:val="en-GB"/>
        </w:rPr>
        <w:t>100</w:t>
      </w:r>
      <w:r>
        <w:rPr>
          <w:spacing w:val="-2"/>
          <w:sz w:val="16"/>
          <w:szCs w:val="16"/>
          <w:lang w:val="en-GB"/>
        </w:rPr>
        <w:t xml:space="preserve"> CZK bn</w:t>
      </w:r>
      <w:r w:rsidRPr="00F137EC">
        <w:rPr>
          <w:spacing w:val="-2"/>
          <w:sz w:val="16"/>
          <w:szCs w:val="16"/>
          <w:lang w:val="en-GB"/>
        </w:rPr>
        <w:t xml:space="preserve">, </w:t>
      </w:r>
      <w:r>
        <w:rPr>
          <w:spacing w:val="-2"/>
          <w:sz w:val="16"/>
          <w:szCs w:val="16"/>
          <w:lang w:val="en-GB"/>
        </w:rPr>
        <w:t xml:space="preserve">currently </w:t>
      </w:r>
      <w:r w:rsidRPr="00F137EC">
        <w:rPr>
          <w:spacing w:val="-2"/>
          <w:sz w:val="16"/>
          <w:szCs w:val="16"/>
          <w:lang w:val="en-GB"/>
        </w:rPr>
        <w:t>64</w:t>
      </w:r>
      <w:r>
        <w:rPr>
          <w:spacing w:val="-2"/>
          <w:sz w:val="16"/>
          <w:szCs w:val="16"/>
          <w:lang w:val="en-GB"/>
        </w:rPr>
        <w:t>.</w:t>
      </w:r>
      <w:r w:rsidRPr="00F137EC">
        <w:rPr>
          <w:spacing w:val="-2"/>
          <w:sz w:val="16"/>
          <w:szCs w:val="16"/>
          <w:lang w:val="en-GB"/>
        </w:rPr>
        <w:t>5</w:t>
      </w:r>
      <w:r>
        <w:rPr>
          <w:spacing w:val="-2"/>
          <w:sz w:val="16"/>
          <w:szCs w:val="16"/>
          <w:lang w:val="en-GB"/>
        </w:rPr>
        <w:t xml:space="preserve"> bn</w:t>
      </w:r>
      <w:r w:rsidRPr="00F137EC">
        <w:rPr>
          <w:spacing w:val="-2"/>
          <w:sz w:val="16"/>
          <w:szCs w:val="16"/>
          <w:lang w:val="en-GB"/>
        </w:rPr>
        <w:t xml:space="preserve">), </w:t>
      </w:r>
      <w:r>
        <w:rPr>
          <w:spacing w:val="-2"/>
          <w:sz w:val="16"/>
          <w:szCs w:val="16"/>
          <w:lang w:val="en-GB"/>
        </w:rPr>
        <w:t xml:space="preserve">further for instance increase of the anticipated revenues from the emission allowances </w:t>
      </w:r>
      <w:r w:rsidRPr="00F137EC">
        <w:rPr>
          <w:spacing w:val="-2"/>
          <w:sz w:val="16"/>
          <w:szCs w:val="16"/>
          <w:lang w:val="en-GB"/>
        </w:rPr>
        <w:t>(</w:t>
      </w:r>
      <w:r>
        <w:rPr>
          <w:spacing w:val="-2"/>
          <w:sz w:val="16"/>
          <w:szCs w:val="16"/>
          <w:lang w:val="en-GB"/>
        </w:rPr>
        <w:t xml:space="preserve">to </w:t>
      </w:r>
      <w:r w:rsidRPr="00F137EC">
        <w:rPr>
          <w:spacing w:val="-2"/>
          <w:sz w:val="16"/>
          <w:szCs w:val="16"/>
          <w:lang w:val="en-GB"/>
        </w:rPr>
        <w:t>82</w:t>
      </w:r>
      <w:r>
        <w:rPr>
          <w:spacing w:val="-2"/>
          <w:sz w:val="16"/>
          <w:szCs w:val="16"/>
          <w:lang w:val="en-GB"/>
        </w:rPr>
        <w:t>.</w:t>
      </w:r>
      <w:r w:rsidRPr="00F137EC">
        <w:rPr>
          <w:spacing w:val="-2"/>
          <w:sz w:val="16"/>
          <w:szCs w:val="16"/>
          <w:lang w:val="en-GB"/>
        </w:rPr>
        <w:t>5</w:t>
      </w:r>
      <w:r>
        <w:rPr>
          <w:spacing w:val="-2"/>
          <w:sz w:val="16"/>
          <w:szCs w:val="16"/>
          <w:lang w:val="en-GB"/>
        </w:rPr>
        <w:t xml:space="preserve"> bn</w:t>
      </w:r>
      <w:r w:rsidRPr="00F137EC">
        <w:rPr>
          <w:spacing w:val="-2"/>
          <w:sz w:val="16"/>
          <w:szCs w:val="16"/>
          <w:lang w:val="en-GB"/>
        </w:rPr>
        <w:t>) a</w:t>
      </w:r>
      <w:r>
        <w:rPr>
          <w:spacing w:val="-2"/>
          <w:sz w:val="16"/>
          <w:szCs w:val="16"/>
          <w:lang w:val="en-GB"/>
        </w:rPr>
        <w:t xml:space="preserve">nd significantly strengthened transfer from the so called privatisation account </w:t>
      </w:r>
      <w:r w:rsidRPr="00F137EC">
        <w:rPr>
          <w:spacing w:val="-2"/>
          <w:sz w:val="16"/>
          <w:szCs w:val="16"/>
          <w:lang w:val="en-GB"/>
        </w:rPr>
        <w:t>(</w:t>
      </w:r>
      <w:r>
        <w:rPr>
          <w:spacing w:val="-2"/>
          <w:sz w:val="16"/>
          <w:szCs w:val="16"/>
          <w:lang w:val="en-GB"/>
        </w:rPr>
        <w:t xml:space="preserve">to </w:t>
      </w:r>
      <w:r w:rsidRPr="00F137EC">
        <w:rPr>
          <w:spacing w:val="-2"/>
          <w:sz w:val="16"/>
          <w:szCs w:val="16"/>
          <w:lang w:val="en-GB"/>
        </w:rPr>
        <w:t>45</w:t>
      </w:r>
      <w:r>
        <w:rPr>
          <w:spacing w:val="-2"/>
          <w:sz w:val="16"/>
          <w:szCs w:val="16"/>
          <w:lang w:val="en-GB"/>
        </w:rPr>
        <w:t xml:space="preserve"> bn</w:t>
      </w:r>
      <w:r w:rsidRPr="00F137EC">
        <w:rPr>
          <w:spacing w:val="-2"/>
          <w:sz w:val="16"/>
          <w:szCs w:val="16"/>
          <w:lang w:val="en-GB"/>
        </w:rPr>
        <w:t>)</w:t>
      </w:r>
      <w:r>
        <w:rPr>
          <w:spacing w:val="-2"/>
          <w:sz w:val="16"/>
          <w:szCs w:val="16"/>
          <w:lang w:val="en-GB"/>
        </w:rPr>
        <w:t xml:space="preserve"> should fundamentally participate on the anticipated growth of the total SB revenues for year 2023 (</w:t>
      </w:r>
      <w:r w:rsidRPr="00F137EC">
        <w:rPr>
          <w:spacing w:val="-2"/>
          <w:sz w:val="16"/>
          <w:szCs w:val="16"/>
          <w:lang w:val="en-GB"/>
        </w:rPr>
        <w:t>+19</w:t>
      </w:r>
      <w:r>
        <w:rPr>
          <w:spacing w:val="-2"/>
          <w:sz w:val="16"/>
          <w:szCs w:val="16"/>
          <w:lang w:val="en-GB"/>
        </w:rPr>
        <w:t>.</w:t>
      </w:r>
      <w:r w:rsidRPr="00F137EC">
        <w:rPr>
          <w:spacing w:val="-2"/>
          <w:sz w:val="16"/>
          <w:szCs w:val="16"/>
          <w:lang w:val="en-GB"/>
        </w:rPr>
        <w:t>5%)</w:t>
      </w:r>
      <w:r>
        <w:rPr>
          <w:spacing w:val="-2"/>
          <w:sz w:val="16"/>
          <w:szCs w:val="16"/>
          <w:lang w:val="en-GB"/>
        </w:rPr>
        <w:t>.</w:t>
      </w:r>
    </w:p>
  </w:footnote>
  <w:footnote w:id="4">
    <w:p w14:paraId="41E13CA3" w14:textId="287B27EA" w:rsidR="008C5AA7" w:rsidRPr="00F137EC" w:rsidRDefault="008C5AA7" w:rsidP="00F137EC">
      <w:pPr>
        <w:pStyle w:val="Textpoznpodarou"/>
        <w:jc w:val="both"/>
        <w:rPr>
          <w:sz w:val="16"/>
          <w:szCs w:val="16"/>
          <w:lang w:val="en-GB"/>
        </w:rPr>
      </w:pPr>
      <w:r w:rsidRPr="00F137EC">
        <w:rPr>
          <w:rStyle w:val="Znakapoznpodarou"/>
          <w:sz w:val="16"/>
          <w:szCs w:val="16"/>
          <w:lang w:val="en-GB"/>
        </w:rPr>
        <w:footnoteRef/>
      </w:r>
      <w:r w:rsidRPr="00F137EC">
        <w:rPr>
          <w:sz w:val="16"/>
          <w:szCs w:val="16"/>
          <w:lang w:val="en-GB"/>
        </w:rPr>
        <w:t xml:space="preserve"> </w:t>
      </w:r>
      <w:r>
        <w:rPr>
          <w:sz w:val="16"/>
          <w:szCs w:val="16"/>
          <w:lang w:val="en-GB"/>
        </w:rPr>
        <w:t xml:space="preserve">Contain revenues from the budget of the European Union and from the Financial mechanisms of EEA/Norway/Switzerland. </w:t>
      </w:r>
      <w:r w:rsidRPr="00F137EC">
        <w:rPr>
          <w:sz w:val="16"/>
          <w:szCs w:val="16"/>
          <w:lang w:val="en-GB"/>
        </w:rPr>
        <w:t xml:space="preserve"> </w:t>
      </w:r>
    </w:p>
  </w:footnote>
  <w:footnote w:id="5">
    <w:p w14:paraId="78E022EF" w14:textId="1B062A31" w:rsidR="008C5AA7" w:rsidRPr="00F137EC" w:rsidRDefault="008C5AA7" w:rsidP="00F137EC">
      <w:pPr>
        <w:pStyle w:val="Textpoznpodarou"/>
        <w:jc w:val="both"/>
        <w:rPr>
          <w:sz w:val="16"/>
          <w:szCs w:val="16"/>
          <w:lang w:val="en-GB"/>
        </w:rPr>
      </w:pPr>
      <w:r w:rsidRPr="00F137EC">
        <w:rPr>
          <w:rStyle w:val="Znakapoznpodarou"/>
          <w:sz w:val="16"/>
          <w:szCs w:val="16"/>
          <w:lang w:val="en-GB"/>
        </w:rPr>
        <w:footnoteRef/>
      </w:r>
      <w:r w:rsidRPr="00F137EC">
        <w:rPr>
          <w:sz w:val="16"/>
          <w:szCs w:val="16"/>
          <w:lang w:val="en-GB"/>
        </w:rPr>
        <w:t xml:space="preserve"> T</w:t>
      </w:r>
      <w:r>
        <w:rPr>
          <w:sz w:val="16"/>
          <w:szCs w:val="16"/>
          <w:lang w:val="en-GB"/>
        </w:rPr>
        <w:t xml:space="preserve">his levy </w:t>
      </w:r>
      <w:r w:rsidRPr="00F137EC">
        <w:rPr>
          <w:sz w:val="16"/>
          <w:szCs w:val="16"/>
          <w:lang w:val="en-GB"/>
        </w:rPr>
        <w:t>(</w:t>
      </w:r>
      <w:r>
        <w:rPr>
          <w:sz w:val="16"/>
          <w:szCs w:val="16"/>
          <w:lang w:val="en-GB"/>
        </w:rPr>
        <w:t xml:space="preserve">taxed by </w:t>
      </w:r>
      <w:r w:rsidRPr="00F137EC">
        <w:rPr>
          <w:sz w:val="16"/>
          <w:szCs w:val="16"/>
          <w:lang w:val="en-GB"/>
        </w:rPr>
        <w:t xml:space="preserve">90% </w:t>
      </w:r>
      <w:r>
        <w:rPr>
          <w:sz w:val="16"/>
          <w:szCs w:val="16"/>
          <w:lang w:val="en-GB"/>
        </w:rPr>
        <w:t>rate</w:t>
      </w:r>
      <w:r w:rsidRPr="00F137EC">
        <w:rPr>
          <w:sz w:val="16"/>
          <w:szCs w:val="16"/>
          <w:lang w:val="en-GB"/>
        </w:rPr>
        <w:t>)</w:t>
      </w:r>
      <w:r>
        <w:rPr>
          <w:sz w:val="16"/>
          <w:szCs w:val="16"/>
          <w:lang w:val="en-GB"/>
        </w:rPr>
        <w:t xml:space="preserve"> presents a difference between real income and ceiling of the market income from the sale of electricity above the given limit </w:t>
      </w:r>
      <w:r w:rsidRPr="00F137EC">
        <w:rPr>
          <w:sz w:val="16"/>
          <w:szCs w:val="16"/>
          <w:lang w:val="en-GB"/>
        </w:rPr>
        <w:t>(</w:t>
      </w:r>
      <w:r>
        <w:rPr>
          <w:sz w:val="16"/>
          <w:szCs w:val="16"/>
          <w:lang w:val="en-GB"/>
        </w:rPr>
        <w:t xml:space="preserve">for the time period from </w:t>
      </w:r>
      <w:r w:rsidRPr="00F137EC">
        <w:rPr>
          <w:sz w:val="16"/>
          <w:szCs w:val="16"/>
          <w:lang w:val="en-GB"/>
        </w:rPr>
        <w:t>1</w:t>
      </w:r>
      <w:r w:rsidRPr="005F3825">
        <w:rPr>
          <w:sz w:val="16"/>
          <w:szCs w:val="16"/>
          <w:vertAlign w:val="superscript"/>
          <w:lang w:val="en-GB"/>
        </w:rPr>
        <w:t>st</w:t>
      </w:r>
      <w:r>
        <w:rPr>
          <w:sz w:val="16"/>
          <w:szCs w:val="16"/>
          <w:lang w:val="en-GB"/>
        </w:rPr>
        <w:t xml:space="preserve"> December </w:t>
      </w:r>
      <w:r w:rsidRPr="00F137EC">
        <w:rPr>
          <w:sz w:val="16"/>
          <w:szCs w:val="16"/>
          <w:lang w:val="en-GB"/>
        </w:rPr>
        <w:t>2022</w:t>
      </w:r>
      <w:r>
        <w:rPr>
          <w:sz w:val="16"/>
          <w:szCs w:val="16"/>
          <w:lang w:val="en-GB"/>
        </w:rPr>
        <w:t xml:space="preserve"> till the end of year </w:t>
      </w:r>
      <w:r w:rsidRPr="00F137EC">
        <w:rPr>
          <w:sz w:val="16"/>
          <w:szCs w:val="16"/>
          <w:lang w:val="en-GB"/>
        </w:rPr>
        <w:t>2023).</w:t>
      </w:r>
    </w:p>
  </w:footnote>
  <w:footnote w:id="6">
    <w:p w14:paraId="49A93657" w14:textId="26A8E698" w:rsidR="008C5AA7" w:rsidRPr="00F137EC" w:rsidRDefault="008C5AA7" w:rsidP="00F137EC">
      <w:pPr>
        <w:pStyle w:val="Textpoznpodarou"/>
        <w:jc w:val="both"/>
        <w:rPr>
          <w:sz w:val="16"/>
          <w:szCs w:val="16"/>
          <w:lang w:val="en-GB"/>
        </w:rPr>
      </w:pPr>
      <w:r w:rsidRPr="00F137EC">
        <w:rPr>
          <w:rStyle w:val="Znakapoznpodarou"/>
          <w:sz w:val="16"/>
          <w:szCs w:val="16"/>
          <w:lang w:val="en-GB"/>
        </w:rPr>
        <w:footnoteRef/>
      </w:r>
      <w:r w:rsidRPr="00F137EC">
        <w:rPr>
          <w:sz w:val="16"/>
          <w:szCs w:val="16"/>
          <w:lang w:val="en-GB"/>
        </w:rPr>
        <w:t xml:space="preserve"> </w:t>
      </w:r>
      <w:r>
        <w:rPr>
          <w:sz w:val="16"/>
          <w:szCs w:val="16"/>
          <w:lang w:val="en-GB"/>
        </w:rPr>
        <w:t xml:space="preserve">It applies to energy, petrochemical and mining companies </w:t>
      </w:r>
      <w:r w:rsidRPr="00F137EC">
        <w:rPr>
          <w:sz w:val="16"/>
          <w:szCs w:val="16"/>
          <w:lang w:val="en-GB"/>
        </w:rPr>
        <w:t>a</w:t>
      </w:r>
      <w:r>
        <w:rPr>
          <w:sz w:val="16"/>
          <w:szCs w:val="16"/>
          <w:lang w:val="en-GB"/>
        </w:rPr>
        <w:t>nd also involves large banks.</w:t>
      </w:r>
    </w:p>
  </w:footnote>
  <w:footnote w:id="7">
    <w:p w14:paraId="7B9689D5" w14:textId="42077727" w:rsidR="008C5AA7" w:rsidRPr="00F137EC" w:rsidRDefault="008C5AA7" w:rsidP="00F137EC">
      <w:pPr>
        <w:pStyle w:val="Textpoznpodarou"/>
        <w:jc w:val="both"/>
        <w:rPr>
          <w:sz w:val="16"/>
          <w:szCs w:val="16"/>
          <w:lang w:val="en-GB"/>
        </w:rPr>
      </w:pPr>
      <w:r w:rsidRPr="00F137EC">
        <w:rPr>
          <w:rStyle w:val="Znakapoznpodarou"/>
          <w:sz w:val="16"/>
          <w:szCs w:val="16"/>
          <w:lang w:val="en-GB"/>
        </w:rPr>
        <w:footnoteRef/>
      </w:r>
      <w:r w:rsidRPr="00F137EC">
        <w:rPr>
          <w:sz w:val="16"/>
          <w:szCs w:val="16"/>
          <w:lang w:val="en-GB"/>
        </w:rPr>
        <w:t xml:space="preserve"> </w:t>
      </w:r>
      <w:r w:rsidRPr="00F137EC">
        <w:rPr>
          <w:spacing w:val="-4"/>
          <w:sz w:val="16"/>
          <w:szCs w:val="16"/>
          <w:lang w:val="en-GB"/>
        </w:rPr>
        <w:t>N</w:t>
      </w:r>
      <w:r>
        <w:rPr>
          <w:spacing w:val="-4"/>
          <w:sz w:val="16"/>
          <w:szCs w:val="16"/>
          <w:lang w:val="en-GB"/>
        </w:rPr>
        <w:t xml:space="preserve">evertheless the original budget estimate of this annual collection was already vigorously revised in April this year </w:t>
      </w:r>
      <w:r w:rsidRPr="00F137EC">
        <w:rPr>
          <w:spacing w:val="-4"/>
          <w:sz w:val="16"/>
          <w:szCs w:val="16"/>
          <w:lang w:val="en-GB"/>
        </w:rPr>
        <w:t>(</w:t>
      </w:r>
      <w:r>
        <w:rPr>
          <w:spacing w:val="-4"/>
          <w:sz w:val="16"/>
          <w:szCs w:val="16"/>
          <w:lang w:val="en-GB"/>
        </w:rPr>
        <w:t xml:space="preserve">from </w:t>
      </w:r>
      <w:r w:rsidRPr="00F137EC">
        <w:rPr>
          <w:spacing w:val="-4"/>
          <w:sz w:val="16"/>
          <w:szCs w:val="16"/>
          <w:lang w:val="en-GB"/>
        </w:rPr>
        <w:t>85</w:t>
      </w:r>
      <w:r>
        <w:rPr>
          <w:spacing w:val="-4"/>
          <w:sz w:val="16"/>
          <w:szCs w:val="16"/>
          <w:lang w:val="en-GB"/>
        </w:rPr>
        <w:t xml:space="preserve"> CZK bn to </w:t>
      </w:r>
      <w:r w:rsidRPr="00F137EC">
        <w:rPr>
          <w:spacing w:val="-4"/>
          <w:sz w:val="16"/>
          <w:szCs w:val="16"/>
          <w:lang w:val="en-GB"/>
        </w:rPr>
        <w:t>28</w:t>
      </w:r>
      <w:r>
        <w:rPr>
          <w:spacing w:val="-4"/>
          <w:sz w:val="16"/>
          <w:szCs w:val="16"/>
          <w:lang w:val="en-GB"/>
        </w:rPr>
        <w:t xml:space="preserve"> CZK bn</w:t>
      </w:r>
      <w:r w:rsidRPr="00F137EC">
        <w:rPr>
          <w:spacing w:val="-4"/>
          <w:sz w:val="16"/>
          <w:szCs w:val="16"/>
          <w:lang w:val="en-GB"/>
        </w:rPr>
        <w:t xml:space="preserve">), </w:t>
      </w:r>
      <w:r>
        <w:rPr>
          <w:spacing w:val="-4"/>
          <w:sz w:val="16"/>
          <w:szCs w:val="16"/>
          <w:lang w:val="en-GB"/>
        </w:rPr>
        <w:t xml:space="preserve">partial correction of the anticipated revenue upward was then performed in August </w:t>
      </w:r>
      <w:r w:rsidRPr="00F137EC">
        <w:rPr>
          <w:spacing w:val="-4"/>
          <w:sz w:val="16"/>
          <w:szCs w:val="16"/>
          <w:lang w:val="en-GB"/>
        </w:rPr>
        <w:t>(</w:t>
      </w:r>
      <w:r>
        <w:rPr>
          <w:spacing w:val="-4"/>
          <w:sz w:val="16"/>
          <w:szCs w:val="16"/>
          <w:lang w:val="en-GB"/>
        </w:rPr>
        <w:t xml:space="preserve">to </w:t>
      </w:r>
      <w:r w:rsidRPr="00F137EC">
        <w:rPr>
          <w:spacing w:val="-4"/>
          <w:sz w:val="16"/>
          <w:szCs w:val="16"/>
          <w:lang w:val="en-GB"/>
        </w:rPr>
        <w:t xml:space="preserve">46 </w:t>
      </w:r>
      <w:r>
        <w:rPr>
          <w:spacing w:val="-4"/>
          <w:sz w:val="16"/>
          <w:szCs w:val="16"/>
          <w:lang w:val="en-GB"/>
        </w:rPr>
        <w:t>CZK bn</w:t>
      </w:r>
      <w:r w:rsidRPr="00F137EC">
        <w:rPr>
          <w:spacing w:val="-4"/>
          <w:sz w:val="16"/>
          <w:szCs w:val="16"/>
          <w:lang w:val="en-GB"/>
        </w:rPr>
        <w:t>).</w:t>
      </w:r>
    </w:p>
  </w:footnote>
  <w:footnote w:id="8">
    <w:p w14:paraId="5932B59A" w14:textId="3444DAF8" w:rsidR="008C5AA7" w:rsidRPr="00F137EC" w:rsidRDefault="008C5AA7" w:rsidP="00F137EC">
      <w:pPr>
        <w:pStyle w:val="Textpoznpodarou"/>
        <w:jc w:val="both"/>
        <w:rPr>
          <w:sz w:val="16"/>
          <w:szCs w:val="16"/>
          <w:lang w:val="en-GB"/>
        </w:rPr>
      </w:pPr>
      <w:r w:rsidRPr="00F137EC">
        <w:rPr>
          <w:rStyle w:val="Znakapoznpodarou"/>
          <w:sz w:val="16"/>
          <w:szCs w:val="16"/>
          <w:lang w:val="en-GB"/>
        </w:rPr>
        <w:footnoteRef/>
      </w:r>
      <w:r w:rsidRPr="00F137EC">
        <w:rPr>
          <w:sz w:val="16"/>
          <w:szCs w:val="16"/>
          <w:lang w:val="en-GB"/>
        </w:rPr>
        <w:t xml:space="preserve"> </w:t>
      </w:r>
      <w:r>
        <w:rPr>
          <w:sz w:val="16"/>
          <w:szCs w:val="16"/>
          <w:lang w:val="en-GB"/>
        </w:rPr>
        <w:t>State-wide collection of ITNP from dependent activity (at the level of all public budgets</w:t>
      </w:r>
      <w:r w:rsidRPr="00F137EC">
        <w:rPr>
          <w:spacing w:val="-4"/>
          <w:sz w:val="16"/>
          <w:szCs w:val="16"/>
          <w:lang w:val="en-GB"/>
        </w:rPr>
        <w:t xml:space="preserve">) </w:t>
      </w:r>
      <w:r>
        <w:rPr>
          <w:spacing w:val="-4"/>
          <w:sz w:val="16"/>
          <w:szCs w:val="16"/>
          <w:lang w:val="en-GB"/>
        </w:rPr>
        <w:t>however still lagged by whole one fifth behind the level from H</w:t>
      </w:r>
      <w:r w:rsidRPr="00F137EC">
        <w:rPr>
          <w:spacing w:val="-4"/>
          <w:sz w:val="16"/>
          <w:szCs w:val="16"/>
          <w:lang w:val="en-GB"/>
        </w:rPr>
        <w:t>1</w:t>
      </w:r>
      <w:r>
        <w:rPr>
          <w:spacing w:val="-4"/>
          <w:sz w:val="16"/>
          <w:szCs w:val="16"/>
          <w:lang w:val="en-GB"/>
        </w:rPr>
        <w:t xml:space="preserve"> </w:t>
      </w:r>
      <w:r w:rsidRPr="00F137EC">
        <w:rPr>
          <w:spacing w:val="-4"/>
          <w:sz w:val="16"/>
          <w:szCs w:val="16"/>
          <w:lang w:val="en-GB"/>
        </w:rPr>
        <w:t>2019</w:t>
      </w:r>
      <w:r>
        <w:rPr>
          <w:spacing w:val="-4"/>
          <w:sz w:val="16"/>
          <w:szCs w:val="16"/>
          <w:lang w:val="en-GB"/>
        </w:rPr>
        <w:t xml:space="preserve"> this year</w:t>
      </w:r>
      <w:r w:rsidRPr="00F137EC">
        <w:rPr>
          <w:spacing w:val="-4"/>
          <w:sz w:val="16"/>
          <w:szCs w:val="16"/>
          <w:lang w:val="en-GB"/>
        </w:rPr>
        <w:t xml:space="preserve">. </w:t>
      </w:r>
      <w:r>
        <w:rPr>
          <w:spacing w:val="-4"/>
          <w:sz w:val="16"/>
          <w:szCs w:val="16"/>
          <w:lang w:val="en-GB"/>
        </w:rPr>
        <w:t xml:space="preserve">The shifting of the tax burden from labour since year </w:t>
      </w:r>
      <w:r w:rsidRPr="00F137EC">
        <w:rPr>
          <w:spacing w:val="-4"/>
          <w:sz w:val="16"/>
          <w:szCs w:val="16"/>
          <w:lang w:val="en-GB"/>
        </w:rPr>
        <w:t>2021 (</w:t>
      </w:r>
      <w:r>
        <w:rPr>
          <w:spacing w:val="-4"/>
          <w:sz w:val="16"/>
          <w:szCs w:val="16"/>
          <w:lang w:val="en-GB"/>
        </w:rPr>
        <w:t>in connection with the abolition of the so called super gross wage</w:t>
      </w:r>
      <w:r w:rsidRPr="00F137EC">
        <w:rPr>
          <w:spacing w:val="-4"/>
          <w:sz w:val="16"/>
          <w:szCs w:val="16"/>
          <w:lang w:val="en-GB"/>
        </w:rPr>
        <w:t>)</w:t>
      </w:r>
      <w:r>
        <w:rPr>
          <w:spacing w:val="-4"/>
          <w:sz w:val="16"/>
          <w:szCs w:val="16"/>
          <w:lang w:val="en-GB"/>
        </w:rPr>
        <w:t xml:space="preserve"> played a key role here</w:t>
      </w:r>
      <w:r w:rsidRPr="00F137EC">
        <w:rPr>
          <w:spacing w:val="-4"/>
          <w:sz w:val="16"/>
          <w:szCs w:val="16"/>
          <w:lang w:val="en-GB"/>
        </w:rPr>
        <w:t>.</w:t>
      </w:r>
    </w:p>
  </w:footnote>
  <w:footnote w:id="9">
    <w:p w14:paraId="096DAD4A" w14:textId="06CBAC74" w:rsidR="008C5AA7" w:rsidRPr="001763F9" w:rsidRDefault="008C5AA7" w:rsidP="00A620A9">
      <w:pPr>
        <w:pStyle w:val="Textpoznpodarou"/>
        <w:jc w:val="both"/>
        <w:rPr>
          <w:lang w:val="en-GB"/>
        </w:rPr>
      </w:pPr>
      <w:r w:rsidRPr="001763F9">
        <w:rPr>
          <w:rStyle w:val="Znakapoznpodarou"/>
          <w:sz w:val="16"/>
          <w:szCs w:val="16"/>
          <w:lang w:val="en-GB"/>
        </w:rPr>
        <w:footnoteRef/>
      </w:r>
      <w:r w:rsidRPr="001763F9">
        <w:rPr>
          <w:sz w:val="16"/>
          <w:szCs w:val="16"/>
          <w:lang w:val="en-GB"/>
        </w:rPr>
        <w:t xml:space="preserve"> </w:t>
      </w:r>
      <w:r>
        <w:rPr>
          <w:sz w:val="16"/>
          <w:szCs w:val="16"/>
          <w:lang w:val="en-GB"/>
        </w:rPr>
        <w:t xml:space="preserve">Payment of the compensation for the tax period of year </w:t>
      </w:r>
      <w:r w:rsidRPr="001763F9">
        <w:rPr>
          <w:spacing w:val="-4"/>
          <w:sz w:val="16"/>
          <w:szCs w:val="16"/>
          <w:lang w:val="en-GB"/>
        </w:rPr>
        <w:t>202</w:t>
      </w:r>
      <w:r w:rsidRPr="001763F9">
        <w:rPr>
          <w:sz w:val="16"/>
          <w:szCs w:val="16"/>
          <w:lang w:val="en-GB"/>
        </w:rPr>
        <w:t>2</w:t>
      </w:r>
      <w:r>
        <w:rPr>
          <w:sz w:val="16"/>
          <w:szCs w:val="16"/>
          <w:lang w:val="en-GB"/>
        </w:rPr>
        <w:t xml:space="preserve"> had a positive effect on the collection of this tax in July</w:t>
      </w:r>
      <w:r w:rsidRPr="001763F9">
        <w:rPr>
          <w:sz w:val="16"/>
          <w:szCs w:val="16"/>
          <w:lang w:val="en-GB"/>
        </w:rPr>
        <w:t xml:space="preserve">. Collection of tax lagged behind the last year’s level already only by 3% from January till July. The approved state budget counts with the annual decrease of the collection of this tax for this year. </w:t>
      </w:r>
    </w:p>
  </w:footnote>
  <w:footnote w:id="10">
    <w:p w14:paraId="4F9DA947" w14:textId="02693644" w:rsidR="008C5AA7" w:rsidRPr="00DE4882" w:rsidRDefault="008C5AA7" w:rsidP="00A620A9">
      <w:pPr>
        <w:pStyle w:val="Textpoznpodarou"/>
        <w:jc w:val="both"/>
        <w:rPr>
          <w:sz w:val="16"/>
          <w:szCs w:val="16"/>
          <w:lang w:val="en-GB"/>
        </w:rPr>
      </w:pPr>
      <w:r w:rsidRPr="00DE4882">
        <w:rPr>
          <w:rStyle w:val="Znakapoznpodarou"/>
          <w:sz w:val="16"/>
          <w:szCs w:val="16"/>
          <w:lang w:val="en-GB"/>
        </w:rPr>
        <w:footnoteRef/>
      </w:r>
      <w:r w:rsidRPr="00DE4882">
        <w:rPr>
          <w:sz w:val="16"/>
          <w:szCs w:val="16"/>
          <w:lang w:val="en-GB"/>
        </w:rPr>
        <w:t xml:space="preserve"> Quarter-on-quarter descend of the expenditures on final consumption of households however halted in Q2 2023 (+0.2%).</w:t>
      </w:r>
    </w:p>
  </w:footnote>
  <w:footnote w:id="11">
    <w:p w14:paraId="6E73E7E0" w14:textId="3B1A7E0E" w:rsidR="008C5AA7" w:rsidRPr="00DE4882" w:rsidRDefault="008C5AA7" w:rsidP="00A620A9">
      <w:pPr>
        <w:pStyle w:val="Textpoznpodarou"/>
        <w:jc w:val="both"/>
        <w:rPr>
          <w:sz w:val="16"/>
          <w:szCs w:val="16"/>
          <w:lang w:val="en-GB"/>
        </w:rPr>
      </w:pPr>
      <w:r w:rsidRPr="00DE4882">
        <w:rPr>
          <w:rStyle w:val="Znakapoznpodarou"/>
          <w:sz w:val="16"/>
          <w:szCs w:val="16"/>
          <w:lang w:val="en-GB"/>
        </w:rPr>
        <w:footnoteRef/>
      </w:r>
      <w:r w:rsidRPr="00DE4882">
        <w:rPr>
          <w:sz w:val="16"/>
          <w:szCs w:val="16"/>
          <w:lang w:val="en-GB"/>
        </w:rPr>
        <w:t xml:space="preserve"> </w:t>
      </w:r>
      <w:r>
        <w:rPr>
          <w:sz w:val="16"/>
          <w:szCs w:val="16"/>
          <w:lang w:val="en-GB"/>
        </w:rPr>
        <w:t xml:space="preserve">It relates to the increase from </w:t>
      </w:r>
      <w:r w:rsidRPr="00DE4882">
        <w:rPr>
          <w:sz w:val="16"/>
          <w:szCs w:val="16"/>
          <w:lang w:val="en-GB"/>
        </w:rPr>
        <w:t>1</w:t>
      </w:r>
      <w:r>
        <w:rPr>
          <w:sz w:val="16"/>
          <w:szCs w:val="16"/>
          <w:lang w:val="en-GB"/>
        </w:rPr>
        <w:t xml:space="preserve"> to </w:t>
      </w:r>
      <w:r w:rsidRPr="00DE4882">
        <w:rPr>
          <w:sz w:val="16"/>
          <w:szCs w:val="16"/>
          <w:lang w:val="en-GB"/>
        </w:rPr>
        <w:t>2</w:t>
      </w:r>
      <w:r>
        <w:rPr>
          <w:sz w:val="16"/>
          <w:szCs w:val="16"/>
          <w:lang w:val="en-GB"/>
        </w:rPr>
        <w:t xml:space="preserve"> CZK mil, which became effective as of January </w:t>
      </w:r>
      <w:r w:rsidRPr="00DE4882">
        <w:rPr>
          <w:sz w:val="16"/>
          <w:szCs w:val="16"/>
          <w:lang w:val="en-GB"/>
        </w:rPr>
        <w:t>2023.</w:t>
      </w:r>
    </w:p>
  </w:footnote>
  <w:footnote w:id="12">
    <w:p w14:paraId="0A514C06" w14:textId="77777777" w:rsidR="008C5AA7" w:rsidRPr="00DE4882" w:rsidRDefault="008C5AA7" w:rsidP="00A620A9">
      <w:pPr>
        <w:pStyle w:val="Textpoznpodarou"/>
        <w:jc w:val="both"/>
        <w:rPr>
          <w:lang w:val="en-GB"/>
        </w:rPr>
      </w:pPr>
      <w:r w:rsidRPr="00DE4882">
        <w:rPr>
          <w:rStyle w:val="Znakapoznpodarou"/>
          <w:sz w:val="16"/>
          <w:szCs w:val="16"/>
          <w:lang w:val="en-GB"/>
        </w:rPr>
        <w:footnoteRef/>
      </w:r>
      <w:r w:rsidRPr="00DE4882">
        <w:rPr>
          <w:sz w:val="16"/>
          <w:szCs w:val="16"/>
          <w:lang w:val="en-GB"/>
        </w:rPr>
        <w:t xml:space="preserve"> </w:t>
      </w:r>
      <w:r>
        <w:rPr>
          <w:sz w:val="16"/>
          <w:szCs w:val="16"/>
          <w:lang w:val="en-GB"/>
        </w:rPr>
        <w:t xml:space="preserve">The rate of the consumer tax on petrol and diesel by 1.5 CZK to 8.45 CZK per litre from June till the end of September </w:t>
      </w:r>
      <w:r w:rsidRPr="00DE4882">
        <w:rPr>
          <w:color w:val="0D0D0D" w:themeColor="text1" w:themeTint="F2"/>
          <w:spacing w:val="-4"/>
          <w:sz w:val="16"/>
          <w:szCs w:val="16"/>
          <w:lang w:val="en-GB"/>
        </w:rPr>
        <w:t>2022</w:t>
      </w:r>
      <w:r>
        <w:rPr>
          <w:color w:val="0D0D0D" w:themeColor="text1" w:themeTint="F2"/>
          <w:spacing w:val="-4"/>
          <w:sz w:val="16"/>
          <w:szCs w:val="16"/>
          <w:lang w:val="en-GB"/>
        </w:rPr>
        <w:t xml:space="preserve">. This measure was prolonged for diesel until the end of July </w:t>
      </w:r>
      <w:r w:rsidRPr="00DE4882">
        <w:rPr>
          <w:color w:val="0D0D0D" w:themeColor="text1" w:themeTint="F2"/>
          <w:spacing w:val="-4"/>
          <w:sz w:val="16"/>
          <w:szCs w:val="16"/>
          <w:lang w:val="en-GB"/>
        </w:rPr>
        <w:t>2023.</w:t>
      </w:r>
    </w:p>
  </w:footnote>
  <w:footnote w:id="13">
    <w:p w14:paraId="05420C6B" w14:textId="13CFE260" w:rsidR="008C5AA7" w:rsidRPr="00E744ED" w:rsidRDefault="008C5AA7" w:rsidP="001D4044">
      <w:pPr>
        <w:pStyle w:val="Textpoznpodarou"/>
        <w:jc w:val="both"/>
        <w:rPr>
          <w:sz w:val="16"/>
          <w:szCs w:val="16"/>
          <w:lang w:val="en-GB"/>
        </w:rPr>
      </w:pPr>
      <w:r w:rsidRPr="00E744ED">
        <w:rPr>
          <w:rStyle w:val="Znakapoznpodarou"/>
          <w:sz w:val="16"/>
          <w:szCs w:val="16"/>
          <w:lang w:val="en-GB"/>
        </w:rPr>
        <w:footnoteRef/>
      </w:r>
      <w:r w:rsidRPr="00E744ED">
        <w:rPr>
          <w:sz w:val="16"/>
          <w:szCs w:val="16"/>
          <w:lang w:val="en-GB"/>
        </w:rPr>
        <w:t xml:space="preserve"> In H1 2020 and 2021</w:t>
      </w:r>
      <w:r>
        <w:rPr>
          <w:sz w:val="16"/>
          <w:szCs w:val="16"/>
          <w:lang w:val="en-GB"/>
        </w:rPr>
        <w:t>,</w:t>
      </w:r>
      <w:r w:rsidRPr="00E744ED">
        <w:rPr>
          <w:sz w:val="16"/>
          <w:szCs w:val="16"/>
          <w:lang w:val="en-GB"/>
        </w:rPr>
        <w:t xml:space="preserve"> respectively, when the </w:t>
      </w:r>
      <w:r>
        <w:rPr>
          <w:sz w:val="16"/>
          <w:szCs w:val="16"/>
          <w:lang w:val="en-GB"/>
        </w:rPr>
        <w:t>current outlays of the SB were energetically raised by the transfers associated with the pandemics, their growth rate was “only”</w:t>
      </w:r>
      <w:r w:rsidRPr="00E744ED">
        <w:rPr>
          <w:sz w:val="16"/>
          <w:szCs w:val="16"/>
          <w:lang w:val="en-GB"/>
        </w:rPr>
        <w:t xml:space="preserve"> 15</w:t>
      </w:r>
      <w:r>
        <w:rPr>
          <w:sz w:val="16"/>
          <w:szCs w:val="16"/>
          <w:lang w:val="en-GB"/>
        </w:rPr>
        <w:t>.</w:t>
      </w:r>
      <w:r w:rsidRPr="00E744ED">
        <w:rPr>
          <w:sz w:val="16"/>
          <w:szCs w:val="16"/>
          <w:lang w:val="en-GB"/>
        </w:rPr>
        <w:t>5%</w:t>
      </w:r>
      <w:r>
        <w:rPr>
          <w:sz w:val="16"/>
          <w:szCs w:val="16"/>
          <w:lang w:val="en-GB"/>
        </w:rPr>
        <w:t xml:space="preserve"> and 10.6%, respectively</w:t>
      </w:r>
      <w:r w:rsidRPr="00E744ED">
        <w:rPr>
          <w:sz w:val="16"/>
          <w:szCs w:val="16"/>
          <w:lang w:val="en-GB"/>
        </w:rPr>
        <w:t>.</w:t>
      </w:r>
    </w:p>
  </w:footnote>
  <w:footnote w:id="14">
    <w:p w14:paraId="51E32708" w14:textId="1F89DB65" w:rsidR="008C5AA7" w:rsidRPr="001D4044" w:rsidRDefault="008C5AA7" w:rsidP="001D4044">
      <w:pPr>
        <w:pStyle w:val="Textpoznpodarou"/>
        <w:jc w:val="both"/>
        <w:rPr>
          <w:sz w:val="16"/>
          <w:szCs w:val="16"/>
          <w:lang w:val="en-GB"/>
        </w:rPr>
      </w:pPr>
      <w:r w:rsidRPr="00E744ED">
        <w:rPr>
          <w:rStyle w:val="Znakapoznpodarou"/>
          <w:sz w:val="16"/>
          <w:szCs w:val="16"/>
          <w:lang w:val="en-GB"/>
        </w:rPr>
        <w:footnoteRef/>
      </w:r>
      <w:r w:rsidRPr="00E744ED">
        <w:rPr>
          <w:sz w:val="16"/>
          <w:szCs w:val="16"/>
          <w:lang w:val="en-GB"/>
        </w:rPr>
        <w:t xml:space="preserve"> The average monthly retirement pension (without concurrence with other pensions) thus crossed the boundary of 20 CZK thousand for the first time in June this year. It reached 21 520 CZK for</w:t>
      </w:r>
      <w:r>
        <w:rPr>
          <w:sz w:val="16"/>
          <w:szCs w:val="16"/>
          <w:lang w:val="en-GB"/>
        </w:rPr>
        <w:t xml:space="preserve"> males</w:t>
      </w:r>
      <w:r w:rsidRPr="001D4044">
        <w:rPr>
          <w:sz w:val="16"/>
          <w:szCs w:val="16"/>
          <w:lang w:val="en-GB"/>
        </w:rPr>
        <w:t>,</w:t>
      </w:r>
      <w:r>
        <w:rPr>
          <w:sz w:val="16"/>
          <w:szCs w:val="16"/>
          <w:lang w:val="en-GB"/>
        </w:rPr>
        <w:t xml:space="preserve"> </w:t>
      </w:r>
      <w:r w:rsidRPr="001D4044">
        <w:rPr>
          <w:sz w:val="16"/>
          <w:szCs w:val="16"/>
          <w:lang w:val="en-GB"/>
        </w:rPr>
        <w:t>19</w:t>
      </w:r>
      <w:r>
        <w:rPr>
          <w:sz w:val="16"/>
          <w:szCs w:val="16"/>
          <w:lang w:val="en-GB"/>
        </w:rPr>
        <w:t> </w:t>
      </w:r>
      <w:r w:rsidRPr="001D4044">
        <w:rPr>
          <w:sz w:val="16"/>
          <w:szCs w:val="16"/>
          <w:lang w:val="en-GB"/>
        </w:rPr>
        <w:t>038</w:t>
      </w:r>
      <w:r>
        <w:rPr>
          <w:sz w:val="16"/>
          <w:szCs w:val="16"/>
          <w:lang w:val="en-GB"/>
        </w:rPr>
        <w:t xml:space="preserve"> CZK for females</w:t>
      </w:r>
      <w:r w:rsidRPr="001D4044">
        <w:rPr>
          <w:sz w:val="16"/>
          <w:szCs w:val="16"/>
          <w:lang w:val="en-GB"/>
        </w:rPr>
        <w:t xml:space="preserve">. </w:t>
      </w:r>
      <w:r>
        <w:rPr>
          <w:sz w:val="16"/>
          <w:szCs w:val="16"/>
          <w:lang w:val="en-GB"/>
        </w:rPr>
        <w:t xml:space="preserve">Thanks to the introduction of “child-raising” the difference in the level of pensions between males and females narrowed significantly. Solo retirement pension of females lagged behind the level of males by </w:t>
      </w:r>
      <w:r w:rsidRPr="001D4044">
        <w:rPr>
          <w:sz w:val="16"/>
          <w:szCs w:val="16"/>
          <w:lang w:val="en-GB"/>
        </w:rPr>
        <w:t>11</w:t>
      </w:r>
      <w:r>
        <w:rPr>
          <w:sz w:val="16"/>
          <w:szCs w:val="16"/>
          <w:lang w:val="en-GB"/>
        </w:rPr>
        <w:t>.</w:t>
      </w:r>
      <w:r w:rsidRPr="001D4044">
        <w:rPr>
          <w:sz w:val="16"/>
          <w:szCs w:val="16"/>
          <w:lang w:val="en-GB"/>
        </w:rPr>
        <w:t>5% (</w:t>
      </w:r>
      <w:r>
        <w:rPr>
          <w:sz w:val="16"/>
          <w:szCs w:val="16"/>
          <w:lang w:val="en-GB"/>
        </w:rPr>
        <w:t xml:space="preserve">by </w:t>
      </w:r>
      <w:r w:rsidRPr="001D4044">
        <w:rPr>
          <w:sz w:val="16"/>
          <w:szCs w:val="16"/>
          <w:lang w:val="en-GB"/>
        </w:rPr>
        <w:t>16</w:t>
      </w:r>
      <w:r>
        <w:rPr>
          <w:sz w:val="16"/>
          <w:szCs w:val="16"/>
          <w:lang w:val="en-GB"/>
        </w:rPr>
        <w:t>.</w:t>
      </w:r>
      <w:r w:rsidRPr="001D4044">
        <w:rPr>
          <w:sz w:val="16"/>
          <w:szCs w:val="16"/>
          <w:lang w:val="en-GB"/>
        </w:rPr>
        <w:t>5%</w:t>
      </w:r>
      <w:r>
        <w:rPr>
          <w:sz w:val="16"/>
          <w:szCs w:val="16"/>
          <w:lang w:val="en-GB"/>
        </w:rPr>
        <w:t xml:space="preserve"> one year ago</w:t>
      </w:r>
      <w:r w:rsidRPr="001D4044">
        <w:rPr>
          <w:sz w:val="16"/>
          <w:szCs w:val="16"/>
          <w:lang w:val="en-GB"/>
        </w:rPr>
        <w:t xml:space="preserve">). </w:t>
      </w:r>
      <w:r>
        <w:rPr>
          <w:sz w:val="16"/>
          <w:szCs w:val="16"/>
          <w:lang w:val="en-GB"/>
        </w:rPr>
        <w:t xml:space="preserve">The relative difference of pensions between gender was thus already slightly lower than in case of the average wages this year. </w:t>
      </w:r>
      <w:r w:rsidRPr="001D4044">
        <w:rPr>
          <w:sz w:val="16"/>
          <w:szCs w:val="16"/>
          <w:lang w:val="en-GB"/>
        </w:rPr>
        <w:t xml:space="preserve"> </w:t>
      </w:r>
    </w:p>
  </w:footnote>
  <w:footnote w:id="15">
    <w:p w14:paraId="38AD7DD5" w14:textId="3DAB1F9C" w:rsidR="008C5AA7" w:rsidRPr="001D4044" w:rsidRDefault="008C5AA7" w:rsidP="00993875">
      <w:pPr>
        <w:pStyle w:val="Textpoznpodarou"/>
        <w:jc w:val="both"/>
        <w:rPr>
          <w:sz w:val="16"/>
          <w:szCs w:val="16"/>
          <w:lang w:val="en-GB"/>
        </w:rPr>
      </w:pPr>
      <w:r w:rsidRPr="001D4044">
        <w:rPr>
          <w:rStyle w:val="Znakapoznpodarou"/>
          <w:sz w:val="16"/>
          <w:szCs w:val="16"/>
          <w:lang w:val="en-GB"/>
        </w:rPr>
        <w:footnoteRef/>
      </w:r>
      <w:r w:rsidRPr="001D4044">
        <w:rPr>
          <w:sz w:val="16"/>
          <w:szCs w:val="16"/>
          <w:lang w:val="en-GB"/>
        </w:rPr>
        <w:t xml:space="preserve"> </w:t>
      </w:r>
      <w:r>
        <w:rPr>
          <w:sz w:val="16"/>
          <w:szCs w:val="16"/>
          <w:lang w:val="en-GB"/>
        </w:rPr>
        <w:t xml:space="preserve">Growth of the number of all recipients of permanently reduced retirement pensions gained pace this year </w:t>
      </w:r>
      <w:r w:rsidRPr="001D4044">
        <w:rPr>
          <w:sz w:val="16"/>
          <w:szCs w:val="16"/>
          <w:lang w:val="en-GB"/>
        </w:rPr>
        <w:t>(</w:t>
      </w:r>
      <w:r>
        <w:rPr>
          <w:sz w:val="16"/>
          <w:szCs w:val="16"/>
          <w:lang w:val="en-GB"/>
        </w:rPr>
        <w:t xml:space="preserve">to </w:t>
      </w:r>
      <w:r w:rsidRPr="001D4044">
        <w:rPr>
          <w:sz w:val="16"/>
          <w:szCs w:val="16"/>
          <w:lang w:val="en-GB"/>
        </w:rPr>
        <w:t>3</w:t>
      </w:r>
      <w:r>
        <w:rPr>
          <w:sz w:val="16"/>
          <w:szCs w:val="16"/>
          <w:lang w:val="en-GB"/>
        </w:rPr>
        <w:t>.</w:t>
      </w:r>
      <w:r w:rsidRPr="001D4044">
        <w:rPr>
          <w:sz w:val="16"/>
          <w:szCs w:val="16"/>
          <w:lang w:val="en-GB"/>
        </w:rPr>
        <w:t>5%</w:t>
      </w:r>
      <w:r>
        <w:rPr>
          <w:sz w:val="16"/>
          <w:szCs w:val="16"/>
          <w:lang w:val="en-GB"/>
        </w:rPr>
        <w:t xml:space="preserve"> in Q2 year-on-year, the most in the last seven years</w:t>
      </w:r>
      <w:r w:rsidRPr="001D4044">
        <w:rPr>
          <w:sz w:val="16"/>
          <w:szCs w:val="16"/>
          <w:lang w:val="en-GB"/>
        </w:rPr>
        <w:t xml:space="preserve">). </w:t>
      </w:r>
      <w:r>
        <w:rPr>
          <w:sz w:val="16"/>
          <w:szCs w:val="16"/>
          <w:lang w:val="en-GB"/>
        </w:rPr>
        <w:t>This number does not include persons, which lodged an application for the early pension, but deferred the commencement of its payment. Heightened interest in early pensions primarily sprang from the advantageousness of the adjustment mechanism</w:t>
      </w:r>
      <w:r w:rsidRPr="001D4044">
        <w:rPr>
          <w:sz w:val="16"/>
          <w:szCs w:val="16"/>
          <w:lang w:val="en-GB"/>
        </w:rPr>
        <w:t>,</w:t>
      </w:r>
      <w:r>
        <w:rPr>
          <w:sz w:val="16"/>
          <w:szCs w:val="16"/>
          <w:lang w:val="en-GB"/>
        </w:rPr>
        <w:t xml:space="preserve"> in contrast the effect of possible worsened position of persons in the pre-retirement age on the labour market likely played only supplementary role. </w:t>
      </w:r>
    </w:p>
  </w:footnote>
  <w:footnote w:id="16">
    <w:p w14:paraId="1F6C7253" w14:textId="3A922F4B" w:rsidR="008C5AA7" w:rsidRPr="00C873F3" w:rsidRDefault="008C5AA7" w:rsidP="00371C3E">
      <w:pPr>
        <w:pStyle w:val="Textpoznpodarou"/>
        <w:jc w:val="both"/>
        <w:rPr>
          <w:sz w:val="16"/>
          <w:szCs w:val="16"/>
          <w:lang w:val="en-GB"/>
        </w:rPr>
      </w:pPr>
      <w:r w:rsidRPr="00C873F3">
        <w:rPr>
          <w:rStyle w:val="Znakapoznpodarou"/>
          <w:sz w:val="16"/>
          <w:szCs w:val="16"/>
          <w:lang w:val="en-GB"/>
        </w:rPr>
        <w:footnoteRef/>
      </w:r>
      <w:r w:rsidRPr="00C873F3">
        <w:rPr>
          <w:sz w:val="16"/>
          <w:szCs w:val="16"/>
          <w:lang w:val="en-GB"/>
        </w:rPr>
        <w:t xml:space="preserve"> This year’s introduction of the </w:t>
      </w:r>
      <w:r>
        <w:rPr>
          <w:sz w:val="16"/>
          <w:szCs w:val="16"/>
          <w:lang w:val="en-GB"/>
        </w:rPr>
        <w:t xml:space="preserve">discount on levies for employers providing part-time jobs to parents of smaller children, persons caring for their relatives or persons above 55 years </w:t>
      </w:r>
      <w:r w:rsidRPr="00C873F3">
        <w:rPr>
          <w:sz w:val="16"/>
          <w:szCs w:val="16"/>
          <w:lang w:val="en-GB"/>
        </w:rPr>
        <w:t xml:space="preserve">had only marginal negative effect on the size of insurance collection. </w:t>
      </w:r>
      <w:r>
        <w:rPr>
          <w:sz w:val="16"/>
          <w:szCs w:val="16"/>
          <w:lang w:val="en-GB"/>
        </w:rPr>
        <w:t xml:space="preserve">From February till July, firms used these discounts for </w:t>
      </w:r>
      <w:r w:rsidRPr="00C873F3">
        <w:rPr>
          <w:sz w:val="16"/>
          <w:szCs w:val="16"/>
          <w:lang w:val="en-GB"/>
        </w:rPr>
        <w:t>86 t</w:t>
      </w:r>
      <w:r>
        <w:rPr>
          <w:sz w:val="16"/>
          <w:szCs w:val="16"/>
          <w:lang w:val="en-GB"/>
        </w:rPr>
        <w:t xml:space="preserve">housand employees, specifically in the total amount of </w:t>
      </w:r>
      <w:r w:rsidRPr="00C873F3">
        <w:rPr>
          <w:sz w:val="16"/>
          <w:szCs w:val="16"/>
          <w:lang w:val="en-GB"/>
        </w:rPr>
        <w:t>416</w:t>
      </w:r>
      <w:r>
        <w:rPr>
          <w:sz w:val="16"/>
          <w:szCs w:val="16"/>
          <w:lang w:val="en-GB"/>
        </w:rPr>
        <w:t xml:space="preserve"> CZK mil</w:t>
      </w:r>
      <w:r w:rsidRPr="00C873F3">
        <w:rPr>
          <w:sz w:val="16"/>
          <w:szCs w:val="16"/>
          <w:lang w:val="en-GB"/>
        </w:rPr>
        <w:t>.</w:t>
      </w:r>
    </w:p>
  </w:footnote>
  <w:footnote w:id="17">
    <w:p w14:paraId="1E6AA515" w14:textId="3F7C940B" w:rsidR="008C5AA7" w:rsidRPr="00C873F3" w:rsidRDefault="008C5AA7" w:rsidP="00371C3E">
      <w:pPr>
        <w:pStyle w:val="Textpoznpodarou"/>
        <w:jc w:val="both"/>
        <w:rPr>
          <w:rFonts w:cs="Arial"/>
          <w:color w:val="000000" w:themeColor="text1"/>
          <w:spacing w:val="-4"/>
          <w:sz w:val="16"/>
          <w:szCs w:val="16"/>
          <w:lang w:val="en-GB"/>
        </w:rPr>
      </w:pPr>
      <w:r w:rsidRPr="00C873F3">
        <w:rPr>
          <w:rStyle w:val="Znakapoznpodarou"/>
          <w:spacing w:val="-4"/>
          <w:sz w:val="16"/>
          <w:szCs w:val="16"/>
          <w:lang w:val="en-GB"/>
        </w:rPr>
        <w:footnoteRef/>
      </w:r>
      <w:r w:rsidRPr="00C873F3">
        <w:rPr>
          <w:spacing w:val="-4"/>
          <w:sz w:val="16"/>
          <w:szCs w:val="16"/>
          <w:lang w:val="en-GB"/>
        </w:rPr>
        <w:t xml:space="preserve"> </w:t>
      </w:r>
      <w:r>
        <w:rPr>
          <w:spacing w:val="-4"/>
          <w:sz w:val="16"/>
          <w:szCs w:val="16"/>
          <w:lang w:val="en-GB"/>
        </w:rPr>
        <w:t xml:space="preserve">It expresses the difference between the income from insurance on pensions and outlays on the pension insurance benefits </w:t>
      </w:r>
      <w:r w:rsidRPr="00C873F3">
        <w:rPr>
          <w:rFonts w:cs="Arial"/>
          <w:color w:val="000000" w:themeColor="text1"/>
          <w:spacing w:val="-4"/>
          <w:sz w:val="16"/>
          <w:szCs w:val="16"/>
          <w:lang w:val="en-GB"/>
        </w:rPr>
        <w:t>(</w:t>
      </w:r>
      <w:r>
        <w:rPr>
          <w:rFonts w:cs="Arial"/>
          <w:color w:val="000000" w:themeColor="text1"/>
          <w:spacing w:val="-4"/>
          <w:sz w:val="16"/>
          <w:szCs w:val="16"/>
          <w:lang w:val="en-GB"/>
        </w:rPr>
        <w:t>including the costs of its administration</w:t>
      </w:r>
      <w:r w:rsidRPr="00C873F3">
        <w:rPr>
          <w:rFonts w:cs="Arial"/>
          <w:color w:val="000000" w:themeColor="text1"/>
          <w:spacing w:val="-4"/>
          <w:sz w:val="16"/>
          <w:szCs w:val="16"/>
          <w:lang w:val="en-GB"/>
        </w:rPr>
        <w:t>).</w:t>
      </w:r>
    </w:p>
  </w:footnote>
  <w:footnote w:id="18">
    <w:p w14:paraId="7C4BE2AE" w14:textId="69E3C84C" w:rsidR="008C5AA7" w:rsidRPr="00C873F3" w:rsidRDefault="008C5AA7" w:rsidP="00371C3E">
      <w:pPr>
        <w:pStyle w:val="Textpoznpodarou"/>
        <w:jc w:val="both"/>
        <w:rPr>
          <w:sz w:val="16"/>
          <w:szCs w:val="16"/>
          <w:lang w:val="en-GB"/>
        </w:rPr>
      </w:pPr>
      <w:r w:rsidRPr="00C873F3">
        <w:rPr>
          <w:rStyle w:val="Znakapoznpodarou"/>
          <w:sz w:val="16"/>
          <w:szCs w:val="16"/>
          <w:lang w:val="en-GB"/>
        </w:rPr>
        <w:footnoteRef/>
      </w:r>
      <w:r w:rsidRPr="00C873F3">
        <w:rPr>
          <w:sz w:val="16"/>
          <w:szCs w:val="16"/>
          <w:lang w:val="en-GB"/>
        </w:rPr>
        <w:t xml:space="preserve"> 8</w:t>
      </w:r>
      <w:r>
        <w:rPr>
          <w:sz w:val="16"/>
          <w:szCs w:val="16"/>
          <w:lang w:val="en-GB"/>
        </w:rPr>
        <w:t>.</w:t>
      </w:r>
      <w:r w:rsidRPr="00C873F3">
        <w:rPr>
          <w:sz w:val="16"/>
          <w:szCs w:val="16"/>
          <w:lang w:val="en-GB"/>
        </w:rPr>
        <w:t>2</w:t>
      </w:r>
      <w:r>
        <w:rPr>
          <w:sz w:val="16"/>
          <w:szCs w:val="16"/>
          <w:lang w:val="en-GB"/>
        </w:rPr>
        <w:t xml:space="preserve"> CZK bn more was paid out on this benefit since the beginning of the year, the number of its recipients was also at a record level </w:t>
      </w:r>
      <w:r w:rsidRPr="00C873F3">
        <w:rPr>
          <w:sz w:val="16"/>
          <w:szCs w:val="16"/>
          <w:lang w:val="en-GB"/>
        </w:rPr>
        <w:t>(</w:t>
      </w:r>
      <w:r>
        <w:rPr>
          <w:sz w:val="16"/>
          <w:szCs w:val="16"/>
          <w:lang w:val="en-GB"/>
        </w:rPr>
        <w:t>it concerned 267 thousand households with average amount of the benefit of 6134 CZK only for this year</w:t>
      </w:r>
      <w:r>
        <w:rPr>
          <w:sz w:val="16"/>
          <w:szCs w:val="16"/>
          <w:lang w:val="en-US"/>
        </w:rPr>
        <w:t>’</w:t>
      </w:r>
      <w:r>
        <w:rPr>
          <w:sz w:val="16"/>
          <w:szCs w:val="16"/>
        </w:rPr>
        <w:t>s June</w:t>
      </w:r>
      <w:r w:rsidRPr="00C873F3">
        <w:rPr>
          <w:sz w:val="16"/>
          <w:szCs w:val="16"/>
          <w:lang w:val="en-GB"/>
        </w:rPr>
        <w:t xml:space="preserve">). </w:t>
      </w:r>
    </w:p>
  </w:footnote>
  <w:footnote w:id="19">
    <w:p w14:paraId="06441511" w14:textId="125C2D50" w:rsidR="008C5AA7" w:rsidRPr="00C873F3" w:rsidRDefault="008C5AA7" w:rsidP="00371C3E">
      <w:pPr>
        <w:pStyle w:val="Textpoznpodarou"/>
        <w:jc w:val="both"/>
        <w:rPr>
          <w:sz w:val="16"/>
          <w:szCs w:val="16"/>
          <w:lang w:val="en-GB"/>
        </w:rPr>
      </w:pPr>
      <w:r w:rsidRPr="00C873F3">
        <w:rPr>
          <w:rStyle w:val="Znakapoznpodarou"/>
          <w:sz w:val="16"/>
          <w:szCs w:val="16"/>
          <w:lang w:val="en-GB"/>
        </w:rPr>
        <w:footnoteRef/>
      </w:r>
      <w:r w:rsidRPr="00C873F3">
        <w:rPr>
          <w:sz w:val="16"/>
          <w:szCs w:val="16"/>
          <w:lang w:val="en-GB"/>
        </w:rPr>
        <w:t xml:space="preserve"> </w:t>
      </w:r>
      <w:r>
        <w:rPr>
          <w:sz w:val="16"/>
          <w:szCs w:val="16"/>
          <w:lang w:val="en-GB"/>
        </w:rPr>
        <w:t xml:space="preserve">70 thousand of registered job applicants (28% of their total number) were entitled to the unemployment benefit in June this year. </w:t>
      </w:r>
    </w:p>
  </w:footnote>
  <w:footnote w:id="20">
    <w:p w14:paraId="7CE8D75B" w14:textId="7A8D0DF2" w:rsidR="008C5AA7" w:rsidRPr="00C873F3" w:rsidRDefault="008C5AA7" w:rsidP="00371C3E">
      <w:pPr>
        <w:pStyle w:val="Textpoznpodarou"/>
        <w:jc w:val="both"/>
        <w:rPr>
          <w:lang w:val="en-GB"/>
        </w:rPr>
      </w:pPr>
      <w:r w:rsidRPr="00C873F3">
        <w:rPr>
          <w:rStyle w:val="Znakapoznpodarou"/>
          <w:sz w:val="16"/>
          <w:szCs w:val="16"/>
          <w:lang w:val="en-GB"/>
        </w:rPr>
        <w:footnoteRef/>
      </w:r>
      <w:r w:rsidRPr="00C873F3">
        <w:rPr>
          <w:sz w:val="16"/>
          <w:szCs w:val="16"/>
          <w:lang w:val="en-GB"/>
        </w:rPr>
        <w:t xml:space="preserve"> </w:t>
      </w:r>
      <w:r>
        <w:rPr>
          <w:sz w:val="16"/>
          <w:szCs w:val="16"/>
          <w:lang w:val="en-GB"/>
        </w:rPr>
        <w:t xml:space="preserve">The July data also prove, that the need for this extraordinary assistance gradually decreases during this year </w:t>
      </w:r>
      <w:r w:rsidRPr="00C873F3">
        <w:rPr>
          <w:sz w:val="16"/>
          <w:szCs w:val="16"/>
          <w:lang w:val="en-GB"/>
        </w:rPr>
        <w:t>(</w:t>
      </w:r>
      <w:r>
        <w:rPr>
          <w:sz w:val="16"/>
          <w:szCs w:val="16"/>
          <w:lang w:val="en-GB"/>
        </w:rPr>
        <w:t>in connection to the favourable trend of the development of prices of gas, electricity on the world markets)</w:t>
      </w:r>
      <w:r w:rsidRPr="00C873F3">
        <w:rPr>
          <w:sz w:val="16"/>
          <w:szCs w:val="16"/>
          <w:lang w:val="en-GB"/>
        </w:rPr>
        <w:t>. 36</w:t>
      </w:r>
      <w:r>
        <w:rPr>
          <w:sz w:val="16"/>
          <w:szCs w:val="16"/>
          <w:lang w:val="en-GB"/>
        </w:rPr>
        <w:t>.</w:t>
      </w:r>
      <w:r w:rsidRPr="00C873F3">
        <w:rPr>
          <w:sz w:val="16"/>
          <w:szCs w:val="16"/>
          <w:lang w:val="en-GB"/>
        </w:rPr>
        <w:t>4</w:t>
      </w:r>
      <w:r>
        <w:rPr>
          <w:sz w:val="16"/>
          <w:szCs w:val="16"/>
          <w:lang w:val="en-GB"/>
        </w:rPr>
        <w:t xml:space="preserve"> CZK bn was paid out on the compensation to businesses from the SB due to the capped prices since the beginning of the year</w:t>
      </w:r>
      <w:r w:rsidRPr="00C873F3">
        <w:rPr>
          <w:sz w:val="16"/>
          <w:szCs w:val="16"/>
          <w:lang w:val="en-GB"/>
        </w:rPr>
        <w:t xml:space="preserve">. </w:t>
      </w:r>
      <w:r>
        <w:rPr>
          <w:sz w:val="16"/>
          <w:szCs w:val="16"/>
          <w:lang w:val="en-GB"/>
        </w:rPr>
        <w:t>In addition the assistance payment to businesses in the energy intensive branches in fact halted in Q</w:t>
      </w:r>
      <w:r w:rsidRPr="00C873F3">
        <w:rPr>
          <w:sz w:val="16"/>
          <w:szCs w:val="16"/>
          <w:lang w:val="en-GB"/>
        </w:rPr>
        <w:t xml:space="preserve">2. </w:t>
      </w:r>
      <w:r>
        <w:rPr>
          <w:sz w:val="16"/>
          <w:szCs w:val="16"/>
          <w:lang w:val="en-GB"/>
        </w:rPr>
        <w:t xml:space="preserve">On the contrary subsidies to the operator of the transmission system were in the significant amount also paid out in July and in cumulation arrived at already </w:t>
      </w:r>
      <w:r w:rsidRPr="00C873F3">
        <w:rPr>
          <w:sz w:val="16"/>
          <w:szCs w:val="16"/>
          <w:lang w:val="en-GB"/>
        </w:rPr>
        <w:t>10</w:t>
      </w:r>
      <w:r>
        <w:rPr>
          <w:sz w:val="16"/>
          <w:szCs w:val="16"/>
          <w:lang w:val="en-GB"/>
        </w:rPr>
        <w:t>.</w:t>
      </w:r>
      <w:r w:rsidRPr="00C873F3">
        <w:rPr>
          <w:sz w:val="16"/>
          <w:szCs w:val="16"/>
          <w:lang w:val="en-GB"/>
        </w:rPr>
        <w:t>1</w:t>
      </w:r>
      <w:r>
        <w:rPr>
          <w:sz w:val="16"/>
          <w:szCs w:val="16"/>
          <w:lang w:val="en-GB"/>
        </w:rPr>
        <w:t xml:space="preserve"> CZK bn since January</w:t>
      </w:r>
      <w:r w:rsidRPr="00C873F3">
        <w:rPr>
          <w:sz w:val="16"/>
          <w:szCs w:val="16"/>
          <w:lang w:val="en-GB"/>
        </w:rPr>
        <w:t>.</w:t>
      </w:r>
    </w:p>
  </w:footnote>
  <w:footnote w:id="21">
    <w:p w14:paraId="0B9AC861" w14:textId="040752E5" w:rsidR="008C5AA7" w:rsidRPr="000B7BBB" w:rsidRDefault="008C5AA7" w:rsidP="000B7BBB">
      <w:pPr>
        <w:pStyle w:val="Textpoznpodarou"/>
        <w:jc w:val="both"/>
        <w:rPr>
          <w:spacing w:val="-2"/>
          <w:sz w:val="16"/>
          <w:szCs w:val="16"/>
          <w:lang w:val="en-GB"/>
        </w:rPr>
      </w:pPr>
      <w:r w:rsidRPr="00614788">
        <w:rPr>
          <w:rStyle w:val="Znakapoznpodarou"/>
          <w:spacing w:val="-2"/>
          <w:sz w:val="16"/>
          <w:szCs w:val="16"/>
        </w:rPr>
        <w:footnoteRef/>
      </w:r>
      <w:r w:rsidRPr="00614788">
        <w:rPr>
          <w:spacing w:val="-2"/>
          <w:sz w:val="16"/>
          <w:szCs w:val="16"/>
        </w:rPr>
        <w:t xml:space="preserve"> </w:t>
      </w:r>
      <w:r w:rsidRPr="000B7BBB">
        <w:rPr>
          <w:spacing w:val="-2"/>
          <w:sz w:val="16"/>
          <w:szCs w:val="16"/>
          <w:lang w:val="en-GB"/>
        </w:rPr>
        <w:t xml:space="preserve">Net outlays correspond to the balance of the budget chapter State debt (No. 396). </w:t>
      </w:r>
      <w:r w:rsidRPr="000B7BBB">
        <w:rPr>
          <w:sz w:val="16"/>
          <w:szCs w:val="16"/>
          <w:lang w:val="en-GB"/>
        </w:rPr>
        <w:t xml:space="preserve"> </w:t>
      </w:r>
    </w:p>
  </w:footnote>
  <w:footnote w:id="22">
    <w:p w14:paraId="4C05F0B4" w14:textId="41B31029" w:rsidR="008C5AA7" w:rsidRPr="000B7BBB" w:rsidRDefault="008C5AA7" w:rsidP="000B7BBB">
      <w:pPr>
        <w:pStyle w:val="Textpoznpodarou"/>
        <w:jc w:val="both"/>
        <w:rPr>
          <w:sz w:val="16"/>
          <w:szCs w:val="16"/>
          <w:lang w:val="en-GB"/>
        </w:rPr>
      </w:pPr>
      <w:r w:rsidRPr="000B7BBB">
        <w:rPr>
          <w:rStyle w:val="Znakapoznpodarou"/>
          <w:sz w:val="16"/>
          <w:szCs w:val="16"/>
          <w:lang w:val="en-GB"/>
        </w:rPr>
        <w:footnoteRef/>
      </w:r>
      <w:r w:rsidRPr="000B7BBB">
        <w:rPr>
          <w:sz w:val="16"/>
          <w:szCs w:val="16"/>
          <w:lang w:val="en-GB"/>
        </w:rPr>
        <w:t xml:space="preserve"> </w:t>
      </w:r>
      <w:r>
        <w:rPr>
          <w:sz w:val="16"/>
          <w:szCs w:val="16"/>
          <w:lang w:val="en-GB"/>
        </w:rPr>
        <w:t>Total of the monthly outlays in all central government institutions thus could have attained maximum of one twelfth of the total SB outlays determined in accordance with the approved Act on SB from year 2</w:t>
      </w:r>
      <w:r w:rsidRPr="000B7BBB">
        <w:rPr>
          <w:sz w:val="16"/>
          <w:szCs w:val="16"/>
          <w:lang w:val="en-GB"/>
        </w:rPr>
        <w:t xml:space="preserve">021. </w:t>
      </w:r>
      <w:r>
        <w:rPr>
          <w:sz w:val="16"/>
          <w:szCs w:val="16"/>
          <w:lang w:val="en-GB"/>
        </w:rPr>
        <w:t xml:space="preserve">It led among other things to the postponement of the non-essential operational outlays as well as investment at the beginning of the year. </w:t>
      </w:r>
    </w:p>
  </w:footnote>
  <w:footnote w:id="23">
    <w:p w14:paraId="1AEFFD76" w14:textId="5451BDEE" w:rsidR="008C5AA7" w:rsidRPr="000666B4" w:rsidRDefault="008C5AA7" w:rsidP="0020044C">
      <w:pPr>
        <w:pStyle w:val="Textpoznpodarou"/>
        <w:jc w:val="both"/>
        <w:rPr>
          <w:sz w:val="16"/>
          <w:szCs w:val="16"/>
          <w:lang w:val="en-GB"/>
        </w:rPr>
      </w:pPr>
      <w:r w:rsidRPr="00CA2DF7">
        <w:rPr>
          <w:rStyle w:val="Znakapoznpodarou"/>
          <w:sz w:val="16"/>
          <w:szCs w:val="16"/>
        </w:rPr>
        <w:footnoteRef/>
      </w:r>
      <w:r w:rsidRPr="00CA2DF7">
        <w:rPr>
          <w:sz w:val="16"/>
          <w:szCs w:val="16"/>
        </w:rPr>
        <w:t xml:space="preserve"> </w:t>
      </w:r>
      <w:r w:rsidRPr="000666B4">
        <w:rPr>
          <w:sz w:val="16"/>
          <w:szCs w:val="16"/>
          <w:lang w:val="en-GB"/>
        </w:rPr>
        <w:t>Korun</w:t>
      </w:r>
      <w:r>
        <w:rPr>
          <w:sz w:val="16"/>
          <w:szCs w:val="16"/>
          <w:lang w:val="en-GB"/>
        </w:rPr>
        <w:t>a</w:t>
      </w:r>
      <w:r w:rsidRPr="000666B4">
        <w:rPr>
          <w:sz w:val="16"/>
          <w:szCs w:val="16"/>
          <w:lang w:val="en-GB"/>
        </w:rPr>
        <w:t xml:space="preserve"> state debts were issued during H1 2023 (with maturity above 1 year) in the size of 287 CZK bn (approximately by one tenth more year-on-year, but notably less compared to both years 2020 and 2021). </w:t>
      </w:r>
      <w:r>
        <w:rPr>
          <w:sz w:val="16"/>
          <w:szCs w:val="16"/>
          <w:lang w:val="en-GB"/>
        </w:rPr>
        <w:t xml:space="preserve">In that </w:t>
      </w:r>
      <w:r w:rsidRPr="000666B4">
        <w:rPr>
          <w:sz w:val="16"/>
          <w:szCs w:val="16"/>
          <w:lang w:val="en-GB"/>
        </w:rPr>
        <w:t xml:space="preserve">253 </w:t>
      </w:r>
      <w:r>
        <w:rPr>
          <w:sz w:val="16"/>
          <w:szCs w:val="16"/>
          <w:lang w:val="en-GB"/>
        </w:rPr>
        <w:t xml:space="preserve">CZK bn formed bonds with fixed interest </w:t>
      </w:r>
      <w:r w:rsidRPr="000666B4">
        <w:rPr>
          <w:sz w:val="16"/>
          <w:szCs w:val="16"/>
          <w:lang w:val="en-GB"/>
        </w:rPr>
        <w:t>(</w:t>
      </w:r>
      <w:r>
        <w:rPr>
          <w:sz w:val="16"/>
          <w:szCs w:val="16"/>
          <w:lang w:val="en-GB"/>
        </w:rPr>
        <w:t xml:space="preserve">with average residual time of the maturity of </w:t>
      </w:r>
      <w:r w:rsidRPr="000666B4">
        <w:rPr>
          <w:sz w:val="16"/>
          <w:szCs w:val="16"/>
          <w:lang w:val="en-GB"/>
        </w:rPr>
        <w:t>8</w:t>
      </w:r>
      <w:r>
        <w:rPr>
          <w:sz w:val="16"/>
          <w:szCs w:val="16"/>
          <w:lang w:val="en-GB"/>
        </w:rPr>
        <w:t>.</w:t>
      </w:r>
      <w:r w:rsidRPr="000666B4">
        <w:rPr>
          <w:sz w:val="16"/>
          <w:szCs w:val="16"/>
          <w:lang w:val="en-GB"/>
        </w:rPr>
        <w:t>7</w:t>
      </w:r>
      <w:r>
        <w:rPr>
          <w:sz w:val="16"/>
          <w:szCs w:val="16"/>
          <w:lang w:val="en-GB"/>
        </w:rPr>
        <w:t xml:space="preserve"> years and the average yield 4.6</w:t>
      </w:r>
      <w:r w:rsidRPr="000666B4">
        <w:rPr>
          <w:sz w:val="16"/>
          <w:szCs w:val="16"/>
          <w:lang w:val="en-GB"/>
        </w:rPr>
        <w:t xml:space="preserve">% p. </w:t>
      </w:r>
      <w:r>
        <w:rPr>
          <w:sz w:val="16"/>
          <w:szCs w:val="16"/>
          <w:lang w:val="en-GB"/>
        </w:rPr>
        <w:t>p</w:t>
      </w:r>
      <w:r w:rsidRPr="000666B4">
        <w:rPr>
          <w:sz w:val="16"/>
          <w:szCs w:val="16"/>
          <w:lang w:val="en-GB"/>
        </w:rPr>
        <w:t xml:space="preserve">.). </w:t>
      </w:r>
      <w:r>
        <w:rPr>
          <w:sz w:val="16"/>
          <w:szCs w:val="16"/>
          <w:lang w:val="en-GB"/>
        </w:rPr>
        <w:t xml:space="preserve">Net issue of medium term and long term bonds </w:t>
      </w:r>
      <w:r w:rsidRPr="000666B4">
        <w:rPr>
          <w:sz w:val="16"/>
          <w:szCs w:val="16"/>
          <w:lang w:val="en-GB"/>
        </w:rPr>
        <w:t>(</w:t>
      </w:r>
      <w:r>
        <w:rPr>
          <w:sz w:val="16"/>
          <w:szCs w:val="16"/>
          <w:lang w:val="en-GB"/>
        </w:rPr>
        <w:t>after deduction of realised repayments</w:t>
      </w:r>
      <w:r w:rsidRPr="000666B4">
        <w:rPr>
          <w:sz w:val="16"/>
          <w:szCs w:val="16"/>
          <w:lang w:val="en-GB"/>
        </w:rPr>
        <w:t>)</w:t>
      </w:r>
      <w:r>
        <w:rPr>
          <w:sz w:val="16"/>
          <w:szCs w:val="16"/>
          <w:lang w:val="en-GB"/>
        </w:rPr>
        <w:t xml:space="preserve"> totalled </w:t>
      </w:r>
      <w:r w:rsidRPr="000666B4">
        <w:rPr>
          <w:sz w:val="16"/>
          <w:szCs w:val="16"/>
          <w:lang w:val="en-GB"/>
        </w:rPr>
        <w:t>142</w:t>
      </w:r>
      <w:r>
        <w:rPr>
          <w:sz w:val="16"/>
          <w:szCs w:val="16"/>
          <w:lang w:val="en-GB"/>
        </w:rPr>
        <w:t xml:space="preserve"> CZK bn so far this year</w:t>
      </w:r>
      <w:r w:rsidRPr="000666B4">
        <w:rPr>
          <w:sz w:val="16"/>
          <w:szCs w:val="16"/>
          <w:lang w:val="en-GB"/>
        </w:rPr>
        <w:t>.</w:t>
      </w:r>
      <w:r>
        <w:rPr>
          <w:sz w:val="16"/>
          <w:szCs w:val="16"/>
          <w:lang w:val="en-GB"/>
        </w:rPr>
        <w:t xml:space="preserve"> The value of all domestic state bonds in circulation </w:t>
      </w:r>
      <w:r w:rsidRPr="000666B4">
        <w:rPr>
          <w:spacing w:val="-4"/>
          <w:sz w:val="16"/>
          <w:szCs w:val="16"/>
          <w:lang w:val="en-GB"/>
        </w:rPr>
        <w:t>(</w:t>
      </w:r>
      <w:r>
        <w:rPr>
          <w:spacing w:val="-4"/>
          <w:sz w:val="16"/>
          <w:szCs w:val="16"/>
          <w:lang w:val="en-GB"/>
        </w:rPr>
        <w:t>also including state treasury bills</w:t>
      </w:r>
      <w:r w:rsidRPr="000666B4">
        <w:rPr>
          <w:spacing w:val="-4"/>
          <w:sz w:val="16"/>
          <w:szCs w:val="16"/>
          <w:lang w:val="en-GB"/>
        </w:rPr>
        <w:t>)</w:t>
      </w:r>
      <w:r>
        <w:rPr>
          <w:spacing w:val="-4"/>
          <w:sz w:val="16"/>
          <w:szCs w:val="16"/>
          <w:lang w:val="en-GB"/>
        </w:rPr>
        <w:t xml:space="preserve"> climbed up to </w:t>
      </w:r>
      <w:r w:rsidRPr="000666B4">
        <w:rPr>
          <w:spacing w:val="-4"/>
          <w:sz w:val="16"/>
          <w:szCs w:val="16"/>
          <w:lang w:val="en-GB"/>
        </w:rPr>
        <w:t>2</w:t>
      </w:r>
      <w:r>
        <w:rPr>
          <w:spacing w:val="-4"/>
          <w:sz w:val="16"/>
          <w:szCs w:val="16"/>
          <w:lang w:val="en-GB"/>
        </w:rPr>
        <w:t> </w:t>
      </w:r>
      <w:r w:rsidRPr="000666B4">
        <w:rPr>
          <w:spacing w:val="-4"/>
          <w:sz w:val="16"/>
          <w:szCs w:val="16"/>
          <w:lang w:val="en-GB"/>
        </w:rPr>
        <w:t>868</w:t>
      </w:r>
      <w:r>
        <w:rPr>
          <w:spacing w:val="-4"/>
          <w:sz w:val="16"/>
          <w:szCs w:val="16"/>
          <w:lang w:val="en-GB"/>
        </w:rPr>
        <w:t xml:space="preserve"> CZK bn this year at the end of June</w:t>
      </w:r>
      <w:r w:rsidRPr="000666B4">
        <w:rPr>
          <w:spacing w:val="-4"/>
          <w:sz w:val="16"/>
          <w:szCs w:val="16"/>
          <w:lang w:val="en-GB"/>
        </w:rPr>
        <w:t>.</w:t>
      </w:r>
      <w:r>
        <w:rPr>
          <w:spacing w:val="-4"/>
          <w:sz w:val="16"/>
          <w:szCs w:val="16"/>
          <w:lang w:val="en-GB"/>
        </w:rPr>
        <w:t xml:space="preserve"> In that </w:t>
      </w:r>
      <w:r w:rsidRPr="000666B4">
        <w:rPr>
          <w:spacing w:val="-4"/>
          <w:sz w:val="16"/>
          <w:szCs w:val="16"/>
          <w:lang w:val="en-GB"/>
        </w:rPr>
        <w:t>27</w:t>
      </w:r>
      <w:r>
        <w:rPr>
          <w:spacing w:val="-4"/>
          <w:sz w:val="16"/>
          <w:szCs w:val="16"/>
          <w:lang w:val="en-GB"/>
        </w:rPr>
        <w:t>.</w:t>
      </w:r>
      <w:r w:rsidRPr="000666B4">
        <w:rPr>
          <w:spacing w:val="-4"/>
          <w:sz w:val="16"/>
          <w:szCs w:val="16"/>
          <w:lang w:val="en-GB"/>
        </w:rPr>
        <w:t>9%</w:t>
      </w:r>
      <w:r>
        <w:rPr>
          <w:spacing w:val="-4"/>
          <w:sz w:val="16"/>
          <w:szCs w:val="16"/>
          <w:lang w:val="en-GB"/>
        </w:rPr>
        <w:t xml:space="preserve"> was held by non-residents, 6</w:t>
      </w:r>
      <w:r w:rsidRPr="000666B4">
        <w:rPr>
          <w:spacing w:val="-4"/>
          <w:sz w:val="16"/>
          <w:szCs w:val="16"/>
          <w:lang w:val="en-GB"/>
        </w:rPr>
        <w:t>5</w:t>
      </w:r>
      <w:r>
        <w:rPr>
          <w:spacing w:val="-4"/>
          <w:sz w:val="16"/>
          <w:szCs w:val="16"/>
          <w:lang w:val="en-GB"/>
        </w:rPr>
        <w:t>.</w:t>
      </w:r>
      <w:r w:rsidRPr="000666B4">
        <w:rPr>
          <w:spacing w:val="-4"/>
          <w:sz w:val="16"/>
          <w:szCs w:val="16"/>
          <w:lang w:val="en-GB"/>
        </w:rPr>
        <w:t xml:space="preserve">9% </w:t>
      </w:r>
      <w:r>
        <w:rPr>
          <w:spacing w:val="-4"/>
          <w:sz w:val="16"/>
          <w:szCs w:val="16"/>
          <w:lang w:val="en-GB"/>
        </w:rPr>
        <w:t xml:space="preserve">belonged to domestic financial institutions </w:t>
      </w:r>
      <w:r w:rsidRPr="000666B4">
        <w:rPr>
          <w:spacing w:val="-4"/>
          <w:sz w:val="16"/>
          <w:szCs w:val="16"/>
          <w:lang w:val="en-GB"/>
        </w:rPr>
        <w:t>(</w:t>
      </w:r>
      <w:r>
        <w:rPr>
          <w:spacing w:val="-4"/>
          <w:sz w:val="16"/>
          <w:szCs w:val="16"/>
          <w:lang w:val="en-GB"/>
        </w:rPr>
        <w:t>mainly banks and pension funds</w:t>
      </w:r>
      <w:r w:rsidRPr="000666B4">
        <w:rPr>
          <w:spacing w:val="-4"/>
          <w:sz w:val="16"/>
          <w:szCs w:val="16"/>
          <w:lang w:val="en-GB"/>
        </w:rPr>
        <w:t xml:space="preserve">), </w:t>
      </w:r>
      <w:r>
        <w:rPr>
          <w:spacing w:val="-4"/>
          <w:sz w:val="16"/>
          <w:szCs w:val="16"/>
          <w:lang w:val="en-GB"/>
        </w:rPr>
        <w:t xml:space="preserve">households further owned more significant share </w:t>
      </w:r>
      <w:r w:rsidRPr="000666B4">
        <w:rPr>
          <w:spacing w:val="-4"/>
          <w:sz w:val="16"/>
          <w:szCs w:val="16"/>
          <w:lang w:val="en-GB"/>
        </w:rPr>
        <w:t>(3</w:t>
      </w:r>
      <w:r>
        <w:rPr>
          <w:spacing w:val="-4"/>
          <w:sz w:val="16"/>
          <w:szCs w:val="16"/>
          <w:lang w:val="en-GB"/>
        </w:rPr>
        <w:t>.</w:t>
      </w:r>
      <w:r w:rsidRPr="000666B4">
        <w:rPr>
          <w:spacing w:val="-4"/>
          <w:sz w:val="16"/>
          <w:szCs w:val="16"/>
          <w:lang w:val="en-GB"/>
        </w:rPr>
        <w:t>7%).</w:t>
      </w:r>
    </w:p>
  </w:footnote>
  <w:footnote w:id="24">
    <w:p w14:paraId="03DB6A11" w14:textId="200D003C" w:rsidR="008C5AA7" w:rsidRPr="000666B4" w:rsidRDefault="008C5AA7" w:rsidP="0020044C">
      <w:pPr>
        <w:pStyle w:val="Textpoznpodarou"/>
        <w:jc w:val="both"/>
        <w:rPr>
          <w:sz w:val="16"/>
          <w:szCs w:val="16"/>
          <w:lang w:val="en-GB"/>
        </w:rPr>
      </w:pPr>
      <w:r w:rsidRPr="000666B4">
        <w:rPr>
          <w:rStyle w:val="Znakapoznpodarou"/>
          <w:sz w:val="16"/>
          <w:szCs w:val="16"/>
          <w:lang w:val="en-GB"/>
        </w:rPr>
        <w:footnoteRef/>
      </w:r>
      <w:r w:rsidRPr="000666B4">
        <w:rPr>
          <w:sz w:val="16"/>
          <w:szCs w:val="16"/>
          <w:lang w:val="en-GB"/>
        </w:rPr>
        <w:t xml:space="preserve"> The external indebtedness shared on the total state debt from only 5.9% at the end of this year’s June. </w:t>
      </w:r>
    </w:p>
  </w:footnote>
  <w:footnote w:id="25">
    <w:p w14:paraId="654D19C9" w14:textId="77777777" w:rsidR="008C5AA7" w:rsidRPr="000666B4" w:rsidRDefault="008C5AA7" w:rsidP="00230EF0">
      <w:pPr>
        <w:pStyle w:val="Textpoznpodarou"/>
        <w:jc w:val="both"/>
        <w:rPr>
          <w:sz w:val="16"/>
          <w:szCs w:val="16"/>
          <w:lang w:val="en-GB"/>
        </w:rPr>
      </w:pPr>
      <w:r w:rsidRPr="000666B4">
        <w:rPr>
          <w:rStyle w:val="Znakapoznpodarou"/>
          <w:sz w:val="16"/>
          <w:szCs w:val="16"/>
          <w:lang w:val="en-GB"/>
        </w:rPr>
        <w:footnoteRef/>
      </w:r>
      <w:r w:rsidRPr="000666B4">
        <w:rPr>
          <w:sz w:val="16"/>
          <w:szCs w:val="16"/>
          <w:lang w:val="en-GB"/>
        </w:rPr>
        <w:t xml:space="preserve"> Unless stated otherwise, data given below regarding the budget of sector VI are expressed without seasonal adjustment. </w:t>
      </w:r>
    </w:p>
  </w:footnote>
  <w:footnote w:id="26">
    <w:p w14:paraId="23E8AD25" w14:textId="77777777" w:rsidR="008C5AA7" w:rsidRPr="000666B4" w:rsidRDefault="008C5AA7" w:rsidP="0088588B">
      <w:pPr>
        <w:pStyle w:val="Textpoznpodarou"/>
        <w:jc w:val="both"/>
        <w:rPr>
          <w:sz w:val="16"/>
          <w:szCs w:val="16"/>
          <w:lang w:val="en-GB"/>
        </w:rPr>
      </w:pPr>
      <w:r w:rsidRPr="000666B4">
        <w:rPr>
          <w:rStyle w:val="Znakapoznpodarou"/>
          <w:sz w:val="16"/>
          <w:szCs w:val="16"/>
          <w:lang w:val="en-GB"/>
        </w:rPr>
        <w:footnoteRef/>
      </w:r>
      <w:r w:rsidRPr="000666B4">
        <w:rPr>
          <w:sz w:val="16"/>
          <w:szCs w:val="16"/>
          <w:lang w:val="en-GB"/>
        </w:rPr>
        <w:t xml:space="preserve"> Data regarding the budget of government institutions for Q2 2023 will be published by the CZSO on 2</w:t>
      </w:r>
      <w:r w:rsidRPr="000666B4">
        <w:rPr>
          <w:sz w:val="16"/>
          <w:szCs w:val="16"/>
          <w:vertAlign w:val="superscript"/>
          <w:lang w:val="en-GB"/>
        </w:rPr>
        <w:t>nd</w:t>
      </w:r>
      <w:r w:rsidRPr="000666B4">
        <w:rPr>
          <w:sz w:val="16"/>
          <w:szCs w:val="16"/>
          <w:lang w:val="en-GB"/>
        </w:rPr>
        <w:t xml:space="preserve"> October 2023, Eurostat then on 23</w:t>
      </w:r>
      <w:r w:rsidRPr="000666B4">
        <w:rPr>
          <w:sz w:val="16"/>
          <w:szCs w:val="16"/>
          <w:vertAlign w:val="superscript"/>
          <w:lang w:val="en-GB"/>
        </w:rPr>
        <w:t>rd</w:t>
      </w:r>
      <w:r w:rsidRPr="000666B4">
        <w:rPr>
          <w:sz w:val="16"/>
          <w:szCs w:val="16"/>
          <w:lang w:val="en-GB"/>
        </w:rPr>
        <w:t xml:space="preserve"> October 2023. More detailed assessment of the domestic development for Q1 2023 is contained in the publication </w:t>
      </w:r>
      <w:r w:rsidRPr="000666B4">
        <w:rPr>
          <w:i/>
          <w:iCs/>
          <w:sz w:val="16"/>
          <w:szCs w:val="16"/>
          <w:lang w:val="en-GB"/>
        </w:rPr>
        <w:t xml:space="preserve">Analysis of the sector accounts: </w:t>
      </w:r>
      <w:r w:rsidRPr="000666B4">
        <w:rPr>
          <w:rStyle w:val="Hypertextovodkaz"/>
          <w:sz w:val="16"/>
          <w:szCs w:val="16"/>
          <w:lang w:val="en-GB"/>
        </w:rPr>
        <w:t>https://www.czso.cz/csu/czso/cri/analyza-ctvrtletnich-sektorovych-uctu-1-ctvrtleti-2023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1AB3" w14:textId="4DEBDFFB" w:rsidR="008C5AA7" w:rsidRPr="00314B30" w:rsidRDefault="008C5AA7" w:rsidP="00937AE2">
    <w:pPr>
      <w:pStyle w:val="Zhlav"/>
      <w:rPr>
        <w:lang w:val="en-GB"/>
      </w:rPr>
    </w:pPr>
    <w:r w:rsidRPr="00314B30">
      <w:rPr>
        <w:lang w:val="en-GB"/>
      </w:rP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5385DC29" w:rsidR="008C5AA7" w:rsidRPr="00E37097" w:rsidRDefault="008C5AA7" w:rsidP="00937AE2">
    <w:pPr>
      <w:pStyle w:val="Zhlav"/>
      <w:rPr>
        <w:lang w:val="en-GB"/>
      </w:rPr>
    </w:pPr>
    <w:r w:rsidRPr="00E37097">
      <w:rPr>
        <w:lang w:val="en-GB"/>
      </w:rPr>
      <w:t>The Czech Economy Development</w:t>
    </w:r>
  </w:p>
  <w:p w14:paraId="57266714" w14:textId="77777777" w:rsidR="008C5AA7" w:rsidRPr="006F5416" w:rsidRDefault="008C5A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02B"/>
    <w:rsid w:val="000005AF"/>
    <w:rsid w:val="00000994"/>
    <w:rsid w:val="00000B55"/>
    <w:rsid w:val="0000172F"/>
    <w:rsid w:val="000017E7"/>
    <w:rsid w:val="0000209D"/>
    <w:rsid w:val="00002275"/>
    <w:rsid w:val="00002538"/>
    <w:rsid w:val="00002566"/>
    <w:rsid w:val="00002C8F"/>
    <w:rsid w:val="0000370A"/>
    <w:rsid w:val="00003849"/>
    <w:rsid w:val="00003F5C"/>
    <w:rsid w:val="000045C4"/>
    <w:rsid w:val="0000468A"/>
    <w:rsid w:val="00004D5A"/>
    <w:rsid w:val="00004F7F"/>
    <w:rsid w:val="00005219"/>
    <w:rsid w:val="000056D5"/>
    <w:rsid w:val="000056DD"/>
    <w:rsid w:val="0000594E"/>
    <w:rsid w:val="00005D9E"/>
    <w:rsid w:val="0000614B"/>
    <w:rsid w:val="000063D5"/>
    <w:rsid w:val="00006625"/>
    <w:rsid w:val="00006899"/>
    <w:rsid w:val="00006ABD"/>
    <w:rsid w:val="00006B67"/>
    <w:rsid w:val="00006C0B"/>
    <w:rsid w:val="000073A0"/>
    <w:rsid w:val="0000767A"/>
    <w:rsid w:val="0000771A"/>
    <w:rsid w:val="00007ABE"/>
    <w:rsid w:val="00010107"/>
    <w:rsid w:val="00010256"/>
    <w:rsid w:val="000102D9"/>
    <w:rsid w:val="00010702"/>
    <w:rsid w:val="000107F8"/>
    <w:rsid w:val="0001083F"/>
    <w:rsid w:val="00010A2C"/>
    <w:rsid w:val="0001128E"/>
    <w:rsid w:val="00011539"/>
    <w:rsid w:val="00011912"/>
    <w:rsid w:val="000124E7"/>
    <w:rsid w:val="0001261C"/>
    <w:rsid w:val="000129B7"/>
    <w:rsid w:val="0001387D"/>
    <w:rsid w:val="00013C4C"/>
    <w:rsid w:val="0001466D"/>
    <w:rsid w:val="00014731"/>
    <w:rsid w:val="00014898"/>
    <w:rsid w:val="00014B9D"/>
    <w:rsid w:val="00014ED0"/>
    <w:rsid w:val="00015DEB"/>
    <w:rsid w:val="00016420"/>
    <w:rsid w:val="00016423"/>
    <w:rsid w:val="00016BDB"/>
    <w:rsid w:val="00017407"/>
    <w:rsid w:val="0001799A"/>
    <w:rsid w:val="00017B01"/>
    <w:rsid w:val="000200BE"/>
    <w:rsid w:val="000205D1"/>
    <w:rsid w:val="00020782"/>
    <w:rsid w:val="000207D3"/>
    <w:rsid w:val="00020950"/>
    <w:rsid w:val="00020F22"/>
    <w:rsid w:val="0002195D"/>
    <w:rsid w:val="00021F9B"/>
    <w:rsid w:val="000228AE"/>
    <w:rsid w:val="000233D1"/>
    <w:rsid w:val="000234D6"/>
    <w:rsid w:val="00023985"/>
    <w:rsid w:val="00023D29"/>
    <w:rsid w:val="00024348"/>
    <w:rsid w:val="000245D6"/>
    <w:rsid w:val="00024D0A"/>
    <w:rsid w:val="00025664"/>
    <w:rsid w:val="00025A00"/>
    <w:rsid w:val="000260D2"/>
    <w:rsid w:val="00026109"/>
    <w:rsid w:val="0002622B"/>
    <w:rsid w:val="00026389"/>
    <w:rsid w:val="0002669F"/>
    <w:rsid w:val="00026F76"/>
    <w:rsid w:val="000279E5"/>
    <w:rsid w:val="00027C33"/>
    <w:rsid w:val="000305E0"/>
    <w:rsid w:val="00030A12"/>
    <w:rsid w:val="000317F0"/>
    <w:rsid w:val="00031AE0"/>
    <w:rsid w:val="00031BB2"/>
    <w:rsid w:val="000322EF"/>
    <w:rsid w:val="000328F0"/>
    <w:rsid w:val="00033605"/>
    <w:rsid w:val="00033BFC"/>
    <w:rsid w:val="00033FCD"/>
    <w:rsid w:val="000348AF"/>
    <w:rsid w:val="00034B70"/>
    <w:rsid w:val="00034DF7"/>
    <w:rsid w:val="00034E68"/>
    <w:rsid w:val="000350C8"/>
    <w:rsid w:val="00035B6F"/>
    <w:rsid w:val="00035C7C"/>
    <w:rsid w:val="00036098"/>
    <w:rsid w:val="00036195"/>
    <w:rsid w:val="00036817"/>
    <w:rsid w:val="000374B2"/>
    <w:rsid w:val="000376C0"/>
    <w:rsid w:val="000403A7"/>
    <w:rsid w:val="00040632"/>
    <w:rsid w:val="00040E53"/>
    <w:rsid w:val="0004131B"/>
    <w:rsid w:val="00041AFC"/>
    <w:rsid w:val="00041CEC"/>
    <w:rsid w:val="00041D02"/>
    <w:rsid w:val="00042596"/>
    <w:rsid w:val="00042A4A"/>
    <w:rsid w:val="00044183"/>
    <w:rsid w:val="0004428D"/>
    <w:rsid w:val="0004431D"/>
    <w:rsid w:val="00044AAC"/>
    <w:rsid w:val="00045447"/>
    <w:rsid w:val="0004694F"/>
    <w:rsid w:val="0004695D"/>
    <w:rsid w:val="00046F2F"/>
    <w:rsid w:val="00047AD4"/>
    <w:rsid w:val="00047BAF"/>
    <w:rsid w:val="00047C70"/>
    <w:rsid w:val="00047D54"/>
    <w:rsid w:val="00047ED0"/>
    <w:rsid w:val="00050541"/>
    <w:rsid w:val="0005054A"/>
    <w:rsid w:val="00050A87"/>
    <w:rsid w:val="00050AFA"/>
    <w:rsid w:val="00051506"/>
    <w:rsid w:val="000522E4"/>
    <w:rsid w:val="00053713"/>
    <w:rsid w:val="0005434E"/>
    <w:rsid w:val="00055CB6"/>
    <w:rsid w:val="000572DD"/>
    <w:rsid w:val="00057B1E"/>
    <w:rsid w:val="00057D0F"/>
    <w:rsid w:val="00060195"/>
    <w:rsid w:val="0006033F"/>
    <w:rsid w:val="00060425"/>
    <w:rsid w:val="00060821"/>
    <w:rsid w:val="00060F88"/>
    <w:rsid w:val="000610E1"/>
    <w:rsid w:val="0006145F"/>
    <w:rsid w:val="000616AD"/>
    <w:rsid w:val="0006210C"/>
    <w:rsid w:val="000622A6"/>
    <w:rsid w:val="000627BD"/>
    <w:rsid w:val="00062A8F"/>
    <w:rsid w:val="00062C40"/>
    <w:rsid w:val="00062D70"/>
    <w:rsid w:val="00062E83"/>
    <w:rsid w:val="00062EC5"/>
    <w:rsid w:val="00062F22"/>
    <w:rsid w:val="0006375F"/>
    <w:rsid w:val="00063975"/>
    <w:rsid w:val="00063CEA"/>
    <w:rsid w:val="0006444D"/>
    <w:rsid w:val="000645FC"/>
    <w:rsid w:val="00064886"/>
    <w:rsid w:val="00065296"/>
    <w:rsid w:val="0006533F"/>
    <w:rsid w:val="00065348"/>
    <w:rsid w:val="00065406"/>
    <w:rsid w:val="0006551C"/>
    <w:rsid w:val="00065539"/>
    <w:rsid w:val="0006558D"/>
    <w:rsid w:val="00065907"/>
    <w:rsid w:val="00065910"/>
    <w:rsid w:val="00065A75"/>
    <w:rsid w:val="00065BAA"/>
    <w:rsid w:val="000663F0"/>
    <w:rsid w:val="00066558"/>
    <w:rsid w:val="000666B4"/>
    <w:rsid w:val="000671DB"/>
    <w:rsid w:val="00067833"/>
    <w:rsid w:val="00067982"/>
    <w:rsid w:val="00070A87"/>
    <w:rsid w:val="00070F6B"/>
    <w:rsid w:val="000711D6"/>
    <w:rsid w:val="000712B3"/>
    <w:rsid w:val="000715E5"/>
    <w:rsid w:val="00071A7C"/>
    <w:rsid w:val="00071E38"/>
    <w:rsid w:val="00071F50"/>
    <w:rsid w:val="00071FDC"/>
    <w:rsid w:val="000722A6"/>
    <w:rsid w:val="000725A8"/>
    <w:rsid w:val="00072829"/>
    <w:rsid w:val="00072FF5"/>
    <w:rsid w:val="00073065"/>
    <w:rsid w:val="00073A5A"/>
    <w:rsid w:val="00074588"/>
    <w:rsid w:val="0007471C"/>
    <w:rsid w:val="0007474E"/>
    <w:rsid w:val="00074988"/>
    <w:rsid w:val="0007512B"/>
    <w:rsid w:val="000751FF"/>
    <w:rsid w:val="00075551"/>
    <w:rsid w:val="00075DB8"/>
    <w:rsid w:val="000761CA"/>
    <w:rsid w:val="000763FD"/>
    <w:rsid w:val="000767F5"/>
    <w:rsid w:val="00076D90"/>
    <w:rsid w:val="000779E7"/>
    <w:rsid w:val="00077FF0"/>
    <w:rsid w:val="00081206"/>
    <w:rsid w:val="0008185C"/>
    <w:rsid w:val="00081A55"/>
    <w:rsid w:val="0008263E"/>
    <w:rsid w:val="00082C19"/>
    <w:rsid w:val="00082F89"/>
    <w:rsid w:val="00083457"/>
    <w:rsid w:val="000834ED"/>
    <w:rsid w:val="000837CD"/>
    <w:rsid w:val="00083B7F"/>
    <w:rsid w:val="0008454D"/>
    <w:rsid w:val="00084BFF"/>
    <w:rsid w:val="000851B8"/>
    <w:rsid w:val="00085395"/>
    <w:rsid w:val="0008629F"/>
    <w:rsid w:val="00086896"/>
    <w:rsid w:val="00086AC1"/>
    <w:rsid w:val="00086D19"/>
    <w:rsid w:val="00087634"/>
    <w:rsid w:val="00087EB4"/>
    <w:rsid w:val="00087F2B"/>
    <w:rsid w:val="00090694"/>
    <w:rsid w:val="00090EE2"/>
    <w:rsid w:val="00090FC6"/>
    <w:rsid w:val="0009122C"/>
    <w:rsid w:val="000913B1"/>
    <w:rsid w:val="00091F2E"/>
    <w:rsid w:val="0009210B"/>
    <w:rsid w:val="0009290F"/>
    <w:rsid w:val="00093241"/>
    <w:rsid w:val="00093868"/>
    <w:rsid w:val="00094A84"/>
    <w:rsid w:val="00095025"/>
    <w:rsid w:val="00095135"/>
    <w:rsid w:val="00095152"/>
    <w:rsid w:val="00095360"/>
    <w:rsid w:val="0009581D"/>
    <w:rsid w:val="00095CE0"/>
    <w:rsid w:val="000961E8"/>
    <w:rsid w:val="0009626E"/>
    <w:rsid w:val="0009644D"/>
    <w:rsid w:val="00096B52"/>
    <w:rsid w:val="0009709E"/>
    <w:rsid w:val="00097191"/>
    <w:rsid w:val="000974D1"/>
    <w:rsid w:val="00097784"/>
    <w:rsid w:val="0009799E"/>
    <w:rsid w:val="000A01E8"/>
    <w:rsid w:val="000A07CB"/>
    <w:rsid w:val="000A0BC0"/>
    <w:rsid w:val="000A1183"/>
    <w:rsid w:val="000A12ED"/>
    <w:rsid w:val="000A1B1A"/>
    <w:rsid w:val="000A1D49"/>
    <w:rsid w:val="000A212B"/>
    <w:rsid w:val="000A242D"/>
    <w:rsid w:val="000A256D"/>
    <w:rsid w:val="000A2643"/>
    <w:rsid w:val="000A2E5F"/>
    <w:rsid w:val="000A34B6"/>
    <w:rsid w:val="000A385C"/>
    <w:rsid w:val="000A3A2C"/>
    <w:rsid w:val="000A3D9E"/>
    <w:rsid w:val="000A44A7"/>
    <w:rsid w:val="000A4A54"/>
    <w:rsid w:val="000A4E47"/>
    <w:rsid w:val="000A4ED9"/>
    <w:rsid w:val="000A5DB7"/>
    <w:rsid w:val="000A6546"/>
    <w:rsid w:val="000A6753"/>
    <w:rsid w:val="000A6764"/>
    <w:rsid w:val="000A6D94"/>
    <w:rsid w:val="000A6DB7"/>
    <w:rsid w:val="000A70CD"/>
    <w:rsid w:val="000A72BC"/>
    <w:rsid w:val="000A7377"/>
    <w:rsid w:val="000A74A4"/>
    <w:rsid w:val="000A775A"/>
    <w:rsid w:val="000A7D63"/>
    <w:rsid w:val="000A7FF4"/>
    <w:rsid w:val="000B03CC"/>
    <w:rsid w:val="000B311B"/>
    <w:rsid w:val="000B382D"/>
    <w:rsid w:val="000B410B"/>
    <w:rsid w:val="000B4212"/>
    <w:rsid w:val="000B5E32"/>
    <w:rsid w:val="000B617A"/>
    <w:rsid w:val="000B61FF"/>
    <w:rsid w:val="000B67B7"/>
    <w:rsid w:val="000B6A0A"/>
    <w:rsid w:val="000B7BBB"/>
    <w:rsid w:val="000B7F46"/>
    <w:rsid w:val="000C0127"/>
    <w:rsid w:val="000C08B1"/>
    <w:rsid w:val="000C0CA6"/>
    <w:rsid w:val="000C0EA8"/>
    <w:rsid w:val="000C0FFC"/>
    <w:rsid w:val="000C13A2"/>
    <w:rsid w:val="000C18ED"/>
    <w:rsid w:val="000C1948"/>
    <w:rsid w:val="000C1D27"/>
    <w:rsid w:val="000C1D64"/>
    <w:rsid w:val="000C21E7"/>
    <w:rsid w:val="000C23EC"/>
    <w:rsid w:val="000C26A2"/>
    <w:rsid w:val="000C290E"/>
    <w:rsid w:val="000C30C3"/>
    <w:rsid w:val="000C3408"/>
    <w:rsid w:val="000C35AB"/>
    <w:rsid w:val="000C3988"/>
    <w:rsid w:val="000C3F7B"/>
    <w:rsid w:val="000C4769"/>
    <w:rsid w:val="000C4D56"/>
    <w:rsid w:val="000C5DFA"/>
    <w:rsid w:val="000C6AFD"/>
    <w:rsid w:val="000C6C90"/>
    <w:rsid w:val="000C7030"/>
    <w:rsid w:val="000C72B7"/>
    <w:rsid w:val="000C7757"/>
    <w:rsid w:val="000C7A79"/>
    <w:rsid w:val="000C7A83"/>
    <w:rsid w:val="000D0300"/>
    <w:rsid w:val="000D0A26"/>
    <w:rsid w:val="000D13CB"/>
    <w:rsid w:val="000D2196"/>
    <w:rsid w:val="000D2854"/>
    <w:rsid w:val="000D2C2E"/>
    <w:rsid w:val="000D2F4C"/>
    <w:rsid w:val="000D3058"/>
    <w:rsid w:val="000D310A"/>
    <w:rsid w:val="000D3EF4"/>
    <w:rsid w:val="000D4341"/>
    <w:rsid w:val="000D4761"/>
    <w:rsid w:val="000D4DC0"/>
    <w:rsid w:val="000D55BA"/>
    <w:rsid w:val="000D5637"/>
    <w:rsid w:val="000D5A03"/>
    <w:rsid w:val="000D5ED3"/>
    <w:rsid w:val="000D6028"/>
    <w:rsid w:val="000D6F4E"/>
    <w:rsid w:val="000D6FDA"/>
    <w:rsid w:val="000D73BB"/>
    <w:rsid w:val="000D7AC7"/>
    <w:rsid w:val="000D7DC0"/>
    <w:rsid w:val="000E04FD"/>
    <w:rsid w:val="000E0E96"/>
    <w:rsid w:val="000E12B0"/>
    <w:rsid w:val="000E1B49"/>
    <w:rsid w:val="000E1DDC"/>
    <w:rsid w:val="000E298B"/>
    <w:rsid w:val="000E2C7D"/>
    <w:rsid w:val="000E3E56"/>
    <w:rsid w:val="000E440D"/>
    <w:rsid w:val="000E4AC5"/>
    <w:rsid w:val="000E542C"/>
    <w:rsid w:val="000E57A8"/>
    <w:rsid w:val="000E6253"/>
    <w:rsid w:val="000E6AC4"/>
    <w:rsid w:val="000E6E4D"/>
    <w:rsid w:val="000E6EBE"/>
    <w:rsid w:val="000E6FBD"/>
    <w:rsid w:val="000E6FCB"/>
    <w:rsid w:val="000E7F98"/>
    <w:rsid w:val="000F090B"/>
    <w:rsid w:val="000F0D9A"/>
    <w:rsid w:val="000F0E60"/>
    <w:rsid w:val="000F1174"/>
    <w:rsid w:val="000F15F7"/>
    <w:rsid w:val="000F1654"/>
    <w:rsid w:val="000F1AA2"/>
    <w:rsid w:val="000F240E"/>
    <w:rsid w:val="000F378E"/>
    <w:rsid w:val="000F3B04"/>
    <w:rsid w:val="000F3CB6"/>
    <w:rsid w:val="000F3F3B"/>
    <w:rsid w:val="000F4721"/>
    <w:rsid w:val="000F47E8"/>
    <w:rsid w:val="000F5A6A"/>
    <w:rsid w:val="000F656A"/>
    <w:rsid w:val="000F6A76"/>
    <w:rsid w:val="000F6B09"/>
    <w:rsid w:val="000F70E4"/>
    <w:rsid w:val="000F76EA"/>
    <w:rsid w:val="0010034B"/>
    <w:rsid w:val="00100A8B"/>
    <w:rsid w:val="00100F5C"/>
    <w:rsid w:val="00100FBC"/>
    <w:rsid w:val="00101B15"/>
    <w:rsid w:val="00101CDA"/>
    <w:rsid w:val="0010200A"/>
    <w:rsid w:val="00102037"/>
    <w:rsid w:val="001022D3"/>
    <w:rsid w:val="00102815"/>
    <w:rsid w:val="00103DCB"/>
    <w:rsid w:val="00103DE1"/>
    <w:rsid w:val="00104C4C"/>
    <w:rsid w:val="00105015"/>
    <w:rsid w:val="001055D2"/>
    <w:rsid w:val="00105643"/>
    <w:rsid w:val="001057C2"/>
    <w:rsid w:val="00106BCC"/>
    <w:rsid w:val="00107124"/>
    <w:rsid w:val="00107DE1"/>
    <w:rsid w:val="0011038E"/>
    <w:rsid w:val="0011053F"/>
    <w:rsid w:val="00110A76"/>
    <w:rsid w:val="00111573"/>
    <w:rsid w:val="00111BBB"/>
    <w:rsid w:val="00111F64"/>
    <w:rsid w:val="00112370"/>
    <w:rsid w:val="0011239B"/>
    <w:rsid w:val="001125EF"/>
    <w:rsid w:val="00112CAB"/>
    <w:rsid w:val="00114349"/>
    <w:rsid w:val="0011440C"/>
    <w:rsid w:val="00114C33"/>
    <w:rsid w:val="00114D5B"/>
    <w:rsid w:val="00115553"/>
    <w:rsid w:val="00115CD6"/>
    <w:rsid w:val="00116ABE"/>
    <w:rsid w:val="00116D3F"/>
    <w:rsid w:val="00117474"/>
    <w:rsid w:val="00117623"/>
    <w:rsid w:val="00117FEA"/>
    <w:rsid w:val="001200CF"/>
    <w:rsid w:val="001208E3"/>
    <w:rsid w:val="00121609"/>
    <w:rsid w:val="0012192F"/>
    <w:rsid w:val="001221BD"/>
    <w:rsid w:val="0012267A"/>
    <w:rsid w:val="00122994"/>
    <w:rsid w:val="00123204"/>
    <w:rsid w:val="00124104"/>
    <w:rsid w:val="00124253"/>
    <w:rsid w:val="001242E7"/>
    <w:rsid w:val="00124B46"/>
    <w:rsid w:val="001255C8"/>
    <w:rsid w:val="001257BE"/>
    <w:rsid w:val="001257E0"/>
    <w:rsid w:val="00125D69"/>
    <w:rsid w:val="001263D2"/>
    <w:rsid w:val="00127256"/>
    <w:rsid w:val="001273CF"/>
    <w:rsid w:val="0012799C"/>
    <w:rsid w:val="00127BC2"/>
    <w:rsid w:val="00127E15"/>
    <w:rsid w:val="001308F1"/>
    <w:rsid w:val="00130ADC"/>
    <w:rsid w:val="00130D9F"/>
    <w:rsid w:val="001326DA"/>
    <w:rsid w:val="00132C4D"/>
    <w:rsid w:val="00133D0B"/>
    <w:rsid w:val="00133FC1"/>
    <w:rsid w:val="00134659"/>
    <w:rsid w:val="00134EF8"/>
    <w:rsid w:val="00135111"/>
    <w:rsid w:val="00135376"/>
    <w:rsid w:val="00135F90"/>
    <w:rsid w:val="0013645A"/>
    <w:rsid w:val="00136A6F"/>
    <w:rsid w:val="00136C1A"/>
    <w:rsid w:val="0013726F"/>
    <w:rsid w:val="00137812"/>
    <w:rsid w:val="001405FA"/>
    <w:rsid w:val="00140D1A"/>
    <w:rsid w:val="00140F93"/>
    <w:rsid w:val="00141184"/>
    <w:rsid w:val="00141315"/>
    <w:rsid w:val="0014152B"/>
    <w:rsid w:val="00141AA0"/>
    <w:rsid w:val="00141E9E"/>
    <w:rsid w:val="00142062"/>
    <w:rsid w:val="00142217"/>
    <w:rsid w:val="001425C3"/>
    <w:rsid w:val="0014262D"/>
    <w:rsid w:val="00142B29"/>
    <w:rsid w:val="00142E2D"/>
    <w:rsid w:val="00144108"/>
    <w:rsid w:val="00144588"/>
    <w:rsid w:val="001447DD"/>
    <w:rsid w:val="001448D8"/>
    <w:rsid w:val="0014517B"/>
    <w:rsid w:val="00145358"/>
    <w:rsid w:val="001458AC"/>
    <w:rsid w:val="001459BC"/>
    <w:rsid w:val="001467FC"/>
    <w:rsid w:val="0014779E"/>
    <w:rsid w:val="00147B13"/>
    <w:rsid w:val="00150ECA"/>
    <w:rsid w:val="0015108F"/>
    <w:rsid w:val="001515F8"/>
    <w:rsid w:val="00151707"/>
    <w:rsid w:val="0015212E"/>
    <w:rsid w:val="00152C86"/>
    <w:rsid w:val="00152F4F"/>
    <w:rsid w:val="00153264"/>
    <w:rsid w:val="0015329F"/>
    <w:rsid w:val="00154325"/>
    <w:rsid w:val="001544A1"/>
    <w:rsid w:val="001553B8"/>
    <w:rsid w:val="00155488"/>
    <w:rsid w:val="001554C2"/>
    <w:rsid w:val="00155882"/>
    <w:rsid w:val="00156B1D"/>
    <w:rsid w:val="00156D04"/>
    <w:rsid w:val="0015715B"/>
    <w:rsid w:val="001571C0"/>
    <w:rsid w:val="00157291"/>
    <w:rsid w:val="001574FE"/>
    <w:rsid w:val="0015753D"/>
    <w:rsid w:val="00157984"/>
    <w:rsid w:val="00157CC9"/>
    <w:rsid w:val="001602D3"/>
    <w:rsid w:val="00160C21"/>
    <w:rsid w:val="001612F4"/>
    <w:rsid w:val="00161553"/>
    <w:rsid w:val="0016187F"/>
    <w:rsid w:val="0016216F"/>
    <w:rsid w:val="0016256B"/>
    <w:rsid w:val="00162DAF"/>
    <w:rsid w:val="00162F81"/>
    <w:rsid w:val="0016311B"/>
    <w:rsid w:val="00163228"/>
    <w:rsid w:val="00163567"/>
    <w:rsid w:val="00163793"/>
    <w:rsid w:val="00163868"/>
    <w:rsid w:val="00163ACE"/>
    <w:rsid w:val="0016440C"/>
    <w:rsid w:val="001648A3"/>
    <w:rsid w:val="00164CA1"/>
    <w:rsid w:val="00164FC1"/>
    <w:rsid w:val="00165313"/>
    <w:rsid w:val="001659C3"/>
    <w:rsid w:val="001665AB"/>
    <w:rsid w:val="00167485"/>
    <w:rsid w:val="001679F5"/>
    <w:rsid w:val="00167B92"/>
    <w:rsid w:val="00167CB9"/>
    <w:rsid w:val="00167DD8"/>
    <w:rsid w:val="00170145"/>
    <w:rsid w:val="001705AD"/>
    <w:rsid w:val="001705ED"/>
    <w:rsid w:val="001706D6"/>
    <w:rsid w:val="0017141F"/>
    <w:rsid w:val="001714F2"/>
    <w:rsid w:val="001718E1"/>
    <w:rsid w:val="00171BA9"/>
    <w:rsid w:val="00171FEA"/>
    <w:rsid w:val="001729A5"/>
    <w:rsid w:val="00173622"/>
    <w:rsid w:val="00173B07"/>
    <w:rsid w:val="0017456C"/>
    <w:rsid w:val="00174AF8"/>
    <w:rsid w:val="001758F3"/>
    <w:rsid w:val="00175B9F"/>
    <w:rsid w:val="00175BF1"/>
    <w:rsid w:val="001762F4"/>
    <w:rsid w:val="001763F9"/>
    <w:rsid w:val="001777BA"/>
    <w:rsid w:val="001801F7"/>
    <w:rsid w:val="00181029"/>
    <w:rsid w:val="001819CB"/>
    <w:rsid w:val="00181BBC"/>
    <w:rsid w:val="0018253B"/>
    <w:rsid w:val="0018273F"/>
    <w:rsid w:val="0018305A"/>
    <w:rsid w:val="0018385F"/>
    <w:rsid w:val="00183BCF"/>
    <w:rsid w:val="00184017"/>
    <w:rsid w:val="001847BB"/>
    <w:rsid w:val="00184B08"/>
    <w:rsid w:val="00185010"/>
    <w:rsid w:val="001854F2"/>
    <w:rsid w:val="00185C22"/>
    <w:rsid w:val="00185C56"/>
    <w:rsid w:val="001869FD"/>
    <w:rsid w:val="00186BA9"/>
    <w:rsid w:val="00187D50"/>
    <w:rsid w:val="001909EA"/>
    <w:rsid w:val="00190B4D"/>
    <w:rsid w:val="001912A0"/>
    <w:rsid w:val="0019159C"/>
    <w:rsid w:val="001915BE"/>
    <w:rsid w:val="0019196C"/>
    <w:rsid w:val="001926A9"/>
    <w:rsid w:val="00192F05"/>
    <w:rsid w:val="00194729"/>
    <w:rsid w:val="00194850"/>
    <w:rsid w:val="00195234"/>
    <w:rsid w:val="0019524B"/>
    <w:rsid w:val="00195EA6"/>
    <w:rsid w:val="00196016"/>
    <w:rsid w:val="00196117"/>
    <w:rsid w:val="001969F0"/>
    <w:rsid w:val="00197A70"/>
    <w:rsid w:val="00197C0F"/>
    <w:rsid w:val="00197D0E"/>
    <w:rsid w:val="001A0487"/>
    <w:rsid w:val="001A0675"/>
    <w:rsid w:val="001A0773"/>
    <w:rsid w:val="001A0A0C"/>
    <w:rsid w:val="001A0A37"/>
    <w:rsid w:val="001A0EAD"/>
    <w:rsid w:val="001A15DD"/>
    <w:rsid w:val="001A164B"/>
    <w:rsid w:val="001A1F68"/>
    <w:rsid w:val="001A21FA"/>
    <w:rsid w:val="001A252C"/>
    <w:rsid w:val="001A3329"/>
    <w:rsid w:val="001A3529"/>
    <w:rsid w:val="001A40EA"/>
    <w:rsid w:val="001A432A"/>
    <w:rsid w:val="001A4D7C"/>
    <w:rsid w:val="001A4EF0"/>
    <w:rsid w:val="001A552F"/>
    <w:rsid w:val="001A5977"/>
    <w:rsid w:val="001A70B1"/>
    <w:rsid w:val="001A71F1"/>
    <w:rsid w:val="001A7672"/>
    <w:rsid w:val="001B045D"/>
    <w:rsid w:val="001B0738"/>
    <w:rsid w:val="001B10F1"/>
    <w:rsid w:val="001B1216"/>
    <w:rsid w:val="001B1235"/>
    <w:rsid w:val="001B158D"/>
    <w:rsid w:val="001B1A66"/>
    <w:rsid w:val="001B1BBB"/>
    <w:rsid w:val="001B2CA9"/>
    <w:rsid w:val="001B2EB2"/>
    <w:rsid w:val="001B2F90"/>
    <w:rsid w:val="001B3110"/>
    <w:rsid w:val="001B3E38"/>
    <w:rsid w:val="001B40F5"/>
    <w:rsid w:val="001B4729"/>
    <w:rsid w:val="001B4A56"/>
    <w:rsid w:val="001B4F0E"/>
    <w:rsid w:val="001B5064"/>
    <w:rsid w:val="001B5F40"/>
    <w:rsid w:val="001B6310"/>
    <w:rsid w:val="001B6C09"/>
    <w:rsid w:val="001B6E12"/>
    <w:rsid w:val="001B718E"/>
    <w:rsid w:val="001B77D2"/>
    <w:rsid w:val="001B78B1"/>
    <w:rsid w:val="001C05CD"/>
    <w:rsid w:val="001C082B"/>
    <w:rsid w:val="001C0C6D"/>
    <w:rsid w:val="001C0F17"/>
    <w:rsid w:val="001C11A6"/>
    <w:rsid w:val="001C1978"/>
    <w:rsid w:val="001C1B24"/>
    <w:rsid w:val="001C1B66"/>
    <w:rsid w:val="001C1BB5"/>
    <w:rsid w:val="001C1C1D"/>
    <w:rsid w:val="001C25F9"/>
    <w:rsid w:val="001C2732"/>
    <w:rsid w:val="001C31A2"/>
    <w:rsid w:val="001C351D"/>
    <w:rsid w:val="001C3794"/>
    <w:rsid w:val="001C3855"/>
    <w:rsid w:val="001C39D0"/>
    <w:rsid w:val="001C4562"/>
    <w:rsid w:val="001C4B8F"/>
    <w:rsid w:val="001C4BB8"/>
    <w:rsid w:val="001C4D8C"/>
    <w:rsid w:val="001C4FD0"/>
    <w:rsid w:val="001C544D"/>
    <w:rsid w:val="001C59ED"/>
    <w:rsid w:val="001C5E46"/>
    <w:rsid w:val="001C5FF5"/>
    <w:rsid w:val="001C65D6"/>
    <w:rsid w:val="001C6B3B"/>
    <w:rsid w:val="001C79A5"/>
    <w:rsid w:val="001C7A26"/>
    <w:rsid w:val="001C7E3F"/>
    <w:rsid w:val="001D0EF1"/>
    <w:rsid w:val="001D127A"/>
    <w:rsid w:val="001D19DE"/>
    <w:rsid w:val="001D1A44"/>
    <w:rsid w:val="001D22C2"/>
    <w:rsid w:val="001D2C99"/>
    <w:rsid w:val="001D3B75"/>
    <w:rsid w:val="001D4044"/>
    <w:rsid w:val="001D452E"/>
    <w:rsid w:val="001D45D0"/>
    <w:rsid w:val="001D4D0E"/>
    <w:rsid w:val="001D5065"/>
    <w:rsid w:val="001D54C1"/>
    <w:rsid w:val="001D556E"/>
    <w:rsid w:val="001D5D52"/>
    <w:rsid w:val="001D5D75"/>
    <w:rsid w:val="001D5DF2"/>
    <w:rsid w:val="001D6175"/>
    <w:rsid w:val="001D681E"/>
    <w:rsid w:val="001D68B2"/>
    <w:rsid w:val="001D6B3F"/>
    <w:rsid w:val="001D6B62"/>
    <w:rsid w:val="001D7B5E"/>
    <w:rsid w:val="001D7EFD"/>
    <w:rsid w:val="001D7F60"/>
    <w:rsid w:val="001E0794"/>
    <w:rsid w:val="001E0804"/>
    <w:rsid w:val="001E085B"/>
    <w:rsid w:val="001E099C"/>
    <w:rsid w:val="001E149B"/>
    <w:rsid w:val="001E15CB"/>
    <w:rsid w:val="001E1979"/>
    <w:rsid w:val="001E1CD5"/>
    <w:rsid w:val="001E1E57"/>
    <w:rsid w:val="001E2053"/>
    <w:rsid w:val="001E3306"/>
    <w:rsid w:val="001E3AC7"/>
    <w:rsid w:val="001E43D7"/>
    <w:rsid w:val="001E504C"/>
    <w:rsid w:val="001E56AC"/>
    <w:rsid w:val="001E5A17"/>
    <w:rsid w:val="001E663C"/>
    <w:rsid w:val="001E7410"/>
    <w:rsid w:val="001E74C5"/>
    <w:rsid w:val="001F0A78"/>
    <w:rsid w:val="001F0B27"/>
    <w:rsid w:val="001F1236"/>
    <w:rsid w:val="001F1282"/>
    <w:rsid w:val="001F2604"/>
    <w:rsid w:val="001F2637"/>
    <w:rsid w:val="001F26DE"/>
    <w:rsid w:val="001F2F90"/>
    <w:rsid w:val="001F363B"/>
    <w:rsid w:val="001F450F"/>
    <w:rsid w:val="001F4597"/>
    <w:rsid w:val="001F4689"/>
    <w:rsid w:val="001F4826"/>
    <w:rsid w:val="001F4933"/>
    <w:rsid w:val="001F4CF2"/>
    <w:rsid w:val="001F4DD2"/>
    <w:rsid w:val="001F59C8"/>
    <w:rsid w:val="001F5BE8"/>
    <w:rsid w:val="001F6360"/>
    <w:rsid w:val="001F6483"/>
    <w:rsid w:val="001F6CD3"/>
    <w:rsid w:val="001F75DA"/>
    <w:rsid w:val="001F7931"/>
    <w:rsid w:val="001F7CE0"/>
    <w:rsid w:val="001F7F06"/>
    <w:rsid w:val="00200085"/>
    <w:rsid w:val="0020044C"/>
    <w:rsid w:val="00200D71"/>
    <w:rsid w:val="00200F46"/>
    <w:rsid w:val="00201633"/>
    <w:rsid w:val="00201CB1"/>
    <w:rsid w:val="00201F53"/>
    <w:rsid w:val="00203332"/>
    <w:rsid w:val="002036E6"/>
    <w:rsid w:val="00203C5D"/>
    <w:rsid w:val="00203CD5"/>
    <w:rsid w:val="00203D8F"/>
    <w:rsid w:val="00203DA4"/>
    <w:rsid w:val="0020461C"/>
    <w:rsid w:val="00204A45"/>
    <w:rsid w:val="00204EA6"/>
    <w:rsid w:val="00204EF3"/>
    <w:rsid w:val="00205052"/>
    <w:rsid w:val="00205186"/>
    <w:rsid w:val="00206516"/>
    <w:rsid w:val="00206747"/>
    <w:rsid w:val="002070CF"/>
    <w:rsid w:val="002071D5"/>
    <w:rsid w:val="002073FD"/>
    <w:rsid w:val="00207AE4"/>
    <w:rsid w:val="00207B00"/>
    <w:rsid w:val="00210806"/>
    <w:rsid w:val="002108D5"/>
    <w:rsid w:val="00210A64"/>
    <w:rsid w:val="00210DCD"/>
    <w:rsid w:val="002111E5"/>
    <w:rsid w:val="00211207"/>
    <w:rsid w:val="0021149E"/>
    <w:rsid w:val="002118B9"/>
    <w:rsid w:val="002120F9"/>
    <w:rsid w:val="00212C92"/>
    <w:rsid w:val="00213691"/>
    <w:rsid w:val="00213FCD"/>
    <w:rsid w:val="002142C0"/>
    <w:rsid w:val="002152FC"/>
    <w:rsid w:val="00215B9B"/>
    <w:rsid w:val="00217418"/>
    <w:rsid w:val="00217BED"/>
    <w:rsid w:val="00217C5B"/>
    <w:rsid w:val="00217D9E"/>
    <w:rsid w:val="00220A43"/>
    <w:rsid w:val="00221139"/>
    <w:rsid w:val="0022139E"/>
    <w:rsid w:val="0022144F"/>
    <w:rsid w:val="00222729"/>
    <w:rsid w:val="0022287B"/>
    <w:rsid w:val="002228DB"/>
    <w:rsid w:val="00223185"/>
    <w:rsid w:val="00223264"/>
    <w:rsid w:val="002233D6"/>
    <w:rsid w:val="002234E7"/>
    <w:rsid w:val="002243AE"/>
    <w:rsid w:val="0022441D"/>
    <w:rsid w:val="00224574"/>
    <w:rsid w:val="00224A24"/>
    <w:rsid w:val="00224E3F"/>
    <w:rsid w:val="00225000"/>
    <w:rsid w:val="0022521D"/>
    <w:rsid w:val="002252E0"/>
    <w:rsid w:val="002255F6"/>
    <w:rsid w:val="00226032"/>
    <w:rsid w:val="002266CC"/>
    <w:rsid w:val="0022699D"/>
    <w:rsid w:val="002270A7"/>
    <w:rsid w:val="0022738D"/>
    <w:rsid w:val="00227605"/>
    <w:rsid w:val="00227850"/>
    <w:rsid w:val="0022794E"/>
    <w:rsid w:val="00227A53"/>
    <w:rsid w:val="00227C6C"/>
    <w:rsid w:val="00227E2E"/>
    <w:rsid w:val="00227F53"/>
    <w:rsid w:val="00230090"/>
    <w:rsid w:val="0023031A"/>
    <w:rsid w:val="00230619"/>
    <w:rsid w:val="00230C6E"/>
    <w:rsid w:val="00230E21"/>
    <w:rsid w:val="00230EF0"/>
    <w:rsid w:val="00231066"/>
    <w:rsid w:val="00231409"/>
    <w:rsid w:val="002316A8"/>
    <w:rsid w:val="00231859"/>
    <w:rsid w:val="002318C6"/>
    <w:rsid w:val="00231FE4"/>
    <w:rsid w:val="002320C9"/>
    <w:rsid w:val="0023288F"/>
    <w:rsid w:val="00233207"/>
    <w:rsid w:val="0023359B"/>
    <w:rsid w:val="00233603"/>
    <w:rsid w:val="002340EF"/>
    <w:rsid w:val="002344DE"/>
    <w:rsid w:val="00234B82"/>
    <w:rsid w:val="00236443"/>
    <w:rsid w:val="0023663C"/>
    <w:rsid w:val="00236700"/>
    <w:rsid w:val="00237C8B"/>
    <w:rsid w:val="00240391"/>
    <w:rsid w:val="00240AF3"/>
    <w:rsid w:val="00240FFF"/>
    <w:rsid w:val="0024175E"/>
    <w:rsid w:val="002418D5"/>
    <w:rsid w:val="00241A9F"/>
    <w:rsid w:val="00241B06"/>
    <w:rsid w:val="002422D6"/>
    <w:rsid w:val="00242A8F"/>
    <w:rsid w:val="00242F0D"/>
    <w:rsid w:val="00243085"/>
    <w:rsid w:val="0024343A"/>
    <w:rsid w:val="002436BA"/>
    <w:rsid w:val="0024376C"/>
    <w:rsid w:val="002438DC"/>
    <w:rsid w:val="00244652"/>
    <w:rsid w:val="00244A15"/>
    <w:rsid w:val="0024527A"/>
    <w:rsid w:val="002452D9"/>
    <w:rsid w:val="002460DA"/>
    <w:rsid w:val="00246D16"/>
    <w:rsid w:val="00247258"/>
    <w:rsid w:val="00247319"/>
    <w:rsid w:val="0024799E"/>
    <w:rsid w:val="00247B13"/>
    <w:rsid w:val="00247E60"/>
    <w:rsid w:val="002512B7"/>
    <w:rsid w:val="00251496"/>
    <w:rsid w:val="00251B08"/>
    <w:rsid w:val="00251C53"/>
    <w:rsid w:val="00252AB9"/>
    <w:rsid w:val="00252CBF"/>
    <w:rsid w:val="002532B1"/>
    <w:rsid w:val="00253C0F"/>
    <w:rsid w:val="00253F48"/>
    <w:rsid w:val="002546EC"/>
    <w:rsid w:val="00254865"/>
    <w:rsid w:val="00254E62"/>
    <w:rsid w:val="00254FC3"/>
    <w:rsid w:val="0025522B"/>
    <w:rsid w:val="002558C1"/>
    <w:rsid w:val="00256207"/>
    <w:rsid w:val="0025637A"/>
    <w:rsid w:val="002575F3"/>
    <w:rsid w:val="002601B4"/>
    <w:rsid w:val="002603E1"/>
    <w:rsid w:val="002605FE"/>
    <w:rsid w:val="0026072D"/>
    <w:rsid w:val="00260887"/>
    <w:rsid w:val="0026120E"/>
    <w:rsid w:val="002617EE"/>
    <w:rsid w:val="0026237D"/>
    <w:rsid w:val="00262582"/>
    <w:rsid w:val="00262588"/>
    <w:rsid w:val="0026291D"/>
    <w:rsid w:val="00262CF3"/>
    <w:rsid w:val="002632B0"/>
    <w:rsid w:val="00263CC7"/>
    <w:rsid w:val="00264309"/>
    <w:rsid w:val="00264713"/>
    <w:rsid w:val="00264992"/>
    <w:rsid w:val="00264B4F"/>
    <w:rsid w:val="00264B85"/>
    <w:rsid w:val="0026564B"/>
    <w:rsid w:val="002658BF"/>
    <w:rsid w:val="00265ABC"/>
    <w:rsid w:val="00265C83"/>
    <w:rsid w:val="00265E85"/>
    <w:rsid w:val="00267B49"/>
    <w:rsid w:val="00267C51"/>
    <w:rsid w:val="002700D9"/>
    <w:rsid w:val="0027025F"/>
    <w:rsid w:val="002704BD"/>
    <w:rsid w:val="002709CC"/>
    <w:rsid w:val="00270D25"/>
    <w:rsid w:val="00271022"/>
    <w:rsid w:val="002710ED"/>
    <w:rsid w:val="00271465"/>
    <w:rsid w:val="002716C7"/>
    <w:rsid w:val="00271A07"/>
    <w:rsid w:val="00271C6A"/>
    <w:rsid w:val="00271E47"/>
    <w:rsid w:val="00271F98"/>
    <w:rsid w:val="002721F5"/>
    <w:rsid w:val="002726A8"/>
    <w:rsid w:val="00272DF4"/>
    <w:rsid w:val="0027306A"/>
    <w:rsid w:val="00273D2B"/>
    <w:rsid w:val="00273FB3"/>
    <w:rsid w:val="00274240"/>
    <w:rsid w:val="002742A7"/>
    <w:rsid w:val="002744DB"/>
    <w:rsid w:val="0027485F"/>
    <w:rsid w:val="00274EA7"/>
    <w:rsid w:val="00275062"/>
    <w:rsid w:val="00275758"/>
    <w:rsid w:val="0027583D"/>
    <w:rsid w:val="002759C7"/>
    <w:rsid w:val="00275DEF"/>
    <w:rsid w:val="00275E43"/>
    <w:rsid w:val="002763A2"/>
    <w:rsid w:val="00276498"/>
    <w:rsid w:val="00276928"/>
    <w:rsid w:val="00276B33"/>
    <w:rsid w:val="00276E20"/>
    <w:rsid w:val="00276F97"/>
    <w:rsid w:val="00277669"/>
    <w:rsid w:val="002803A5"/>
    <w:rsid w:val="00280ACB"/>
    <w:rsid w:val="002812E3"/>
    <w:rsid w:val="00281576"/>
    <w:rsid w:val="00282AD4"/>
    <w:rsid w:val="0028341F"/>
    <w:rsid w:val="00283770"/>
    <w:rsid w:val="002837AE"/>
    <w:rsid w:val="00283C13"/>
    <w:rsid w:val="00283F7B"/>
    <w:rsid w:val="0028431A"/>
    <w:rsid w:val="002853FA"/>
    <w:rsid w:val="00285412"/>
    <w:rsid w:val="00286220"/>
    <w:rsid w:val="00286AAC"/>
    <w:rsid w:val="00286DC2"/>
    <w:rsid w:val="002870F0"/>
    <w:rsid w:val="00287DD1"/>
    <w:rsid w:val="002903D4"/>
    <w:rsid w:val="00290531"/>
    <w:rsid w:val="0029110B"/>
    <w:rsid w:val="00291640"/>
    <w:rsid w:val="00291882"/>
    <w:rsid w:val="00291B77"/>
    <w:rsid w:val="002922DC"/>
    <w:rsid w:val="0029237E"/>
    <w:rsid w:val="0029268D"/>
    <w:rsid w:val="00292997"/>
    <w:rsid w:val="002934D6"/>
    <w:rsid w:val="00293B8C"/>
    <w:rsid w:val="00293D24"/>
    <w:rsid w:val="002944A6"/>
    <w:rsid w:val="0029461A"/>
    <w:rsid w:val="0029509B"/>
    <w:rsid w:val="00295430"/>
    <w:rsid w:val="0029574D"/>
    <w:rsid w:val="0029588F"/>
    <w:rsid w:val="00295E96"/>
    <w:rsid w:val="002971C4"/>
    <w:rsid w:val="00297256"/>
    <w:rsid w:val="00297A5C"/>
    <w:rsid w:val="00297D51"/>
    <w:rsid w:val="002A0122"/>
    <w:rsid w:val="002A016B"/>
    <w:rsid w:val="002A103E"/>
    <w:rsid w:val="002A16D4"/>
    <w:rsid w:val="002A1E4F"/>
    <w:rsid w:val="002A1E96"/>
    <w:rsid w:val="002A230C"/>
    <w:rsid w:val="002A2376"/>
    <w:rsid w:val="002A25B5"/>
    <w:rsid w:val="002A2AF7"/>
    <w:rsid w:val="002A30ED"/>
    <w:rsid w:val="002A3209"/>
    <w:rsid w:val="002A34B5"/>
    <w:rsid w:val="002A377D"/>
    <w:rsid w:val="002A3898"/>
    <w:rsid w:val="002A38F3"/>
    <w:rsid w:val="002A3EA2"/>
    <w:rsid w:val="002A3FAB"/>
    <w:rsid w:val="002A3FBA"/>
    <w:rsid w:val="002A51AC"/>
    <w:rsid w:val="002A532A"/>
    <w:rsid w:val="002A5342"/>
    <w:rsid w:val="002A5846"/>
    <w:rsid w:val="002A5D97"/>
    <w:rsid w:val="002A603E"/>
    <w:rsid w:val="002A63B9"/>
    <w:rsid w:val="002A7089"/>
    <w:rsid w:val="002A7709"/>
    <w:rsid w:val="002A79B3"/>
    <w:rsid w:val="002A7B5E"/>
    <w:rsid w:val="002B0692"/>
    <w:rsid w:val="002B1182"/>
    <w:rsid w:val="002B118D"/>
    <w:rsid w:val="002B1619"/>
    <w:rsid w:val="002B1A42"/>
    <w:rsid w:val="002B1C3B"/>
    <w:rsid w:val="002B1D9D"/>
    <w:rsid w:val="002B20D1"/>
    <w:rsid w:val="002B2379"/>
    <w:rsid w:val="002B3401"/>
    <w:rsid w:val="002B3EF4"/>
    <w:rsid w:val="002B4845"/>
    <w:rsid w:val="002B4C6C"/>
    <w:rsid w:val="002B4EE6"/>
    <w:rsid w:val="002B5567"/>
    <w:rsid w:val="002B5812"/>
    <w:rsid w:val="002B5833"/>
    <w:rsid w:val="002B72AA"/>
    <w:rsid w:val="002B75C0"/>
    <w:rsid w:val="002C0572"/>
    <w:rsid w:val="002C1110"/>
    <w:rsid w:val="002C15ED"/>
    <w:rsid w:val="002C1BC2"/>
    <w:rsid w:val="002C1F09"/>
    <w:rsid w:val="002C22A4"/>
    <w:rsid w:val="002C260B"/>
    <w:rsid w:val="002C27A6"/>
    <w:rsid w:val="002C31E4"/>
    <w:rsid w:val="002C398D"/>
    <w:rsid w:val="002C3A03"/>
    <w:rsid w:val="002C40D2"/>
    <w:rsid w:val="002C43BD"/>
    <w:rsid w:val="002C5245"/>
    <w:rsid w:val="002C564A"/>
    <w:rsid w:val="002C59D8"/>
    <w:rsid w:val="002C5FEB"/>
    <w:rsid w:val="002C6494"/>
    <w:rsid w:val="002C7573"/>
    <w:rsid w:val="002C7B33"/>
    <w:rsid w:val="002D00F7"/>
    <w:rsid w:val="002D0599"/>
    <w:rsid w:val="002D05CB"/>
    <w:rsid w:val="002D0C51"/>
    <w:rsid w:val="002D0E59"/>
    <w:rsid w:val="002D1ED6"/>
    <w:rsid w:val="002D20A4"/>
    <w:rsid w:val="002D24AC"/>
    <w:rsid w:val="002D2C4F"/>
    <w:rsid w:val="002D3800"/>
    <w:rsid w:val="002D3EBB"/>
    <w:rsid w:val="002D455C"/>
    <w:rsid w:val="002D48A1"/>
    <w:rsid w:val="002D55FA"/>
    <w:rsid w:val="002D6066"/>
    <w:rsid w:val="002D67B7"/>
    <w:rsid w:val="002D6A4C"/>
    <w:rsid w:val="002D743D"/>
    <w:rsid w:val="002E02A1"/>
    <w:rsid w:val="002E196A"/>
    <w:rsid w:val="002E1E2B"/>
    <w:rsid w:val="002E1F8A"/>
    <w:rsid w:val="002E20C7"/>
    <w:rsid w:val="002E20CD"/>
    <w:rsid w:val="002E222E"/>
    <w:rsid w:val="002E28D8"/>
    <w:rsid w:val="002E3036"/>
    <w:rsid w:val="002E3638"/>
    <w:rsid w:val="002E37D1"/>
    <w:rsid w:val="002E3BEE"/>
    <w:rsid w:val="002E3C41"/>
    <w:rsid w:val="002E4482"/>
    <w:rsid w:val="002E4DCE"/>
    <w:rsid w:val="002E4E4C"/>
    <w:rsid w:val="002E4EA7"/>
    <w:rsid w:val="002E564B"/>
    <w:rsid w:val="002E5846"/>
    <w:rsid w:val="002E5884"/>
    <w:rsid w:val="002E631B"/>
    <w:rsid w:val="002E792B"/>
    <w:rsid w:val="002E7AEB"/>
    <w:rsid w:val="002E7B79"/>
    <w:rsid w:val="002F06E2"/>
    <w:rsid w:val="002F1B09"/>
    <w:rsid w:val="002F1D56"/>
    <w:rsid w:val="002F1DCB"/>
    <w:rsid w:val="002F1DE4"/>
    <w:rsid w:val="002F333D"/>
    <w:rsid w:val="002F351A"/>
    <w:rsid w:val="002F357F"/>
    <w:rsid w:val="002F3A2C"/>
    <w:rsid w:val="002F428F"/>
    <w:rsid w:val="002F44EF"/>
    <w:rsid w:val="002F4631"/>
    <w:rsid w:val="002F46D6"/>
    <w:rsid w:val="002F498A"/>
    <w:rsid w:val="002F4AD8"/>
    <w:rsid w:val="002F5285"/>
    <w:rsid w:val="002F52CE"/>
    <w:rsid w:val="002F5820"/>
    <w:rsid w:val="002F64BB"/>
    <w:rsid w:val="002F7D9B"/>
    <w:rsid w:val="00300901"/>
    <w:rsid w:val="003009B1"/>
    <w:rsid w:val="00300C31"/>
    <w:rsid w:val="00300D42"/>
    <w:rsid w:val="00300E7D"/>
    <w:rsid w:val="00300FA9"/>
    <w:rsid w:val="00301127"/>
    <w:rsid w:val="00301294"/>
    <w:rsid w:val="003017EC"/>
    <w:rsid w:val="003018D9"/>
    <w:rsid w:val="00302165"/>
    <w:rsid w:val="00302706"/>
    <w:rsid w:val="003036CE"/>
    <w:rsid w:val="00303BB4"/>
    <w:rsid w:val="00303DE8"/>
    <w:rsid w:val="00304771"/>
    <w:rsid w:val="00304F9C"/>
    <w:rsid w:val="003052D4"/>
    <w:rsid w:val="00305863"/>
    <w:rsid w:val="003060D6"/>
    <w:rsid w:val="003060E9"/>
    <w:rsid w:val="00306C5B"/>
    <w:rsid w:val="00307529"/>
    <w:rsid w:val="003077F5"/>
    <w:rsid w:val="00307DB3"/>
    <w:rsid w:val="00307ED2"/>
    <w:rsid w:val="0031010B"/>
    <w:rsid w:val="0031076D"/>
    <w:rsid w:val="003107F8"/>
    <w:rsid w:val="0031169A"/>
    <w:rsid w:val="00311AA6"/>
    <w:rsid w:val="00311C4D"/>
    <w:rsid w:val="003121AB"/>
    <w:rsid w:val="00312A85"/>
    <w:rsid w:val="003136D6"/>
    <w:rsid w:val="00314B30"/>
    <w:rsid w:val="00315067"/>
    <w:rsid w:val="00315169"/>
    <w:rsid w:val="003153C8"/>
    <w:rsid w:val="00315524"/>
    <w:rsid w:val="00315561"/>
    <w:rsid w:val="00316442"/>
    <w:rsid w:val="00316B3D"/>
    <w:rsid w:val="0031701C"/>
    <w:rsid w:val="00320454"/>
    <w:rsid w:val="0032058C"/>
    <w:rsid w:val="0032069E"/>
    <w:rsid w:val="003208D0"/>
    <w:rsid w:val="003209D6"/>
    <w:rsid w:val="00320ACF"/>
    <w:rsid w:val="00320D58"/>
    <w:rsid w:val="003217B9"/>
    <w:rsid w:val="00321924"/>
    <w:rsid w:val="00321AF1"/>
    <w:rsid w:val="00321EB6"/>
    <w:rsid w:val="003220A5"/>
    <w:rsid w:val="003238E0"/>
    <w:rsid w:val="00323A1C"/>
    <w:rsid w:val="00323A2F"/>
    <w:rsid w:val="00323A8E"/>
    <w:rsid w:val="003247E1"/>
    <w:rsid w:val="00324B59"/>
    <w:rsid w:val="0032509D"/>
    <w:rsid w:val="00325967"/>
    <w:rsid w:val="00325E46"/>
    <w:rsid w:val="003260B5"/>
    <w:rsid w:val="0032656E"/>
    <w:rsid w:val="0032788F"/>
    <w:rsid w:val="00330067"/>
    <w:rsid w:val="00330A2C"/>
    <w:rsid w:val="00332190"/>
    <w:rsid w:val="00332761"/>
    <w:rsid w:val="00332A98"/>
    <w:rsid w:val="00332B6A"/>
    <w:rsid w:val="003334BD"/>
    <w:rsid w:val="00333973"/>
    <w:rsid w:val="00333CD0"/>
    <w:rsid w:val="00333F27"/>
    <w:rsid w:val="0033427A"/>
    <w:rsid w:val="0033448D"/>
    <w:rsid w:val="00334AD2"/>
    <w:rsid w:val="00334CB6"/>
    <w:rsid w:val="00335B33"/>
    <w:rsid w:val="0033709C"/>
    <w:rsid w:val="003370C5"/>
    <w:rsid w:val="003373C6"/>
    <w:rsid w:val="0033753A"/>
    <w:rsid w:val="003375E0"/>
    <w:rsid w:val="00337A31"/>
    <w:rsid w:val="00337A36"/>
    <w:rsid w:val="00337B16"/>
    <w:rsid w:val="00337E38"/>
    <w:rsid w:val="00340122"/>
    <w:rsid w:val="003409CA"/>
    <w:rsid w:val="00340BF3"/>
    <w:rsid w:val="00340D3D"/>
    <w:rsid w:val="0034193A"/>
    <w:rsid w:val="00341C6C"/>
    <w:rsid w:val="00341D26"/>
    <w:rsid w:val="00341E9A"/>
    <w:rsid w:val="00341F05"/>
    <w:rsid w:val="00342CDF"/>
    <w:rsid w:val="00342CE7"/>
    <w:rsid w:val="0034335E"/>
    <w:rsid w:val="00343CD0"/>
    <w:rsid w:val="0034464E"/>
    <w:rsid w:val="00344668"/>
    <w:rsid w:val="00344940"/>
    <w:rsid w:val="0034506D"/>
    <w:rsid w:val="0034514C"/>
    <w:rsid w:val="00345489"/>
    <w:rsid w:val="00346234"/>
    <w:rsid w:val="003462D9"/>
    <w:rsid w:val="00346475"/>
    <w:rsid w:val="0034723F"/>
    <w:rsid w:val="00347247"/>
    <w:rsid w:val="003472DE"/>
    <w:rsid w:val="003472E0"/>
    <w:rsid w:val="003474B6"/>
    <w:rsid w:val="00347DD4"/>
    <w:rsid w:val="003512A5"/>
    <w:rsid w:val="00352B43"/>
    <w:rsid w:val="00352C28"/>
    <w:rsid w:val="00353485"/>
    <w:rsid w:val="00353ACC"/>
    <w:rsid w:val="003541BB"/>
    <w:rsid w:val="00354502"/>
    <w:rsid w:val="003546F0"/>
    <w:rsid w:val="00354F89"/>
    <w:rsid w:val="0035506D"/>
    <w:rsid w:val="00357940"/>
    <w:rsid w:val="003579A1"/>
    <w:rsid w:val="0036077F"/>
    <w:rsid w:val="00360A35"/>
    <w:rsid w:val="00360C86"/>
    <w:rsid w:val="00360DEC"/>
    <w:rsid w:val="00360F7A"/>
    <w:rsid w:val="00360FBC"/>
    <w:rsid w:val="00361537"/>
    <w:rsid w:val="00361B2D"/>
    <w:rsid w:val="00361E1B"/>
    <w:rsid w:val="00361FB7"/>
    <w:rsid w:val="0036242A"/>
    <w:rsid w:val="00362C23"/>
    <w:rsid w:val="00362DCA"/>
    <w:rsid w:val="00362E90"/>
    <w:rsid w:val="00363152"/>
    <w:rsid w:val="00364324"/>
    <w:rsid w:val="00364967"/>
    <w:rsid w:val="00364C69"/>
    <w:rsid w:val="00364FA0"/>
    <w:rsid w:val="003650A2"/>
    <w:rsid w:val="003651C5"/>
    <w:rsid w:val="003657F3"/>
    <w:rsid w:val="00365844"/>
    <w:rsid w:val="00365F61"/>
    <w:rsid w:val="0036624C"/>
    <w:rsid w:val="003666B1"/>
    <w:rsid w:val="00367F84"/>
    <w:rsid w:val="0037057F"/>
    <w:rsid w:val="003712BC"/>
    <w:rsid w:val="00371C3E"/>
    <w:rsid w:val="00372164"/>
    <w:rsid w:val="003724CE"/>
    <w:rsid w:val="003738BD"/>
    <w:rsid w:val="00374263"/>
    <w:rsid w:val="003746F0"/>
    <w:rsid w:val="00374A20"/>
    <w:rsid w:val="00374B96"/>
    <w:rsid w:val="00374E21"/>
    <w:rsid w:val="00374E8C"/>
    <w:rsid w:val="0037520A"/>
    <w:rsid w:val="0037537A"/>
    <w:rsid w:val="0037670D"/>
    <w:rsid w:val="00377B2E"/>
    <w:rsid w:val="00380C9B"/>
    <w:rsid w:val="003810F0"/>
    <w:rsid w:val="003815D4"/>
    <w:rsid w:val="003818DC"/>
    <w:rsid w:val="0038214B"/>
    <w:rsid w:val="00382513"/>
    <w:rsid w:val="003827B3"/>
    <w:rsid w:val="00383388"/>
    <w:rsid w:val="0038346A"/>
    <w:rsid w:val="003834F8"/>
    <w:rsid w:val="0038370D"/>
    <w:rsid w:val="003838D0"/>
    <w:rsid w:val="003840C2"/>
    <w:rsid w:val="00384327"/>
    <w:rsid w:val="00384A89"/>
    <w:rsid w:val="00384F9F"/>
    <w:rsid w:val="00385086"/>
    <w:rsid w:val="00385344"/>
    <w:rsid w:val="003856A6"/>
    <w:rsid w:val="00385C7B"/>
    <w:rsid w:val="00385D98"/>
    <w:rsid w:val="00386076"/>
    <w:rsid w:val="00386CDE"/>
    <w:rsid w:val="00390306"/>
    <w:rsid w:val="003908A6"/>
    <w:rsid w:val="0039099B"/>
    <w:rsid w:val="00390A99"/>
    <w:rsid w:val="0039109D"/>
    <w:rsid w:val="00391989"/>
    <w:rsid w:val="00391A6C"/>
    <w:rsid w:val="00391DE6"/>
    <w:rsid w:val="003927F6"/>
    <w:rsid w:val="00392AB8"/>
    <w:rsid w:val="00392C79"/>
    <w:rsid w:val="0039398D"/>
    <w:rsid w:val="00393B3F"/>
    <w:rsid w:val="0039402D"/>
    <w:rsid w:val="00396739"/>
    <w:rsid w:val="003978B1"/>
    <w:rsid w:val="00397C50"/>
    <w:rsid w:val="00397C8B"/>
    <w:rsid w:val="003A0023"/>
    <w:rsid w:val="003A04F6"/>
    <w:rsid w:val="003A07ED"/>
    <w:rsid w:val="003A0837"/>
    <w:rsid w:val="003A17E1"/>
    <w:rsid w:val="003A1FE1"/>
    <w:rsid w:val="003A20E8"/>
    <w:rsid w:val="003A2B4D"/>
    <w:rsid w:val="003A2D12"/>
    <w:rsid w:val="003A2EBA"/>
    <w:rsid w:val="003A30C0"/>
    <w:rsid w:val="003A32DB"/>
    <w:rsid w:val="003A4153"/>
    <w:rsid w:val="003A45E3"/>
    <w:rsid w:val="003A46B8"/>
    <w:rsid w:val="003A478C"/>
    <w:rsid w:val="003A4A38"/>
    <w:rsid w:val="003A4B47"/>
    <w:rsid w:val="003A4E88"/>
    <w:rsid w:val="003A5295"/>
    <w:rsid w:val="003A537D"/>
    <w:rsid w:val="003A5525"/>
    <w:rsid w:val="003A5889"/>
    <w:rsid w:val="003A5C8C"/>
    <w:rsid w:val="003A620D"/>
    <w:rsid w:val="003A6B38"/>
    <w:rsid w:val="003A6B83"/>
    <w:rsid w:val="003A6C97"/>
    <w:rsid w:val="003A722F"/>
    <w:rsid w:val="003A7373"/>
    <w:rsid w:val="003A7D09"/>
    <w:rsid w:val="003A7E41"/>
    <w:rsid w:val="003B0067"/>
    <w:rsid w:val="003B019E"/>
    <w:rsid w:val="003B039F"/>
    <w:rsid w:val="003B0DF4"/>
    <w:rsid w:val="003B1F9D"/>
    <w:rsid w:val="003B2A8D"/>
    <w:rsid w:val="003B2AD1"/>
    <w:rsid w:val="003B2D2E"/>
    <w:rsid w:val="003B376A"/>
    <w:rsid w:val="003B403E"/>
    <w:rsid w:val="003B461F"/>
    <w:rsid w:val="003B483F"/>
    <w:rsid w:val="003B4998"/>
    <w:rsid w:val="003B5A32"/>
    <w:rsid w:val="003B5A37"/>
    <w:rsid w:val="003B5B59"/>
    <w:rsid w:val="003B68B7"/>
    <w:rsid w:val="003B6BAF"/>
    <w:rsid w:val="003B709D"/>
    <w:rsid w:val="003B7B50"/>
    <w:rsid w:val="003C0526"/>
    <w:rsid w:val="003C06D9"/>
    <w:rsid w:val="003C0B07"/>
    <w:rsid w:val="003C1B43"/>
    <w:rsid w:val="003C2363"/>
    <w:rsid w:val="003C2CE7"/>
    <w:rsid w:val="003C2DB8"/>
    <w:rsid w:val="003C3490"/>
    <w:rsid w:val="003C3608"/>
    <w:rsid w:val="003C3A87"/>
    <w:rsid w:val="003C3AE8"/>
    <w:rsid w:val="003C3D2C"/>
    <w:rsid w:val="003C4058"/>
    <w:rsid w:val="003C4E13"/>
    <w:rsid w:val="003C5015"/>
    <w:rsid w:val="003C53DC"/>
    <w:rsid w:val="003C58A5"/>
    <w:rsid w:val="003C6221"/>
    <w:rsid w:val="003C63D7"/>
    <w:rsid w:val="003C658F"/>
    <w:rsid w:val="003C68CC"/>
    <w:rsid w:val="003C6E3A"/>
    <w:rsid w:val="003C7E62"/>
    <w:rsid w:val="003D12B9"/>
    <w:rsid w:val="003D1B0D"/>
    <w:rsid w:val="003D1E2E"/>
    <w:rsid w:val="003D1E7A"/>
    <w:rsid w:val="003D240E"/>
    <w:rsid w:val="003D242B"/>
    <w:rsid w:val="003D2492"/>
    <w:rsid w:val="003D26DF"/>
    <w:rsid w:val="003D29AA"/>
    <w:rsid w:val="003D2A99"/>
    <w:rsid w:val="003D3525"/>
    <w:rsid w:val="003D38BE"/>
    <w:rsid w:val="003D40FC"/>
    <w:rsid w:val="003D4927"/>
    <w:rsid w:val="003D4C3C"/>
    <w:rsid w:val="003D5175"/>
    <w:rsid w:val="003D59D5"/>
    <w:rsid w:val="003D5EBF"/>
    <w:rsid w:val="003D6920"/>
    <w:rsid w:val="003D7396"/>
    <w:rsid w:val="003E0249"/>
    <w:rsid w:val="003E08A4"/>
    <w:rsid w:val="003E105C"/>
    <w:rsid w:val="003E1EF8"/>
    <w:rsid w:val="003E2754"/>
    <w:rsid w:val="003E294B"/>
    <w:rsid w:val="003E2DFB"/>
    <w:rsid w:val="003E41C6"/>
    <w:rsid w:val="003E4466"/>
    <w:rsid w:val="003E4C91"/>
    <w:rsid w:val="003E52D8"/>
    <w:rsid w:val="003E62F1"/>
    <w:rsid w:val="003E64C8"/>
    <w:rsid w:val="003E6DE2"/>
    <w:rsid w:val="003E6ED5"/>
    <w:rsid w:val="003E6F84"/>
    <w:rsid w:val="003E72FF"/>
    <w:rsid w:val="003E7B8A"/>
    <w:rsid w:val="003F0148"/>
    <w:rsid w:val="003F0F37"/>
    <w:rsid w:val="003F139A"/>
    <w:rsid w:val="003F18BB"/>
    <w:rsid w:val="003F1F13"/>
    <w:rsid w:val="003F275B"/>
    <w:rsid w:val="003F2DE7"/>
    <w:rsid w:val="003F313C"/>
    <w:rsid w:val="003F31D2"/>
    <w:rsid w:val="003F33B1"/>
    <w:rsid w:val="003F33B9"/>
    <w:rsid w:val="003F37FC"/>
    <w:rsid w:val="003F3E76"/>
    <w:rsid w:val="003F4318"/>
    <w:rsid w:val="003F4B2C"/>
    <w:rsid w:val="003F551C"/>
    <w:rsid w:val="003F5E2D"/>
    <w:rsid w:val="003F626D"/>
    <w:rsid w:val="003F6380"/>
    <w:rsid w:val="003F72ED"/>
    <w:rsid w:val="003F7793"/>
    <w:rsid w:val="003F7D23"/>
    <w:rsid w:val="00400050"/>
    <w:rsid w:val="004002C8"/>
    <w:rsid w:val="00400468"/>
    <w:rsid w:val="00400885"/>
    <w:rsid w:val="0040099D"/>
    <w:rsid w:val="00401441"/>
    <w:rsid w:val="004016CB"/>
    <w:rsid w:val="00401B23"/>
    <w:rsid w:val="00402ADB"/>
    <w:rsid w:val="00402E33"/>
    <w:rsid w:val="0040368D"/>
    <w:rsid w:val="00403BBF"/>
    <w:rsid w:val="00403D1D"/>
    <w:rsid w:val="00403F57"/>
    <w:rsid w:val="00404244"/>
    <w:rsid w:val="004042F6"/>
    <w:rsid w:val="004046BD"/>
    <w:rsid w:val="00404BAB"/>
    <w:rsid w:val="00405318"/>
    <w:rsid w:val="004059D2"/>
    <w:rsid w:val="00405DCB"/>
    <w:rsid w:val="004060C9"/>
    <w:rsid w:val="004066D0"/>
    <w:rsid w:val="00406C2E"/>
    <w:rsid w:val="00406CDA"/>
    <w:rsid w:val="00406EB0"/>
    <w:rsid w:val="00407101"/>
    <w:rsid w:val="00407711"/>
    <w:rsid w:val="00407C13"/>
    <w:rsid w:val="004103F6"/>
    <w:rsid w:val="00410638"/>
    <w:rsid w:val="00410D14"/>
    <w:rsid w:val="00410EDB"/>
    <w:rsid w:val="004115CE"/>
    <w:rsid w:val="00412511"/>
    <w:rsid w:val="004125C2"/>
    <w:rsid w:val="00412885"/>
    <w:rsid w:val="00412DFA"/>
    <w:rsid w:val="00413465"/>
    <w:rsid w:val="004140A6"/>
    <w:rsid w:val="004149AC"/>
    <w:rsid w:val="0041501E"/>
    <w:rsid w:val="00415452"/>
    <w:rsid w:val="004159C3"/>
    <w:rsid w:val="00415A57"/>
    <w:rsid w:val="00416BAF"/>
    <w:rsid w:val="00416DAC"/>
    <w:rsid w:val="00417106"/>
    <w:rsid w:val="00417997"/>
    <w:rsid w:val="00417B6C"/>
    <w:rsid w:val="00420880"/>
    <w:rsid w:val="00421179"/>
    <w:rsid w:val="004225D2"/>
    <w:rsid w:val="004225D7"/>
    <w:rsid w:val="00423623"/>
    <w:rsid w:val="004241B3"/>
    <w:rsid w:val="0042470E"/>
    <w:rsid w:val="00424E0F"/>
    <w:rsid w:val="00424E7C"/>
    <w:rsid w:val="00425352"/>
    <w:rsid w:val="00425E71"/>
    <w:rsid w:val="00426C99"/>
    <w:rsid w:val="004272BE"/>
    <w:rsid w:val="00430C96"/>
    <w:rsid w:val="0043174F"/>
    <w:rsid w:val="00431BFF"/>
    <w:rsid w:val="00431C82"/>
    <w:rsid w:val="00432199"/>
    <w:rsid w:val="00432A58"/>
    <w:rsid w:val="004331C3"/>
    <w:rsid w:val="004333DF"/>
    <w:rsid w:val="0043369F"/>
    <w:rsid w:val="004337D8"/>
    <w:rsid w:val="00433C17"/>
    <w:rsid w:val="00434171"/>
    <w:rsid w:val="00434617"/>
    <w:rsid w:val="00434DE9"/>
    <w:rsid w:val="00435051"/>
    <w:rsid w:val="00435C69"/>
    <w:rsid w:val="00435EBF"/>
    <w:rsid w:val="004360FB"/>
    <w:rsid w:val="00437CED"/>
    <w:rsid w:val="004401D0"/>
    <w:rsid w:val="004407BF"/>
    <w:rsid w:val="00440900"/>
    <w:rsid w:val="00440AC0"/>
    <w:rsid w:val="00440D2A"/>
    <w:rsid w:val="0044121D"/>
    <w:rsid w:val="00441BF6"/>
    <w:rsid w:val="00441D2B"/>
    <w:rsid w:val="00441F8B"/>
    <w:rsid w:val="00442085"/>
    <w:rsid w:val="00442136"/>
    <w:rsid w:val="0044279E"/>
    <w:rsid w:val="00442882"/>
    <w:rsid w:val="00443519"/>
    <w:rsid w:val="00443C06"/>
    <w:rsid w:val="004441A0"/>
    <w:rsid w:val="00444A2C"/>
    <w:rsid w:val="0044519E"/>
    <w:rsid w:val="00445861"/>
    <w:rsid w:val="00445A8E"/>
    <w:rsid w:val="00446D44"/>
    <w:rsid w:val="00447099"/>
    <w:rsid w:val="0045078A"/>
    <w:rsid w:val="0045086D"/>
    <w:rsid w:val="004509CE"/>
    <w:rsid w:val="00450DAB"/>
    <w:rsid w:val="0045125B"/>
    <w:rsid w:val="004519E2"/>
    <w:rsid w:val="00451E25"/>
    <w:rsid w:val="00451EF1"/>
    <w:rsid w:val="00452985"/>
    <w:rsid w:val="00452E60"/>
    <w:rsid w:val="00452FE9"/>
    <w:rsid w:val="0045321B"/>
    <w:rsid w:val="00453DDF"/>
    <w:rsid w:val="00455833"/>
    <w:rsid w:val="00456065"/>
    <w:rsid w:val="00456FB5"/>
    <w:rsid w:val="00456FE5"/>
    <w:rsid w:val="00457490"/>
    <w:rsid w:val="0045778B"/>
    <w:rsid w:val="0045786C"/>
    <w:rsid w:val="004578E9"/>
    <w:rsid w:val="00457953"/>
    <w:rsid w:val="00457F3C"/>
    <w:rsid w:val="004604D8"/>
    <w:rsid w:val="00460656"/>
    <w:rsid w:val="00460700"/>
    <w:rsid w:val="00460FB3"/>
    <w:rsid w:val="00461ED4"/>
    <w:rsid w:val="00462187"/>
    <w:rsid w:val="00463D3C"/>
    <w:rsid w:val="00464851"/>
    <w:rsid w:val="00464BF5"/>
    <w:rsid w:val="00466595"/>
    <w:rsid w:val="00466A50"/>
    <w:rsid w:val="00466B3E"/>
    <w:rsid w:val="00467174"/>
    <w:rsid w:val="0046746A"/>
    <w:rsid w:val="00467B14"/>
    <w:rsid w:val="00467F8C"/>
    <w:rsid w:val="00467FDC"/>
    <w:rsid w:val="00467FF8"/>
    <w:rsid w:val="00470235"/>
    <w:rsid w:val="004707FE"/>
    <w:rsid w:val="00470ACF"/>
    <w:rsid w:val="00470BB7"/>
    <w:rsid w:val="00470EDC"/>
    <w:rsid w:val="00472418"/>
    <w:rsid w:val="0047276D"/>
    <w:rsid w:val="00472AF6"/>
    <w:rsid w:val="004731E6"/>
    <w:rsid w:val="00473482"/>
    <w:rsid w:val="004734C8"/>
    <w:rsid w:val="00473BF0"/>
    <w:rsid w:val="00474646"/>
    <w:rsid w:val="00474A04"/>
    <w:rsid w:val="00474D39"/>
    <w:rsid w:val="00476240"/>
    <w:rsid w:val="00476439"/>
    <w:rsid w:val="00476450"/>
    <w:rsid w:val="004769BF"/>
    <w:rsid w:val="004769E1"/>
    <w:rsid w:val="00476AEE"/>
    <w:rsid w:val="0047735C"/>
    <w:rsid w:val="00477469"/>
    <w:rsid w:val="004775F8"/>
    <w:rsid w:val="004776BC"/>
    <w:rsid w:val="00477820"/>
    <w:rsid w:val="00477B96"/>
    <w:rsid w:val="00480061"/>
    <w:rsid w:val="00480802"/>
    <w:rsid w:val="004808EA"/>
    <w:rsid w:val="00480BAE"/>
    <w:rsid w:val="00480D7F"/>
    <w:rsid w:val="0048103A"/>
    <w:rsid w:val="0048139F"/>
    <w:rsid w:val="004819D1"/>
    <w:rsid w:val="00481E40"/>
    <w:rsid w:val="00481F13"/>
    <w:rsid w:val="00482047"/>
    <w:rsid w:val="00482405"/>
    <w:rsid w:val="004826A7"/>
    <w:rsid w:val="004828DA"/>
    <w:rsid w:val="0048368C"/>
    <w:rsid w:val="0048372F"/>
    <w:rsid w:val="0048399F"/>
    <w:rsid w:val="00483A0C"/>
    <w:rsid w:val="00483C6A"/>
    <w:rsid w:val="004841CC"/>
    <w:rsid w:val="00484612"/>
    <w:rsid w:val="00484ECE"/>
    <w:rsid w:val="00485366"/>
    <w:rsid w:val="004854F5"/>
    <w:rsid w:val="00485DB6"/>
    <w:rsid w:val="00485E82"/>
    <w:rsid w:val="00486132"/>
    <w:rsid w:val="00486171"/>
    <w:rsid w:val="0048686D"/>
    <w:rsid w:val="00486A4D"/>
    <w:rsid w:val="004873A9"/>
    <w:rsid w:val="00487BA1"/>
    <w:rsid w:val="004915CB"/>
    <w:rsid w:val="00491A2B"/>
    <w:rsid w:val="004924DC"/>
    <w:rsid w:val="00492879"/>
    <w:rsid w:val="00493000"/>
    <w:rsid w:val="004934E3"/>
    <w:rsid w:val="00493E85"/>
    <w:rsid w:val="00494821"/>
    <w:rsid w:val="00495145"/>
    <w:rsid w:val="0049531F"/>
    <w:rsid w:val="004979A5"/>
    <w:rsid w:val="004A0144"/>
    <w:rsid w:val="004A036E"/>
    <w:rsid w:val="004A0389"/>
    <w:rsid w:val="004A046D"/>
    <w:rsid w:val="004A0498"/>
    <w:rsid w:val="004A0620"/>
    <w:rsid w:val="004A06B0"/>
    <w:rsid w:val="004A076F"/>
    <w:rsid w:val="004A07FB"/>
    <w:rsid w:val="004A0D0E"/>
    <w:rsid w:val="004A14E4"/>
    <w:rsid w:val="004A1C12"/>
    <w:rsid w:val="004A1DD6"/>
    <w:rsid w:val="004A204E"/>
    <w:rsid w:val="004A26A5"/>
    <w:rsid w:val="004A27F0"/>
    <w:rsid w:val="004A2BFC"/>
    <w:rsid w:val="004A3212"/>
    <w:rsid w:val="004A37CD"/>
    <w:rsid w:val="004A3BE4"/>
    <w:rsid w:val="004A3E64"/>
    <w:rsid w:val="004A40D9"/>
    <w:rsid w:val="004A49A5"/>
    <w:rsid w:val="004A4C97"/>
    <w:rsid w:val="004A4EB7"/>
    <w:rsid w:val="004A4F8A"/>
    <w:rsid w:val="004A513A"/>
    <w:rsid w:val="004A52AB"/>
    <w:rsid w:val="004A5373"/>
    <w:rsid w:val="004A5494"/>
    <w:rsid w:val="004A5CBF"/>
    <w:rsid w:val="004A5D4E"/>
    <w:rsid w:val="004A61C5"/>
    <w:rsid w:val="004A62A0"/>
    <w:rsid w:val="004A77DF"/>
    <w:rsid w:val="004A7DC0"/>
    <w:rsid w:val="004A7E9A"/>
    <w:rsid w:val="004A7F11"/>
    <w:rsid w:val="004B017D"/>
    <w:rsid w:val="004B059C"/>
    <w:rsid w:val="004B1417"/>
    <w:rsid w:val="004B1627"/>
    <w:rsid w:val="004B1AB1"/>
    <w:rsid w:val="004B1F08"/>
    <w:rsid w:val="004B2B05"/>
    <w:rsid w:val="004B2C28"/>
    <w:rsid w:val="004B305C"/>
    <w:rsid w:val="004B3094"/>
    <w:rsid w:val="004B31B8"/>
    <w:rsid w:val="004B339A"/>
    <w:rsid w:val="004B3DC0"/>
    <w:rsid w:val="004B4958"/>
    <w:rsid w:val="004B4C83"/>
    <w:rsid w:val="004B53BB"/>
    <w:rsid w:val="004B55B7"/>
    <w:rsid w:val="004B564C"/>
    <w:rsid w:val="004B591D"/>
    <w:rsid w:val="004B5BFA"/>
    <w:rsid w:val="004B619E"/>
    <w:rsid w:val="004B6468"/>
    <w:rsid w:val="004B67FA"/>
    <w:rsid w:val="004B6C4C"/>
    <w:rsid w:val="004B6EF8"/>
    <w:rsid w:val="004B7125"/>
    <w:rsid w:val="004B71D4"/>
    <w:rsid w:val="004B74CA"/>
    <w:rsid w:val="004B756A"/>
    <w:rsid w:val="004B7FB1"/>
    <w:rsid w:val="004C0233"/>
    <w:rsid w:val="004C0272"/>
    <w:rsid w:val="004C0970"/>
    <w:rsid w:val="004C0A27"/>
    <w:rsid w:val="004C0B3F"/>
    <w:rsid w:val="004C0CA8"/>
    <w:rsid w:val="004C0F87"/>
    <w:rsid w:val="004C13E4"/>
    <w:rsid w:val="004C25F9"/>
    <w:rsid w:val="004C2794"/>
    <w:rsid w:val="004C2BB6"/>
    <w:rsid w:val="004C2C2D"/>
    <w:rsid w:val="004C3027"/>
    <w:rsid w:val="004C384C"/>
    <w:rsid w:val="004C3867"/>
    <w:rsid w:val="004C3CE4"/>
    <w:rsid w:val="004C3DB0"/>
    <w:rsid w:val="004C4221"/>
    <w:rsid w:val="004C439A"/>
    <w:rsid w:val="004C4720"/>
    <w:rsid w:val="004C4950"/>
    <w:rsid w:val="004C4CD0"/>
    <w:rsid w:val="004C5060"/>
    <w:rsid w:val="004C5165"/>
    <w:rsid w:val="004C589C"/>
    <w:rsid w:val="004C5AE8"/>
    <w:rsid w:val="004C6CC7"/>
    <w:rsid w:val="004C6E0E"/>
    <w:rsid w:val="004C70DC"/>
    <w:rsid w:val="004C74CC"/>
    <w:rsid w:val="004D0211"/>
    <w:rsid w:val="004D0633"/>
    <w:rsid w:val="004D0794"/>
    <w:rsid w:val="004D148A"/>
    <w:rsid w:val="004D2D31"/>
    <w:rsid w:val="004D2E03"/>
    <w:rsid w:val="004D3296"/>
    <w:rsid w:val="004D360E"/>
    <w:rsid w:val="004D4056"/>
    <w:rsid w:val="004D483B"/>
    <w:rsid w:val="004D4CB0"/>
    <w:rsid w:val="004D4F03"/>
    <w:rsid w:val="004D5447"/>
    <w:rsid w:val="004D5B0F"/>
    <w:rsid w:val="004D6916"/>
    <w:rsid w:val="004D7385"/>
    <w:rsid w:val="004D7626"/>
    <w:rsid w:val="004D78CD"/>
    <w:rsid w:val="004E07F5"/>
    <w:rsid w:val="004E085C"/>
    <w:rsid w:val="004E12DF"/>
    <w:rsid w:val="004E1368"/>
    <w:rsid w:val="004E13D2"/>
    <w:rsid w:val="004E186A"/>
    <w:rsid w:val="004E18B0"/>
    <w:rsid w:val="004E1A40"/>
    <w:rsid w:val="004E1DB2"/>
    <w:rsid w:val="004E200A"/>
    <w:rsid w:val="004E23FC"/>
    <w:rsid w:val="004E2409"/>
    <w:rsid w:val="004E261D"/>
    <w:rsid w:val="004E3012"/>
    <w:rsid w:val="004E36C5"/>
    <w:rsid w:val="004E3901"/>
    <w:rsid w:val="004E3927"/>
    <w:rsid w:val="004E3B7F"/>
    <w:rsid w:val="004E3BC4"/>
    <w:rsid w:val="004E4882"/>
    <w:rsid w:val="004E50BF"/>
    <w:rsid w:val="004E57BF"/>
    <w:rsid w:val="004E5F41"/>
    <w:rsid w:val="004E6011"/>
    <w:rsid w:val="004E6DE6"/>
    <w:rsid w:val="004E765E"/>
    <w:rsid w:val="004E7815"/>
    <w:rsid w:val="004E79D0"/>
    <w:rsid w:val="004E7C93"/>
    <w:rsid w:val="004F06F5"/>
    <w:rsid w:val="004F0866"/>
    <w:rsid w:val="004F12A4"/>
    <w:rsid w:val="004F1557"/>
    <w:rsid w:val="004F17E7"/>
    <w:rsid w:val="004F253F"/>
    <w:rsid w:val="004F2693"/>
    <w:rsid w:val="004F33A0"/>
    <w:rsid w:val="004F3873"/>
    <w:rsid w:val="004F38A6"/>
    <w:rsid w:val="004F3BD2"/>
    <w:rsid w:val="004F3D8D"/>
    <w:rsid w:val="004F46ED"/>
    <w:rsid w:val="004F49A3"/>
    <w:rsid w:val="004F4C99"/>
    <w:rsid w:val="004F5358"/>
    <w:rsid w:val="004F5FB4"/>
    <w:rsid w:val="004F601B"/>
    <w:rsid w:val="004F6484"/>
    <w:rsid w:val="004F6539"/>
    <w:rsid w:val="004F664A"/>
    <w:rsid w:val="004F72C6"/>
    <w:rsid w:val="004F7A3B"/>
    <w:rsid w:val="004F7B9B"/>
    <w:rsid w:val="00500B90"/>
    <w:rsid w:val="0050155B"/>
    <w:rsid w:val="005036DC"/>
    <w:rsid w:val="00503D54"/>
    <w:rsid w:val="00504215"/>
    <w:rsid w:val="00504513"/>
    <w:rsid w:val="005048E2"/>
    <w:rsid w:val="00504987"/>
    <w:rsid w:val="00504EA4"/>
    <w:rsid w:val="0050586D"/>
    <w:rsid w:val="00505FC8"/>
    <w:rsid w:val="00506603"/>
    <w:rsid w:val="0050668E"/>
    <w:rsid w:val="0050689D"/>
    <w:rsid w:val="005077F5"/>
    <w:rsid w:val="00507E9B"/>
    <w:rsid w:val="005108C0"/>
    <w:rsid w:val="0051094F"/>
    <w:rsid w:val="00511217"/>
    <w:rsid w:val="00511873"/>
    <w:rsid w:val="00511BAF"/>
    <w:rsid w:val="00511EBB"/>
    <w:rsid w:val="00512461"/>
    <w:rsid w:val="00512585"/>
    <w:rsid w:val="005125B8"/>
    <w:rsid w:val="00512A2F"/>
    <w:rsid w:val="005138E7"/>
    <w:rsid w:val="00513B7E"/>
    <w:rsid w:val="00513E9D"/>
    <w:rsid w:val="0051475D"/>
    <w:rsid w:val="00514B11"/>
    <w:rsid w:val="00514BAE"/>
    <w:rsid w:val="00514D48"/>
    <w:rsid w:val="00514DED"/>
    <w:rsid w:val="00515485"/>
    <w:rsid w:val="00515AA7"/>
    <w:rsid w:val="00515BE9"/>
    <w:rsid w:val="00515C74"/>
    <w:rsid w:val="00515CEB"/>
    <w:rsid w:val="0051630F"/>
    <w:rsid w:val="00516FB5"/>
    <w:rsid w:val="00517113"/>
    <w:rsid w:val="005177ED"/>
    <w:rsid w:val="00517C20"/>
    <w:rsid w:val="0052007E"/>
    <w:rsid w:val="0052032E"/>
    <w:rsid w:val="00521CAD"/>
    <w:rsid w:val="0052200D"/>
    <w:rsid w:val="00522425"/>
    <w:rsid w:val="00522A1B"/>
    <w:rsid w:val="00522E01"/>
    <w:rsid w:val="0052337A"/>
    <w:rsid w:val="005235FD"/>
    <w:rsid w:val="00523CBE"/>
    <w:rsid w:val="00524385"/>
    <w:rsid w:val="005246BE"/>
    <w:rsid w:val="00524C43"/>
    <w:rsid w:val="0052504E"/>
    <w:rsid w:val="00525137"/>
    <w:rsid w:val="005251DD"/>
    <w:rsid w:val="00525843"/>
    <w:rsid w:val="00525A38"/>
    <w:rsid w:val="0052635B"/>
    <w:rsid w:val="0052659F"/>
    <w:rsid w:val="00526711"/>
    <w:rsid w:val="00526BE8"/>
    <w:rsid w:val="005271FB"/>
    <w:rsid w:val="0052762C"/>
    <w:rsid w:val="0052792D"/>
    <w:rsid w:val="0053012B"/>
    <w:rsid w:val="005301A6"/>
    <w:rsid w:val="00530A68"/>
    <w:rsid w:val="00530AD4"/>
    <w:rsid w:val="00530CB5"/>
    <w:rsid w:val="0053129F"/>
    <w:rsid w:val="00531C5A"/>
    <w:rsid w:val="005320D6"/>
    <w:rsid w:val="00532C8A"/>
    <w:rsid w:val="00532CE7"/>
    <w:rsid w:val="00532D8B"/>
    <w:rsid w:val="0053324C"/>
    <w:rsid w:val="00533A8D"/>
    <w:rsid w:val="00534A28"/>
    <w:rsid w:val="00535018"/>
    <w:rsid w:val="00535782"/>
    <w:rsid w:val="0053595E"/>
    <w:rsid w:val="00535DF6"/>
    <w:rsid w:val="00535EFB"/>
    <w:rsid w:val="005364EE"/>
    <w:rsid w:val="00536864"/>
    <w:rsid w:val="00537571"/>
    <w:rsid w:val="0053786B"/>
    <w:rsid w:val="00540056"/>
    <w:rsid w:val="005403FA"/>
    <w:rsid w:val="005410E2"/>
    <w:rsid w:val="00541145"/>
    <w:rsid w:val="005413E9"/>
    <w:rsid w:val="00541508"/>
    <w:rsid w:val="0054156A"/>
    <w:rsid w:val="00541AE3"/>
    <w:rsid w:val="00541E09"/>
    <w:rsid w:val="00542011"/>
    <w:rsid w:val="00542795"/>
    <w:rsid w:val="00543000"/>
    <w:rsid w:val="00543498"/>
    <w:rsid w:val="00544011"/>
    <w:rsid w:val="00544376"/>
    <w:rsid w:val="00544BE5"/>
    <w:rsid w:val="005453A3"/>
    <w:rsid w:val="00545529"/>
    <w:rsid w:val="005455F6"/>
    <w:rsid w:val="0054582F"/>
    <w:rsid w:val="005459C3"/>
    <w:rsid w:val="00545A09"/>
    <w:rsid w:val="0054603A"/>
    <w:rsid w:val="0054632B"/>
    <w:rsid w:val="005463CF"/>
    <w:rsid w:val="00546982"/>
    <w:rsid w:val="00546FC7"/>
    <w:rsid w:val="00547D48"/>
    <w:rsid w:val="005500F9"/>
    <w:rsid w:val="00550102"/>
    <w:rsid w:val="00550160"/>
    <w:rsid w:val="00550249"/>
    <w:rsid w:val="00550540"/>
    <w:rsid w:val="00551910"/>
    <w:rsid w:val="005519E2"/>
    <w:rsid w:val="00551E16"/>
    <w:rsid w:val="005523A8"/>
    <w:rsid w:val="005525F5"/>
    <w:rsid w:val="00552F2C"/>
    <w:rsid w:val="00553A25"/>
    <w:rsid w:val="00553F4E"/>
    <w:rsid w:val="005547EB"/>
    <w:rsid w:val="00554863"/>
    <w:rsid w:val="005554C7"/>
    <w:rsid w:val="005555E0"/>
    <w:rsid w:val="0055599F"/>
    <w:rsid w:val="00556D68"/>
    <w:rsid w:val="0055707B"/>
    <w:rsid w:val="005570D6"/>
    <w:rsid w:val="0055784A"/>
    <w:rsid w:val="00557E0E"/>
    <w:rsid w:val="00557E45"/>
    <w:rsid w:val="0056056B"/>
    <w:rsid w:val="005605F3"/>
    <w:rsid w:val="00560C41"/>
    <w:rsid w:val="00560C68"/>
    <w:rsid w:val="00560CAC"/>
    <w:rsid w:val="00561639"/>
    <w:rsid w:val="00561F44"/>
    <w:rsid w:val="00562B4D"/>
    <w:rsid w:val="00562DB1"/>
    <w:rsid w:val="005636FF"/>
    <w:rsid w:val="00563EB8"/>
    <w:rsid w:val="005647BF"/>
    <w:rsid w:val="00564AF1"/>
    <w:rsid w:val="00564C19"/>
    <w:rsid w:val="005651B3"/>
    <w:rsid w:val="005655DB"/>
    <w:rsid w:val="00565E88"/>
    <w:rsid w:val="005669F6"/>
    <w:rsid w:val="00567339"/>
    <w:rsid w:val="005678EE"/>
    <w:rsid w:val="00567910"/>
    <w:rsid w:val="00570270"/>
    <w:rsid w:val="00570464"/>
    <w:rsid w:val="00570601"/>
    <w:rsid w:val="00570A34"/>
    <w:rsid w:val="00570BC3"/>
    <w:rsid w:val="0057113A"/>
    <w:rsid w:val="00571766"/>
    <w:rsid w:val="0057182A"/>
    <w:rsid w:val="00571E59"/>
    <w:rsid w:val="00572079"/>
    <w:rsid w:val="005726E2"/>
    <w:rsid w:val="005726EE"/>
    <w:rsid w:val="00572900"/>
    <w:rsid w:val="00573602"/>
    <w:rsid w:val="00573612"/>
    <w:rsid w:val="0057364B"/>
    <w:rsid w:val="00574773"/>
    <w:rsid w:val="005761E8"/>
    <w:rsid w:val="005761EC"/>
    <w:rsid w:val="005766AD"/>
    <w:rsid w:val="00576E34"/>
    <w:rsid w:val="0057727A"/>
    <w:rsid w:val="00577C07"/>
    <w:rsid w:val="00577DB1"/>
    <w:rsid w:val="00577FEB"/>
    <w:rsid w:val="0058035D"/>
    <w:rsid w:val="00580AD3"/>
    <w:rsid w:val="00580DE7"/>
    <w:rsid w:val="005810E1"/>
    <w:rsid w:val="00581680"/>
    <w:rsid w:val="005820CB"/>
    <w:rsid w:val="005820CD"/>
    <w:rsid w:val="0058276F"/>
    <w:rsid w:val="00583BDD"/>
    <w:rsid w:val="00583E52"/>
    <w:rsid w:val="00583FFD"/>
    <w:rsid w:val="00584241"/>
    <w:rsid w:val="00584252"/>
    <w:rsid w:val="005848DD"/>
    <w:rsid w:val="0058519A"/>
    <w:rsid w:val="005856BD"/>
    <w:rsid w:val="00585983"/>
    <w:rsid w:val="00585A37"/>
    <w:rsid w:val="00585BD9"/>
    <w:rsid w:val="0058658B"/>
    <w:rsid w:val="00586BCA"/>
    <w:rsid w:val="00586D16"/>
    <w:rsid w:val="00586E11"/>
    <w:rsid w:val="00587038"/>
    <w:rsid w:val="00590390"/>
    <w:rsid w:val="00590608"/>
    <w:rsid w:val="00590B28"/>
    <w:rsid w:val="005911BE"/>
    <w:rsid w:val="00591273"/>
    <w:rsid w:val="00591E9E"/>
    <w:rsid w:val="005927A4"/>
    <w:rsid w:val="005929EB"/>
    <w:rsid w:val="00592DB2"/>
    <w:rsid w:val="00593152"/>
    <w:rsid w:val="00593389"/>
    <w:rsid w:val="00593A52"/>
    <w:rsid w:val="00593FE6"/>
    <w:rsid w:val="005956A3"/>
    <w:rsid w:val="00595958"/>
    <w:rsid w:val="00595CAB"/>
    <w:rsid w:val="0059622E"/>
    <w:rsid w:val="0059696C"/>
    <w:rsid w:val="00596EAC"/>
    <w:rsid w:val="00597671"/>
    <w:rsid w:val="00597BBF"/>
    <w:rsid w:val="00597BF9"/>
    <w:rsid w:val="00597E2F"/>
    <w:rsid w:val="005A040C"/>
    <w:rsid w:val="005A0463"/>
    <w:rsid w:val="005A05DF"/>
    <w:rsid w:val="005A0948"/>
    <w:rsid w:val="005A0A03"/>
    <w:rsid w:val="005A0BB7"/>
    <w:rsid w:val="005A10F2"/>
    <w:rsid w:val="005A16C0"/>
    <w:rsid w:val="005A1B32"/>
    <w:rsid w:val="005A2156"/>
    <w:rsid w:val="005A21E0"/>
    <w:rsid w:val="005A2401"/>
    <w:rsid w:val="005A28FF"/>
    <w:rsid w:val="005A2C09"/>
    <w:rsid w:val="005A2C72"/>
    <w:rsid w:val="005A3778"/>
    <w:rsid w:val="005A37A5"/>
    <w:rsid w:val="005A37B0"/>
    <w:rsid w:val="005A3DF8"/>
    <w:rsid w:val="005A4787"/>
    <w:rsid w:val="005A5549"/>
    <w:rsid w:val="005A566A"/>
    <w:rsid w:val="005A56E0"/>
    <w:rsid w:val="005A586B"/>
    <w:rsid w:val="005A66B8"/>
    <w:rsid w:val="005A6FEE"/>
    <w:rsid w:val="005A70CA"/>
    <w:rsid w:val="005A7375"/>
    <w:rsid w:val="005A7990"/>
    <w:rsid w:val="005A7ABD"/>
    <w:rsid w:val="005A7CF8"/>
    <w:rsid w:val="005B07B3"/>
    <w:rsid w:val="005B0EDA"/>
    <w:rsid w:val="005B121D"/>
    <w:rsid w:val="005B16DB"/>
    <w:rsid w:val="005B1705"/>
    <w:rsid w:val="005B1B45"/>
    <w:rsid w:val="005B26B0"/>
    <w:rsid w:val="005B39CA"/>
    <w:rsid w:val="005B41C9"/>
    <w:rsid w:val="005B44E6"/>
    <w:rsid w:val="005B4853"/>
    <w:rsid w:val="005B4ECD"/>
    <w:rsid w:val="005B5629"/>
    <w:rsid w:val="005B591B"/>
    <w:rsid w:val="005B6768"/>
    <w:rsid w:val="005B6CA1"/>
    <w:rsid w:val="005B770C"/>
    <w:rsid w:val="005B7910"/>
    <w:rsid w:val="005C06ED"/>
    <w:rsid w:val="005C0CE1"/>
    <w:rsid w:val="005C11B8"/>
    <w:rsid w:val="005C15CC"/>
    <w:rsid w:val="005C216C"/>
    <w:rsid w:val="005C2609"/>
    <w:rsid w:val="005C2B30"/>
    <w:rsid w:val="005C3A0C"/>
    <w:rsid w:val="005C3B1F"/>
    <w:rsid w:val="005C412B"/>
    <w:rsid w:val="005C43EC"/>
    <w:rsid w:val="005C45DD"/>
    <w:rsid w:val="005C460B"/>
    <w:rsid w:val="005C4704"/>
    <w:rsid w:val="005C4CB1"/>
    <w:rsid w:val="005C4EE8"/>
    <w:rsid w:val="005C4F6D"/>
    <w:rsid w:val="005C68DA"/>
    <w:rsid w:val="005C6AE9"/>
    <w:rsid w:val="005C70AB"/>
    <w:rsid w:val="005D015C"/>
    <w:rsid w:val="005D0706"/>
    <w:rsid w:val="005D0B1D"/>
    <w:rsid w:val="005D14DD"/>
    <w:rsid w:val="005D1679"/>
    <w:rsid w:val="005D3F06"/>
    <w:rsid w:val="005D4608"/>
    <w:rsid w:val="005D47A1"/>
    <w:rsid w:val="005D47BF"/>
    <w:rsid w:val="005D4B73"/>
    <w:rsid w:val="005D533D"/>
    <w:rsid w:val="005D5544"/>
    <w:rsid w:val="005D5645"/>
    <w:rsid w:val="005D5802"/>
    <w:rsid w:val="005D5AA9"/>
    <w:rsid w:val="005D5B60"/>
    <w:rsid w:val="005D66E6"/>
    <w:rsid w:val="005D7119"/>
    <w:rsid w:val="005D76C8"/>
    <w:rsid w:val="005D7890"/>
    <w:rsid w:val="005D7AAF"/>
    <w:rsid w:val="005E026B"/>
    <w:rsid w:val="005E0C09"/>
    <w:rsid w:val="005E19C1"/>
    <w:rsid w:val="005E200E"/>
    <w:rsid w:val="005E2194"/>
    <w:rsid w:val="005E24F0"/>
    <w:rsid w:val="005E2E02"/>
    <w:rsid w:val="005E3113"/>
    <w:rsid w:val="005E343F"/>
    <w:rsid w:val="005E36FE"/>
    <w:rsid w:val="005E3F66"/>
    <w:rsid w:val="005E440B"/>
    <w:rsid w:val="005E490F"/>
    <w:rsid w:val="005E4BC9"/>
    <w:rsid w:val="005E4C45"/>
    <w:rsid w:val="005E5314"/>
    <w:rsid w:val="005E5DE7"/>
    <w:rsid w:val="005E61A1"/>
    <w:rsid w:val="005E6F6A"/>
    <w:rsid w:val="005E73E3"/>
    <w:rsid w:val="005E764D"/>
    <w:rsid w:val="005E7724"/>
    <w:rsid w:val="005E7C78"/>
    <w:rsid w:val="005E7FCA"/>
    <w:rsid w:val="005F008C"/>
    <w:rsid w:val="005F04A7"/>
    <w:rsid w:val="005F114F"/>
    <w:rsid w:val="005F121E"/>
    <w:rsid w:val="005F18C5"/>
    <w:rsid w:val="005F216C"/>
    <w:rsid w:val="005F247B"/>
    <w:rsid w:val="005F2A08"/>
    <w:rsid w:val="005F2D46"/>
    <w:rsid w:val="005F36CC"/>
    <w:rsid w:val="005F3825"/>
    <w:rsid w:val="005F3EB1"/>
    <w:rsid w:val="005F413E"/>
    <w:rsid w:val="005F466B"/>
    <w:rsid w:val="005F46D8"/>
    <w:rsid w:val="005F480F"/>
    <w:rsid w:val="005F5271"/>
    <w:rsid w:val="005F5469"/>
    <w:rsid w:val="005F63F3"/>
    <w:rsid w:val="005F66F0"/>
    <w:rsid w:val="005F6A77"/>
    <w:rsid w:val="005F6D7F"/>
    <w:rsid w:val="005F6DFE"/>
    <w:rsid w:val="005F7174"/>
    <w:rsid w:val="005F740B"/>
    <w:rsid w:val="005F7834"/>
    <w:rsid w:val="005F7AD7"/>
    <w:rsid w:val="00600DDA"/>
    <w:rsid w:val="0060120D"/>
    <w:rsid w:val="0060176B"/>
    <w:rsid w:val="006017C1"/>
    <w:rsid w:val="006017FD"/>
    <w:rsid w:val="00601ADE"/>
    <w:rsid w:val="00601EEF"/>
    <w:rsid w:val="0060255A"/>
    <w:rsid w:val="00602583"/>
    <w:rsid w:val="006026D4"/>
    <w:rsid w:val="00602998"/>
    <w:rsid w:val="00602D2B"/>
    <w:rsid w:val="00602EB3"/>
    <w:rsid w:val="006033A4"/>
    <w:rsid w:val="00603C3F"/>
    <w:rsid w:val="00603CF2"/>
    <w:rsid w:val="00603E9E"/>
    <w:rsid w:val="00604307"/>
    <w:rsid w:val="0060487F"/>
    <w:rsid w:val="0060498C"/>
    <w:rsid w:val="00604EAD"/>
    <w:rsid w:val="0060513F"/>
    <w:rsid w:val="0060587A"/>
    <w:rsid w:val="00605AEB"/>
    <w:rsid w:val="00606269"/>
    <w:rsid w:val="006065E2"/>
    <w:rsid w:val="0060694B"/>
    <w:rsid w:val="006070F7"/>
    <w:rsid w:val="00607E1D"/>
    <w:rsid w:val="00610131"/>
    <w:rsid w:val="006104FB"/>
    <w:rsid w:val="006116FF"/>
    <w:rsid w:val="0061176D"/>
    <w:rsid w:val="0061200F"/>
    <w:rsid w:val="00612756"/>
    <w:rsid w:val="00612A2F"/>
    <w:rsid w:val="00612AAE"/>
    <w:rsid w:val="00612ADD"/>
    <w:rsid w:val="00612B07"/>
    <w:rsid w:val="00612C5E"/>
    <w:rsid w:val="00612FD9"/>
    <w:rsid w:val="006131CA"/>
    <w:rsid w:val="006133DA"/>
    <w:rsid w:val="006139E0"/>
    <w:rsid w:val="00613D41"/>
    <w:rsid w:val="006147AA"/>
    <w:rsid w:val="00614D35"/>
    <w:rsid w:val="00614D60"/>
    <w:rsid w:val="006156B4"/>
    <w:rsid w:val="00615DAF"/>
    <w:rsid w:val="00615EBF"/>
    <w:rsid w:val="006160AC"/>
    <w:rsid w:val="00616254"/>
    <w:rsid w:val="00616424"/>
    <w:rsid w:val="0061672A"/>
    <w:rsid w:val="00616E05"/>
    <w:rsid w:val="00617985"/>
    <w:rsid w:val="006201BC"/>
    <w:rsid w:val="006204E0"/>
    <w:rsid w:val="00620641"/>
    <w:rsid w:val="006208EE"/>
    <w:rsid w:val="006209F8"/>
    <w:rsid w:val="00620B77"/>
    <w:rsid w:val="00620CEF"/>
    <w:rsid w:val="00621190"/>
    <w:rsid w:val="0062131B"/>
    <w:rsid w:val="00621533"/>
    <w:rsid w:val="00621E26"/>
    <w:rsid w:val="00621EDD"/>
    <w:rsid w:val="006224EA"/>
    <w:rsid w:val="0062263A"/>
    <w:rsid w:val="0062276B"/>
    <w:rsid w:val="006227DF"/>
    <w:rsid w:val="006234A0"/>
    <w:rsid w:val="006236C8"/>
    <w:rsid w:val="00624093"/>
    <w:rsid w:val="0062415E"/>
    <w:rsid w:val="00624A61"/>
    <w:rsid w:val="006252C0"/>
    <w:rsid w:val="00625A84"/>
    <w:rsid w:val="00626079"/>
    <w:rsid w:val="006268C3"/>
    <w:rsid w:val="006272C4"/>
    <w:rsid w:val="006275B5"/>
    <w:rsid w:val="00627725"/>
    <w:rsid w:val="00631698"/>
    <w:rsid w:val="0063177C"/>
    <w:rsid w:val="00631E44"/>
    <w:rsid w:val="00632280"/>
    <w:rsid w:val="0063385B"/>
    <w:rsid w:val="00634898"/>
    <w:rsid w:val="00634C57"/>
    <w:rsid w:val="00634CE7"/>
    <w:rsid w:val="006350D5"/>
    <w:rsid w:val="006350FD"/>
    <w:rsid w:val="00635EBE"/>
    <w:rsid w:val="0063642C"/>
    <w:rsid w:val="006367CA"/>
    <w:rsid w:val="006369D5"/>
    <w:rsid w:val="00636DDD"/>
    <w:rsid w:val="00636EA3"/>
    <w:rsid w:val="006376B3"/>
    <w:rsid w:val="00637858"/>
    <w:rsid w:val="00637B24"/>
    <w:rsid w:val="00637E46"/>
    <w:rsid w:val="006404A7"/>
    <w:rsid w:val="00640A38"/>
    <w:rsid w:val="00640E6B"/>
    <w:rsid w:val="006413FC"/>
    <w:rsid w:val="00641787"/>
    <w:rsid w:val="0064179B"/>
    <w:rsid w:val="00642338"/>
    <w:rsid w:val="006423CE"/>
    <w:rsid w:val="0064247B"/>
    <w:rsid w:val="00642489"/>
    <w:rsid w:val="00643D34"/>
    <w:rsid w:val="00643DFB"/>
    <w:rsid w:val="00644055"/>
    <w:rsid w:val="00644137"/>
    <w:rsid w:val="006442DB"/>
    <w:rsid w:val="006445A3"/>
    <w:rsid w:val="0064478C"/>
    <w:rsid w:val="00644867"/>
    <w:rsid w:val="0064492A"/>
    <w:rsid w:val="00644938"/>
    <w:rsid w:val="006450A3"/>
    <w:rsid w:val="00645160"/>
    <w:rsid w:val="006451E4"/>
    <w:rsid w:val="006453B2"/>
    <w:rsid w:val="0064574B"/>
    <w:rsid w:val="00645B33"/>
    <w:rsid w:val="00647D36"/>
    <w:rsid w:val="00647EDC"/>
    <w:rsid w:val="006502AB"/>
    <w:rsid w:val="0065070F"/>
    <w:rsid w:val="0065153D"/>
    <w:rsid w:val="006516CB"/>
    <w:rsid w:val="00652444"/>
    <w:rsid w:val="00652E30"/>
    <w:rsid w:val="00653BD0"/>
    <w:rsid w:val="00653D96"/>
    <w:rsid w:val="00654110"/>
    <w:rsid w:val="006544E5"/>
    <w:rsid w:val="00654605"/>
    <w:rsid w:val="00656B48"/>
    <w:rsid w:val="00656C5D"/>
    <w:rsid w:val="00656CFB"/>
    <w:rsid w:val="00656D25"/>
    <w:rsid w:val="00657077"/>
    <w:rsid w:val="00657099"/>
    <w:rsid w:val="006576BB"/>
    <w:rsid w:val="00657E87"/>
    <w:rsid w:val="006607D7"/>
    <w:rsid w:val="00660AA1"/>
    <w:rsid w:val="00660D2D"/>
    <w:rsid w:val="00660D4A"/>
    <w:rsid w:val="0066110B"/>
    <w:rsid w:val="00661C41"/>
    <w:rsid w:val="00661EC9"/>
    <w:rsid w:val="00662469"/>
    <w:rsid w:val="0066294E"/>
    <w:rsid w:val="006633C7"/>
    <w:rsid w:val="006636BD"/>
    <w:rsid w:val="0066411C"/>
    <w:rsid w:val="00664205"/>
    <w:rsid w:val="00664647"/>
    <w:rsid w:val="00664803"/>
    <w:rsid w:val="0066502F"/>
    <w:rsid w:val="006653CC"/>
    <w:rsid w:val="00665501"/>
    <w:rsid w:val="00665982"/>
    <w:rsid w:val="00665BA4"/>
    <w:rsid w:val="006660CE"/>
    <w:rsid w:val="006661C5"/>
    <w:rsid w:val="00666BF3"/>
    <w:rsid w:val="0066701F"/>
    <w:rsid w:val="006674A5"/>
    <w:rsid w:val="00667856"/>
    <w:rsid w:val="00667888"/>
    <w:rsid w:val="00667AF2"/>
    <w:rsid w:val="00667C83"/>
    <w:rsid w:val="006702E9"/>
    <w:rsid w:val="00670489"/>
    <w:rsid w:val="006710C9"/>
    <w:rsid w:val="006712D8"/>
    <w:rsid w:val="00671C2B"/>
    <w:rsid w:val="00671D85"/>
    <w:rsid w:val="00671FFC"/>
    <w:rsid w:val="006721E0"/>
    <w:rsid w:val="00672586"/>
    <w:rsid w:val="006727BC"/>
    <w:rsid w:val="00673231"/>
    <w:rsid w:val="006741CD"/>
    <w:rsid w:val="006745DF"/>
    <w:rsid w:val="00674BAC"/>
    <w:rsid w:val="00674D89"/>
    <w:rsid w:val="00674FE8"/>
    <w:rsid w:val="0067514E"/>
    <w:rsid w:val="006756C1"/>
    <w:rsid w:val="00675CB1"/>
    <w:rsid w:val="00675E37"/>
    <w:rsid w:val="0067635D"/>
    <w:rsid w:val="00676556"/>
    <w:rsid w:val="00676736"/>
    <w:rsid w:val="006769A4"/>
    <w:rsid w:val="006769C6"/>
    <w:rsid w:val="00676A86"/>
    <w:rsid w:val="00676D76"/>
    <w:rsid w:val="00676F9F"/>
    <w:rsid w:val="0067701A"/>
    <w:rsid w:val="00677385"/>
    <w:rsid w:val="00677519"/>
    <w:rsid w:val="00677591"/>
    <w:rsid w:val="00677594"/>
    <w:rsid w:val="00677FA3"/>
    <w:rsid w:val="00677FC7"/>
    <w:rsid w:val="0068032F"/>
    <w:rsid w:val="006807C7"/>
    <w:rsid w:val="006809DE"/>
    <w:rsid w:val="00680D37"/>
    <w:rsid w:val="0068174E"/>
    <w:rsid w:val="00681DCE"/>
    <w:rsid w:val="00682110"/>
    <w:rsid w:val="0068260E"/>
    <w:rsid w:val="0068316D"/>
    <w:rsid w:val="00683FEC"/>
    <w:rsid w:val="006846B3"/>
    <w:rsid w:val="006849F8"/>
    <w:rsid w:val="00684B9B"/>
    <w:rsid w:val="00684D59"/>
    <w:rsid w:val="00684E25"/>
    <w:rsid w:val="006856A4"/>
    <w:rsid w:val="006858A4"/>
    <w:rsid w:val="00685C08"/>
    <w:rsid w:val="00685C8C"/>
    <w:rsid w:val="006862C6"/>
    <w:rsid w:val="00686718"/>
    <w:rsid w:val="00686BFA"/>
    <w:rsid w:val="00686DED"/>
    <w:rsid w:val="006873FF"/>
    <w:rsid w:val="006875A0"/>
    <w:rsid w:val="006878C6"/>
    <w:rsid w:val="00687D27"/>
    <w:rsid w:val="006906C6"/>
    <w:rsid w:val="00690EAD"/>
    <w:rsid w:val="00691943"/>
    <w:rsid w:val="00691DDB"/>
    <w:rsid w:val="00692D4C"/>
    <w:rsid w:val="00693319"/>
    <w:rsid w:val="00693550"/>
    <w:rsid w:val="006935DA"/>
    <w:rsid w:val="00693F2E"/>
    <w:rsid w:val="00694622"/>
    <w:rsid w:val="00694F90"/>
    <w:rsid w:val="00695065"/>
    <w:rsid w:val="00695BEF"/>
    <w:rsid w:val="00696251"/>
    <w:rsid w:val="006966C7"/>
    <w:rsid w:val="006968C1"/>
    <w:rsid w:val="006977F6"/>
    <w:rsid w:val="00697827"/>
    <w:rsid w:val="00697A13"/>
    <w:rsid w:val="00697A4F"/>
    <w:rsid w:val="006A065C"/>
    <w:rsid w:val="006A0DD4"/>
    <w:rsid w:val="006A109C"/>
    <w:rsid w:val="006A231B"/>
    <w:rsid w:val="006A2942"/>
    <w:rsid w:val="006A3CAF"/>
    <w:rsid w:val="006A3DDC"/>
    <w:rsid w:val="006A4E91"/>
    <w:rsid w:val="006A5072"/>
    <w:rsid w:val="006A5F4B"/>
    <w:rsid w:val="006A60DC"/>
    <w:rsid w:val="006A6114"/>
    <w:rsid w:val="006A6151"/>
    <w:rsid w:val="006A6565"/>
    <w:rsid w:val="006A6BEA"/>
    <w:rsid w:val="006A7665"/>
    <w:rsid w:val="006A7691"/>
    <w:rsid w:val="006A7EE2"/>
    <w:rsid w:val="006B0402"/>
    <w:rsid w:val="006B0514"/>
    <w:rsid w:val="006B0F92"/>
    <w:rsid w:val="006B133E"/>
    <w:rsid w:val="006B1AAE"/>
    <w:rsid w:val="006B21A0"/>
    <w:rsid w:val="006B2785"/>
    <w:rsid w:val="006B27C7"/>
    <w:rsid w:val="006B2BC2"/>
    <w:rsid w:val="006B31E5"/>
    <w:rsid w:val="006B344A"/>
    <w:rsid w:val="006B5324"/>
    <w:rsid w:val="006B55A2"/>
    <w:rsid w:val="006B58C9"/>
    <w:rsid w:val="006B60ED"/>
    <w:rsid w:val="006B65B4"/>
    <w:rsid w:val="006B6CC5"/>
    <w:rsid w:val="006B6DFA"/>
    <w:rsid w:val="006B74AC"/>
    <w:rsid w:val="006B78D8"/>
    <w:rsid w:val="006B79AD"/>
    <w:rsid w:val="006B79EA"/>
    <w:rsid w:val="006B7B00"/>
    <w:rsid w:val="006B7EB2"/>
    <w:rsid w:val="006C013D"/>
    <w:rsid w:val="006C03E1"/>
    <w:rsid w:val="006C0C5D"/>
    <w:rsid w:val="006C113F"/>
    <w:rsid w:val="006C123E"/>
    <w:rsid w:val="006C15A1"/>
    <w:rsid w:val="006C1752"/>
    <w:rsid w:val="006C17CA"/>
    <w:rsid w:val="006C1984"/>
    <w:rsid w:val="006C19E6"/>
    <w:rsid w:val="006C1DDC"/>
    <w:rsid w:val="006C28CA"/>
    <w:rsid w:val="006C2BBF"/>
    <w:rsid w:val="006C2DBE"/>
    <w:rsid w:val="006C2FBD"/>
    <w:rsid w:val="006C30B9"/>
    <w:rsid w:val="006C3336"/>
    <w:rsid w:val="006C3495"/>
    <w:rsid w:val="006C3A4A"/>
    <w:rsid w:val="006C40C6"/>
    <w:rsid w:val="006C4355"/>
    <w:rsid w:val="006C4587"/>
    <w:rsid w:val="006C469D"/>
    <w:rsid w:val="006C46B5"/>
    <w:rsid w:val="006C4818"/>
    <w:rsid w:val="006C484F"/>
    <w:rsid w:val="006C52EC"/>
    <w:rsid w:val="006C5506"/>
    <w:rsid w:val="006C56D4"/>
    <w:rsid w:val="006C6272"/>
    <w:rsid w:val="006C6681"/>
    <w:rsid w:val="006C683C"/>
    <w:rsid w:val="006C6847"/>
    <w:rsid w:val="006C6924"/>
    <w:rsid w:val="006C6C1E"/>
    <w:rsid w:val="006C7076"/>
    <w:rsid w:val="006C7981"/>
    <w:rsid w:val="006C7AEC"/>
    <w:rsid w:val="006C7CA6"/>
    <w:rsid w:val="006C7E90"/>
    <w:rsid w:val="006D045E"/>
    <w:rsid w:val="006D0DE1"/>
    <w:rsid w:val="006D15D3"/>
    <w:rsid w:val="006D18B3"/>
    <w:rsid w:val="006D192C"/>
    <w:rsid w:val="006D1E89"/>
    <w:rsid w:val="006D26CE"/>
    <w:rsid w:val="006D2850"/>
    <w:rsid w:val="006D317E"/>
    <w:rsid w:val="006D388D"/>
    <w:rsid w:val="006D3E8A"/>
    <w:rsid w:val="006D4040"/>
    <w:rsid w:val="006D47D9"/>
    <w:rsid w:val="006D57A6"/>
    <w:rsid w:val="006D61F6"/>
    <w:rsid w:val="006D63B1"/>
    <w:rsid w:val="006D665F"/>
    <w:rsid w:val="006D6B1A"/>
    <w:rsid w:val="006E1081"/>
    <w:rsid w:val="006E1332"/>
    <w:rsid w:val="006E19CB"/>
    <w:rsid w:val="006E20A5"/>
    <w:rsid w:val="006E234C"/>
    <w:rsid w:val="006E279A"/>
    <w:rsid w:val="006E2A7F"/>
    <w:rsid w:val="006E313B"/>
    <w:rsid w:val="006E34B2"/>
    <w:rsid w:val="006E3A45"/>
    <w:rsid w:val="006E4078"/>
    <w:rsid w:val="006E483A"/>
    <w:rsid w:val="006E51C4"/>
    <w:rsid w:val="006E53AD"/>
    <w:rsid w:val="006E58CB"/>
    <w:rsid w:val="006E6182"/>
    <w:rsid w:val="006E6A93"/>
    <w:rsid w:val="006E6BD5"/>
    <w:rsid w:val="006E70BA"/>
    <w:rsid w:val="006E7227"/>
    <w:rsid w:val="006E7275"/>
    <w:rsid w:val="006E761A"/>
    <w:rsid w:val="006E7794"/>
    <w:rsid w:val="006E7C3B"/>
    <w:rsid w:val="006E7DB5"/>
    <w:rsid w:val="006E7F07"/>
    <w:rsid w:val="006F0646"/>
    <w:rsid w:val="006F0741"/>
    <w:rsid w:val="006F08B6"/>
    <w:rsid w:val="006F0D61"/>
    <w:rsid w:val="006F0F78"/>
    <w:rsid w:val="006F1C27"/>
    <w:rsid w:val="006F2A65"/>
    <w:rsid w:val="006F2EA1"/>
    <w:rsid w:val="006F3DD6"/>
    <w:rsid w:val="006F40DF"/>
    <w:rsid w:val="006F42BB"/>
    <w:rsid w:val="006F438E"/>
    <w:rsid w:val="006F440B"/>
    <w:rsid w:val="006F4638"/>
    <w:rsid w:val="006F48A3"/>
    <w:rsid w:val="006F4DA4"/>
    <w:rsid w:val="006F5416"/>
    <w:rsid w:val="006F564E"/>
    <w:rsid w:val="006F5929"/>
    <w:rsid w:val="006F624B"/>
    <w:rsid w:val="006F64EC"/>
    <w:rsid w:val="006F674E"/>
    <w:rsid w:val="006F6D87"/>
    <w:rsid w:val="006F6FF2"/>
    <w:rsid w:val="006F79FB"/>
    <w:rsid w:val="0070016C"/>
    <w:rsid w:val="007008A9"/>
    <w:rsid w:val="00700E8A"/>
    <w:rsid w:val="007018A4"/>
    <w:rsid w:val="007032D4"/>
    <w:rsid w:val="0070398A"/>
    <w:rsid w:val="00704D20"/>
    <w:rsid w:val="00705242"/>
    <w:rsid w:val="007055E0"/>
    <w:rsid w:val="007056ED"/>
    <w:rsid w:val="00705F4E"/>
    <w:rsid w:val="0070658E"/>
    <w:rsid w:val="007065C5"/>
    <w:rsid w:val="007068E1"/>
    <w:rsid w:val="00706AA0"/>
    <w:rsid w:val="00706AD4"/>
    <w:rsid w:val="00707150"/>
    <w:rsid w:val="007124D7"/>
    <w:rsid w:val="0071275A"/>
    <w:rsid w:val="00712C20"/>
    <w:rsid w:val="00712CD7"/>
    <w:rsid w:val="00713549"/>
    <w:rsid w:val="007140BE"/>
    <w:rsid w:val="007147AB"/>
    <w:rsid w:val="00715502"/>
    <w:rsid w:val="00715D01"/>
    <w:rsid w:val="00715E4D"/>
    <w:rsid w:val="00715F12"/>
    <w:rsid w:val="0071677A"/>
    <w:rsid w:val="00716974"/>
    <w:rsid w:val="00716F48"/>
    <w:rsid w:val="007170FB"/>
    <w:rsid w:val="00717114"/>
    <w:rsid w:val="00717127"/>
    <w:rsid w:val="0071779F"/>
    <w:rsid w:val="00717A77"/>
    <w:rsid w:val="007201A6"/>
    <w:rsid w:val="00720310"/>
    <w:rsid w:val="0072080A"/>
    <w:rsid w:val="00720D7A"/>
    <w:rsid w:val="007211F5"/>
    <w:rsid w:val="007213C3"/>
    <w:rsid w:val="00721601"/>
    <w:rsid w:val="00722777"/>
    <w:rsid w:val="00723435"/>
    <w:rsid w:val="00723436"/>
    <w:rsid w:val="007240E2"/>
    <w:rsid w:val="0072420F"/>
    <w:rsid w:val="0072454C"/>
    <w:rsid w:val="0072583E"/>
    <w:rsid w:val="00725BB5"/>
    <w:rsid w:val="00725E58"/>
    <w:rsid w:val="00726AB2"/>
    <w:rsid w:val="007278B8"/>
    <w:rsid w:val="00727C02"/>
    <w:rsid w:val="0073008E"/>
    <w:rsid w:val="00730A8B"/>
    <w:rsid w:val="00730AE8"/>
    <w:rsid w:val="00730F1B"/>
    <w:rsid w:val="0073131F"/>
    <w:rsid w:val="0073136D"/>
    <w:rsid w:val="0073186D"/>
    <w:rsid w:val="00731921"/>
    <w:rsid w:val="007320DE"/>
    <w:rsid w:val="00732344"/>
    <w:rsid w:val="0073261D"/>
    <w:rsid w:val="0073263E"/>
    <w:rsid w:val="0073333D"/>
    <w:rsid w:val="007343C9"/>
    <w:rsid w:val="007343D9"/>
    <w:rsid w:val="00734A46"/>
    <w:rsid w:val="00734F71"/>
    <w:rsid w:val="00735448"/>
    <w:rsid w:val="00736143"/>
    <w:rsid w:val="00736F07"/>
    <w:rsid w:val="007377BD"/>
    <w:rsid w:val="00737A53"/>
    <w:rsid w:val="00737DEC"/>
    <w:rsid w:val="0074004D"/>
    <w:rsid w:val="0074121F"/>
    <w:rsid w:val="007413E4"/>
    <w:rsid w:val="00741493"/>
    <w:rsid w:val="00741F2A"/>
    <w:rsid w:val="007434E5"/>
    <w:rsid w:val="00743884"/>
    <w:rsid w:val="007445B4"/>
    <w:rsid w:val="007448A7"/>
    <w:rsid w:val="0074499B"/>
    <w:rsid w:val="007449D6"/>
    <w:rsid w:val="0074501E"/>
    <w:rsid w:val="007450BF"/>
    <w:rsid w:val="0074598E"/>
    <w:rsid w:val="0074599A"/>
    <w:rsid w:val="007463DA"/>
    <w:rsid w:val="00746EE5"/>
    <w:rsid w:val="00746F45"/>
    <w:rsid w:val="007471A1"/>
    <w:rsid w:val="007477BD"/>
    <w:rsid w:val="007477DA"/>
    <w:rsid w:val="007479D0"/>
    <w:rsid w:val="00747EE9"/>
    <w:rsid w:val="007507E8"/>
    <w:rsid w:val="00750B95"/>
    <w:rsid w:val="00751676"/>
    <w:rsid w:val="007520B6"/>
    <w:rsid w:val="00752180"/>
    <w:rsid w:val="00752323"/>
    <w:rsid w:val="0075325D"/>
    <w:rsid w:val="00753270"/>
    <w:rsid w:val="007532B7"/>
    <w:rsid w:val="00753CAB"/>
    <w:rsid w:val="007548B1"/>
    <w:rsid w:val="00754A70"/>
    <w:rsid w:val="00754BC9"/>
    <w:rsid w:val="00755202"/>
    <w:rsid w:val="0075554A"/>
    <w:rsid w:val="00755D3A"/>
    <w:rsid w:val="00756F00"/>
    <w:rsid w:val="00757241"/>
    <w:rsid w:val="0075751D"/>
    <w:rsid w:val="0075763E"/>
    <w:rsid w:val="007578D3"/>
    <w:rsid w:val="00757CC1"/>
    <w:rsid w:val="007602CF"/>
    <w:rsid w:val="00760391"/>
    <w:rsid w:val="007609C6"/>
    <w:rsid w:val="007615F3"/>
    <w:rsid w:val="0076175D"/>
    <w:rsid w:val="00761CB5"/>
    <w:rsid w:val="00762978"/>
    <w:rsid w:val="007629D5"/>
    <w:rsid w:val="00763534"/>
    <w:rsid w:val="007635F8"/>
    <w:rsid w:val="00763A88"/>
    <w:rsid w:val="00763B36"/>
    <w:rsid w:val="00763B85"/>
    <w:rsid w:val="00763C57"/>
    <w:rsid w:val="00763D45"/>
    <w:rsid w:val="00764423"/>
    <w:rsid w:val="007644A2"/>
    <w:rsid w:val="00764974"/>
    <w:rsid w:val="00764D18"/>
    <w:rsid w:val="00764E6D"/>
    <w:rsid w:val="007651DB"/>
    <w:rsid w:val="0076521E"/>
    <w:rsid w:val="00765222"/>
    <w:rsid w:val="0076579C"/>
    <w:rsid w:val="00765887"/>
    <w:rsid w:val="00765928"/>
    <w:rsid w:val="00765964"/>
    <w:rsid w:val="00765BCC"/>
    <w:rsid w:val="0076600D"/>
    <w:rsid w:val="007661E9"/>
    <w:rsid w:val="00766460"/>
    <w:rsid w:val="0076692D"/>
    <w:rsid w:val="00766A34"/>
    <w:rsid w:val="00767062"/>
    <w:rsid w:val="00767601"/>
    <w:rsid w:val="00767629"/>
    <w:rsid w:val="00767777"/>
    <w:rsid w:val="0076789E"/>
    <w:rsid w:val="00767933"/>
    <w:rsid w:val="00770AB9"/>
    <w:rsid w:val="00770CFC"/>
    <w:rsid w:val="0077130E"/>
    <w:rsid w:val="007713A6"/>
    <w:rsid w:val="007715EE"/>
    <w:rsid w:val="007718D7"/>
    <w:rsid w:val="00771972"/>
    <w:rsid w:val="00771AC5"/>
    <w:rsid w:val="00772279"/>
    <w:rsid w:val="00772DAB"/>
    <w:rsid w:val="00772FF9"/>
    <w:rsid w:val="0077348B"/>
    <w:rsid w:val="00773E63"/>
    <w:rsid w:val="007743DB"/>
    <w:rsid w:val="00774430"/>
    <w:rsid w:val="00774D2C"/>
    <w:rsid w:val="00775327"/>
    <w:rsid w:val="00775E00"/>
    <w:rsid w:val="0077605B"/>
    <w:rsid w:val="00776169"/>
    <w:rsid w:val="007763D0"/>
    <w:rsid w:val="00776527"/>
    <w:rsid w:val="00776858"/>
    <w:rsid w:val="00776ED7"/>
    <w:rsid w:val="00777040"/>
    <w:rsid w:val="00777815"/>
    <w:rsid w:val="00777CE6"/>
    <w:rsid w:val="00777D57"/>
    <w:rsid w:val="0078042D"/>
    <w:rsid w:val="00780BF0"/>
    <w:rsid w:val="00780EF1"/>
    <w:rsid w:val="00780FDA"/>
    <w:rsid w:val="00781A91"/>
    <w:rsid w:val="00781AD3"/>
    <w:rsid w:val="00781F36"/>
    <w:rsid w:val="00783576"/>
    <w:rsid w:val="00784980"/>
    <w:rsid w:val="0078539D"/>
    <w:rsid w:val="007853FD"/>
    <w:rsid w:val="00785778"/>
    <w:rsid w:val="0078653D"/>
    <w:rsid w:val="00786C87"/>
    <w:rsid w:val="0078755E"/>
    <w:rsid w:val="007877C9"/>
    <w:rsid w:val="007903EA"/>
    <w:rsid w:val="00790408"/>
    <w:rsid w:val="00790764"/>
    <w:rsid w:val="00790781"/>
    <w:rsid w:val="0079085F"/>
    <w:rsid w:val="00790B2B"/>
    <w:rsid w:val="00790E96"/>
    <w:rsid w:val="00791005"/>
    <w:rsid w:val="00791D9E"/>
    <w:rsid w:val="007923FF"/>
    <w:rsid w:val="00792596"/>
    <w:rsid w:val="00793684"/>
    <w:rsid w:val="00793776"/>
    <w:rsid w:val="00793C8D"/>
    <w:rsid w:val="00793D78"/>
    <w:rsid w:val="0079420B"/>
    <w:rsid w:val="0079453C"/>
    <w:rsid w:val="00794677"/>
    <w:rsid w:val="0079495C"/>
    <w:rsid w:val="00794FFF"/>
    <w:rsid w:val="0079505F"/>
    <w:rsid w:val="00795759"/>
    <w:rsid w:val="00795C85"/>
    <w:rsid w:val="00796993"/>
    <w:rsid w:val="00796F41"/>
    <w:rsid w:val="00797767"/>
    <w:rsid w:val="007A0358"/>
    <w:rsid w:val="007A0AB6"/>
    <w:rsid w:val="007A0B5E"/>
    <w:rsid w:val="007A170B"/>
    <w:rsid w:val="007A1D5E"/>
    <w:rsid w:val="007A20EB"/>
    <w:rsid w:val="007A22D4"/>
    <w:rsid w:val="007A282C"/>
    <w:rsid w:val="007A293C"/>
    <w:rsid w:val="007A2A3A"/>
    <w:rsid w:val="007A3108"/>
    <w:rsid w:val="007A33E2"/>
    <w:rsid w:val="007A3AEA"/>
    <w:rsid w:val="007A3C7D"/>
    <w:rsid w:val="007A3CAF"/>
    <w:rsid w:val="007A3DF9"/>
    <w:rsid w:val="007A4664"/>
    <w:rsid w:val="007A4782"/>
    <w:rsid w:val="007A516D"/>
    <w:rsid w:val="007A5E65"/>
    <w:rsid w:val="007A65E1"/>
    <w:rsid w:val="007A6A6E"/>
    <w:rsid w:val="007A6AAA"/>
    <w:rsid w:val="007A7033"/>
    <w:rsid w:val="007A74C1"/>
    <w:rsid w:val="007A775D"/>
    <w:rsid w:val="007B04B0"/>
    <w:rsid w:val="007B0834"/>
    <w:rsid w:val="007B0D2A"/>
    <w:rsid w:val="007B0E83"/>
    <w:rsid w:val="007B112A"/>
    <w:rsid w:val="007B11FA"/>
    <w:rsid w:val="007B1396"/>
    <w:rsid w:val="007B168D"/>
    <w:rsid w:val="007B16D6"/>
    <w:rsid w:val="007B1D1B"/>
    <w:rsid w:val="007B2011"/>
    <w:rsid w:val="007B2CFE"/>
    <w:rsid w:val="007B309B"/>
    <w:rsid w:val="007B3D5E"/>
    <w:rsid w:val="007B3DCB"/>
    <w:rsid w:val="007B4C01"/>
    <w:rsid w:val="007B4EA5"/>
    <w:rsid w:val="007B530A"/>
    <w:rsid w:val="007B54AE"/>
    <w:rsid w:val="007B5725"/>
    <w:rsid w:val="007B5B4F"/>
    <w:rsid w:val="007B5C1F"/>
    <w:rsid w:val="007B5D71"/>
    <w:rsid w:val="007B6689"/>
    <w:rsid w:val="007B6747"/>
    <w:rsid w:val="007B6F72"/>
    <w:rsid w:val="007B72A4"/>
    <w:rsid w:val="007B72F7"/>
    <w:rsid w:val="007B74AA"/>
    <w:rsid w:val="007C091B"/>
    <w:rsid w:val="007C10BD"/>
    <w:rsid w:val="007C162D"/>
    <w:rsid w:val="007C1A03"/>
    <w:rsid w:val="007C1B8B"/>
    <w:rsid w:val="007C1F0C"/>
    <w:rsid w:val="007C1FFB"/>
    <w:rsid w:val="007C2D94"/>
    <w:rsid w:val="007C382F"/>
    <w:rsid w:val="007C3BF7"/>
    <w:rsid w:val="007C4281"/>
    <w:rsid w:val="007C43A7"/>
    <w:rsid w:val="007C4A6B"/>
    <w:rsid w:val="007C4B3E"/>
    <w:rsid w:val="007C5055"/>
    <w:rsid w:val="007C5F92"/>
    <w:rsid w:val="007C6002"/>
    <w:rsid w:val="007C6227"/>
    <w:rsid w:val="007C64F7"/>
    <w:rsid w:val="007C6A5C"/>
    <w:rsid w:val="007C6BBD"/>
    <w:rsid w:val="007C6D89"/>
    <w:rsid w:val="007C6F5E"/>
    <w:rsid w:val="007D0382"/>
    <w:rsid w:val="007D0F6B"/>
    <w:rsid w:val="007D1467"/>
    <w:rsid w:val="007D14FE"/>
    <w:rsid w:val="007D1627"/>
    <w:rsid w:val="007D1A1F"/>
    <w:rsid w:val="007D1A29"/>
    <w:rsid w:val="007D213B"/>
    <w:rsid w:val="007D2783"/>
    <w:rsid w:val="007D2E18"/>
    <w:rsid w:val="007D3EF3"/>
    <w:rsid w:val="007D40DF"/>
    <w:rsid w:val="007D42E5"/>
    <w:rsid w:val="007D4458"/>
    <w:rsid w:val="007D58BD"/>
    <w:rsid w:val="007D61BF"/>
    <w:rsid w:val="007D6851"/>
    <w:rsid w:val="007D6861"/>
    <w:rsid w:val="007D6AF9"/>
    <w:rsid w:val="007D7763"/>
    <w:rsid w:val="007E0535"/>
    <w:rsid w:val="007E07F2"/>
    <w:rsid w:val="007E0D4A"/>
    <w:rsid w:val="007E0F2A"/>
    <w:rsid w:val="007E1443"/>
    <w:rsid w:val="007E15E3"/>
    <w:rsid w:val="007E1788"/>
    <w:rsid w:val="007E1EE3"/>
    <w:rsid w:val="007E29B4"/>
    <w:rsid w:val="007E2F12"/>
    <w:rsid w:val="007E3627"/>
    <w:rsid w:val="007E435A"/>
    <w:rsid w:val="007E445C"/>
    <w:rsid w:val="007E49F7"/>
    <w:rsid w:val="007E4AF6"/>
    <w:rsid w:val="007E4C70"/>
    <w:rsid w:val="007E4FF4"/>
    <w:rsid w:val="007E5149"/>
    <w:rsid w:val="007E5815"/>
    <w:rsid w:val="007E5B5F"/>
    <w:rsid w:val="007E5FFD"/>
    <w:rsid w:val="007E69C6"/>
    <w:rsid w:val="007E6F9A"/>
    <w:rsid w:val="007E713A"/>
    <w:rsid w:val="007E78B6"/>
    <w:rsid w:val="007E7978"/>
    <w:rsid w:val="007E7E61"/>
    <w:rsid w:val="007F0845"/>
    <w:rsid w:val="007F0873"/>
    <w:rsid w:val="007F0DFD"/>
    <w:rsid w:val="007F0E1D"/>
    <w:rsid w:val="007F1D62"/>
    <w:rsid w:val="007F20F3"/>
    <w:rsid w:val="007F2353"/>
    <w:rsid w:val="007F2390"/>
    <w:rsid w:val="007F2456"/>
    <w:rsid w:val="007F2CAC"/>
    <w:rsid w:val="007F3AB3"/>
    <w:rsid w:val="007F3CB6"/>
    <w:rsid w:val="007F452F"/>
    <w:rsid w:val="007F4740"/>
    <w:rsid w:val="007F5691"/>
    <w:rsid w:val="007F595A"/>
    <w:rsid w:val="007F5C38"/>
    <w:rsid w:val="007F708D"/>
    <w:rsid w:val="007F7E3F"/>
    <w:rsid w:val="007F7E65"/>
    <w:rsid w:val="008006B3"/>
    <w:rsid w:val="00800B63"/>
    <w:rsid w:val="0080158A"/>
    <w:rsid w:val="008015FF"/>
    <w:rsid w:val="00801AD3"/>
    <w:rsid w:val="00801D2D"/>
    <w:rsid w:val="00801E13"/>
    <w:rsid w:val="00803008"/>
    <w:rsid w:val="00803069"/>
    <w:rsid w:val="0080346B"/>
    <w:rsid w:val="008037A0"/>
    <w:rsid w:val="00803B5C"/>
    <w:rsid w:val="00803BDB"/>
    <w:rsid w:val="00804155"/>
    <w:rsid w:val="00804C9F"/>
    <w:rsid w:val="0080524F"/>
    <w:rsid w:val="0080559E"/>
    <w:rsid w:val="00805920"/>
    <w:rsid w:val="00805928"/>
    <w:rsid w:val="00805AF3"/>
    <w:rsid w:val="008065B0"/>
    <w:rsid w:val="00806C9C"/>
    <w:rsid w:val="008071B1"/>
    <w:rsid w:val="0080734C"/>
    <w:rsid w:val="00807C82"/>
    <w:rsid w:val="008100EB"/>
    <w:rsid w:val="008107EE"/>
    <w:rsid w:val="008117CC"/>
    <w:rsid w:val="00811FF8"/>
    <w:rsid w:val="008120E1"/>
    <w:rsid w:val="00812E3E"/>
    <w:rsid w:val="00812F19"/>
    <w:rsid w:val="0081398C"/>
    <w:rsid w:val="00813D58"/>
    <w:rsid w:val="00813DCA"/>
    <w:rsid w:val="008140E8"/>
    <w:rsid w:val="00815A7D"/>
    <w:rsid w:val="008161A6"/>
    <w:rsid w:val="0081621D"/>
    <w:rsid w:val="008165B8"/>
    <w:rsid w:val="00816905"/>
    <w:rsid w:val="00816D98"/>
    <w:rsid w:val="00816E42"/>
    <w:rsid w:val="00816FCB"/>
    <w:rsid w:val="00817040"/>
    <w:rsid w:val="00817106"/>
    <w:rsid w:val="008172FC"/>
    <w:rsid w:val="00817A17"/>
    <w:rsid w:val="00817EC1"/>
    <w:rsid w:val="0082112D"/>
    <w:rsid w:val="0082113D"/>
    <w:rsid w:val="0082143A"/>
    <w:rsid w:val="00821624"/>
    <w:rsid w:val="00821A86"/>
    <w:rsid w:val="00821FF6"/>
    <w:rsid w:val="008222A7"/>
    <w:rsid w:val="00822574"/>
    <w:rsid w:val="00822738"/>
    <w:rsid w:val="00822980"/>
    <w:rsid w:val="00822F08"/>
    <w:rsid w:val="008246D7"/>
    <w:rsid w:val="008249A7"/>
    <w:rsid w:val="00824BA6"/>
    <w:rsid w:val="00825007"/>
    <w:rsid w:val="00825120"/>
    <w:rsid w:val="00825C4D"/>
    <w:rsid w:val="00826A08"/>
    <w:rsid w:val="00826AC0"/>
    <w:rsid w:val="00826D45"/>
    <w:rsid w:val="00827186"/>
    <w:rsid w:val="00827C8E"/>
    <w:rsid w:val="00830569"/>
    <w:rsid w:val="00830834"/>
    <w:rsid w:val="00830AEA"/>
    <w:rsid w:val="00830E86"/>
    <w:rsid w:val="0083143E"/>
    <w:rsid w:val="008315B8"/>
    <w:rsid w:val="008315D5"/>
    <w:rsid w:val="00831809"/>
    <w:rsid w:val="008318E5"/>
    <w:rsid w:val="00831CDE"/>
    <w:rsid w:val="00831F2B"/>
    <w:rsid w:val="008320C2"/>
    <w:rsid w:val="008320CF"/>
    <w:rsid w:val="008324A3"/>
    <w:rsid w:val="00832600"/>
    <w:rsid w:val="00832F77"/>
    <w:rsid w:val="0083324F"/>
    <w:rsid w:val="008332D0"/>
    <w:rsid w:val="008333AF"/>
    <w:rsid w:val="0083349E"/>
    <w:rsid w:val="00833FD6"/>
    <w:rsid w:val="00834131"/>
    <w:rsid w:val="00834304"/>
    <w:rsid w:val="008343CE"/>
    <w:rsid w:val="0083471A"/>
    <w:rsid w:val="00834E25"/>
    <w:rsid w:val="00834FAA"/>
    <w:rsid w:val="008351FE"/>
    <w:rsid w:val="00835495"/>
    <w:rsid w:val="008354FB"/>
    <w:rsid w:val="00835EC8"/>
    <w:rsid w:val="00835FF1"/>
    <w:rsid w:val="00836065"/>
    <w:rsid w:val="00836086"/>
    <w:rsid w:val="00836243"/>
    <w:rsid w:val="0083630F"/>
    <w:rsid w:val="00836A06"/>
    <w:rsid w:val="008374BC"/>
    <w:rsid w:val="00837652"/>
    <w:rsid w:val="008379D6"/>
    <w:rsid w:val="00837E48"/>
    <w:rsid w:val="00840013"/>
    <w:rsid w:val="00840293"/>
    <w:rsid w:val="008402AD"/>
    <w:rsid w:val="008408D4"/>
    <w:rsid w:val="00840F9E"/>
    <w:rsid w:val="008417B5"/>
    <w:rsid w:val="00841901"/>
    <w:rsid w:val="00841C64"/>
    <w:rsid w:val="0084327A"/>
    <w:rsid w:val="00844D5B"/>
    <w:rsid w:val="0084535F"/>
    <w:rsid w:val="008458BD"/>
    <w:rsid w:val="00846121"/>
    <w:rsid w:val="008461C2"/>
    <w:rsid w:val="008462F1"/>
    <w:rsid w:val="008466C6"/>
    <w:rsid w:val="00846B51"/>
    <w:rsid w:val="0084708F"/>
    <w:rsid w:val="008477C8"/>
    <w:rsid w:val="008478A6"/>
    <w:rsid w:val="008502F6"/>
    <w:rsid w:val="0085036C"/>
    <w:rsid w:val="008504EE"/>
    <w:rsid w:val="00850B02"/>
    <w:rsid w:val="00850E83"/>
    <w:rsid w:val="0085114D"/>
    <w:rsid w:val="00851163"/>
    <w:rsid w:val="008520A8"/>
    <w:rsid w:val="00852217"/>
    <w:rsid w:val="00852B5E"/>
    <w:rsid w:val="00852BA8"/>
    <w:rsid w:val="00853282"/>
    <w:rsid w:val="0085334C"/>
    <w:rsid w:val="00853717"/>
    <w:rsid w:val="008539B9"/>
    <w:rsid w:val="00854291"/>
    <w:rsid w:val="008544E8"/>
    <w:rsid w:val="00854F32"/>
    <w:rsid w:val="00855408"/>
    <w:rsid w:val="00855D03"/>
    <w:rsid w:val="00856D65"/>
    <w:rsid w:val="00856FA4"/>
    <w:rsid w:val="00857701"/>
    <w:rsid w:val="00857995"/>
    <w:rsid w:val="00860967"/>
    <w:rsid w:val="00860D79"/>
    <w:rsid w:val="00861B41"/>
    <w:rsid w:val="00861B9F"/>
    <w:rsid w:val="00861BE3"/>
    <w:rsid w:val="00861DA8"/>
    <w:rsid w:val="00861EB6"/>
    <w:rsid w:val="008624BC"/>
    <w:rsid w:val="008625D3"/>
    <w:rsid w:val="00862C0A"/>
    <w:rsid w:val="00862D2B"/>
    <w:rsid w:val="00863270"/>
    <w:rsid w:val="00863434"/>
    <w:rsid w:val="0086344F"/>
    <w:rsid w:val="00863F9E"/>
    <w:rsid w:val="008641AC"/>
    <w:rsid w:val="00864EFE"/>
    <w:rsid w:val="00865794"/>
    <w:rsid w:val="00865E4C"/>
    <w:rsid w:val="00865ED4"/>
    <w:rsid w:val="00866074"/>
    <w:rsid w:val="00867546"/>
    <w:rsid w:val="0086796D"/>
    <w:rsid w:val="00867DAB"/>
    <w:rsid w:val="00867EE9"/>
    <w:rsid w:val="0087000B"/>
    <w:rsid w:val="008701E4"/>
    <w:rsid w:val="00870329"/>
    <w:rsid w:val="008704E9"/>
    <w:rsid w:val="00870509"/>
    <w:rsid w:val="008705FB"/>
    <w:rsid w:val="00870BBE"/>
    <w:rsid w:val="00870ECD"/>
    <w:rsid w:val="00871F67"/>
    <w:rsid w:val="00872E59"/>
    <w:rsid w:val="00872F4B"/>
    <w:rsid w:val="0087347C"/>
    <w:rsid w:val="008734E7"/>
    <w:rsid w:val="0087368D"/>
    <w:rsid w:val="00873F9E"/>
    <w:rsid w:val="008740CC"/>
    <w:rsid w:val="0087442A"/>
    <w:rsid w:val="00874578"/>
    <w:rsid w:val="00874C72"/>
    <w:rsid w:val="00874FE8"/>
    <w:rsid w:val="00875A32"/>
    <w:rsid w:val="00875AA2"/>
    <w:rsid w:val="00875CC1"/>
    <w:rsid w:val="00876086"/>
    <w:rsid w:val="0087650D"/>
    <w:rsid w:val="00876651"/>
    <w:rsid w:val="00876E83"/>
    <w:rsid w:val="00877216"/>
    <w:rsid w:val="0087722C"/>
    <w:rsid w:val="008772BC"/>
    <w:rsid w:val="00877DEF"/>
    <w:rsid w:val="00880001"/>
    <w:rsid w:val="00880523"/>
    <w:rsid w:val="008808F6"/>
    <w:rsid w:val="00880A0E"/>
    <w:rsid w:val="008817FE"/>
    <w:rsid w:val="00881CD7"/>
    <w:rsid w:val="00882911"/>
    <w:rsid w:val="00882EEB"/>
    <w:rsid w:val="00882F6E"/>
    <w:rsid w:val="008831BD"/>
    <w:rsid w:val="00883202"/>
    <w:rsid w:val="008833D6"/>
    <w:rsid w:val="00883FF0"/>
    <w:rsid w:val="00884E02"/>
    <w:rsid w:val="0088502B"/>
    <w:rsid w:val="0088588B"/>
    <w:rsid w:val="00885D40"/>
    <w:rsid w:val="0088679E"/>
    <w:rsid w:val="00886B1E"/>
    <w:rsid w:val="008873D4"/>
    <w:rsid w:val="008902A5"/>
    <w:rsid w:val="00890CB1"/>
    <w:rsid w:val="008915C7"/>
    <w:rsid w:val="00891EDF"/>
    <w:rsid w:val="00892872"/>
    <w:rsid w:val="0089296D"/>
    <w:rsid w:val="00893E85"/>
    <w:rsid w:val="00893EBE"/>
    <w:rsid w:val="00894031"/>
    <w:rsid w:val="00894C5D"/>
    <w:rsid w:val="00894F4F"/>
    <w:rsid w:val="00895508"/>
    <w:rsid w:val="00895797"/>
    <w:rsid w:val="00895CB0"/>
    <w:rsid w:val="008967E9"/>
    <w:rsid w:val="00896A5C"/>
    <w:rsid w:val="00896ECF"/>
    <w:rsid w:val="00897155"/>
    <w:rsid w:val="008972D2"/>
    <w:rsid w:val="0089754C"/>
    <w:rsid w:val="00897CFA"/>
    <w:rsid w:val="008A0367"/>
    <w:rsid w:val="008A0659"/>
    <w:rsid w:val="008A0A58"/>
    <w:rsid w:val="008A0ADD"/>
    <w:rsid w:val="008A0D27"/>
    <w:rsid w:val="008A1543"/>
    <w:rsid w:val="008A1C59"/>
    <w:rsid w:val="008A1FFE"/>
    <w:rsid w:val="008A2254"/>
    <w:rsid w:val="008A37E2"/>
    <w:rsid w:val="008A388E"/>
    <w:rsid w:val="008A394E"/>
    <w:rsid w:val="008A3CBA"/>
    <w:rsid w:val="008A428D"/>
    <w:rsid w:val="008A4B59"/>
    <w:rsid w:val="008A63E1"/>
    <w:rsid w:val="008A66B7"/>
    <w:rsid w:val="008A68BB"/>
    <w:rsid w:val="008A6AA5"/>
    <w:rsid w:val="008A7127"/>
    <w:rsid w:val="008A737C"/>
    <w:rsid w:val="008A77C8"/>
    <w:rsid w:val="008B0781"/>
    <w:rsid w:val="008B0CBA"/>
    <w:rsid w:val="008B17C8"/>
    <w:rsid w:val="008B1850"/>
    <w:rsid w:val="008B2639"/>
    <w:rsid w:val="008B3454"/>
    <w:rsid w:val="008B3537"/>
    <w:rsid w:val="008B35C1"/>
    <w:rsid w:val="008B3690"/>
    <w:rsid w:val="008B3A80"/>
    <w:rsid w:val="008B3AEC"/>
    <w:rsid w:val="008B3C07"/>
    <w:rsid w:val="008B3C6E"/>
    <w:rsid w:val="008B3E7A"/>
    <w:rsid w:val="008B3F7B"/>
    <w:rsid w:val="008B43CA"/>
    <w:rsid w:val="008B4B38"/>
    <w:rsid w:val="008B5324"/>
    <w:rsid w:val="008B5C99"/>
    <w:rsid w:val="008B6106"/>
    <w:rsid w:val="008B6241"/>
    <w:rsid w:val="008B64BF"/>
    <w:rsid w:val="008B6605"/>
    <w:rsid w:val="008B66C9"/>
    <w:rsid w:val="008B6EBD"/>
    <w:rsid w:val="008B71F2"/>
    <w:rsid w:val="008B7C02"/>
    <w:rsid w:val="008B7D2B"/>
    <w:rsid w:val="008B7EF9"/>
    <w:rsid w:val="008C0049"/>
    <w:rsid w:val="008C025A"/>
    <w:rsid w:val="008C0314"/>
    <w:rsid w:val="008C0E88"/>
    <w:rsid w:val="008C0EBE"/>
    <w:rsid w:val="008C1717"/>
    <w:rsid w:val="008C17F0"/>
    <w:rsid w:val="008C2B57"/>
    <w:rsid w:val="008C32AE"/>
    <w:rsid w:val="008C3A32"/>
    <w:rsid w:val="008C3B05"/>
    <w:rsid w:val="008C3FCC"/>
    <w:rsid w:val="008C43B6"/>
    <w:rsid w:val="008C4B4D"/>
    <w:rsid w:val="008C4B50"/>
    <w:rsid w:val="008C5A37"/>
    <w:rsid w:val="008C5AA7"/>
    <w:rsid w:val="008C5BD3"/>
    <w:rsid w:val="008C5DD4"/>
    <w:rsid w:val="008C652D"/>
    <w:rsid w:val="008C7569"/>
    <w:rsid w:val="008C79C3"/>
    <w:rsid w:val="008D006F"/>
    <w:rsid w:val="008D033D"/>
    <w:rsid w:val="008D0344"/>
    <w:rsid w:val="008D06A2"/>
    <w:rsid w:val="008D0DBD"/>
    <w:rsid w:val="008D0F76"/>
    <w:rsid w:val="008D117E"/>
    <w:rsid w:val="008D127E"/>
    <w:rsid w:val="008D1956"/>
    <w:rsid w:val="008D1CA8"/>
    <w:rsid w:val="008D1E0A"/>
    <w:rsid w:val="008D1E6A"/>
    <w:rsid w:val="008D1EE4"/>
    <w:rsid w:val="008D1F3D"/>
    <w:rsid w:val="008D2407"/>
    <w:rsid w:val="008D2A16"/>
    <w:rsid w:val="008D2AEC"/>
    <w:rsid w:val="008D3295"/>
    <w:rsid w:val="008D3384"/>
    <w:rsid w:val="008D33F5"/>
    <w:rsid w:val="008D35E4"/>
    <w:rsid w:val="008D3611"/>
    <w:rsid w:val="008D3ACD"/>
    <w:rsid w:val="008D4172"/>
    <w:rsid w:val="008D52AA"/>
    <w:rsid w:val="008D5D64"/>
    <w:rsid w:val="008D6C3A"/>
    <w:rsid w:val="008D6FA1"/>
    <w:rsid w:val="008D70E2"/>
    <w:rsid w:val="008D7F47"/>
    <w:rsid w:val="008E0001"/>
    <w:rsid w:val="008E039E"/>
    <w:rsid w:val="008E07C9"/>
    <w:rsid w:val="008E0C45"/>
    <w:rsid w:val="008E192B"/>
    <w:rsid w:val="008E2842"/>
    <w:rsid w:val="008E292B"/>
    <w:rsid w:val="008E2C57"/>
    <w:rsid w:val="008E2C6F"/>
    <w:rsid w:val="008E31FF"/>
    <w:rsid w:val="008E3287"/>
    <w:rsid w:val="008E38E4"/>
    <w:rsid w:val="008E3DFA"/>
    <w:rsid w:val="008E419B"/>
    <w:rsid w:val="008E488D"/>
    <w:rsid w:val="008E51EB"/>
    <w:rsid w:val="008E5746"/>
    <w:rsid w:val="008E5E8E"/>
    <w:rsid w:val="008E64D7"/>
    <w:rsid w:val="008E68DF"/>
    <w:rsid w:val="008E6DCB"/>
    <w:rsid w:val="008E6E5D"/>
    <w:rsid w:val="008E6F06"/>
    <w:rsid w:val="008E7000"/>
    <w:rsid w:val="008E723E"/>
    <w:rsid w:val="008E750C"/>
    <w:rsid w:val="008E7A3F"/>
    <w:rsid w:val="008E7B8E"/>
    <w:rsid w:val="008E7FC9"/>
    <w:rsid w:val="008F0107"/>
    <w:rsid w:val="008F017C"/>
    <w:rsid w:val="008F029B"/>
    <w:rsid w:val="008F0589"/>
    <w:rsid w:val="008F0F23"/>
    <w:rsid w:val="008F130B"/>
    <w:rsid w:val="008F2A5D"/>
    <w:rsid w:val="008F2BC7"/>
    <w:rsid w:val="008F2E48"/>
    <w:rsid w:val="008F2E83"/>
    <w:rsid w:val="008F3636"/>
    <w:rsid w:val="008F37C2"/>
    <w:rsid w:val="008F3B3F"/>
    <w:rsid w:val="008F3FC9"/>
    <w:rsid w:val="008F509F"/>
    <w:rsid w:val="008F525A"/>
    <w:rsid w:val="008F5383"/>
    <w:rsid w:val="008F576A"/>
    <w:rsid w:val="008F585B"/>
    <w:rsid w:val="008F6577"/>
    <w:rsid w:val="008F6614"/>
    <w:rsid w:val="008F6F78"/>
    <w:rsid w:val="008F7FB0"/>
    <w:rsid w:val="009003A8"/>
    <w:rsid w:val="009004AD"/>
    <w:rsid w:val="009005E4"/>
    <w:rsid w:val="00900977"/>
    <w:rsid w:val="00901790"/>
    <w:rsid w:val="00901DE6"/>
    <w:rsid w:val="009021DA"/>
    <w:rsid w:val="00902500"/>
    <w:rsid w:val="00902EFF"/>
    <w:rsid w:val="009032D3"/>
    <w:rsid w:val="00903A8E"/>
    <w:rsid w:val="00903EAD"/>
    <w:rsid w:val="0090432C"/>
    <w:rsid w:val="009043B1"/>
    <w:rsid w:val="0090458B"/>
    <w:rsid w:val="00904F96"/>
    <w:rsid w:val="009052A3"/>
    <w:rsid w:val="00905314"/>
    <w:rsid w:val="00905395"/>
    <w:rsid w:val="009056D7"/>
    <w:rsid w:val="00905B8D"/>
    <w:rsid w:val="00906401"/>
    <w:rsid w:val="009065CB"/>
    <w:rsid w:val="009067EA"/>
    <w:rsid w:val="009068A8"/>
    <w:rsid w:val="00906B79"/>
    <w:rsid w:val="00907606"/>
    <w:rsid w:val="0090786F"/>
    <w:rsid w:val="0091001E"/>
    <w:rsid w:val="0091059E"/>
    <w:rsid w:val="00910C18"/>
    <w:rsid w:val="009110F7"/>
    <w:rsid w:val="009112E3"/>
    <w:rsid w:val="0091155E"/>
    <w:rsid w:val="00912242"/>
    <w:rsid w:val="009122D0"/>
    <w:rsid w:val="0091240B"/>
    <w:rsid w:val="00912437"/>
    <w:rsid w:val="00912A92"/>
    <w:rsid w:val="00913237"/>
    <w:rsid w:val="009133E7"/>
    <w:rsid w:val="00913B36"/>
    <w:rsid w:val="009141AA"/>
    <w:rsid w:val="0091476D"/>
    <w:rsid w:val="00915D07"/>
    <w:rsid w:val="009162AE"/>
    <w:rsid w:val="00917154"/>
    <w:rsid w:val="00917251"/>
    <w:rsid w:val="0091728D"/>
    <w:rsid w:val="00917D0D"/>
    <w:rsid w:val="00917DDF"/>
    <w:rsid w:val="00917FBC"/>
    <w:rsid w:val="009200DE"/>
    <w:rsid w:val="009201F3"/>
    <w:rsid w:val="0092036B"/>
    <w:rsid w:val="009203CC"/>
    <w:rsid w:val="00920EC4"/>
    <w:rsid w:val="0092180B"/>
    <w:rsid w:val="00921F14"/>
    <w:rsid w:val="00922775"/>
    <w:rsid w:val="0092292F"/>
    <w:rsid w:val="00922D28"/>
    <w:rsid w:val="009233E7"/>
    <w:rsid w:val="009237C4"/>
    <w:rsid w:val="00923862"/>
    <w:rsid w:val="00923CB0"/>
    <w:rsid w:val="00923D8C"/>
    <w:rsid w:val="00924871"/>
    <w:rsid w:val="00924AC8"/>
    <w:rsid w:val="00925429"/>
    <w:rsid w:val="0092543F"/>
    <w:rsid w:val="00925615"/>
    <w:rsid w:val="0092597A"/>
    <w:rsid w:val="00926520"/>
    <w:rsid w:val="00926CF0"/>
    <w:rsid w:val="009273A9"/>
    <w:rsid w:val="00930251"/>
    <w:rsid w:val="0093033E"/>
    <w:rsid w:val="009305FC"/>
    <w:rsid w:val="00930FB1"/>
    <w:rsid w:val="00931338"/>
    <w:rsid w:val="0093139F"/>
    <w:rsid w:val="00931BBB"/>
    <w:rsid w:val="00932239"/>
    <w:rsid w:val="00932443"/>
    <w:rsid w:val="00932B32"/>
    <w:rsid w:val="0093305E"/>
    <w:rsid w:val="00933F4A"/>
    <w:rsid w:val="009341F1"/>
    <w:rsid w:val="0093451E"/>
    <w:rsid w:val="00934FF2"/>
    <w:rsid w:val="009355E2"/>
    <w:rsid w:val="009358D7"/>
    <w:rsid w:val="00935BD4"/>
    <w:rsid w:val="00935DFE"/>
    <w:rsid w:val="00935E9D"/>
    <w:rsid w:val="00935F70"/>
    <w:rsid w:val="009360FA"/>
    <w:rsid w:val="0093648B"/>
    <w:rsid w:val="00937017"/>
    <w:rsid w:val="0093734C"/>
    <w:rsid w:val="009373B2"/>
    <w:rsid w:val="009377DF"/>
    <w:rsid w:val="00937AE2"/>
    <w:rsid w:val="009402A1"/>
    <w:rsid w:val="0094061F"/>
    <w:rsid w:val="00940F0F"/>
    <w:rsid w:val="00941912"/>
    <w:rsid w:val="00941A54"/>
    <w:rsid w:val="00942514"/>
    <w:rsid w:val="00942851"/>
    <w:rsid w:val="00943004"/>
    <w:rsid w:val="00943BA9"/>
    <w:rsid w:val="00943CDC"/>
    <w:rsid w:val="0094416B"/>
    <w:rsid w:val="0094427A"/>
    <w:rsid w:val="009449C6"/>
    <w:rsid w:val="00944C7C"/>
    <w:rsid w:val="00945245"/>
    <w:rsid w:val="009453E8"/>
    <w:rsid w:val="00945433"/>
    <w:rsid w:val="00945523"/>
    <w:rsid w:val="009463E1"/>
    <w:rsid w:val="0094683A"/>
    <w:rsid w:val="00946C43"/>
    <w:rsid w:val="009479A6"/>
    <w:rsid w:val="009500F7"/>
    <w:rsid w:val="0095042D"/>
    <w:rsid w:val="00950921"/>
    <w:rsid w:val="00951AF8"/>
    <w:rsid w:val="00951D68"/>
    <w:rsid w:val="00951E5B"/>
    <w:rsid w:val="00952050"/>
    <w:rsid w:val="00952315"/>
    <w:rsid w:val="009523D9"/>
    <w:rsid w:val="00952B7B"/>
    <w:rsid w:val="0095357B"/>
    <w:rsid w:val="00953660"/>
    <w:rsid w:val="009538B3"/>
    <w:rsid w:val="00953E13"/>
    <w:rsid w:val="00954F39"/>
    <w:rsid w:val="009555FD"/>
    <w:rsid w:val="00955BAD"/>
    <w:rsid w:val="00955BD4"/>
    <w:rsid w:val="00955F12"/>
    <w:rsid w:val="009561A5"/>
    <w:rsid w:val="0095664B"/>
    <w:rsid w:val="00956737"/>
    <w:rsid w:val="00956894"/>
    <w:rsid w:val="009568DC"/>
    <w:rsid w:val="00956B8B"/>
    <w:rsid w:val="00957140"/>
    <w:rsid w:val="00957445"/>
    <w:rsid w:val="0095759C"/>
    <w:rsid w:val="009604C7"/>
    <w:rsid w:val="009606FA"/>
    <w:rsid w:val="00961563"/>
    <w:rsid w:val="00961880"/>
    <w:rsid w:val="009618EE"/>
    <w:rsid w:val="00961A4C"/>
    <w:rsid w:val="00961DDD"/>
    <w:rsid w:val="00961E67"/>
    <w:rsid w:val="009624D2"/>
    <w:rsid w:val="009628D9"/>
    <w:rsid w:val="0096300D"/>
    <w:rsid w:val="009637AE"/>
    <w:rsid w:val="00963A06"/>
    <w:rsid w:val="00964068"/>
    <w:rsid w:val="009640F6"/>
    <w:rsid w:val="0096469D"/>
    <w:rsid w:val="00964776"/>
    <w:rsid w:val="00964A4E"/>
    <w:rsid w:val="00964B35"/>
    <w:rsid w:val="009651C7"/>
    <w:rsid w:val="00965504"/>
    <w:rsid w:val="00965797"/>
    <w:rsid w:val="00965A10"/>
    <w:rsid w:val="00965AD0"/>
    <w:rsid w:val="009670A3"/>
    <w:rsid w:val="009674BE"/>
    <w:rsid w:val="00967A4F"/>
    <w:rsid w:val="00967ED4"/>
    <w:rsid w:val="00970B25"/>
    <w:rsid w:val="00970E2C"/>
    <w:rsid w:val="00970EC8"/>
    <w:rsid w:val="00970FB5"/>
    <w:rsid w:val="00971405"/>
    <w:rsid w:val="00971710"/>
    <w:rsid w:val="009717D0"/>
    <w:rsid w:val="00971B87"/>
    <w:rsid w:val="00971C77"/>
    <w:rsid w:val="00971D14"/>
    <w:rsid w:val="00971D19"/>
    <w:rsid w:val="0097203A"/>
    <w:rsid w:val="00972FCD"/>
    <w:rsid w:val="00973324"/>
    <w:rsid w:val="009736DF"/>
    <w:rsid w:val="009741AE"/>
    <w:rsid w:val="009741FC"/>
    <w:rsid w:val="00974782"/>
    <w:rsid w:val="00974923"/>
    <w:rsid w:val="00975140"/>
    <w:rsid w:val="00975909"/>
    <w:rsid w:val="0097633D"/>
    <w:rsid w:val="00977C33"/>
    <w:rsid w:val="00977C3D"/>
    <w:rsid w:val="009808A9"/>
    <w:rsid w:val="00980B56"/>
    <w:rsid w:val="00980D3D"/>
    <w:rsid w:val="0098103E"/>
    <w:rsid w:val="0098157D"/>
    <w:rsid w:val="00982E92"/>
    <w:rsid w:val="00983101"/>
    <w:rsid w:val="00983E41"/>
    <w:rsid w:val="009844B1"/>
    <w:rsid w:val="009845E1"/>
    <w:rsid w:val="00984CE5"/>
    <w:rsid w:val="00984D1B"/>
    <w:rsid w:val="00985CAB"/>
    <w:rsid w:val="00986246"/>
    <w:rsid w:val="009867E7"/>
    <w:rsid w:val="00986858"/>
    <w:rsid w:val="009876AB"/>
    <w:rsid w:val="00987A30"/>
    <w:rsid w:val="00987F3F"/>
    <w:rsid w:val="00990312"/>
    <w:rsid w:val="009908AF"/>
    <w:rsid w:val="0099182E"/>
    <w:rsid w:val="00991D45"/>
    <w:rsid w:val="00991FDF"/>
    <w:rsid w:val="009928A6"/>
    <w:rsid w:val="00992B49"/>
    <w:rsid w:val="00992BB3"/>
    <w:rsid w:val="00992CF3"/>
    <w:rsid w:val="00993194"/>
    <w:rsid w:val="009931C3"/>
    <w:rsid w:val="0099321E"/>
    <w:rsid w:val="0099370F"/>
    <w:rsid w:val="00993875"/>
    <w:rsid w:val="00993BE7"/>
    <w:rsid w:val="00993ECA"/>
    <w:rsid w:val="00994171"/>
    <w:rsid w:val="00994868"/>
    <w:rsid w:val="00994976"/>
    <w:rsid w:val="00994D28"/>
    <w:rsid w:val="00994F2C"/>
    <w:rsid w:val="00995472"/>
    <w:rsid w:val="009954EC"/>
    <w:rsid w:val="00995720"/>
    <w:rsid w:val="009957CC"/>
    <w:rsid w:val="00995960"/>
    <w:rsid w:val="00995C90"/>
    <w:rsid w:val="00996017"/>
    <w:rsid w:val="00996614"/>
    <w:rsid w:val="009968D6"/>
    <w:rsid w:val="009974E0"/>
    <w:rsid w:val="00997953"/>
    <w:rsid w:val="00997D55"/>
    <w:rsid w:val="009A04D4"/>
    <w:rsid w:val="009A09E1"/>
    <w:rsid w:val="009A0BFF"/>
    <w:rsid w:val="009A10A0"/>
    <w:rsid w:val="009A12B7"/>
    <w:rsid w:val="009A1CAB"/>
    <w:rsid w:val="009A2359"/>
    <w:rsid w:val="009A24F1"/>
    <w:rsid w:val="009A27E0"/>
    <w:rsid w:val="009A3047"/>
    <w:rsid w:val="009A30B2"/>
    <w:rsid w:val="009A4D57"/>
    <w:rsid w:val="009A51A5"/>
    <w:rsid w:val="009A5309"/>
    <w:rsid w:val="009A5759"/>
    <w:rsid w:val="009A5A36"/>
    <w:rsid w:val="009A5C68"/>
    <w:rsid w:val="009A60D1"/>
    <w:rsid w:val="009A6225"/>
    <w:rsid w:val="009A64F5"/>
    <w:rsid w:val="009A6828"/>
    <w:rsid w:val="009A74DC"/>
    <w:rsid w:val="009A7A5B"/>
    <w:rsid w:val="009B00D2"/>
    <w:rsid w:val="009B05B3"/>
    <w:rsid w:val="009B07C8"/>
    <w:rsid w:val="009B0CAF"/>
    <w:rsid w:val="009B1324"/>
    <w:rsid w:val="009B1861"/>
    <w:rsid w:val="009B1EC3"/>
    <w:rsid w:val="009B2558"/>
    <w:rsid w:val="009B27ED"/>
    <w:rsid w:val="009B284F"/>
    <w:rsid w:val="009B35C8"/>
    <w:rsid w:val="009B3659"/>
    <w:rsid w:val="009B3764"/>
    <w:rsid w:val="009B3840"/>
    <w:rsid w:val="009B3D4A"/>
    <w:rsid w:val="009B47F6"/>
    <w:rsid w:val="009B485A"/>
    <w:rsid w:val="009B52AC"/>
    <w:rsid w:val="009B553D"/>
    <w:rsid w:val="009B5629"/>
    <w:rsid w:val="009B5861"/>
    <w:rsid w:val="009B59EA"/>
    <w:rsid w:val="009B5B6E"/>
    <w:rsid w:val="009B66CE"/>
    <w:rsid w:val="009B6939"/>
    <w:rsid w:val="009B6A56"/>
    <w:rsid w:val="009B6F8F"/>
    <w:rsid w:val="009B6FD3"/>
    <w:rsid w:val="009B72BE"/>
    <w:rsid w:val="009B78A4"/>
    <w:rsid w:val="009B7DB2"/>
    <w:rsid w:val="009C03DB"/>
    <w:rsid w:val="009C0585"/>
    <w:rsid w:val="009C15AF"/>
    <w:rsid w:val="009C1750"/>
    <w:rsid w:val="009C205B"/>
    <w:rsid w:val="009C2C39"/>
    <w:rsid w:val="009C2E29"/>
    <w:rsid w:val="009C3376"/>
    <w:rsid w:val="009C3684"/>
    <w:rsid w:val="009C3E8F"/>
    <w:rsid w:val="009C4B3A"/>
    <w:rsid w:val="009C554B"/>
    <w:rsid w:val="009C5E83"/>
    <w:rsid w:val="009C7126"/>
    <w:rsid w:val="009C719E"/>
    <w:rsid w:val="009C744C"/>
    <w:rsid w:val="009C7457"/>
    <w:rsid w:val="009C7799"/>
    <w:rsid w:val="009D0225"/>
    <w:rsid w:val="009D07A9"/>
    <w:rsid w:val="009D0AE2"/>
    <w:rsid w:val="009D0D9F"/>
    <w:rsid w:val="009D0EBB"/>
    <w:rsid w:val="009D0F6F"/>
    <w:rsid w:val="009D1169"/>
    <w:rsid w:val="009D1647"/>
    <w:rsid w:val="009D164D"/>
    <w:rsid w:val="009D2C46"/>
    <w:rsid w:val="009D3ACD"/>
    <w:rsid w:val="009D3EC7"/>
    <w:rsid w:val="009D40A7"/>
    <w:rsid w:val="009D4254"/>
    <w:rsid w:val="009D4F21"/>
    <w:rsid w:val="009D5012"/>
    <w:rsid w:val="009D587D"/>
    <w:rsid w:val="009D59E6"/>
    <w:rsid w:val="009D5CAD"/>
    <w:rsid w:val="009D6581"/>
    <w:rsid w:val="009D6EA6"/>
    <w:rsid w:val="009D72F8"/>
    <w:rsid w:val="009D7731"/>
    <w:rsid w:val="009D779F"/>
    <w:rsid w:val="009D78C3"/>
    <w:rsid w:val="009D7CC3"/>
    <w:rsid w:val="009E027B"/>
    <w:rsid w:val="009E1120"/>
    <w:rsid w:val="009E1393"/>
    <w:rsid w:val="009E1796"/>
    <w:rsid w:val="009E1922"/>
    <w:rsid w:val="009E1A3D"/>
    <w:rsid w:val="009E245A"/>
    <w:rsid w:val="009E274E"/>
    <w:rsid w:val="009E34C4"/>
    <w:rsid w:val="009E3657"/>
    <w:rsid w:val="009E4715"/>
    <w:rsid w:val="009E49FD"/>
    <w:rsid w:val="009E4A58"/>
    <w:rsid w:val="009E5273"/>
    <w:rsid w:val="009E52C3"/>
    <w:rsid w:val="009E57A8"/>
    <w:rsid w:val="009E5B85"/>
    <w:rsid w:val="009E5DDB"/>
    <w:rsid w:val="009E7501"/>
    <w:rsid w:val="009E7667"/>
    <w:rsid w:val="009E7EA7"/>
    <w:rsid w:val="009F032E"/>
    <w:rsid w:val="009F13D3"/>
    <w:rsid w:val="009F1CA6"/>
    <w:rsid w:val="009F218B"/>
    <w:rsid w:val="009F2921"/>
    <w:rsid w:val="009F3217"/>
    <w:rsid w:val="009F3D5C"/>
    <w:rsid w:val="009F42CF"/>
    <w:rsid w:val="009F4982"/>
    <w:rsid w:val="009F4CA7"/>
    <w:rsid w:val="009F4F6A"/>
    <w:rsid w:val="009F5554"/>
    <w:rsid w:val="009F55BA"/>
    <w:rsid w:val="009F5694"/>
    <w:rsid w:val="009F5C36"/>
    <w:rsid w:val="009F6097"/>
    <w:rsid w:val="009F6A42"/>
    <w:rsid w:val="009F7B14"/>
    <w:rsid w:val="009F7D36"/>
    <w:rsid w:val="009F7D61"/>
    <w:rsid w:val="00A0032F"/>
    <w:rsid w:val="00A00470"/>
    <w:rsid w:val="00A0069E"/>
    <w:rsid w:val="00A00E71"/>
    <w:rsid w:val="00A0187B"/>
    <w:rsid w:val="00A02969"/>
    <w:rsid w:val="00A02E8B"/>
    <w:rsid w:val="00A0306F"/>
    <w:rsid w:val="00A03511"/>
    <w:rsid w:val="00A03B10"/>
    <w:rsid w:val="00A03E2E"/>
    <w:rsid w:val="00A04616"/>
    <w:rsid w:val="00A04717"/>
    <w:rsid w:val="00A04D56"/>
    <w:rsid w:val="00A04F83"/>
    <w:rsid w:val="00A05577"/>
    <w:rsid w:val="00A05CF1"/>
    <w:rsid w:val="00A05D8F"/>
    <w:rsid w:val="00A05EB1"/>
    <w:rsid w:val="00A05EE4"/>
    <w:rsid w:val="00A06CA7"/>
    <w:rsid w:val="00A06D1D"/>
    <w:rsid w:val="00A06F99"/>
    <w:rsid w:val="00A07153"/>
    <w:rsid w:val="00A07316"/>
    <w:rsid w:val="00A073FD"/>
    <w:rsid w:val="00A07B79"/>
    <w:rsid w:val="00A1053B"/>
    <w:rsid w:val="00A10D66"/>
    <w:rsid w:val="00A113A4"/>
    <w:rsid w:val="00A12A8E"/>
    <w:rsid w:val="00A13367"/>
    <w:rsid w:val="00A133F9"/>
    <w:rsid w:val="00A14114"/>
    <w:rsid w:val="00A147AC"/>
    <w:rsid w:val="00A14F4D"/>
    <w:rsid w:val="00A16413"/>
    <w:rsid w:val="00A16545"/>
    <w:rsid w:val="00A16A1A"/>
    <w:rsid w:val="00A16A9F"/>
    <w:rsid w:val="00A16AED"/>
    <w:rsid w:val="00A16BD3"/>
    <w:rsid w:val="00A16C37"/>
    <w:rsid w:val="00A16E1D"/>
    <w:rsid w:val="00A16E4C"/>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BB7"/>
    <w:rsid w:val="00A23E43"/>
    <w:rsid w:val="00A242C7"/>
    <w:rsid w:val="00A24425"/>
    <w:rsid w:val="00A245CC"/>
    <w:rsid w:val="00A24726"/>
    <w:rsid w:val="00A24BEF"/>
    <w:rsid w:val="00A24DEB"/>
    <w:rsid w:val="00A24ED9"/>
    <w:rsid w:val="00A251DB"/>
    <w:rsid w:val="00A25216"/>
    <w:rsid w:val="00A2597D"/>
    <w:rsid w:val="00A259CC"/>
    <w:rsid w:val="00A25A28"/>
    <w:rsid w:val="00A25AA3"/>
    <w:rsid w:val="00A25FC3"/>
    <w:rsid w:val="00A2601E"/>
    <w:rsid w:val="00A2628E"/>
    <w:rsid w:val="00A266BF"/>
    <w:rsid w:val="00A26777"/>
    <w:rsid w:val="00A269AB"/>
    <w:rsid w:val="00A2731E"/>
    <w:rsid w:val="00A27D06"/>
    <w:rsid w:val="00A309AC"/>
    <w:rsid w:val="00A30EA4"/>
    <w:rsid w:val="00A30F65"/>
    <w:rsid w:val="00A315CD"/>
    <w:rsid w:val="00A315D0"/>
    <w:rsid w:val="00A3279E"/>
    <w:rsid w:val="00A33DB1"/>
    <w:rsid w:val="00A33EEB"/>
    <w:rsid w:val="00A34132"/>
    <w:rsid w:val="00A341CD"/>
    <w:rsid w:val="00A34FCE"/>
    <w:rsid w:val="00A351C8"/>
    <w:rsid w:val="00A35900"/>
    <w:rsid w:val="00A35BC9"/>
    <w:rsid w:val="00A35F33"/>
    <w:rsid w:val="00A375ED"/>
    <w:rsid w:val="00A401A3"/>
    <w:rsid w:val="00A40EAC"/>
    <w:rsid w:val="00A418BC"/>
    <w:rsid w:val="00A419FF"/>
    <w:rsid w:val="00A41FCF"/>
    <w:rsid w:val="00A423DE"/>
    <w:rsid w:val="00A42936"/>
    <w:rsid w:val="00A4328D"/>
    <w:rsid w:val="00A4393F"/>
    <w:rsid w:val="00A43CF8"/>
    <w:rsid w:val="00A43DF2"/>
    <w:rsid w:val="00A44336"/>
    <w:rsid w:val="00A445A8"/>
    <w:rsid w:val="00A44964"/>
    <w:rsid w:val="00A44B0D"/>
    <w:rsid w:val="00A44D21"/>
    <w:rsid w:val="00A44E3F"/>
    <w:rsid w:val="00A45014"/>
    <w:rsid w:val="00A45087"/>
    <w:rsid w:val="00A45366"/>
    <w:rsid w:val="00A45487"/>
    <w:rsid w:val="00A45489"/>
    <w:rsid w:val="00A45858"/>
    <w:rsid w:val="00A45CED"/>
    <w:rsid w:val="00A465E9"/>
    <w:rsid w:val="00A468E7"/>
    <w:rsid w:val="00A46DA0"/>
    <w:rsid w:val="00A46DE0"/>
    <w:rsid w:val="00A47240"/>
    <w:rsid w:val="00A476A5"/>
    <w:rsid w:val="00A478BA"/>
    <w:rsid w:val="00A50D73"/>
    <w:rsid w:val="00A514CC"/>
    <w:rsid w:val="00A518BB"/>
    <w:rsid w:val="00A52A88"/>
    <w:rsid w:val="00A52CAD"/>
    <w:rsid w:val="00A53340"/>
    <w:rsid w:val="00A53560"/>
    <w:rsid w:val="00A53FC7"/>
    <w:rsid w:val="00A54AAF"/>
    <w:rsid w:val="00A55569"/>
    <w:rsid w:val="00A55ABC"/>
    <w:rsid w:val="00A55C36"/>
    <w:rsid w:val="00A5661B"/>
    <w:rsid w:val="00A566A0"/>
    <w:rsid w:val="00A56F74"/>
    <w:rsid w:val="00A57594"/>
    <w:rsid w:val="00A601AA"/>
    <w:rsid w:val="00A601E7"/>
    <w:rsid w:val="00A609BD"/>
    <w:rsid w:val="00A60AC1"/>
    <w:rsid w:val="00A60FF7"/>
    <w:rsid w:val="00A620A9"/>
    <w:rsid w:val="00A62162"/>
    <w:rsid w:val="00A62555"/>
    <w:rsid w:val="00A626FF"/>
    <w:rsid w:val="00A62CE1"/>
    <w:rsid w:val="00A63449"/>
    <w:rsid w:val="00A65469"/>
    <w:rsid w:val="00A65528"/>
    <w:rsid w:val="00A655D3"/>
    <w:rsid w:val="00A662D9"/>
    <w:rsid w:val="00A6630C"/>
    <w:rsid w:val="00A6741E"/>
    <w:rsid w:val="00A67605"/>
    <w:rsid w:val="00A676F1"/>
    <w:rsid w:val="00A67E29"/>
    <w:rsid w:val="00A7016A"/>
    <w:rsid w:val="00A7018D"/>
    <w:rsid w:val="00A709DE"/>
    <w:rsid w:val="00A7108C"/>
    <w:rsid w:val="00A71181"/>
    <w:rsid w:val="00A7191D"/>
    <w:rsid w:val="00A71E82"/>
    <w:rsid w:val="00A72154"/>
    <w:rsid w:val="00A722F9"/>
    <w:rsid w:val="00A72347"/>
    <w:rsid w:val="00A72D42"/>
    <w:rsid w:val="00A746C9"/>
    <w:rsid w:val="00A747D4"/>
    <w:rsid w:val="00A74C2A"/>
    <w:rsid w:val="00A75684"/>
    <w:rsid w:val="00A75E40"/>
    <w:rsid w:val="00A76353"/>
    <w:rsid w:val="00A76818"/>
    <w:rsid w:val="00A77D1D"/>
    <w:rsid w:val="00A77E6B"/>
    <w:rsid w:val="00A809AD"/>
    <w:rsid w:val="00A81374"/>
    <w:rsid w:val="00A81652"/>
    <w:rsid w:val="00A822F8"/>
    <w:rsid w:val="00A82ADA"/>
    <w:rsid w:val="00A82BF0"/>
    <w:rsid w:val="00A82C91"/>
    <w:rsid w:val="00A83150"/>
    <w:rsid w:val="00A83398"/>
    <w:rsid w:val="00A83D6E"/>
    <w:rsid w:val="00A83FD5"/>
    <w:rsid w:val="00A84C1D"/>
    <w:rsid w:val="00A84FB7"/>
    <w:rsid w:val="00A8521A"/>
    <w:rsid w:val="00A8552B"/>
    <w:rsid w:val="00A85537"/>
    <w:rsid w:val="00A857C0"/>
    <w:rsid w:val="00A85ACB"/>
    <w:rsid w:val="00A9036F"/>
    <w:rsid w:val="00A904C6"/>
    <w:rsid w:val="00A9092B"/>
    <w:rsid w:val="00A90F2C"/>
    <w:rsid w:val="00A90FED"/>
    <w:rsid w:val="00A9142F"/>
    <w:rsid w:val="00A91482"/>
    <w:rsid w:val="00A9189D"/>
    <w:rsid w:val="00A91E71"/>
    <w:rsid w:val="00A91EAD"/>
    <w:rsid w:val="00A925B1"/>
    <w:rsid w:val="00A92A3E"/>
    <w:rsid w:val="00A934F9"/>
    <w:rsid w:val="00A93735"/>
    <w:rsid w:val="00A9383D"/>
    <w:rsid w:val="00A939EE"/>
    <w:rsid w:val="00A940E3"/>
    <w:rsid w:val="00A94983"/>
    <w:rsid w:val="00A9532C"/>
    <w:rsid w:val="00A95F1A"/>
    <w:rsid w:val="00A96026"/>
    <w:rsid w:val="00A96116"/>
    <w:rsid w:val="00A96118"/>
    <w:rsid w:val="00A9614E"/>
    <w:rsid w:val="00A96422"/>
    <w:rsid w:val="00A96C0F"/>
    <w:rsid w:val="00A97075"/>
    <w:rsid w:val="00A97542"/>
    <w:rsid w:val="00AA0E80"/>
    <w:rsid w:val="00AA0F90"/>
    <w:rsid w:val="00AA16F4"/>
    <w:rsid w:val="00AA1756"/>
    <w:rsid w:val="00AA17CD"/>
    <w:rsid w:val="00AA1D4D"/>
    <w:rsid w:val="00AA1D85"/>
    <w:rsid w:val="00AA1F81"/>
    <w:rsid w:val="00AA212B"/>
    <w:rsid w:val="00AA212F"/>
    <w:rsid w:val="00AA26A9"/>
    <w:rsid w:val="00AA28CE"/>
    <w:rsid w:val="00AA2996"/>
    <w:rsid w:val="00AA2AF4"/>
    <w:rsid w:val="00AA4272"/>
    <w:rsid w:val="00AA4282"/>
    <w:rsid w:val="00AA4291"/>
    <w:rsid w:val="00AA43F2"/>
    <w:rsid w:val="00AA4790"/>
    <w:rsid w:val="00AA49E1"/>
    <w:rsid w:val="00AA52BF"/>
    <w:rsid w:val="00AA559A"/>
    <w:rsid w:val="00AA5DE4"/>
    <w:rsid w:val="00AA65D0"/>
    <w:rsid w:val="00AA6C31"/>
    <w:rsid w:val="00AA7752"/>
    <w:rsid w:val="00AA7CE8"/>
    <w:rsid w:val="00AB0243"/>
    <w:rsid w:val="00AB078A"/>
    <w:rsid w:val="00AB1457"/>
    <w:rsid w:val="00AB2531"/>
    <w:rsid w:val="00AB2AF1"/>
    <w:rsid w:val="00AB32CB"/>
    <w:rsid w:val="00AB3405"/>
    <w:rsid w:val="00AB3AD7"/>
    <w:rsid w:val="00AB3B8E"/>
    <w:rsid w:val="00AB3BA7"/>
    <w:rsid w:val="00AB3EC7"/>
    <w:rsid w:val="00AB44DA"/>
    <w:rsid w:val="00AB4BC1"/>
    <w:rsid w:val="00AB51D2"/>
    <w:rsid w:val="00AB5A64"/>
    <w:rsid w:val="00AB5CA1"/>
    <w:rsid w:val="00AB640C"/>
    <w:rsid w:val="00AB6456"/>
    <w:rsid w:val="00AB719D"/>
    <w:rsid w:val="00AB75C5"/>
    <w:rsid w:val="00AC044E"/>
    <w:rsid w:val="00AC0CE9"/>
    <w:rsid w:val="00AC1487"/>
    <w:rsid w:val="00AC2118"/>
    <w:rsid w:val="00AC2395"/>
    <w:rsid w:val="00AC2960"/>
    <w:rsid w:val="00AC2AC4"/>
    <w:rsid w:val="00AC37F9"/>
    <w:rsid w:val="00AC39AD"/>
    <w:rsid w:val="00AC3AE1"/>
    <w:rsid w:val="00AC40BF"/>
    <w:rsid w:val="00AC4284"/>
    <w:rsid w:val="00AC45BD"/>
    <w:rsid w:val="00AC50BB"/>
    <w:rsid w:val="00AC5256"/>
    <w:rsid w:val="00AC5333"/>
    <w:rsid w:val="00AC6FE4"/>
    <w:rsid w:val="00AC78F1"/>
    <w:rsid w:val="00AC7B96"/>
    <w:rsid w:val="00AD0B22"/>
    <w:rsid w:val="00AD0EE7"/>
    <w:rsid w:val="00AD168E"/>
    <w:rsid w:val="00AD2218"/>
    <w:rsid w:val="00AD2FCF"/>
    <w:rsid w:val="00AD2FF2"/>
    <w:rsid w:val="00AD306C"/>
    <w:rsid w:val="00AD3FE3"/>
    <w:rsid w:val="00AD432F"/>
    <w:rsid w:val="00AD43B0"/>
    <w:rsid w:val="00AD44CD"/>
    <w:rsid w:val="00AD47A7"/>
    <w:rsid w:val="00AD4C41"/>
    <w:rsid w:val="00AD5AD2"/>
    <w:rsid w:val="00AD5FF2"/>
    <w:rsid w:val="00AD6462"/>
    <w:rsid w:val="00AD66C5"/>
    <w:rsid w:val="00AD68C4"/>
    <w:rsid w:val="00AD71F9"/>
    <w:rsid w:val="00AE09B3"/>
    <w:rsid w:val="00AE14A7"/>
    <w:rsid w:val="00AE1767"/>
    <w:rsid w:val="00AE1A83"/>
    <w:rsid w:val="00AE27E3"/>
    <w:rsid w:val="00AE2A78"/>
    <w:rsid w:val="00AE2AE9"/>
    <w:rsid w:val="00AE2FF9"/>
    <w:rsid w:val="00AE30BE"/>
    <w:rsid w:val="00AE3E6A"/>
    <w:rsid w:val="00AE417E"/>
    <w:rsid w:val="00AE4A50"/>
    <w:rsid w:val="00AE5099"/>
    <w:rsid w:val="00AE56EE"/>
    <w:rsid w:val="00AE59E8"/>
    <w:rsid w:val="00AE6414"/>
    <w:rsid w:val="00AE7087"/>
    <w:rsid w:val="00AE7269"/>
    <w:rsid w:val="00AE75C1"/>
    <w:rsid w:val="00AE77B2"/>
    <w:rsid w:val="00AE797C"/>
    <w:rsid w:val="00AE7CE7"/>
    <w:rsid w:val="00AE7E8D"/>
    <w:rsid w:val="00AE7FAB"/>
    <w:rsid w:val="00AF0DE4"/>
    <w:rsid w:val="00AF0F32"/>
    <w:rsid w:val="00AF12A0"/>
    <w:rsid w:val="00AF1D38"/>
    <w:rsid w:val="00AF1E87"/>
    <w:rsid w:val="00AF25DA"/>
    <w:rsid w:val="00AF31F3"/>
    <w:rsid w:val="00AF33D9"/>
    <w:rsid w:val="00AF4181"/>
    <w:rsid w:val="00AF422A"/>
    <w:rsid w:val="00AF436B"/>
    <w:rsid w:val="00AF5179"/>
    <w:rsid w:val="00AF5CC2"/>
    <w:rsid w:val="00AF660D"/>
    <w:rsid w:val="00AF6776"/>
    <w:rsid w:val="00AF6F98"/>
    <w:rsid w:val="00AF7277"/>
    <w:rsid w:val="00B0001C"/>
    <w:rsid w:val="00B00550"/>
    <w:rsid w:val="00B00913"/>
    <w:rsid w:val="00B00D4D"/>
    <w:rsid w:val="00B01197"/>
    <w:rsid w:val="00B014F7"/>
    <w:rsid w:val="00B01593"/>
    <w:rsid w:val="00B01D0F"/>
    <w:rsid w:val="00B01F1A"/>
    <w:rsid w:val="00B01FF9"/>
    <w:rsid w:val="00B023F2"/>
    <w:rsid w:val="00B026FE"/>
    <w:rsid w:val="00B0271F"/>
    <w:rsid w:val="00B02A45"/>
    <w:rsid w:val="00B03883"/>
    <w:rsid w:val="00B038CA"/>
    <w:rsid w:val="00B0454F"/>
    <w:rsid w:val="00B05375"/>
    <w:rsid w:val="00B05BB6"/>
    <w:rsid w:val="00B05BEC"/>
    <w:rsid w:val="00B05F00"/>
    <w:rsid w:val="00B0601B"/>
    <w:rsid w:val="00B06DB4"/>
    <w:rsid w:val="00B06DDF"/>
    <w:rsid w:val="00B0750D"/>
    <w:rsid w:val="00B07850"/>
    <w:rsid w:val="00B0799C"/>
    <w:rsid w:val="00B102CE"/>
    <w:rsid w:val="00B10A4D"/>
    <w:rsid w:val="00B10C90"/>
    <w:rsid w:val="00B11002"/>
    <w:rsid w:val="00B1114F"/>
    <w:rsid w:val="00B117D9"/>
    <w:rsid w:val="00B1192D"/>
    <w:rsid w:val="00B121B2"/>
    <w:rsid w:val="00B131B1"/>
    <w:rsid w:val="00B13571"/>
    <w:rsid w:val="00B1382F"/>
    <w:rsid w:val="00B13A1C"/>
    <w:rsid w:val="00B141A5"/>
    <w:rsid w:val="00B141B6"/>
    <w:rsid w:val="00B145F1"/>
    <w:rsid w:val="00B14BC1"/>
    <w:rsid w:val="00B14EC9"/>
    <w:rsid w:val="00B154DE"/>
    <w:rsid w:val="00B162C3"/>
    <w:rsid w:val="00B16CD9"/>
    <w:rsid w:val="00B16DD1"/>
    <w:rsid w:val="00B16EB8"/>
    <w:rsid w:val="00B1700A"/>
    <w:rsid w:val="00B174AF"/>
    <w:rsid w:val="00B17625"/>
    <w:rsid w:val="00B17E71"/>
    <w:rsid w:val="00B17FDE"/>
    <w:rsid w:val="00B20632"/>
    <w:rsid w:val="00B21AE3"/>
    <w:rsid w:val="00B21EA4"/>
    <w:rsid w:val="00B2379C"/>
    <w:rsid w:val="00B23D5D"/>
    <w:rsid w:val="00B23E6E"/>
    <w:rsid w:val="00B2450C"/>
    <w:rsid w:val="00B24790"/>
    <w:rsid w:val="00B25531"/>
    <w:rsid w:val="00B25AD0"/>
    <w:rsid w:val="00B25B56"/>
    <w:rsid w:val="00B2687D"/>
    <w:rsid w:val="00B27EAC"/>
    <w:rsid w:val="00B27EC6"/>
    <w:rsid w:val="00B3082E"/>
    <w:rsid w:val="00B30C8B"/>
    <w:rsid w:val="00B3108D"/>
    <w:rsid w:val="00B32DDB"/>
    <w:rsid w:val="00B32F57"/>
    <w:rsid w:val="00B33300"/>
    <w:rsid w:val="00B3345C"/>
    <w:rsid w:val="00B343C4"/>
    <w:rsid w:val="00B34528"/>
    <w:rsid w:val="00B34750"/>
    <w:rsid w:val="00B34CC9"/>
    <w:rsid w:val="00B34CCE"/>
    <w:rsid w:val="00B34CDA"/>
    <w:rsid w:val="00B34EB6"/>
    <w:rsid w:val="00B34EFD"/>
    <w:rsid w:val="00B35160"/>
    <w:rsid w:val="00B3563B"/>
    <w:rsid w:val="00B36BDC"/>
    <w:rsid w:val="00B36C14"/>
    <w:rsid w:val="00B37975"/>
    <w:rsid w:val="00B37D3A"/>
    <w:rsid w:val="00B37D96"/>
    <w:rsid w:val="00B40066"/>
    <w:rsid w:val="00B402FC"/>
    <w:rsid w:val="00B41961"/>
    <w:rsid w:val="00B42127"/>
    <w:rsid w:val="00B422E2"/>
    <w:rsid w:val="00B42517"/>
    <w:rsid w:val="00B42902"/>
    <w:rsid w:val="00B42D5F"/>
    <w:rsid w:val="00B43216"/>
    <w:rsid w:val="00B439DA"/>
    <w:rsid w:val="00B4411A"/>
    <w:rsid w:val="00B44234"/>
    <w:rsid w:val="00B456FD"/>
    <w:rsid w:val="00B45FE8"/>
    <w:rsid w:val="00B4612C"/>
    <w:rsid w:val="00B46382"/>
    <w:rsid w:val="00B46604"/>
    <w:rsid w:val="00B47089"/>
    <w:rsid w:val="00B4753D"/>
    <w:rsid w:val="00B47587"/>
    <w:rsid w:val="00B50D6C"/>
    <w:rsid w:val="00B5150A"/>
    <w:rsid w:val="00B51A05"/>
    <w:rsid w:val="00B51B78"/>
    <w:rsid w:val="00B52151"/>
    <w:rsid w:val="00B52CA5"/>
    <w:rsid w:val="00B530CD"/>
    <w:rsid w:val="00B532B1"/>
    <w:rsid w:val="00B53639"/>
    <w:rsid w:val="00B53C7D"/>
    <w:rsid w:val="00B53D7F"/>
    <w:rsid w:val="00B53E56"/>
    <w:rsid w:val="00B5427F"/>
    <w:rsid w:val="00B545CC"/>
    <w:rsid w:val="00B55311"/>
    <w:rsid w:val="00B55601"/>
    <w:rsid w:val="00B55922"/>
    <w:rsid w:val="00B55A97"/>
    <w:rsid w:val="00B55E7E"/>
    <w:rsid w:val="00B55F5E"/>
    <w:rsid w:val="00B5601B"/>
    <w:rsid w:val="00B56231"/>
    <w:rsid w:val="00B5642C"/>
    <w:rsid w:val="00B564F1"/>
    <w:rsid w:val="00B5658D"/>
    <w:rsid w:val="00B56B6F"/>
    <w:rsid w:val="00B5701A"/>
    <w:rsid w:val="00B5752E"/>
    <w:rsid w:val="00B604FF"/>
    <w:rsid w:val="00B608B7"/>
    <w:rsid w:val="00B60AC1"/>
    <w:rsid w:val="00B6167A"/>
    <w:rsid w:val="00B61FF6"/>
    <w:rsid w:val="00B62316"/>
    <w:rsid w:val="00B62635"/>
    <w:rsid w:val="00B6274C"/>
    <w:rsid w:val="00B62A84"/>
    <w:rsid w:val="00B6329D"/>
    <w:rsid w:val="00B63A11"/>
    <w:rsid w:val="00B63C9F"/>
    <w:rsid w:val="00B63D32"/>
    <w:rsid w:val="00B64425"/>
    <w:rsid w:val="00B64A44"/>
    <w:rsid w:val="00B64C24"/>
    <w:rsid w:val="00B64E72"/>
    <w:rsid w:val="00B655D8"/>
    <w:rsid w:val="00B65CC4"/>
    <w:rsid w:val="00B65CEF"/>
    <w:rsid w:val="00B6608F"/>
    <w:rsid w:val="00B668D7"/>
    <w:rsid w:val="00B674C7"/>
    <w:rsid w:val="00B67749"/>
    <w:rsid w:val="00B679FB"/>
    <w:rsid w:val="00B703DD"/>
    <w:rsid w:val="00B70570"/>
    <w:rsid w:val="00B71FBF"/>
    <w:rsid w:val="00B72E6D"/>
    <w:rsid w:val="00B734A0"/>
    <w:rsid w:val="00B7356B"/>
    <w:rsid w:val="00B7374C"/>
    <w:rsid w:val="00B73A14"/>
    <w:rsid w:val="00B73AB1"/>
    <w:rsid w:val="00B73FE8"/>
    <w:rsid w:val="00B740A0"/>
    <w:rsid w:val="00B74606"/>
    <w:rsid w:val="00B746AB"/>
    <w:rsid w:val="00B748BD"/>
    <w:rsid w:val="00B74964"/>
    <w:rsid w:val="00B7564A"/>
    <w:rsid w:val="00B75719"/>
    <w:rsid w:val="00B76100"/>
    <w:rsid w:val="00B7680F"/>
    <w:rsid w:val="00B76B48"/>
    <w:rsid w:val="00B76D1E"/>
    <w:rsid w:val="00B771E5"/>
    <w:rsid w:val="00B77201"/>
    <w:rsid w:val="00B77543"/>
    <w:rsid w:val="00B77584"/>
    <w:rsid w:val="00B77E34"/>
    <w:rsid w:val="00B805D8"/>
    <w:rsid w:val="00B809F3"/>
    <w:rsid w:val="00B80D44"/>
    <w:rsid w:val="00B80D89"/>
    <w:rsid w:val="00B80EC6"/>
    <w:rsid w:val="00B81288"/>
    <w:rsid w:val="00B81D70"/>
    <w:rsid w:val="00B82420"/>
    <w:rsid w:val="00B833B9"/>
    <w:rsid w:val="00B836F7"/>
    <w:rsid w:val="00B83AAF"/>
    <w:rsid w:val="00B83E07"/>
    <w:rsid w:val="00B84CF6"/>
    <w:rsid w:val="00B85016"/>
    <w:rsid w:val="00B8561A"/>
    <w:rsid w:val="00B86628"/>
    <w:rsid w:val="00B86643"/>
    <w:rsid w:val="00B868F7"/>
    <w:rsid w:val="00B86BBA"/>
    <w:rsid w:val="00B86EB1"/>
    <w:rsid w:val="00B86EB2"/>
    <w:rsid w:val="00B871A7"/>
    <w:rsid w:val="00B87A70"/>
    <w:rsid w:val="00B87F5D"/>
    <w:rsid w:val="00B900FB"/>
    <w:rsid w:val="00B90131"/>
    <w:rsid w:val="00B907BE"/>
    <w:rsid w:val="00B90DE0"/>
    <w:rsid w:val="00B91EBE"/>
    <w:rsid w:val="00B92951"/>
    <w:rsid w:val="00B92D1D"/>
    <w:rsid w:val="00B92D7E"/>
    <w:rsid w:val="00B930CE"/>
    <w:rsid w:val="00B938C5"/>
    <w:rsid w:val="00B93EC3"/>
    <w:rsid w:val="00B940A8"/>
    <w:rsid w:val="00B9554A"/>
    <w:rsid w:val="00B95940"/>
    <w:rsid w:val="00B95ACA"/>
    <w:rsid w:val="00B95C12"/>
    <w:rsid w:val="00B95DA7"/>
    <w:rsid w:val="00B96949"/>
    <w:rsid w:val="00B96D74"/>
    <w:rsid w:val="00B9720E"/>
    <w:rsid w:val="00B97320"/>
    <w:rsid w:val="00B97ACC"/>
    <w:rsid w:val="00B97FE2"/>
    <w:rsid w:val="00BA0986"/>
    <w:rsid w:val="00BA0E0B"/>
    <w:rsid w:val="00BA0F7D"/>
    <w:rsid w:val="00BA1B6F"/>
    <w:rsid w:val="00BA201A"/>
    <w:rsid w:val="00BA21DF"/>
    <w:rsid w:val="00BA2B7C"/>
    <w:rsid w:val="00BA361D"/>
    <w:rsid w:val="00BA3787"/>
    <w:rsid w:val="00BA403A"/>
    <w:rsid w:val="00BA46E8"/>
    <w:rsid w:val="00BA49DB"/>
    <w:rsid w:val="00BA4AE9"/>
    <w:rsid w:val="00BA4CC9"/>
    <w:rsid w:val="00BA4E19"/>
    <w:rsid w:val="00BA52D4"/>
    <w:rsid w:val="00BA5EFC"/>
    <w:rsid w:val="00BA6397"/>
    <w:rsid w:val="00BA6436"/>
    <w:rsid w:val="00BA64F2"/>
    <w:rsid w:val="00BA65BE"/>
    <w:rsid w:val="00BA684E"/>
    <w:rsid w:val="00BA6C2B"/>
    <w:rsid w:val="00BA7B64"/>
    <w:rsid w:val="00BA7D5F"/>
    <w:rsid w:val="00BB02A3"/>
    <w:rsid w:val="00BB0351"/>
    <w:rsid w:val="00BB15C3"/>
    <w:rsid w:val="00BB1A13"/>
    <w:rsid w:val="00BB1AF4"/>
    <w:rsid w:val="00BB2202"/>
    <w:rsid w:val="00BB298E"/>
    <w:rsid w:val="00BB3153"/>
    <w:rsid w:val="00BB3C6B"/>
    <w:rsid w:val="00BB3E48"/>
    <w:rsid w:val="00BB3FD6"/>
    <w:rsid w:val="00BB453F"/>
    <w:rsid w:val="00BB46C6"/>
    <w:rsid w:val="00BB46F3"/>
    <w:rsid w:val="00BB4A71"/>
    <w:rsid w:val="00BB4CB1"/>
    <w:rsid w:val="00BB4E47"/>
    <w:rsid w:val="00BB4F98"/>
    <w:rsid w:val="00BB50C0"/>
    <w:rsid w:val="00BB5AB2"/>
    <w:rsid w:val="00BB5ABF"/>
    <w:rsid w:val="00BB5F94"/>
    <w:rsid w:val="00BB6EA2"/>
    <w:rsid w:val="00BB7142"/>
    <w:rsid w:val="00BB71D2"/>
    <w:rsid w:val="00BB76F3"/>
    <w:rsid w:val="00BB7B5B"/>
    <w:rsid w:val="00BB7E0B"/>
    <w:rsid w:val="00BB7EB1"/>
    <w:rsid w:val="00BC003F"/>
    <w:rsid w:val="00BC0930"/>
    <w:rsid w:val="00BC0D79"/>
    <w:rsid w:val="00BC14B0"/>
    <w:rsid w:val="00BC223A"/>
    <w:rsid w:val="00BC2340"/>
    <w:rsid w:val="00BC327F"/>
    <w:rsid w:val="00BC3512"/>
    <w:rsid w:val="00BC3D26"/>
    <w:rsid w:val="00BC4010"/>
    <w:rsid w:val="00BC48A2"/>
    <w:rsid w:val="00BC493B"/>
    <w:rsid w:val="00BC4B35"/>
    <w:rsid w:val="00BC4F86"/>
    <w:rsid w:val="00BC50BE"/>
    <w:rsid w:val="00BC5332"/>
    <w:rsid w:val="00BC557F"/>
    <w:rsid w:val="00BC5636"/>
    <w:rsid w:val="00BC5715"/>
    <w:rsid w:val="00BC5BBD"/>
    <w:rsid w:val="00BC5C12"/>
    <w:rsid w:val="00BC641B"/>
    <w:rsid w:val="00BC7154"/>
    <w:rsid w:val="00BC731E"/>
    <w:rsid w:val="00BC7614"/>
    <w:rsid w:val="00BC7652"/>
    <w:rsid w:val="00BC7EFA"/>
    <w:rsid w:val="00BD041B"/>
    <w:rsid w:val="00BD1B66"/>
    <w:rsid w:val="00BD25BB"/>
    <w:rsid w:val="00BD2AF8"/>
    <w:rsid w:val="00BD366B"/>
    <w:rsid w:val="00BD3C09"/>
    <w:rsid w:val="00BD410B"/>
    <w:rsid w:val="00BD4310"/>
    <w:rsid w:val="00BD4A73"/>
    <w:rsid w:val="00BD4EDD"/>
    <w:rsid w:val="00BD4EF4"/>
    <w:rsid w:val="00BD57E9"/>
    <w:rsid w:val="00BD5A1B"/>
    <w:rsid w:val="00BD5D0F"/>
    <w:rsid w:val="00BD6659"/>
    <w:rsid w:val="00BD6C75"/>
    <w:rsid w:val="00BD6D4D"/>
    <w:rsid w:val="00BD6D50"/>
    <w:rsid w:val="00BD7105"/>
    <w:rsid w:val="00BD73D2"/>
    <w:rsid w:val="00BE00D1"/>
    <w:rsid w:val="00BE0ACB"/>
    <w:rsid w:val="00BE0AD1"/>
    <w:rsid w:val="00BE0D18"/>
    <w:rsid w:val="00BE0EF9"/>
    <w:rsid w:val="00BE10A1"/>
    <w:rsid w:val="00BE18B9"/>
    <w:rsid w:val="00BE190A"/>
    <w:rsid w:val="00BE2495"/>
    <w:rsid w:val="00BE24DD"/>
    <w:rsid w:val="00BE2DB0"/>
    <w:rsid w:val="00BE34BB"/>
    <w:rsid w:val="00BE386D"/>
    <w:rsid w:val="00BE4B6B"/>
    <w:rsid w:val="00BE4DA9"/>
    <w:rsid w:val="00BE54BF"/>
    <w:rsid w:val="00BE557B"/>
    <w:rsid w:val="00BE55EF"/>
    <w:rsid w:val="00BE59C5"/>
    <w:rsid w:val="00BE652B"/>
    <w:rsid w:val="00BE6C26"/>
    <w:rsid w:val="00BE7F5F"/>
    <w:rsid w:val="00BF02C8"/>
    <w:rsid w:val="00BF08EA"/>
    <w:rsid w:val="00BF0FD7"/>
    <w:rsid w:val="00BF1578"/>
    <w:rsid w:val="00BF15CA"/>
    <w:rsid w:val="00BF1D12"/>
    <w:rsid w:val="00BF1D3A"/>
    <w:rsid w:val="00BF267B"/>
    <w:rsid w:val="00BF2B5B"/>
    <w:rsid w:val="00BF2D41"/>
    <w:rsid w:val="00BF3201"/>
    <w:rsid w:val="00BF3274"/>
    <w:rsid w:val="00BF32DC"/>
    <w:rsid w:val="00BF35C9"/>
    <w:rsid w:val="00BF4329"/>
    <w:rsid w:val="00BF4DCD"/>
    <w:rsid w:val="00BF4E43"/>
    <w:rsid w:val="00BF5C4C"/>
    <w:rsid w:val="00BF6B0D"/>
    <w:rsid w:val="00BF71E7"/>
    <w:rsid w:val="00BF765C"/>
    <w:rsid w:val="00BF77FC"/>
    <w:rsid w:val="00BF7BB2"/>
    <w:rsid w:val="00BF7D00"/>
    <w:rsid w:val="00BF7DAD"/>
    <w:rsid w:val="00C006D6"/>
    <w:rsid w:val="00C008FE"/>
    <w:rsid w:val="00C00BD7"/>
    <w:rsid w:val="00C00EBF"/>
    <w:rsid w:val="00C0103E"/>
    <w:rsid w:val="00C01410"/>
    <w:rsid w:val="00C024BB"/>
    <w:rsid w:val="00C0259E"/>
    <w:rsid w:val="00C027E4"/>
    <w:rsid w:val="00C02D23"/>
    <w:rsid w:val="00C03D4D"/>
    <w:rsid w:val="00C0436A"/>
    <w:rsid w:val="00C044F4"/>
    <w:rsid w:val="00C04B78"/>
    <w:rsid w:val="00C04F46"/>
    <w:rsid w:val="00C052AA"/>
    <w:rsid w:val="00C05608"/>
    <w:rsid w:val="00C06EE3"/>
    <w:rsid w:val="00C07279"/>
    <w:rsid w:val="00C07749"/>
    <w:rsid w:val="00C07B3F"/>
    <w:rsid w:val="00C07C67"/>
    <w:rsid w:val="00C10099"/>
    <w:rsid w:val="00C107A7"/>
    <w:rsid w:val="00C10805"/>
    <w:rsid w:val="00C11244"/>
    <w:rsid w:val="00C1186C"/>
    <w:rsid w:val="00C118A9"/>
    <w:rsid w:val="00C11D48"/>
    <w:rsid w:val="00C12304"/>
    <w:rsid w:val="00C12316"/>
    <w:rsid w:val="00C1246C"/>
    <w:rsid w:val="00C1493E"/>
    <w:rsid w:val="00C1494A"/>
    <w:rsid w:val="00C14D39"/>
    <w:rsid w:val="00C152DE"/>
    <w:rsid w:val="00C15444"/>
    <w:rsid w:val="00C15537"/>
    <w:rsid w:val="00C15954"/>
    <w:rsid w:val="00C15DBD"/>
    <w:rsid w:val="00C161C5"/>
    <w:rsid w:val="00C172F7"/>
    <w:rsid w:val="00C1798F"/>
    <w:rsid w:val="00C2010D"/>
    <w:rsid w:val="00C2030A"/>
    <w:rsid w:val="00C20906"/>
    <w:rsid w:val="00C20CB5"/>
    <w:rsid w:val="00C21430"/>
    <w:rsid w:val="00C21559"/>
    <w:rsid w:val="00C216DF"/>
    <w:rsid w:val="00C21E61"/>
    <w:rsid w:val="00C21F51"/>
    <w:rsid w:val="00C21F94"/>
    <w:rsid w:val="00C224BD"/>
    <w:rsid w:val="00C2272B"/>
    <w:rsid w:val="00C232ED"/>
    <w:rsid w:val="00C234DB"/>
    <w:rsid w:val="00C23796"/>
    <w:rsid w:val="00C23C5C"/>
    <w:rsid w:val="00C240A1"/>
    <w:rsid w:val="00C2479A"/>
    <w:rsid w:val="00C24903"/>
    <w:rsid w:val="00C2590D"/>
    <w:rsid w:val="00C25D9C"/>
    <w:rsid w:val="00C26086"/>
    <w:rsid w:val="00C27913"/>
    <w:rsid w:val="00C27C96"/>
    <w:rsid w:val="00C27FA7"/>
    <w:rsid w:val="00C300E2"/>
    <w:rsid w:val="00C3198A"/>
    <w:rsid w:val="00C31BCC"/>
    <w:rsid w:val="00C31F21"/>
    <w:rsid w:val="00C3220D"/>
    <w:rsid w:val="00C32631"/>
    <w:rsid w:val="00C33301"/>
    <w:rsid w:val="00C33311"/>
    <w:rsid w:val="00C333A0"/>
    <w:rsid w:val="00C33B68"/>
    <w:rsid w:val="00C34AD4"/>
    <w:rsid w:val="00C350C5"/>
    <w:rsid w:val="00C35570"/>
    <w:rsid w:val="00C35A2A"/>
    <w:rsid w:val="00C36A79"/>
    <w:rsid w:val="00C36D19"/>
    <w:rsid w:val="00C4018E"/>
    <w:rsid w:val="00C401A9"/>
    <w:rsid w:val="00C401D2"/>
    <w:rsid w:val="00C401DA"/>
    <w:rsid w:val="00C4031A"/>
    <w:rsid w:val="00C405D4"/>
    <w:rsid w:val="00C408AE"/>
    <w:rsid w:val="00C419D5"/>
    <w:rsid w:val="00C41D54"/>
    <w:rsid w:val="00C41F2C"/>
    <w:rsid w:val="00C42EBB"/>
    <w:rsid w:val="00C431E3"/>
    <w:rsid w:val="00C435E8"/>
    <w:rsid w:val="00C4362A"/>
    <w:rsid w:val="00C4513B"/>
    <w:rsid w:val="00C45502"/>
    <w:rsid w:val="00C46517"/>
    <w:rsid w:val="00C46769"/>
    <w:rsid w:val="00C4755A"/>
    <w:rsid w:val="00C475E8"/>
    <w:rsid w:val="00C50A88"/>
    <w:rsid w:val="00C50B73"/>
    <w:rsid w:val="00C50E79"/>
    <w:rsid w:val="00C5197D"/>
    <w:rsid w:val="00C52250"/>
    <w:rsid w:val="00C525FB"/>
    <w:rsid w:val="00C527AD"/>
    <w:rsid w:val="00C53239"/>
    <w:rsid w:val="00C5390B"/>
    <w:rsid w:val="00C53C9F"/>
    <w:rsid w:val="00C54257"/>
    <w:rsid w:val="00C54697"/>
    <w:rsid w:val="00C550CE"/>
    <w:rsid w:val="00C55344"/>
    <w:rsid w:val="00C553A5"/>
    <w:rsid w:val="00C55402"/>
    <w:rsid w:val="00C55B08"/>
    <w:rsid w:val="00C55E3B"/>
    <w:rsid w:val="00C5603B"/>
    <w:rsid w:val="00C6020C"/>
    <w:rsid w:val="00C60AE3"/>
    <w:rsid w:val="00C60C19"/>
    <w:rsid w:val="00C61F47"/>
    <w:rsid w:val="00C62828"/>
    <w:rsid w:val="00C631B2"/>
    <w:rsid w:val="00C63DD1"/>
    <w:rsid w:val="00C64454"/>
    <w:rsid w:val="00C645CD"/>
    <w:rsid w:val="00C6479C"/>
    <w:rsid w:val="00C655DA"/>
    <w:rsid w:val="00C672C1"/>
    <w:rsid w:val="00C67D88"/>
    <w:rsid w:val="00C706D2"/>
    <w:rsid w:val="00C7090E"/>
    <w:rsid w:val="00C715CC"/>
    <w:rsid w:val="00C719A3"/>
    <w:rsid w:val="00C71D2F"/>
    <w:rsid w:val="00C72227"/>
    <w:rsid w:val="00C72984"/>
    <w:rsid w:val="00C72C99"/>
    <w:rsid w:val="00C73885"/>
    <w:rsid w:val="00C73C93"/>
    <w:rsid w:val="00C741EF"/>
    <w:rsid w:val="00C7435A"/>
    <w:rsid w:val="00C747B1"/>
    <w:rsid w:val="00C74CEA"/>
    <w:rsid w:val="00C75110"/>
    <w:rsid w:val="00C75510"/>
    <w:rsid w:val="00C755F9"/>
    <w:rsid w:val="00C75752"/>
    <w:rsid w:val="00C75B60"/>
    <w:rsid w:val="00C761EC"/>
    <w:rsid w:val="00C770C9"/>
    <w:rsid w:val="00C8019E"/>
    <w:rsid w:val="00C81070"/>
    <w:rsid w:val="00C81259"/>
    <w:rsid w:val="00C8174E"/>
    <w:rsid w:val="00C82191"/>
    <w:rsid w:val="00C830D3"/>
    <w:rsid w:val="00C83134"/>
    <w:rsid w:val="00C831E7"/>
    <w:rsid w:val="00C832F3"/>
    <w:rsid w:val="00C83B4C"/>
    <w:rsid w:val="00C84307"/>
    <w:rsid w:val="00C845A4"/>
    <w:rsid w:val="00C85545"/>
    <w:rsid w:val="00C855B5"/>
    <w:rsid w:val="00C85C86"/>
    <w:rsid w:val="00C85F0E"/>
    <w:rsid w:val="00C867F9"/>
    <w:rsid w:val="00C872AA"/>
    <w:rsid w:val="00C873F3"/>
    <w:rsid w:val="00C875BD"/>
    <w:rsid w:val="00C87C6B"/>
    <w:rsid w:val="00C90357"/>
    <w:rsid w:val="00C9063B"/>
    <w:rsid w:val="00C90CF4"/>
    <w:rsid w:val="00C917A7"/>
    <w:rsid w:val="00C91C20"/>
    <w:rsid w:val="00C922DE"/>
    <w:rsid w:val="00C92843"/>
    <w:rsid w:val="00C929FE"/>
    <w:rsid w:val="00C92EB6"/>
    <w:rsid w:val="00C9300A"/>
    <w:rsid w:val="00C93389"/>
    <w:rsid w:val="00C948E6"/>
    <w:rsid w:val="00C94CDD"/>
    <w:rsid w:val="00C95123"/>
    <w:rsid w:val="00C95DA9"/>
    <w:rsid w:val="00C96A7B"/>
    <w:rsid w:val="00C96EF5"/>
    <w:rsid w:val="00C97588"/>
    <w:rsid w:val="00C97E0D"/>
    <w:rsid w:val="00CA0346"/>
    <w:rsid w:val="00CA073C"/>
    <w:rsid w:val="00CA09F3"/>
    <w:rsid w:val="00CA0BD5"/>
    <w:rsid w:val="00CA0DA1"/>
    <w:rsid w:val="00CA12D2"/>
    <w:rsid w:val="00CA1A21"/>
    <w:rsid w:val="00CA1BD6"/>
    <w:rsid w:val="00CA2EF5"/>
    <w:rsid w:val="00CA37FF"/>
    <w:rsid w:val="00CA423A"/>
    <w:rsid w:val="00CA47BC"/>
    <w:rsid w:val="00CA4B39"/>
    <w:rsid w:val="00CA557E"/>
    <w:rsid w:val="00CA5EAD"/>
    <w:rsid w:val="00CA6AB4"/>
    <w:rsid w:val="00CA7255"/>
    <w:rsid w:val="00CA752E"/>
    <w:rsid w:val="00CA79E2"/>
    <w:rsid w:val="00CA7D68"/>
    <w:rsid w:val="00CB111E"/>
    <w:rsid w:val="00CB1BEE"/>
    <w:rsid w:val="00CB2224"/>
    <w:rsid w:val="00CB2351"/>
    <w:rsid w:val="00CB3605"/>
    <w:rsid w:val="00CB3FC8"/>
    <w:rsid w:val="00CB4022"/>
    <w:rsid w:val="00CB4257"/>
    <w:rsid w:val="00CB4930"/>
    <w:rsid w:val="00CB4BA9"/>
    <w:rsid w:val="00CB4C48"/>
    <w:rsid w:val="00CB4C63"/>
    <w:rsid w:val="00CB5398"/>
    <w:rsid w:val="00CB57F9"/>
    <w:rsid w:val="00CB5895"/>
    <w:rsid w:val="00CB5A48"/>
    <w:rsid w:val="00CB5E10"/>
    <w:rsid w:val="00CB5E2E"/>
    <w:rsid w:val="00CB613B"/>
    <w:rsid w:val="00CB6152"/>
    <w:rsid w:val="00CB61FC"/>
    <w:rsid w:val="00CB63BE"/>
    <w:rsid w:val="00CB64E1"/>
    <w:rsid w:val="00CB6C6F"/>
    <w:rsid w:val="00CB6E4D"/>
    <w:rsid w:val="00CB7495"/>
    <w:rsid w:val="00CB76F1"/>
    <w:rsid w:val="00CC009B"/>
    <w:rsid w:val="00CC0156"/>
    <w:rsid w:val="00CC0834"/>
    <w:rsid w:val="00CC0AEA"/>
    <w:rsid w:val="00CC12C7"/>
    <w:rsid w:val="00CC1901"/>
    <w:rsid w:val="00CC1DF8"/>
    <w:rsid w:val="00CC20FE"/>
    <w:rsid w:val="00CC225C"/>
    <w:rsid w:val="00CC2342"/>
    <w:rsid w:val="00CC2E7D"/>
    <w:rsid w:val="00CC433B"/>
    <w:rsid w:val="00CC469E"/>
    <w:rsid w:val="00CC5BE8"/>
    <w:rsid w:val="00CC612B"/>
    <w:rsid w:val="00CC6145"/>
    <w:rsid w:val="00CC655F"/>
    <w:rsid w:val="00CC65EC"/>
    <w:rsid w:val="00CC66F9"/>
    <w:rsid w:val="00CC6C2A"/>
    <w:rsid w:val="00CC6F4D"/>
    <w:rsid w:val="00CC6F84"/>
    <w:rsid w:val="00CC6FE5"/>
    <w:rsid w:val="00CC7458"/>
    <w:rsid w:val="00CC76BD"/>
    <w:rsid w:val="00CC7A87"/>
    <w:rsid w:val="00CC7F1E"/>
    <w:rsid w:val="00CD08BF"/>
    <w:rsid w:val="00CD0D6B"/>
    <w:rsid w:val="00CD0F7F"/>
    <w:rsid w:val="00CD1060"/>
    <w:rsid w:val="00CD10A5"/>
    <w:rsid w:val="00CD1129"/>
    <w:rsid w:val="00CD1388"/>
    <w:rsid w:val="00CD1A80"/>
    <w:rsid w:val="00CD1CB5"/>
    <w:rsid w:val="00CD1E14"/>
    <w:rsid w:val="00CD2076"/>
    <w:rsid w:val="00CD24B5"/>
    <w:rsid w:val="00CD24CE"/>
    <w:rsid w:val="00CD29B5"/>
    <w:rsid w:val="00CD2B78"/>
    <w:rsid w:val="00CD3866"/>
    <w:rsid w:val="00CD3FAB"/>
    <w:rsid w:val="00CD5456"/>
    <w:rsid w:val="00CD5C3E"/>
    <w:rsid w:val="00CD5C57"/>
    <w:rsid w:val="00CD5CC4"/>
    <w:rsid w:val="00CD5F0F"/>
    <w:rsid w:val="00CD6331"/>
    <w:rsid w:val="00CD636A"/>
    <w:rsid w:val="00CD6AD0"/>
    <w:rsid w:val="00CD79E0"/>
    <w:rsid w:val="00CD7E9E"/>
    <w:rsid w:val="00CE0AB1"/>
    <w:rsid w:val="00CE14BE"/>
    <w:rsid w:val="00CE150B"/>
    <w:rsid w:val="00CE17A4"/>
    <w:rsid w:val="00CE1BA9"/>
    <w:rsid w:val="00CE2D8F"/>
    <w:rsid w:val="00CE3532"/>
    <w:rsid w:val="00CE3BA9"/>
    <w:rsid w:val="00CE3C09"/>
    <w:rsid w:val="00CE3E48"/>
    <w:rsid w:val="00CE46C0"/>
    <w:rsid w:val="00CE47B8"/>
    <w:rsid w:val="00CE4F32"/>
    <w:rsid w:val="00CE54FD"/>
    <w:rsid w:val="00CE5C92"/>
    <w:rsid w:val="00CE5E12"/>
    <w:rsid w:val="00CE62FA"/>
    <w:rsid w:val="00CE670B"/>
    <w:rsid w:val="00CE6833"/>
    <w:rsid w:val="00CE7562"/>
    <w:rsid w:val="00CF020B"/>
    <w:rsid w:val="00CF074A"/>
    <w:rsid w:val="00CF0E03"/>
    <w:rsid w:val="00CF15BF"/>
    <w:rsid w:val="00CF2E4D"/>
    <w:rsid w:val="00CF35A7"/>
    <w:rsid w:val="00CF3B83"/>
    <w:rsid w:val="00CF4205"/>
    <w:rsid w:val="00CF4367"/>
    <w:rsid w:val="00CF4908"/>
    <w:rsid w:val="00CF4B5B"/>
    <w:rsid w:val="00CF4D64"/>
    <w:rsid w:val="00CF51EC"/>
    <w:rsid w:val="00CF545D"/>
    <w:rsid w:val="00CF5873"/>
    <w:rsid w:val="00CF626D"/>
    <w:rsid w:val="00CF6AB7"/>
    <w:rsid w:val="00CF6E87"/>
    <w:rsid w:val="00CF73AE"/>
    <w:rsid w:val="00CF7777"/>
    <w:rsid w:val="00CF7BCB"/>
    <w:rsid w:val="00D003BD"/>
    <w:rsid w:val="00D0085A"/>
    <w:rsid w:val="00D0197F"/>
    <w:rsid w:val="00D01B31"/>
    <w:rsid w:val="00D0220F"/>
    <w:rsid w:val="00D0242D"/>
    <w:rsid w:val="00D026A8"/>
    <w:rsid w:val="00D02716"/>
    <w:rsid w:val="00D02CFF"/>
    <w:rsid w:val="00D03A72"/>
    <w:rsid w:val="00D040DD"/>
    <w:rsid w:val="00D0410D"/>
    <w:rsid w:val="00D04134"/>
    <w:rsid w:val="00D0544B"/>
    <w:rsid w:val="00D05C65"/>
    <w:rsid w:val="00D06884"/>
    <w:rsid w:val="00D0694C"/>
    <w:rsid w:val="00D06B56"/>
    <w:rsid w:val="00D06D68"/>
    <w:rsid w:val="00D075BE"/>
    <w:rsid w:val="00D07AFF"/>
    <w:rsid w:val="00D07CC2"/>
    <w:rsid w:val="00D105FD"/>
    <w:rsid w:val="00D10C15"/>
    <w:rsid w:val="00D11011"/>
    <w:rsid w:val="00D112D2"/>
    <w:rsid w:val="00D11476"/>
    <w:rsid w:val="00D12029"/>
    <w:rsid w:val="00D120BD"/>
    <w:rsid w:val="00D1276D"/>
    <w:rsid w:val="00D12C25"/>
    <w:rsid w:val="00D12FCD"/>
    <w:rsid w:val="00D133B4"/>
    <w:rsid w:val="00D13986"/>
    <w:rsid w:val="00D13F3E"/>
    <w:rsid w:val="00D1464E"/>
    <w:rsid w:val="00D14AF3"/>
    <w:rsid w:val="00D14AF9"/>
    <w:rsid w:val="00D14C5B"/>
    <w:rsid w:val="00D15468"/>
    <w:rsid w:val="00D15D3A"/>
    <w:rsid w:val="00D15FED"/>
    <w:rsid w:val="00D16712"/>
    <w:rsid w:val="00D16EF9"/>
    <w:rsid w:val="00D174E0"/>
    <w:rsid w:val="00D17AD2"/>
    <w:rsid w:val="00D17B4D"/>
    <w:rsid w:val="00D214EF"/>
    <w:rsid w:val="00D215B0"/>
    <w:rsid w:val="00D2192C"/>
    <w:rsid w:val="00D21B36"/>
    <w:rsid w:val="00D21D6D"/>
    <w:rsid w:val="00D21D83"/>
    <w:rsid w:val="00D2243B"/>
    <w:rsid w:val="00D22A03"/>
    <w:rsid w:val="00D22A47"/>
    <w:rsid w:val="00D235B7"/>
    <w:rsid w:val="00D23A99"/>
    <w:rsid w:val="00D23B39"/>
    <w:rsid w:val="00D23EA4"/>
    <w:rsid w:val="00D23FAE"/>
    <w:rsid w:val="00D250EB"/>
    <w:rsid w:val="00D25F28"/>
    <w:rsid w:val="00D25FDC"/>
    <w:rsid w:val="00D26071"/>
    <w:rsid w:val="00D260B0"/>
    <w:rsid w:val="00D260C7"/>
    <w:rsid w:val="00D26133"/>
    <w:rsid w:val="00D2628C"/>
    <w:rsid w:val="00D269B9"/>
    <w:rsid w:val="00D27973"/>
    <w:rsid w:val="00D27B07"/>
    <w:rsid w:val="00D27F07"/>
    <w:rsid w:val="00D27F3A"/>
    <w:rsid w:val="00D31537"/>
    <w:rsid w:val="00D31E1E"/>
    <w:rsid w:val="00D322A0"/>
    <w:rsid w:val="00D32824"/>
    <w:rsid w:val="00D32C69"/>
    <w:rsid w:val="00D3300D"/>
    <w:rsid w:val="00D33297"/>
    <w:rsid w:val="00D333A3"/>
    <w:rsid w:val="00D334E2"/>
    <w:rsid w:val="00D335E5"/>
    <w:rsid w:val="00D33EE0"/>
    <w:rsid w:val="00D348FD"/>
    <w:rsid w:val="00D350B1"/>
    <w:rsid w:val="00D35AD6"/>
    <w:rsid w:val="00D35B69"/>
    <w:rsid w:val="00D35BBB"/>
    <w:rsid w:val="00D35E1A"/>
    <w:rsid w:val="00D362B1"/>
    <w:rsid w:val="00D36779"/>
    <w:rsid w:val="00D36B0A"/>
    <w:rsid w:val="00D36DFB"/>
    <w:rsid w:val="00D36E1C"/>
    <w:rsid w:val="00D3722F"/>
    <w:rsid w:val="00D372D7"/>
    <w:rsid w:val="00D373AF"/>
    <w:rsid w:val="00D37DBD"/>
    <w:rsid w:val="00D40162"/>
    <w:rsid w:val="00D40441"/>
    <w:rsid w:val="00D40556"/>
    <w:rsid w:val="00D40E1F"/>
    <w:rsid w:val="00D41495"/>
    <w:rsid w:val="00D418E9"/>
    <w:rsid w:val="00D41BCD"/>
    <w:rsid w:val="00D41F74"/>
    <w:rsid w:val="00D42399"/>
    <w:rsid w:val="00D428C8"/>
    <w:rsid w:val="00D43034"/>
    <w:rsid w:val="00D43D3C"/>
    <w:rsid w:val="00D43ED2"/>
    <w:rsid w:val="00D4653E"/>
    <w:rsid w:val="00D46F11"/>
    <w:rsid w:val="00D47806"/>
    <w:rsid w:val="00D47A67"/>
    <w:rsid w:val="00D47C12"/>
    <w:rsid w:val="00D47C4E"/>
    <w:rsid w:val="00D50016"/>
    <w:rsid w:val="00D50A79"/>
    <w:rsid w:val="00D50F46"/>
    <w:rsid w:val="00D51FA0"/>
    <w:rsid w:val="00D5302A"/>
    <w:rsid w:val="00D531F2"/>
    <w:rsid w:val="00D533C4"/>
    <w:rsid w:val="00D5384E"/>
    <w:rsid w:val="00D544E7"/>
    <w:rsid w:val="00D5499F"/>
    <w:rsid w:val="00D55602"/>
    <w:rsid w:val="00D5560A"/>
    <w:rsid w:val="00D56250"/>
    <w:rsid w:val="00D56892"/>
    <w:rsid w:val="00D56EE1"/>
    <w:rsid w:val="00D56FBF"/>
    <w:rsid w:val="00D57129"/>
    <w:rsid w:val="00D57677"/>
    <w:rsid w:val="00D5781F"/>
    <w:rsid w:val="00D579B2"/>
    <w:rsid w:val="00D60415"/>
    <w:rsid w:val="00D60515"/>
    <w:rsid w:val="00D60D0C"/>
    <w:rsid w:val="00D60DAE"/>
    <w:rsid w:val="00D60E3C"/>
    <w:rsid w:val="00D60FA7"/>
    <w:rsid w:val="00D612BF"/>
    <w:rsid w:val="00D61332"/>
    <w:rsid w:val="00D61FAB"/>
    <w:rsid w:val="00D62180"/>
    <w:rsid w:val="00D625DF"/>
    <w:rsid w:val="00D629FA"/>
    <w:rsid w:val="00D62C4E"/>
    <w:rsid w:val="00D62FE9"/>
    <w:rsid w:val="00D63947"/>
    <w:rsid w:val="00D63BE5"/>
    <w:rsid w:val="00D6475F"/>
    <w:rsid w:val="00D650A2"/>
    <w:rsid w:val="00D652EB"/>
    <w:rsid w:val="00D655D4"/>
    <w:rsid w:val="00D661A0"/>
    <w:rsid w:val="00D66223"/>
    <w:rsid w:val="00D667B8"/>
    <w:rsid w:val="00D66CCD"/>
    <w:rsid w:val="00D677BC"/>
    <w:rsid w:val="00D679AE"/>
    <w:rsid w:val="00D67D55"/>
    <w:rsid w:val="00D70130"/>
    <w:rsid w:val="00D70289"/>
    <w:rsid w:val="00D7041F"/>
    <w:rsid w:val="00D70822"/>
    <w:rsid w:val="00D708E1"/>
    <w:rsid w:val="00D71B96"/>
    <w:rsid w:val="00D71E35"/>
    <w:rsid w:val="00D72076"/>
    <w:rsid w:val="00D721B4"/>
    <w:rsid w:val="00D726A9"/>
    <w:rsid w:val="00D72986"/>
    <w:rsid w:val="00D72C66"/>
    <w:rsid w:val="00D72DBA"/>
    <w:rsid w:val="00D743E0"/>
    <w:rsid w:val="00D74667"/>
    <w:rsid w:val="00D7469D"/>
    <w:rsid w:val="00D7490C"/>
    <w:rsid w:val="00D74F03"/>
    <w:rsid w:val="00D756D1"/>
    <w:rsid w:val="00D75AC1"/>
    <w:rsid w:val="00D763CF"/>
    <w:rsid w:val="00D77252"/>
    <w:rsid w:val="00D80129"/>
    <w:rsid w:val="00D8084C"/>
    <w:rsid w:val="00D8088C"/>
    <w:rsid w:val="00D8125F"/>
    <w:rsid w:val="00D81809"/>
    <w:rsid w:val="00D8210B"/>
    <w:rsid w:val="00D82EF1"/>
    <w:rsid w:val="00D84470"/>
    <w:rsid w:val="00D84CC9"/>
    <w:rsid w:val="00D84F3F"/>
    <w:rsid w:val="00D84F43"/>
    <w:rsid w:val="00D85114"/>
    <w:rsid w:val="00D85821"/>
    <w:rsid w:val="00D8598C"/>
    <w:rsid w:val="00D85BF3"/>
    <w:rsid w:val="00D861DB"/>
    <w:rsid w:val="00D8755D"/>
    <w:rsid w:val="00D87793"/>
    <w:rsid w:val="00D87AC8"/>
    <w:rsid w:val="00D87C06"/>
    <w:rsid w:val="00D90924"/>
    <w:rsid w:val="00D90DF2"/>
    <w:rsid w:val="00D91271"/>
    <w:rsid w:val="00D915EA"/>
    <w:rsid w:val="00D919ED"/>
    <w:rsid w:val="00D922A1"/>
    <w:rsid w:val="00D928BE"/>
    <w:rsid w:val="00D92CD7"/>
    <w:rsid w:val="00D932B8"/>
    <w:rsid w:val="00D932F0"/>
    <w:rsid w:val="00D936C6"/>
    <w:rsid w:val="00D93CDB"/>
    <w:rsid w:val="00D93E70"/>
    <w:rsid w:val="00D95302"/>
    <w:rsid w:val="00D95889"/>
    <w:rsid w:val="00D95C5D"/>
    <w:rsid w:val="00D95CBE"/>
    <w:rsid w:val="00D95E17"/>
    <w:rsid w:val="00D95E7F"/>
    <w:rsid w:val="00D96FA4"/>
    <w:rsid w:val="00D97BD8"/>
    <w:rsid w:val="00D97D00"/>
    <w:rsid w:val="00D97DD2"/>
    <w:rsid w:val="00DA0121"/>
    <w:rsid w:val="00DA096C"/>
    <w:rsid w:val="00DA1AB6"/>
    <w:rsid w:val="00DA2E65"/>
    <w:rsid w:val="00DA3479"/>
    <w:rsid w:val="00DA37DE"/>
    <w:rsid w:val="00DA3ADF"/>
    <w:rsid w:val="00DA3CEF"/>
    <w:rsid w:val="00DA4174"/>
    <w:rsid w:val="00DA4FA8"/>
    <w:rsid w:val="00DA544C"/>
    <w:rsid w:val="00DA5F8E"/>
    <w:rsid w:val="00DA6364"/>
    <w:rsid w:val="00DA656E"/>
    <w:rsid w:val="00DA7114"/>
    <w:rsid w:val="00DA7BC3"/>
    <w:rsid w:val="00DA7C0C"/>
    <w:rsid w:val="00DA7E2F"/>
    <w:rsid w:val="00DB03DD"/>
    <w:rsid w:val="00DB05B4"/>
    <w:rsid w:val="00DB08A9"/>
    <w:rsid w:val="00DB0B33"/>
    <w:rsid w:val="00DB0EBD"/>
    <w:rsid w:val="00DB0FD9"/>
    <w:rsid w:val="00DB1273"/>
    <w:rsid w:val="00DB13EF"/>
    <w:rsid w:val="00DB2DFA"/>
    <w:rsid w:val="00DB2EC8"/>
    <w:rsid w:val="00DB321D"/>
    <w:rsid w:val="00DB459B"/>
    <w:rsid w:val="00DB46D6"/>
    <w:rsid w:val="00DB47FD"/>
    <w:rsid w:val="00DB56F9"/>
    <w:rsid w:val="00DB5E3A"/>
    <w:rsid w:val="00DB5E9A"/>
    <w:rsid w:val="00DB613B"/>
    <w:rsid w:val="00DB657E"/>
    <w:rsid w:val="00DB6604"/>
    <w:rsid w:val="00DB699D"/>
    <w:rsid w:val="00DB7093"/>
    <w:rsid w:val="00DB7342"/>
    <w:rsid w:val="00DB7489"/>
    <w:rsid w:val="00DB74D3"/>
    <w:rsid w:val="00DB76E7"/>
    <w:rsid w:val="00DC07DB"/>
    <w:rsid w:val="00DC0B4D"/>
    <w:rsid w:val="00DC0CBB"/>
    <w:rsid w:val="00DC0DCD"/>
    <w:rsid w:val="00DC17D0"/>
    <w:rsid w:val="00DC1E5D"/>
    <w:rsid w:val="00DC24EE"/>
    <w:rsid w:val="00DC25C7"/>
    <w:rsid w:val="00DC2B41"/>
    <w:rsid w:val="00DC2BF2"/>
    <w:rsid w:val="00DC2EA7"/>
    <w:rsid w:val="00DC3128"/>
    <w:rsid w:val="00DC3A96"/>
    <w:rsid w:val="00DC3E4E"/>
    <w:rsid w:val="00DC435B"/>
    <w:rsid w:val="00DC4A76"/>
    <w:rsid w:val="00DC4AC4"/>
    <w:rsid w:val="00DC53D8"/>
    <w:rsid w:val="00DC56FE"/>
    <w:rsid w:val="00DC5B3B"/>
    <w:rsid w:val="00DC5E13"/>
    <w:rsid w:val="00DC5F11"/>
    <w:rsid w:val="00DC6C2D"/>
    <w:rsid w:val="00DC744D"/>
    <w:rsid w:val="00DC7B1A"/>
    <w:rsid w:val="00DC7DC1"/>
    <w:rsid w:val="00DD01BD"/>
    <w:rsid w:val="00DD04B0"/>
    <w:rsid w:val="00DD0A53"/>
    <w:rsid w:val="00DD129F"/>
    <w:rsid w:val="00DD13FC"/>
    <w:rsid w:val="00DD1A3F"/>
    <w:rsid w:val="00DD29B5"/>
    <w:rsid w:val="00DD32DD"/>
    <w:rsid w:val="00DD33E8"/>
    <w:rsid w:val="00DD4BC8"/>
    <w:rsid w:val="00DD4EFD"/>
    <w:rsid w:val="00DD5287"/>
    <w:rsid w:val="00DD54CD"/>
    <w:rsid w:val="00DD5688"/>
    <w:rsid w:val="00DD58E5"/>
    <w:rsid w:val="00DD5B36"/>
    <w:rsid w:val="00DD6230"/>
    <w:rsid w:val="00DD64A4"/>
    <w:rsid w:val="00DD6D61"/>
    <w:rsid w:val="00DD6E6B"/>
    <w:rsid w:val="00DD7849"/>
    <w:rsid w:val="00DD7D30"/>
    <w:rsid w:val="00DE03DE"/>
    <w:rsid w:val="00DE0453"/>
    <w:rsid w:val="00DE0D8B"/>
    <w:rsid w:val="00DE1237"/>
    <w:rsid w:val="00DE1346"/>
    <w:rsid w:val="00DE140F"/>
    <w:rsid w:val="00DE17E9"/>
    <w:rsid w:val="00DE1A4A"/>
    <w:rsid w:val="00DE1A98"/>
    <w:rsid w:val="00DE1FC3"/>
    <w:rsid w:val="00DE2491"/>
    <w:rsid w:val="00DE273F"/>
    <w:rsid w:val="00DE27CD"/>
    <w:rsid w:val="00DE3231"/>
    <w:rsid w:val="00DE3E22"/>
    <w:rsid w:val="00DE3E5D"/>
    <w:rsid w:val="00DE450F"/>
    <w:rsid w:val="00DE45A0"/>
    <w:rsid w:val="00DE4865"/>
    <w:rsid w:val="00DE4882"/>
    <w:rsid w:val="00DE513B"/>
    <w:rsid w:val="00DE5CA6"/>
    <w:rsid w:val="00DE5E55"/>
    <w:rsid w:val="00DE6209"/>
    <w:rsid w:val="00DE63AE"/>
    <w:rsid w:val="00DE7156"/>
    <w:rsid w:val="00DE7AC8"/>
    <w:rsid w:val="00DF0830"/>
    <w:rsid w:val="00DF18D0"/>
    <w:rsid w:val="00DF2814"/>
    <w:rsid w:val="00DF29E5"/>
    <w:rsid w:val="00DF2C5D"/>
    <w:rsid w:val="00DF2CD3"/>
    <w:rsid w:val="00DF3643"/>
    <w:rsid w:val="00DF3702"/>
    <w:rsid w:val="00DF3C29"/>
    <w:rsid w:val="00DF42FF"/>
    <w:rsid w:val="00DF4369"/>
    <w:rsid w:val="00DF4423"/>
    <w:rsid w:val="00DF47E2"/>
    <w:rsid w:val="00DF497B"/>
    <w:rsid w:val="00DF4ADF"/>
    <w:rsid w:val="00DF5317"/>
    <w:rsid w:val="00DF57D6"/>
    <w:rsid w:val="00DF5D1E"/>
    <w:rsid w:val="00DF7501"/>
    <w:rsid w:val="00DF77E4"/>
    <w:rsid w:val="00DF7F88"/>
    <w:rsid w:val="00E000C0"/>
    <w:rsid w:val="00E005AD"/>
    <w:rsid w:val="00E00B88"/>
    <w:rsid w:val="00E01C0E"/>
    <w:rsid w:val="00E01DBF"/>
    <w:rsid w:val="00E02027"/>
    <w:rsid w:val="00E031C0"/>
    <w:rsid w:val="00E0368F"/>
    <w:rsid w:val="00E03778"/>
    <w:rsid w:val="00E03A92"/>
    <w:rsid w:val="00E03D73"/>
    <w:rsid w:val="00E03F9A"/>
    <w:rsid w:val="00E040A9"/>
    <w:rsid w:val="00E040DA"/>
    <w:rsid w:val="00E04694"/>
    <w:rsid w:val="00E04DDA"/>
    <w:rsid w:val="00E05333"/>
    <w:rsid w:val="00E05CB1"/>
    <w:rsid w:val="00E064FF"/>
    <w:rsid w:val="00E0660F"/>
    <w:rsid w:val="00E07A69"/>
    <w:rsid w:val="00E10898"/>
    <w:rsid w:val="00E11682"/>
    <w:rsid w:val="00E1168B"/>
    <w:rsid w:val="00E11B09"/>
    <w:rsid w:val="00E12191"/>
    <w:rsid w:val="00E129E7"/>
    <w:rsid w:val="00E12AB3"/>
    <w:rsid w:val="00E12ABE"/>
    <w:rsid w:val="00E12B1E"/>
    <w:rsid w:val="00E12B8A"/>
    <w:rsid w:val="00E135EB"/>
    <w:rsid w:val="00E13995"/>
    <w:rsid w:val="00E13DE7"/>
    <w:rsid w:val="00E13E90"/>
    <w:rsid w:val="00E14333"/>
    <w:rsid w:val="00E1444C"/>
    <w:rsid w:val="00E15065"/>
    <w:rsid w:val="00E155BB"/>
    <w:rsid w:val="00E159C6"/>
    <w:rsid w:val="00E16D15"/>
    <w:rsid w:val="00E17262"/>
    <w:rsid w:val="00E173A7"/>
    <w:rsid w:val="00E173F2"/>
    <w:rsid w:val="00E17611"/>
    <w:rsid w:val="00E17F36"/>
    <w:rsid w:val="00E20016"/>
    <w:rsid w:val="00E20064"/>
    <w:rsid w:val="00E2009B"/>
    <w:rsid w:val="00E2039D"/>
    <w:rsid w:val="00E2039E"/>
    <w:rsid w:val="00E2077A"/>
    <w:rsid w:val="00E20BB9"/>
    <w:rsid w:val="00E20BCC"/>
    <w:rsid w:val="00E210D8"/>
    <w:rsid w:val="00E21CA5"/>
    <w:rsid w:val="00E2251C"/>
    <w:rsid w:val="00E23134"/>
    <w:rsid w:val="00E232E0"/>
    <w:rsid w:val="00E2363D"/>
    <w:rsid w:val="00E23C6A"/>
    <w:rsid w:val="00E24411"/>
    <w:rsid w:val="00E24805"/>
    <w:rsid w:val="00E2484B"/>
    <w:rsid w:val="00E253A2"/>
    <w:rsid w:val="00E25943"/>
    <w:rsid w:val="00E260F6"/>
    <w:rsid w:val="00E26A73"/>
    <w:rsid w:val="00E27127"/>
    <w:rsid w:val="00E27233"/>
    <w:rsid w:val="00E274BB"/>
    <w:rsid w:val="00E27AFE"/>
    <w:rsid w:val="00E27F48"/>
    <w:rsid w:val="00E30279"/>
    <w:rsid w:val="00E30F15"/>
    <w:rsid w:val="00E31771"/>
    <w:rsid w:val="00E3186D"/>
    <w:rsid w:val="00E31A3E"/>
    <w:rsid w:val="00E31A84"/>
    <w:rsid w:val="00E32080"/>
    <w:rsid w:val="00E32778"/>
    <w:rsid w:val="00E32DD9"/>
    <w:rsid w:val="00E3309D"/>
    <w:rsid w:val="00E332CF"/>
    <w:rsid w:val="00E333C5"/>
    <w:rsid w:val="00E337F0"/>
    <w:rsid w:val="00E3384A"/>
    <w:rsid w:val="00E34CA5"/>
    <w:rsid w:val="00E34DA9"/>
    <w:rsid w:val="00E34E3F"/>
    <w:rsid w:val="00E350B1"/>
    <w:rsid w:val="00E35A53"/>
    <w:rsid w:val="00E35C5E"/>
    <w:rsid w:val="00E3621D"/>
    <w:rsid w:val="00E3634A"/>
    <w:rsid w:val="00E3656B"/>
    <w:rsid w:val="00E37097"/>
    <w:rsid w:val="00E3712B"/>
    <w:rsid w:val="00E3724A"/>
    <w:rsid w:val="00E37801"/>
    <w:rsid w:val="00E378B1"/>
    <w:rsid w:val="00E41131"/>
    <w:rsid w:val="00E41179"/>
    <w:rsid w:val="00E417BE"/>
    <w:rsid w:val="00E41A3F"/>
    <w:rsid w:val="00E41CD5"/>
    <w:rsid w:val="00E41F01"/>
    <w:rsid w:val="00E42054"/>
    <w:rsid w:val="00E425BA"/>
    <w:rsid w:val="00E4372D"/>
    <w:rsid w:val="00E43A9E"/>
    <w:rsid w:val="00E43E06"/>
    <w:rsid w:val="00E44243"/>
    <w:rsid w:val="00E445D7"/>
    <w:rsid w:val="00E44908"/>
    <w:rsid w:val="00E453F9"/>
    <w:rsid w:val="00E455A7"/>
    <w:rsid w:val="00E45D7D"/>
    <w:rsid w:val="00E46090"/>
    <w:rsid w:val="00E4623F"/>
    <w:rsid w:val="00E4665D"/>
    <w:rsid w:val="00E47854"/>
    <w:rsid w:val="00E478E2"/>
    <w:rsid w:val="00E47A7C"/>
    <w:rsid w:val="00E47EBA"/>
    <w:rsid w:val="00E50156"/>
    <w:rsid w:val="00E504EB"/>
    <w:rsid w:val="00E5076C"/>
    <w:rsid w:val="00E50D2E"/>
    <w:rsid w:val="00E50D7D"/>
    <w:rsid w:val="00E51EF0"/>
    <w:rsid w:val="00E51F14"/>
    <w:rsid w:val="00E53470"/>
    <w:rsid w:val="00E5368D"/>
    <w:rsid w:val="00E539F6"/>
    <w:rsid w:val="00E54503"/>
    <w:rsid w:val="00E54698"/>
    <w:rsid w:val="00E54BE9"/>
    <w:rsid w:val="00E54D22"/>
    <w:rsid w:val="00E54FB4"/>
    <w:rsid w:val="00E5539A"/>
    <w:rsid w:val="00E55482"/>
    <w:rsid w:val="00E55791"/>
    <w:rsid w:val="00E559DE"/>
    <w:rsid w:val="00E55DE0"/>
    <w:rsid w:val="00E55E1A"/>
    <w:rsid w:val="00E56222"/>
    <w:rsid w:val="00E56F48"/>
    <w:rsid w:val="00E56F7E"/>
    <w:rsid w:val="00E577C5"/>
    <w:rsid w:val="00E578A2"/>
    <w:rsid w:val="00E579ED"/>
    <w:rsid w:val="00E60043"/>
    <w:rsid w:val="00E60463"/>
    <w:rsid w:val="00E60C6A"/>
    <w:rsid w:val="00E61740"/>
    <w:rsid w:val="00E61C16"/>
    <w:rsid w:val="00E61EB5"/>
    <w:rsid w:val="00E63031"/>
    <w:rsid w:val="00E6312E"/>
    <w:rsid w:val="00E63157"/>
    <w:rsid w:val="00E6324D"/>
    <w:rsid w:val="00E63B6E"/>
    <w:rsid w:val="00E647C1"/>
    <w:rsid w:val="00E64893"/>
    <w:rsid w:val="00E65084"/>
    <w:rsid w:val="00E6519D"/>
    <w:rsid w:val="00E65320"/>
    <w:rsid w:val="00E65A4D"/>
    <w:rsid w:val="00E66062"/>
    <w:rsid w:val="00E662B7"/>
    <w:rsid w:val="00E6660E"/>
    <w:rsid w:val="00E66634"/>
    <w:rsid w:val="00E66768"/>
    <w:rsid w:val="00E669D7"/>
    <w:rsid w:val="00E67305"/>
    <w:rsid w:val="00E67696"/>
    <w:rsid w:val="00E7024B"/>
    <w:rsid w:val="00E70812"/>
    <w:rsid w:val="00E709AF"/>
    <w:rsid w:val="00E70C5F"/>
    <w:rsid w:val="00E71A3C"/>
    <w:rsid w:val="00E71A58"/>
    <w:rsid w:val="00E728D7"/>
    <w:rsid w:val="00E72A26"/>
    <w:rsid w:val="00E72A7A"/>
    <w:rsid w:val="00E72BA4"/>
    <w:rsid w:val="00E72C0C"/>
    <w:rsid w:val="00E73065"/>
    <w:rsid w:val="00E7326D"/>
    <w:rsid w:val="00E7335A"/>
    <w:rsid w:val="00E735DB"/>
    <w:rsid w:val="00E73986"/>
    <w:rsid w:val="00E744ED"/>
    <w:rsid w:val="00E7467D"/>
    <w:rsid w:val="00E747DC"/>
    <w:rsid w:val="00E74A2D"/>
    <w:rsid w:val="00E7590D"/>
    <w:rsid w:val="00E75C94"/>
    <w:rsid w:val="00E767BF"/>
    <w:rsid w:val="00E76A08"/>
    <w:rsid w:val="00E76B9B"/>
    <w:rsid w:val="00E76C69"/>
    <w:rsid w:val="00E76E61"/>
    <w:rsid w:val="00E76EE4"/>
    <w:rsid w:val="00E7709B"/>
    <w:rsid w:val="00E775DE"/>
    <w:rsid w:val="00E77CC0"/>
    <w:rsid w:val="00E80B3D"/>
    <w:rsid w:val="00E80CA3"/>
    <w:rsid w:val="00E815D7"/>
    <w:rsid w:val="00E81AAA"/>
    <w:rsid w:val="00E82618"/>
    <w:rsid w:val="00E82A42"/>
    <w:rsid w:val="00E82D05"/>
    <w:rsid w:val="00E846A5"/>
    <w:rsid w:val="00E84E09"/>
    <w:rsid w:val="00E858F0"/>
    <w:rsid w:val="00E8745E"/>
    <w:rsid w:val="00E87CE2"/>
    <w:rsid w:val="00E87D3D"/>
    <w:rsid w:val="00E87D5B"/>
    <w:rsid w:val="00E90156"/>
    <w:rsid w:val="00E90CA8"/>
    <w:rsid w:val="00E911C6"/>
    <w:rsid w:val="00E91633"/>
    <w:rsid w:val="00E91A1C"/>
    <w:rsid w:val="00E91DEE"/>
    <w:rsid w:val="00E920DE"/>
    <w:rsid w:val="00E92B68"/>
    <w:rsid w:val="00E930A1"/>
    <w:rsid w:val="00E93820"/>
    <w:rsid w:val="00E94A86"/>
    <w:rsid w:val="00E951AB"/>
    <w:rsid w:val="00E953B8"/>
    <w:rsid w:val="00E953F6"/>
    <w:rsid w:val="00E95A06"/>
    <w:rsid w:val="00E96143"/>
    <w:rsid w:val="00E96833"/>
    <w:rsid w:val="00E97072"/>
    <w:rsid w:val="00E97506"/>
    <w:rsid w:val="00E97BB5"/>
    <w:rsid w:val="00E97D5B"/>
    <w:rsid w:val="00E97F14"/>
    <w:rsid w:val="00EA0C68"/>
    <w:rsid w:val="00EA0E39"/>
    <w:rsid w:val="00EA1130"/>
    <w:rsid w:val="00EA13A3"/>
    <w:rsid w:val="00EA1BE8"/>
    <w:rsid w:val="00EA1D0E"/>
    <w:rsid w:val="00EA2072"/>
    <w:rsid w:val="00EA2841"/>
    <w:rsid w:val="00EA32BC"/>
    <w:rsid w:val="00EA33F4"/>
    <w:rsid w:val="00EA35A7"/>
    <w:rsid w:val="00EA3B32"/>
    <w:rsid w:val="00EA3CEB"/>
    <w:rsid w:val="00EA3D05"/>
    <w:rsid w:val="00EA4222"/>
    <w:rsid w:val="00EA4402"/>
    <w:rsid w:val="00EA4507"/>
    <w:rsid w:val="00EA4B8D"/>
    <w:rsid w:val="00EA513E"/>
    <w:rsid w:val="00EA57C0"/>
    <w:rsid w:val="00EA5C4B"/>
    <w:rsid w:val="00EA7419"/>
    <w:rsid w:val="00EA7C51"/>
    <w:rsid w:val="00EB02B0"/>
    <w:rsid w:val="00EB0887"/>
    <w:rsid w:val="00EB0E32"/>
    <w:rsid w:val="00EB1CDC"/>
    <w:rsid w:val="00EB1D89"/>
    <w:rsid w:val="00EB1E1E"/>
    <w:rsid w:val="00EB3023"/>
    <w:rsid w:val="00EB3502"/>
    <w:rsid w:val="00EB385E"/>
    <w:rsid w:val="00EB3922"/>
    <w:rsid w:val="00EB3E60"/>
    <w:rsid w:val="00EB4511"/>
    <w:rsid w:val="00EB48D7"/>
    <w:rsid w:val="00EB49F1"/>
    <w:rsid w:val="00EB4A8E"/>
    <w:rsid w:val="00EB4BC5"/>
    <w:rsid w:val="00EB4E68"/>
    <w:rsid w:val="00EB5872"/>
    <w:rsid w:val="00EB5A64"/>
    <w:rsid w:val="00EB5BF7"/>
    <w:rsid w:val="00EB5E79"/>
    <w:rsid w:val="00EB5FAA"/>
    <w:rsid w:val="00EB6473"/>
    <w:rsid w:val="00EB6A51"/>
    <w:rsid w:val="00EB6DA6"/>
    <w:rsid w:val="00EB6FAC"/>
    <w:rsid w:val="00EB7AAD"/>
    <w:rsid w:val="00EB7BAC"/>
    <w:rsid w:val="00EB7CC9"/>
    <w:rsid w:val="00EC03D7"/>
    <w:rsid w:val="00EC09B2"/>
    <w:rsid w:val="00EC13A0"/>
    <w:rsid w:val="00EC13A7"/>
    <w:rsid w:val="00EC1744"/>
    <w:rsid w:val="00EC2414"/>
    <w:rsid w:val="00EC2EB6"/>
    <w:rsid w:val="00EC3A3B"/>
    <w:rsid w:val="00EC3E77"/>
    <w:rsid w:val="00EC4FFF"/>
    <w:rsid w:val="00EC5517"/>
    <w:rsid w:val="00EC5B17"/>
    <w:rsid w:val="00EC6E8C"/>
    <w:rsid w:val="00EC79DD"/>
    <w:rsid w:val="00ED0424"/>
    <w:rsid w:val="00ED08BD"/>
    <w:rsid w:val="00ED0962"/>
    <w:rsid w:val="00ED0EF0"/>
    <w:rsid w:val="00ED0F73"/>
    <w:rsid w:val="00ED12B9"/>
    <w:rsid w:val="00ED15D9"/>
    <w:rsid w:val="00ED16B8"/>
    <w:rsid w:val="00ED17D8"/>
    <w:rsid w:val="00ED1959"/>
    <w:rsid w:val="00ED1A00"/>
    <w:rsid w:val="00ED1DF0"/>
    <w:rsid w:val="00ED229E"/>
    <w:rsid w:val="00ED2386"/>
    <w:rsid w:val="00ED2525"/>
    <w:rsid w:val="00ED2B13"/>
    <w:rsid w:val="00ED2D26"/>
    <w:rsid w:val="00ED2EA1"/>
    <w:rsid w:val="00ED3851"/>
    <w:rsid w:val="00ED3D4A"/>
    <w:rsid w:val="00ED3E51"/>
    <w:rsid w:val="00ED3F10"/>
    <w:rsid w:val="00ED3F9B"/>
    <w:rsid w:val="00ED3FB3"/>
    <w:rsid w:val="00ED4D04"/>
    <w:rsid w:val="00ED4E87"/>
    <w:rsid w:val="00ED5153"/>
    <w:rsid w:val="00ED566D"/>
    <w:rsid w:val="00ED5907"/>
    <w:rsid w:val="00ED5F5B"/>
    <w:rsid w:val="00ED62C6"/>
    <w:rsid w:val="00ED64C1"/>
    <w:rsid w:val="00ED781F"/>
    <w:rsid w:val="00ED7A91"/>
    <w:rsid w:val="00EE0E7E"/>
    <w:rsid w:val="00EE1E87"/>
    <w:rsid w:val="00EE226A"/>
    <w:rsid w:val="00EE249F"/>
    <w:rsid w:val="00EE2674"/>
    <w:rsid w:val="00EE2EB4"/>
    <w:rsid w:val="00EE3446"/>
    <w:rsid w:val="00EE3655"/>
    <w:rsid w:val="00EE3E78"/>
    <w:rsid w:val="00EE41FD"/>
    <w:rsid w:val="00EE460E"/>
    <w:rsid w:val="00EE4B1B"/>
    <w:rsid w:val="00EE5DCA"/>
    <w:rsid w:val="00EE5FBA"/>
    <w:rsid w:val="00EE601C"/>
    <w:rsid w:val="00EE6137"/>
    <w:rsid w:val="00EE6382"/>
    <w:rsid w:val="00EE64EC"/>
    <w:rsid w:val="00EE65DE"/>
    <w:rsid w:val="00EE6A09"/>
    <w:rsid w:val="00EE6E06"/>
    <w:rsid w:val="00EE7179"/>
    <w:rsid w:val="00EF0A4D"/>
    <w:rsid w:val="00EF0D90"/>
    <w:rsid w:val="00EF150D"/>
    <w:rsid w:val="00EF1931"/>
    <w:rsid w:val="00EF19E9"/>
    <w:rsid w:val="00EF1F5A"/>
    <w:rsid w:val="00EF232A"/>
    <w:rsid w:val="00EF232B"/>
    <w:rsid w:val="00EF23B5"/>
    <w:rsid w:val="00EF2DDB"/>
    <w:rsid w:val="00EF2E64"/>
    <w:rsid w:val="00EF2F71"/>
    <w:rsid w:val="00EF326A"/>
    <w:rsid w:val="00EF34A0"/>
    <w:rsid w:val="00EF3898"/>
    <w:rsid w:val="00EF47BF"/>
    <w:rsid w:val="00EF52F7"/>
    <w:rsid w:val="00EF54CF"/>
    <w:rsid w:val="00EF583F"/>
    <w:rsid w:val="00EF58B0"/>
    <w:rsid w:val="00EF5989"/>
    <w:rsid w:val="00EF59B1"/>
    <w:rsid w:val="00EF5A13"/>
    <w:rsid w:val="00EF5FF9"/>
    <w:rsid w:val="00EF77D4"/>
    <w:rsid w:val="00EF7CC7"/>
    <w:rsid w:val="00EF7DF6"/>
    <w:rsid w:val="00F00535"/>
    <w:rsid w:val="00F00853"/>
    <w:rsid w:val="00F00866"/>
    <w:rsid w:val="00F00EC8"/>
    <w:rsid w:val="00F0160B"/>
    <w:rsid w:val="00F017B4"/>
    <w:rsid w:val="00F0193E"/>
    <w:rsid w:val="00F02019"/>
    <w:rsid w:val="00F033CB"/>
    <w:rsid w:val="00F037C8"/>
    <w:rsid w:val="00F03B76"/>
    <w:rsid w:val="00F03E2F"/>
    <w:rsid w:val="00F03F61"/>
    <w:rsid w:val="00F03F8D"/>
    <w:rsid w:val="00F04427"/>
    <w:rsid w:val="00F04811"/>
    <w:rsid w:val="00F0488C"/>
    <w:rsid w:val="00F04955"/>
    <w:rsid w:val="00F04C39"/>
    <w:rsid w:val="00F052D2"/>
    <w:rsid w:val="00F05501"/>
    <w:rsid w:val="00F06002"/>
    <w:rsid w:val="00F067B8"/>
    <w:rsid w:val="00F06C78"/>
    <w:rsid w:val="00F07075"/>
    <w:rsid w:val="00F0730A"/>
    <w:rsid w:val="00F073ED"/>
    <w:rsid w:val="00F07478"/>
    <w:rsid w:val="00F07C4C"/>
    <w:rsid w:val="00F07E45"/>
    <w:rsid w:val="00F10F11"/>
    <w:rsid w:val="00F11159"/>
    <w:rsid w:val="00F1149B"/>
    <w:rsid w:val="00F1152E"/>
    <w:rsid w:val="00F115E4"/>
    <w:rsid w:val="00F11AC4"/>
    <w:rsid w:val="00F11FDC"/>
    <w:rsid w:val="00F120A5"/>
    <w:rsid w:val="00F12CFB"/>
    <w:rsid w:val="00F13649"/>
    <w:rsid w:val="00F137EC"/>
    <w:rsid w:val="00F1396C"/>
    <w:rsid w:val="00F13E60"/>
    <w:rsid w:val="00F13FDB"/>
    <w:rsid w:val="00F14922"/>
    <w:rsid w:val="00F149C3"/>
    <w:rsid w:val="00F14FCA"/>
    <w:rsid w:val="00F15143"/>
    <w:rsid w:val="00F158B1"/>
    <w:rsid w:val="00F15AAA"/>
    <w:rsid w:val="00F15BEF"/>
    <w:rsid w:val="00F15DCA"/>
    <w:rsid w:val="00F16ACA"/>
    <w:rsid w:val="00F16BE5"/>
    <w:rsid w:val="00F16DE3"/>
    <w:rsid w:val="00F16E14"/>
    <w:rsid w:val="00F170E6"/>
    <w:rsid w:val="00F1770C"/>
    <w:rsid w:val="00F17898"/>
    <w:rsid w:val="00F17B0D"/>
    <w:rsid w:val="00F17C5C"/>
    <w:rsid w:val="00F204BF"/>
    <w:rsid w:val="00F207C2"/>
    <w:rsid w:val="00F20A12"/>
    <w:rsid w:val="00F21337"/>
    <w:rsid w:val="00F213CF"/>
    <w:rsid w:val="00F214F3"/>
    <w:rsid w:val="00F219A1"/>
    <w:rsid w:val="00F21BB8"/>
    <w:rsid w:val="00F2378B"/>
    <w:rsid w:val="00F23927"/>
    <w:rsid w:val="00F23E20"/>
    <w:rsid w:val="00F24407"/>
    <w:rsid w:val="00F2482C"/>
    <w:rsid w:val="00F249CE"/>
    <w:rsid w:val="00F24FAA"/>
    <w:rsid w:val="00F25040"/>
    <w:rsid w:val="00F259A8"/>
    <w:rsid w:val="00F26385"/>
    <w:rsid w:val="00F269D7"/>
    <w:rsid w:val="00F26FB5"/>
    <w:rsid w:val="00F27071"/>
    <w:rsid w:val="00F27331"/>
    <w:rsid w:val="00F276D3"/>
    <w:rsid w:val="00F27EE5"/>
    <w:rsid w:val="00F27FB1"/>
    <w:rsid w:val="00F27FD6"/>
    <w:rsid w:val="00F307CB"/>
    <w:rsid w:val="00F30C0C"/>
    <w:rsid w:val="00F30C65"/>
    <w:rsid w:val="00F31EBD"/>
    <w:rsid w:val="00F321D2"/>
    <w:rsid w:val="00F32448"/>
    <w:rsid w:val="00F32550"/>
    <w:rsid w:val="00F32649"/>
    <w:rsid w:val="00F32B8A"/>
    <w:rsid w:val="00F32D8D"/>
    <w:rsid w:val="00F3313E"/>
    <w:rsid w:val="00F33523"/>
    <w:rsid w:val="00F3364D"/>
    <w:rsid w:val="00F33914"/>
    <w:rsid w:val="00F341AC"/>
    <w:rsid w:val="00F349BF"/>
    <w:rsid w:val="00F34DDC"/>
    <w:rsid w:val="00F34E04"/>
    <w:rsid w:val="00F36191"/>
    <w:rsid w:val="00F3629F"/>
    <w:rsid w:val="00F36DF3"/>
    <w:rsid w:val="00F37362"/>
    <w:rsid w:val="00F37EDC"/>
    <w:rsid w:val="00F4066D"/>
    <w:rsid w:val="00F41290"/>
    <w:rsid w:val="00F42241"/>
    <w:rsid w:val="00F437CC"/>
    <w:rsid w:val="00F43C45"/>
    <w:rsid w:val="00F44537"/>
    <w:rsid w:val="00F44DAE"/>
    <w:rsid w:val="00F4606B"/>
    <w:rsid w:val="00F46185"/>
    <w:rsid w:val="00F461C3"/>
    <w:rsid w:val="00F462F4"/>
    <w:rsid w:val="00F46423"/>
    <w:rsid w:val="00F4660F"/>
    <w:rsid w:val="00F4696A"/>
    <w:rsid w:val="00F4703A"/>
    <w:rsid w:val="00F47067"/>
    <w:rsid w:val="00F47234"/>
    <w:rsid w:val="00F47709"/>
    <w:rsid w:val="00F503BC"/>
    <w:rsid w:val="00F506A6"/>
    <w:rsid w:val="00F51ADD"/>
    <w:rsid w:val="00F525AB"/>
    <w:rsid w:val="00F525EB"/>
    <w:rsid w:val="00F52BCB"/>
    <w:rsid w:val="00F52CB5"/>
    <w:rsid w:val="00F53378"/>
    <w:rsid w:val="00F53757"/>
    <w:rsid w:val="00F53917"/>
    <w:rsid w:val="00F53A68"/>
    <w:rsid w:val="00F53AA4"/>
    <w:rsid w:val="00F53BA3"/>
    <w:rsid w:val="00F545F4"/>
    <w:rsid w:val="00F54934"/>
    <w:rsid w:val="00F55A92"/>
    <w:rsid w:val="00F5615B"/>
    <w:rsid w:val="00F56250"/>
    <w:rsid w:val="00F56611"/>
    <w:rsid w:val="00F575D3"/>
    <w:rsid w:val="00F57983"/>
    <w:rsid w:val="00F57A76"/>
    <w:rsid w:val="00F57D57"/>
    <w:rsid w:val="00F57DF8"/>
    <w:rsid w:val="00F610B1"/>
    <w:rsid w:val="00F6178B"/>
    <w:rsid w:val="00F618AD"/>
    <w:rsid w:val="00F61E6C"/>
    <w:rsid w:val="00F62BFF"/>
    <w:rsid w:val="00F62CCE"/>
    <w:rsid w:val="00F63092"/>
    <w:rsid w:val="00F6385D"/>
    <w:rsid w:val="00F638FE"/>
    <w:rsid w:val="00F63AAE"/>
    <w:rsid w:val="00F63DDE"/>
    <w:rsid w:val="00F63FB7"/>
    <w:rsid w:val="00F6421B"/>
    <w:rsid w:val="00F647F1"/>
    <w:rsid w:val="00F649D2"/>
    <w:rsid w:val="00F64D5A"/>
    <w:rsid w:val="00F6576E"/>
    <w:rsid w:val="00F6602B"/>
    <w:rsid w:val="00F66FCB"/>
    <w:rsid w:val="00F6716B"/>
    <w:rsid w:val="00F6765B"/>
    <w:rsid w:val="00F6799D"/>
    <w:rsid w:val="00F67DE0"/>
    <w:rsid w:val="00F70E52"/>
    <w:rsid w:val="00F710A4"/>
    <w:rsid w:val="00F71487"/>
    <w:rsid w:val="00F7150B"/>
    <w:rsid w:val="00F717E4"/>
    <w:rsid w:val="00F71DE6"/>
    <w:rsid w:val="00F7232B"/>
    <w:rsid w:val="00F72B83"/>
    <w:rsid w:val="00F72D71"/>
    <w:rsid w:val="00F736AF"/>
    <w:rsid w:val="00F7381C"/>
    <w:rsid w:val="00F73A0C"/>
    <w:rsid w:val="00F740BA"/>
    <w:rsid w:val="00F741EA"/>
    <w:rsid w:val="00F752DC"/>
    <w:rsid w:val="00F7549F"/>
    <w:rsid w:val="00F756DB"/>
    <w:rsid w:val="00F75C5B"/>
    <w:rsid w:val="00F766BE"/>
    <w:rsid w:val="00F767A8"/>
    <w:rsid w:val="00F77590"/>
    <w:rsid w:val="00F7786F"/>
    <w:rsid w:val="00F77A50"/>
    <w:rsid w:val="00F82750"/>
    <w:rsid w:val="00F829F5"/>
    <w:rsid w:val="00F82D14"/>
    <w:rsid w:val="00F82D84"/>
    <w:rsid w:val="00F8473D"/>
    <w:rsid w:val="00F84E7D"/>
    <w:rsid w:val="00F85034"/>
    <w:rsid w:val="00F85066"/>
    <w:rsid w:val="00F85CC1"/>
    <w:rsid w:val="00F8633B"/>
    <w:rsid w:val="00F874F8"/>
    <w:rsid w:val="00F87A4D"/>
    <w:rsid w:val="00F90968"/>
    <w:rsid w:val="00F90BEF"/>
    <w:rsid w:val="00F90C35"/>
    <w:rsid w:val="00F90EEB"/>
    <w:rsid w:val="00F912CB"/>
    <w:rsid w:val="00F9135C"/>
    <w:rsid w:val="00F91B66"/>
    <w:rsid w:val="00F9354A"/>
    <w:rsid w:val="00F93688"/>
    <w:rsid w:val="00F939E3"/>
    <w:rsid w:val="00F939F3"/>
    <w:rsid w:val="00F93C6E"/>
    <w:rsid w:val="00F93F2C"/>
    <w:rsid w:val="00F940DC"/>
    <w:rsid w:val="00F947E9"/>
    <w:rsid w:val="00F95A4E"/>
    <w:rsid w:val="00F962AD"/>
    <w:rsid w:val="00F9644E"/>
    <w:rsid w:val="00F974AA"/>
    <w:rsid w:val="00F97C60"/>
    <w:rsid w:val="00FA0105"/>
    <w:rsid w:val="00FA05A0"/>
    <w:rsid w:val="00FA0AEF"/>
    <w:rsid w:val="00FA1474"/>
    <w:rsid w:val="00FA17CC"/>
    <w:rsid w:val="00FA1CFE"/>
    <w:rsid w:val="00FA1EE7"/>
    <w:rsid w:val="00FA1F01"/>
    <w:rsid w:val="00FA26DF"/>
    <w:rsid w:val="00FA2C07"/>
    <w:rsid w:val="00FA2F0B"/>
    <w:rsid w:val="00FA32BC"/>
    <w:rsid w:val="00FA3FA8"/>
    <w:rsid w:val="00FA4059"/>
    <w:rsid w:val="00FA4574"/>
    <w:rsid w:val="00FA488C"/>
    <w:rsid w:val="00FA48A4"/>
    <w:rsid w:val="00FA4CB7"/>
    <w:rsid w:val="00FA50CB"/>
    <w:rsid w:val="00FA5112"/>
    <w:rsid w:val="00FA5479"/>
    <w:rsid w:val="00FA5526"/>
    <w:rsid w:val="00FA5BF4"/>
    <w:rsid w:val="00FA5D42"/>
    <w:rsid w:val="00FA5D4D"/>
    <w:rsid w:val="00FA6C27"/>
    <w:rsid w:val="00FA6CB6"/>
    <w:rsid w:val="00FA6DD8"/>
    <w:rsid w:val="00FA7089"/>
    <w:rsid w:val="00FA70D3"/>
    <w:rsid w:val="00FA7AEC"/>
    <w:rsid w:val="00FB0AEA"/>
    <w:rsid w:val="00FB0EE2"/>
    <w:rsid w:val="00FB100C"/>
    <w:rsid w:val="00FB1A79"/>
    <w:rsid w:val="00FB1BA4"/>
    <w:rsid w:val="00FB1C0B"/>
    <w:rsid w:val="00FB208B"/>
    <w:rsid w:val="00FB20BC"/>
    <w:rsid w:val="00FB2B2D"/>
    <w:rsid w:val="00FB4AC5"/>
    <w:rsid w:val="00FB4D91"/>
    <w:rsid w:val="00FB542E"/>
    <w:rsid w:val="00FB5580"/>
    <w:rsid w:val="00FB564F"/>
    <w:rsid w:val="00FB6A41"/>
    <w:rsid w:val="00FB6F54"/>
    <w:rsid w:val="00FB79D5"/>
    <w:rsid w:val="00FB7DBB"/>
    <w:rsid w:val="00FC01BC"/>
    <w:rsid w:val="00FC05F8"/>
    <w:rsid w:val="00FC0651"/>
    <w:rsid w:val="00FC077B"/>
    <w:rsid w:val="00FC0E5F"/>
    <w:rsid w:val="00FC1070"/>
    <w:rsid w:val="00FC1266"/>
    <w:rsid w:val="00FC1A5D"/>
    <w:rsid w:val="00FC1A95"/>
    <w:rsid w:val="00FC1ED4"/>
    <w:rsid w:val="00FC2E56"/>
    <w:rsid w:val="00FC2EBA"/>
    <w:rsid w:val="00FC3BEC"/>
    <w:rsid w:val="00FC42C5"/>
    <w:rsid w:val="00FC440B"/>
    <w:rsid w:val="00FC4FB6"/>
    <w:rsid w:val="00FC56C6"/>
    <w:rsid w:val="00FC56DE"/>
    <w:rsid w:val="00FC606F"/>
    <w:rsid w:val="00FC6100"/>
    <w:rsid w:val="00FC63D9"/>
    <w:rsid w:val="00FC64DE"/>
    <w:rsid w:val="00FC6785"/>
    <w:rsid w:val="00FC680C"/>
    <w:rsid w:val="00FC684B"/>
    <w:rsid w:val="00FC6A52"/>
    <w:rsid w:val="00FC6CCA"/>
    <w:rsid w:val="00FC6D2D"/>
    <w:rsid w:val="00FC7BC8"/>
    <w:rsid w:val="00FC7D98"/>
    <w:rsid w:val="00FD0792"/>
    <w:rsid w:val="00FD1135"/>
    <w:rsid w:val="00FD3265"/>
    <w:rsid w:val="00FD3BBD"/>
    <w:rsid w:val="00FD3CF7"/>
    <w:rsid w:val="00FD3EF2"/>
    <w:rsid w:val="00FD3F1C"/>
    <w:rsid w:val="00FD4124"/>
    <w:rsid w:val="00FD4372"/>
    <w:rsid w:val="00FD4916"/>
    <w:rsid w:val="00FD4D12"/>
    <w:rsid w:val="00FD4F73"/>
    <w:rsid w:val="00FD595E"/>
    <w:rsid w:val="00FD771F"/>
    <w:rsid w:val="00FD7767"/>
    <w:rsid w:val="00FD7802"/>
    <w:rsid w:val="00FD7D3B"/>
    <w:rsid w:val="00FD7FBE"/>
    <w:rsid w:val="00FE27C7"/>
    <w:rsid w:val="00FE2C7E"/>
    <w:rsid w:val="00FE2D10"/>
    <w:rsid w:val="00FE2F78"/>
    <w:rsid w:val="00FE3137"/>
    <w:rsid w:val="00FE346A"/>
    <w:rsid w:val="00FE346B"/>
    <w:rsid w:val="00FE346F"/>
    <w:rsid w:val="00FE431E"/>
    <w:rsid w:val="00FE460E"/>
    <w:rsid w:val="00FE46DB"/>
    <w:rsid w:val="00FE48E4"/>
    <w:rsid w:val="00FE5466"/>
    <w:rsid w:val="00FE54EE"/>
    <w:rsid w:val="00FE634C"/>
    <w:rsid w:val="00FE63D8"/>
    <w:rsid w:val="00FE6E69"/>
    <w:rsid w:val="00FE6F59"/>
    <w:rsid w:val="00FE7677"/>
    <w:rsid w:val="00FE77EF"/>
    <w:rsid w:val="00FF01B6"/>
    <w:rsid w:val="00FF03A6"/>
    <w:rsid w:val="00FF0989"/>
    <w:rsid w:val="00FF0F79"/>
    <w:rsid w:val="00FF1136"/>
    <w:rsid w:val="00FF1D4F"/>
    <w:rsid w:val="00FF363B"/>
    <w:rsid w:val="00FF3D76"/>
    <w:rsid w:val="00FF4CF2"/>
    <w:rsid w:val="00FF4E3F"/>
    <w:rsid w:val="00FF535A"/>
    <w:rsid w:val="00FF556A"/>
    <w:rsid w:val="00FF5B8C"/>
    <w:rsid w:val="00FF63E6"/>
    <w:rsid w:val="00FF72DC"/>
    <w:rsid w:val="00FF7B96"/>
    <w:rsid w:val="019CB78C"/>
    <w:rsid w:val="0523CDF2"/>
    <w:rsid w:val="06B1A837"/>
    <w:rsid w:val="08A648BF"/>
    <w:rsid w:val="0EBE9DEC"/>
    <w:rsid w:val="0FBB85B6"/>
    <w:rsid w:val="12650F4E"/>
    <w:rsid w:val="1394E51D"/>
    <w:rsid w:val="17513AF8"/>
    <w:rsid w:val="1B53A8C8"/>
    <w:rsid w:val="1BEE6986"/>
    <w:rsid w:val="20D21749"/>
    <w:rsid w:val="224482AD"/>
    <w:rsid w:val="23E0530E"/>
    <w:rsid w:val="24FC0D77"/>
    <w:rsid w:val="2A0E9F3A"/>
    <w:rsid w:val="2A2A6298"/>
    <w:rsid w:val="37D604A5"/>
    <w:rsid w:val="38C72AFC"/>
    <w:rsid w:val="3C7646FC"/>
    <w:rsid w:val="3E4A9713"/>
    <w:rsid w:val="3E77F3B4"/>
    <w:rsid w:val="40C3BF09"/>
    <w:rsid w:val="47207A7B"/>
    <w:rsid w:val="48038D4B"/>
    <w:rsid w:val="49E8263C"/>
    <w:rsid w:val="4A567F3C"/>
    <w:rsid w:val="50A35788"/>
    <w:rsid w:val="52944939"/>
    <w:rsid w:val="53942896"/>
    <w:rsid w:val="5536E42E"/>
    <w:rsid w:val="58FD3BB8"/>
    <w:rsid w:val="5CF587E8"/>
    <w:rsid w:val="5DD689BF"/>
    <w:rsid w:val="60B2C930"/>
    <w:rsid w:val="67F8BB57"/>
    <w:rsid w:val="6AEA4E8B"/>
    <w:rsid w:val="6AEC8A78"/>
    <w:rsid w:val="6D951AA9"/>
    <w:rsid w:val="7059F910"/>
    <w:rsid w:val="74EA3077"/>
    <w:rsid w:val="75B5B795"/>
    <w:rsid w:val="78058569"/>
    <w:rsid w:val="785B85D1"/>
    <w:rsid w:val="78E73CD1"/>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styleId="Sledovanodkaz">
    <w:name w:val="FollowedHyperlink"/>
    <w:basedOn w:val="Standardnpsmoodstavce"/>
    <w:uiPriority w:val="99"/>
    <w:semiHidden/>
    <w:unhideWhenUsed/>
    <w:rsid w:val="00960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58735115">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0204932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44068063">
      <w:bodyDiv w:val="1"/>
      <w:marLeft w:val="0"/>
      <w:marRight w:val="0"/>
      <w:marTop w:val="0"/>
      <w:marBottom w:val="0"/>
      <w:divBdr>
        <w:top w:val="none" w:sz="0" w:space="0" w:color="auto"/>
        <w:left w:val="none" w:sz="0" w:space="0" w:color="auto"/>
        <w:bottom w:val="none" w:sz="0" w:space="0" w:color="auto"/>
        <w:right w:val="none" w:sz="0" w:space="0" w:color="auto"/>
      </w:divBdr>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st&#225;tn&#237;%20rozpo&#269;et-2q-2023-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st&#225;tn&#237;%20rozpo&#269;et-2q-2023-ENG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st&#225;tn&#237;%20rozpo&#269;et-2q-2023-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28E-2"/>
          <c:y val="1.7107238390107405E-2"/>
          <c:w val="0.84230585710151329"/>
          <c:h val="0.68275935911781527"/>
        </c:manualLayout>
      </c:layout>
      <c:barChart>
        <c:barDir val="col"/>
        <c:grouping val="stacked"/>
        <c:varyColors val="0"/>
        <c:ser>
          <c:idx val="1"/>
          <c:order val="1"/>
          <c:tx>
            <c:strRef>
              <c:f>'G1-SR-příjmy-příspěvky'!$A$31</c:f>
              <c:strCache>
                <c:ptCount val="1"/>
                <c:pt idx="0">
                  <c:v>Other taxes and fees*</c:v>
                </c:pt>
              </c:strCache>
            </c:strRef>
          </c:tx>
          <c:spPr>
            <a:solidFill>
              <a:schemeClr val="bg1">
                <a:lumMod val="75000"/>
              </a:schemeClr>
            </a:solidFill>
            <a:ln w="12700">
              <a:noFill/>
              <a:prstDash val="solid"/>
            </a:ln>
          </c:spPr>
          <c:invertIfNegative val="0"/>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'G1-SR-příjmy-příspěvky'!$E$31:$T$31</c:f>
              <c:numCache>
                <c:formatCode>0.0</c:formatCode>
                <c:ptCount val="16"/>
                <c:pt idx="0">
                  <c:v>0.46668473188209703</c:v>
                </c:pt>
                <c:pt idx="1">
                  <c:v>-0.46157268379491267</c:v>
                </c:pt>
                <c:pt idx="2">
                  <c:v>0.49531003312386968</c:v>
                </c:pt>
                <c:pt idx="3">
                  <c:v>1.0955064214410237</c:v>
                </c:pt>
                <c:pt idx="4">
                  <c:v>-0.43477551457132552</c:v>
                </c:pt>
                <c:pt idx="5">
                  <c:v>-8.2653412292815559E-2</c:v>
                </c:pt>
                <c:pt idx="6">
                  <c:v>0.17424975798643608</c:v>
                </c:pt>
                <c:pt idx="7">
                  <c:v>0.53125962426855389</c:v>
                </c:pt>
                <c:pt idx="8">
                  <c:v>0.44522675502175058</c:v>
                </c:pt>
                <c:pt idx="9">
                  <c:v>0.3176936390146764</c:v>
                </c:pt>
                <c:pt idx="10">
                  <c:v>0.37441716268589098</c:v>
                </c:pt>
                <c:pt idx="11">
                  <c:v>0.32332107581403785</c:v>
                </c:pt>
                <c:pt idx="12">
                  <c:v>0.37604522895516257</c:v>
                </c:pt>
                <c:pt idx="13">
                  <c:v>-0.57557094156431787</c:v>
                </c:pt>
                <c:pt idx="14">
                  <c:v>0.78502585428938398</c:v>
                </c:pt>
                <c:pt idx="15">
                  <c:v>2.1808038994090819</c:v>
                </c:pt>
              </c:numCache>
            </c:numRef>
          </c:val>
          <c:extLst>
            <c:ext xmlns:c16="http://schemas.microsoft.com/office/drawing/2014/chart" uri="{C3380CC4-5D6E-409C-BE32-E72D297353CC}">
              <c16:uniqueId val="{00000000-ED26-4BC1-AD8D-4B4E9BBBD630}"/>
            </c:ext>
          </c:extLst>
        </c:ser>
        <c:ser>
          <c:idx val="3"/>
          <c:order val="2"/>
          <c:tx>
            <c:strRef>
              <c:f>'G1-SR-příjmy-příspěvky'!$A$32</c:f>
              <c:strCache>
                <c:ptCount val="1"/>
                <c:pt idx="0">
                  <c:v>Income tax of natural persons (from employment)</c:v>
                </c:pt>
              </c:strCache>
            </c:strRef>
          </c:tx>
          <c:spPr>
            <a:solidFill>
              <a:srgbClr val="EA6C75"/>
            </a:solidFill>
            <a:ln w="19050">
              <a:noFill/>
              <a:prstDash val="sysDot"/>
            </a:ln>
          </c:spPr>
          <c:invertIfNegative val="0"/>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'G1-SR-příjmy-příspěvky'!$E$32:$T$32</c:f>
              <c:numCache>
                <c:formatCode>0.0</c:formatCode>
                <c:ptCount val="16"/>
                <c:pt idx="0">
                  <c:v>-0.37635865474362562</c:v>
                </c:pt>
                <c:pt idx="1">
                  <c:v>-2.6470915359804246</c:v>
                </c:pt>
                <c:pt idx="2">
                  <c:v>0.47364021917469173</c:v>
                </c:pt>
                <c:pt idx="3">
                  <c:v>-0.13443551385830171</c:v>
                </c:pt>
                <c:pt idx="4">
                  <c:v>0.76868928621709187</c:v>
                </c:pt>
                <c:pt idx="5">
                  <c:v>0.58399074131873729</c:v>
                </c:pt>
                <c:pt idx="6">
                  <c:v>1.3331489420550413</c:v>
                </c:pt>
                <c:pt idx="7">
                  <c:v>-0.27717893440098468</c:v>
                </c:pt>
                <c:pt idx="8">
                  <c:v>2.7153655001035406</c:v>
                </c:pt>
                <c:pt idx="9">
                  <c:v>2.0958296782759192</c:v>
                </c:pt>
                <c:pt idx="10">
                  <c:v>2.6381964014740937</c:v>
                </c:pt>
                <c:pt idx="11">
                  <c:v>2.8717758032576448</c:v>
                </c:pt>
                <c:pt idx="12">
                  <c:v>-3.7310659863948712</c:v>
                </c:pt>
                <c:pt idx="13">
                  <c:v>-4.8292639350837501</c:v>
                </c:pt>
                <c:pt idx="14">
                  <c:v>2.498181077988765</c:v>
                </c:pt>
                <c:pt idx="15">
                  <c:v>3.6561447845365653</c:v>
                </c:pt>
              </c:numCache>
            </c:numRef>
          </c:val>
          <c:extLst>
            <c:ext xmlns:c16="http://schemas.microsoft.com/office/drawing/2014/chart" uri="{C3380CC4-5D6E-409C-BE32-E72D297353CC}">
              <c16:uniqueId val="{00000001-ED26-4BC1-AD8D-4B4E9BBBD630}"/>
            </c:ext>
          </c:extLst>
        </c:ser>
        <c:ser>
          <c:idx val="4"/>
          <c:order val="3"/>
          <c:tx>
            <c:strRef>
              <c:f>'G1-SR-příjmy-příspěvky'!$A$33</c:f>
              <c:strCache>
                <c:ptCount val="1"/>
                <c:pt idx="0">
                  <c:v>Income tax of legal persons (corporate tax)</c:v>
                </c:pt>
              </c:strCache>
            </c:strRef>
          </c:tx>
          <c:spPr>
            <a:solidFill>
              <a:schemeClr val="accent6">
                <a:lumMod val="60000"/>
                <a:lumOff val="40000"/>
              </a:schemeClr>
            </a:solidFill>
            <a:ln w="19050">
              <a:noFill/>
            </a:ln>
          </c:spPr>
          <c:invertIfNegative val="0"/>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'G1-SR-příjmy-příspěvky'!$E$33:$T$33</c:f>
              <c:numCache>
                <c:formatCode>0.0</c:formatCode>
                <c:ptCount val="16"/>
                <c:pt idx="0">
                  <c:v>5.9133471833318252</c:v>
                </c:pt>
                <c:pt idx="1">
                  <c:v>-5.8002446891335788</c:v>
                </c:pt>
                <c:pt idx="2">
                  <c:v>2.28771321549082</c:v>
                </c:pt>
                <c:pt idx="3">
                  <c:v>-3.0948771488229725</c:v>
                </c:pt>
                <c:pt idx="4">
                  <c:v>-0.3519639588906085</c:v>
                </c:pt>
                <c:pt idx="5">
                  <c:v>-0.52038778929392293</c:v>
                </c:pt>
                <c:pt idx="6">
                  <c:v>1.5378232609597586</c:v>
                </c:pt>
                <c:pt idx="7">
                  <c:v>1.545015912124013</c:v>
                </c:pt>
                <c:pt idx="8">
                  <c:v>2.3012010768274993</c:v>
                </c:pt>
                <c:pt idx="9">
                  <c:v>1.5576471703928498</c:v>
                </c:pt>
                <c:pt idx="10">
                  <c:v>-1.5174506828525801E-2</c:v>
                </c:pt>
                <c:pt idx="11">
                  <c:v>1.1964034041960498</c:v>
                </c:pt>
                <c:pt idx="12">
                  <c:v>-4.7390510722411285</c:v>
                </c:pt>
                <c:pt idx="13">
                  <c:v>8.0545419061014698</c:v>
                </c:pt>
                <c:pt idx="14">
                  <c:v>3.4196071209305705</c:v>
                </c:pt>
                <c:pt idx="15">
                  <c:v>5.0089986951406464</c:v>
                </c:pt>
              </c:numCache>
            </c:numRef>
          </c:val>
          <c:extLst>
            <c:ext xmlns:c16="http://schemas.microsoft.com/office/drawing/2014/chart" uri="{C3380CC4-5D6E-409C-BE32-E72D297353CC}">
              <c16:uniqueId val="{00000002-ED26-4BC1-AD8D-4B4E9BBBD630}"/>
            </c:ext>
          </c:extLst>
        </c:ser>
        <c:ser>
          <c:idx val="2"/>
          <c:order val="4"/>
          <c:tx>
            <c:strRef>
              <c:f>'G1-SR-příjmy-příspěvky'!$A$34</c:f>
              <c:strCache>
                <c:ptCount val="1"/>
                <c:pt idx="0">
                  <c:v>Consumption tax</c:v>
                </c:pt>
              </c:strCache>
            </c:strRef>
          </c:tx>
          <c:spPr>
            <a:solidFill>
              <a:schemeClr val="accent5">
                <a:lumMod val="40000"/>
                <a:lumOff val="60000"/>
              </a:schemeClr>
            </a:solidFill>
          </c:spPr>
          <c:invertIfNegative val="0"/>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'G1-SR-příjmy-příspěvky'!$E$34:$T$34</c:f>
              <c:numCache>
                <c:formatCode>0.0</c:formatCode>
                <c:ptCount val="16"/>
                <c:pt idx="0">
                  <c:v>0.59615210911390359</c:v>
                </c:pt>
                <c:pt idx="1">
                  <c:v>-0.7841174507841181</c:v>
                </c:pt>
                <c:pt idx="2">
                  <c:v>2.1855555211590265</c:v>
                </c:pt>
                <c:pt idx="3">
                  <c:v>1.2127799548067864</c:v>
                </c:pt>
                <c:pt idx="4">
                  <c:v>-0.51809094748697626</c:v>
                </c:pt>
                <c:pt idx="5">
                  <c:v>-0.60422804423572263</c:v>
                </c:pt>
                <c:pt idx="6">
                  <c:v>1.9416401604204097</c:v>
                </c:pt>
                <c:pt idx="7">
                  <c:v>-0.71604558053587719</c:v>
                </c:pt>
                <c:pt idx="8">
                  <c:v>1.4107475667840146</c:v>
                </c:pt>
                <c:pt idx="9">
                  <c:v>0.14462173119324545</c:v>
                </c:pt>
                <c:pt idx="10">
                  <c:v>0.15174506828528164</c:v>
                </c:pt>
                <c:pt idx="11">
                  <c:v>0.59514445319462628</c:v>
                </c:pt>
                <c:pt idx="12">
                  <c:v>-1.0191471511484198</c:v>
                </c:pt>
                <c:pt idx="13">
                  <c:v>-1.71432256636205</c:v>
                </c:pt>
                <c:pt idx="14">
                  <c:v>2.2001267292613349</c:v>
                </c:pt>
                <c:pt idx="15">
                  <c:v>-1.0170175871507843</c:v>
                </c:pt>
              </c:numCache>
            </c:numRef>
          </c:val>
          <c:extLst>
            <c:ext xmlns:c16="http://schemas.microsoft.com/office/drawing/2014/chart" uri="{C3380CC4-5D6E-409C-BE32-E72D297353CC}">
              <c16:uniqueId val="{00000003-ED26-4BC1-AD8D-4B4E9BBBD630}"/>
            </c:ext>
          </c:extLst>
        </c:ser>
        <c:ser>
          <c:idx val="5"/>
          <c:order val="5"/>
          <c:tx>
            <c:strRef>
              <c:f>'G1-SR-příjmy-příspěvky'!$A$35</c:f>
              <c:strCache>
                <c:ptCount val="1"/>
                <c:pt idx="0">
                  <c:v>VAT</c:v>
                </c:pt>
              </c:strCache>
            </c:strRef>
          </c:tx>
          <c:spPr>
            <a:solidFill>
              <a:srgbClr val="92D050"/>
            </a:solidFill>
            <a:ln>
              <a:noFill/>
            </a:ln>
          </c:spPr>
          <c:invertIfNegative val="0"/>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'G1-SR-příjmy-příspěvky'!$E$35:$T$35</c:f>
              <c:numCache>
                <c:formatCode>0.0</c:formatCode>
                <c:ptCount val="16"/>
                <c:pt idx="0">
                  <c:v>1.6830759040134915</c:v>
                </c:pt>
                <c:pt idx="1">
                  <c:v>-0.48659770881993442</c:v>
                </c:pt>
                <c:pt idx="2">
                  <c:v>2.7861189363217047</c:v>
                </c:pt>
                <c:pt idx="3">
                  <c:v>2.5056491519121336</c:v>
                </c:pt>
                <c:pt idx="4">
                  <c:v>-2.0695480782767839</c:v>
                </c:pt>
                <c:pt idx="5">
                  <c:v>5.1489480707359876</c:v>
                </c:pt>
                <c:pt idx="6">
                  <c:v>2.7824643894343817</c:v>
                </c:pt>
                <c:pt idx="7">
                  <c:v>-1.9351195975772471</c:v>
                </c:pt>
                <c:pt idx="8">
                  <c:v>2.3089666597639282</c:v>
                </c:pt>
                <c:pt idx="9">
                  <c:v>5.2514284359515448</c:v>
                </c:pt>
                <c:pt idx="10">
                  <c:v>3.210492087578587</c:v>
                </c:pt>
                <c:pt idx="11">
                  <c:v>1.1536019195484921</c:v>
                </c:pt>
                <c:pt idx="12">
                  <c:v>-2.336937549422708</c:v>
                </c:pt>
                <c:pt idx="13">
                  <c:v>3.7083912152981675</c:v>
                </c:pt>
                <c:pt idx="14">
                  <c:v>9.7528438385958296</c:v>
                </c:pt>
                <c:pt idx="15">
                  <c:v>2.6897010351263311</c:v>
                </c:pt>
              </c:numCache>
            </c:numRef>
          </c:val>
          <c:extLst>
            <c:ext xmlns:c16="http://schemas.microsoft.com/office/drawing/2014/chart" uri="{C3380CC4-5D6E-409C-BE32-E72D297353CC}">
              <c16:uniqueId val="{00000004-ED26-4BC1-AD8D-4B4E9BBBD630}"/>
            </c:ext>
          </c:extLst>
        </c:ser>
        <c:dLbls>
          <c:showLegendKey val="0"/>
          <c:showVal val="0"/>
          <c:showCatName val="0"/>
          <c:showSerName val="0"/>
          <c:showPercent val="0"/>
          <c:showBubbleSize val="0"/>
        </c:dLbls>
        <c:gapWidth val="105"/>
        <c:overlap val="100"/>
        <c:axId val="194467712"/>
        <c:axId val="194473984"/>
      </c:barChart>
      <c:lineChart>
        <c:grouping val="standard"/>
        <c:varyColors val="0"/>
        <c:ser>
          <c:idx val="0"/>
          <c:order val="0"/>
          <c:tx>
            <c:strRef>
              <c:f>'G1-SR-příjmy-příspěvky'!$A$30</c:f>
              <c:strCache>
                <c:ptCount val="1"/>
                <c:pt idx="0">
                  <c:v>Total tax income (excluding social security insurance)</c:v>
                </c:pt>
              </c:strCache>
            </c:strRef>
          </c:tx>
          <c:spPr>
            <a:ln w="19050">
              <a:noFill/>
            </a:ln>
          </c:spPr>
          <c:marker>
            <c:symbol val="circle"/>
            <c:size val="6"/>
            <c:spPr>
              <a:solidFill>
                <a:schemeClr val="bg1"/>
              </a:solidFill>
              <a:ln>
                <a:solidFill>
                  <a:schemeClr val="tx1">
                    <a:lumMod val="95000"/>
                    <a:lumOff val="5000"/>
                  </a:schemeClr>
                </a:solidFill>
              </a:ln>
            </c:spPr>
          </c:marker>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'G1-SR-příjmy-příspěvky'!$E$30:$T$30</c:f>
              <c:numCache>
                <c:formatCode>0.0</c:formatCode>
                <c:ptCount val="16"/>
                <c:pt idx="0">
                  <c:v>8.2829012735976733</c:v>
                </c:pt>
                <c:pt idx="1">
                  <c:v>-10.179624068512965</c:v>
                </c:pt>
                <c:pt idx="2">
                  <c:v>8.228337925270111</c:v>
                </c:pt>
                <c:pt idx="3">
                  <c:v>1.5846228654786643</c:v>
                </c:pt>
                <c:pt idx="4">
                  <c:v>-2.6056892130086027</c:v>
                </c:pt>
                <c:pt idx="5">
                  <c:v>4.525669566232267</c:v>
                </c:pt>
                <c:pt idx="6">
                  <c:v>7.7693265108560183</c:v>
                </c:pt>
                <c:pt idx="7">
                  <c:v>-0.85206857612153897</c:v>
                </c:pt>
                <c:pt idx="8">
                  <c:v>9.1815075585007406</c:v>
                </c:pt>
                <c:pt idx="9">
                  <c:v>9.3672206548282304</c:v>
                </c:pt>
                <c:pt idx="10">
                  <c:v>6.3596762131953142</c:v>
                </c:pt>
                <c:pt idx="11">
                  <c:v>6.1402466560108504</c:v>
                </c:pt>
                <c:pt idx="12">
                  <c:v>-11.450156530251965</c:v>
                </c:pt>
                <c:pt idx="13">
                  <c:v>4.6437756783895194</c:v>
                </c:pt>
                <c:pt idx="14">
                  <c:v>18.655784621065884</c:v>
                </c:pt>
                <c:pt idx="15">
                  <c:v>12.518630827061839</c:v>
                </c:pt>
              </c:numCache>
            </c:numRef>
          </c:val>
          <c:smooth val="0"/>
          <c:extLst>
            <c:ext xmlns:c16="http://schemas.microsoft.com/office/drawing/2014/chart" uri="{C3380CC4-5D6E-409C-BE32-E72D297353CC}">
              <c16:uniqueId val="{00000005-ED26-4BC1-AD8D-4B4E9BBBD630}"/>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6"/>
          <c:order val="6"/>
          <c:tx>
            <c:strRef>
              <c:f>'G1-SR-příjmy-příspěvky'!$A$36</c:f>
              <c:strCache>
                <c:ptCount val="1"/>
                <c:pt idx="0">
                  <c:v>State budget balance (SB, right axis)</c:v>
                </c:pt>
              </c:strCache>
            </c:strRef>
          </c:tx>
          <c:spPr>
            <a:ln w="19050">
              <a:solidFill>
                <a:schemeClr val="tx1">
                  <a:lumMod val="65000"/>
                  <a:lumOff val="35000"/>
                </a:schemeClr>
              </a:solidFill>
            </a:ln>
          </c:spPr>
          <c:marker>
            <c:symbol val="none"/>
          </c:marker>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'G1-SR-příjmy-příspěvky'!$E$36:$T$36</c:f>
              <c:numCache>
                <c:formatCode>#\ ##0.0</c:formatCode>
                <c:ptCount val="16"/>
                <c:pt idx="0">
                  <c:v>-5.6520000000000001</c:v>
                </c:pt>
                <c:pt idx="1">
                  <c:v>-68.259</c:v>
                </c:pt>
                <c:pt idx="2">
                  <c:v>-75.662000000000006</c:v>
                </c:pt>
                <c:pt idx="3">
                  <c:v>-62.856000000000002</c:v>
                </c:pt>
                <c:pt idx="4">
                  <c:v>-71.721999999999994</c:v>
                </c:pt>
                <c:pt idx="5">
                  <c:v>-31.52</c:v>
                </c:pt>
                <c:pt idx="6">
                  <c:v>1.45</c:v>
                </c:pt>
                <c:pt idx="7">
                  <c:v>22.65</c:v>
                </c:pt>
                <c:pt idx="8">
                  <c:v>40.65</c:v>
                </c:pt>
                <c:pt idx="9">
                  <c:v>4.62</c:v>
                </c:pt>
                <c:pt idx="10">
                  <c:v>-5.88</c:v>
                </c:pt>
                <c:pt idx="11">
                  <c:v>-20.68</c:v>
                </c:pt>
                <c:pt idx="12">
                  <c:v>-195.24722774568022</c:v>
                </c:pt>
                <c:pt idx="13">
                  <c:v>-265.05468517270992</c:v>
                </c:pt>
                <c:pt idx="14">
                  <c:v>-182.95611616665974</c:v>
                </c:pt>
                <c:pt idx="15">
                  <c:v>-215.35088808858006</c:v>
                </c:pt>
              </c:numCache>
            </c:numRef>
          </c:val>
          <c:smooth val="0"/>
          <c:extLst>
            <c:ext xmlns:c16="http://schemas.microsoft.com/office/drawing/2014/chart" uri="{C3380CC4-5D6E-409C-BE32-E72D297353CC}">
              <c16:uniqueId val="{00000006-ED26-4BC1-AD8D-4B4E9BBBD630}"/>
            </c:ext>
          </c:extLst>
        </c:ser>
        <c:ser>
          <c:idx val="7"/>
          <c:order val="7"/>
          <c:tx>
            <c:strRef>
              <c:f>'G1-SR-příjmy-příspěvky'!$A$37</c:f>
              <c:strCache>
                <c:ptCount val="1"/>
                <c:pt idx="0">
                  <c:v>SB balance adjusted for effect of the EU and FM** (right axis)</c:v>
                </c:pt>
              </c:strCache>
            </c:strRef>
          </c:tx>
          <c:spPr>
            <a:ln w="19050">
              <a:solidFill>
                <a:schemeClr val="bg1">
                  <a:lumMod val="50000"/>
                </a:schemeClr>
              </a:solidFill>
              <a:prstDash val="sysDash"/>
            </a:ln>
          </c:spPr>
          <c:marker>
            <c:symbol val="none"/>
          </c:marker>
          <c:cat>
            <c:numRef>
              <c:f>'G1-SR-příjmy-příspěvky'!$E$29:$T$29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'G1-SR-příjmy-příspěvky'!$E$37:$T$37</c:f>
              <c:numCache>
                <c:formatCode>General</c:formatCode>
                <c:ptCount val="16"/>
                <c:pt idx="5" formatCode="#\ ##0.0">
                  <c:v>-69.3</c:v>
                </c:pt>
                <c:pt idx="6" formatCode="#\ ##0.0">
                  <c:v>-42.6</c:v>
                </c:pt>
                <c:pt idx="7" formatCode="#\ ##0.0">
                  <c:v>-47.7</c:v>
                </c:pt>
                <c:pt idx="8" formatCode="#\ ##0.0">
                  <c:v>-30.8</c:v>
                </c:pt>
                <c:pt idx="9" formatCode="#\ ##0.0">
                  <c:v>-13.2</c:v>
                </c:pt>
                <c:pt idx="10" formatCode="#\ ##0.0">
                  <c:v>-28.4</c:v>
                </c:pt>
                <c:pt idx="11" formatCode="#\ ##0.0">
                  <c:v>-22.810324545670142</c:v>
                </c:pt>
                <c:pt idx="12" formatCode="#\ ##0.0">
                  <c:v>-195.76510804611019</c:v>
                </c:pt>
                <c:pt idx="13" formatCode="#\ ##0.0">
                  <c:v>-269.57233075196996</c:v>
                </c:pt>
                <c:pt idx="14" formatCode="#\ ##0.0">
                  <c:v>-182.84126075267977</c:v>
                </c:pt>
                <c:pt idx="15" formatCode="#\ ##0.0">
                  <c:v>-251.40769831259013</c:v>
                </c:pt>
              </c:numCache>
            </c:numRef>
          </c:val>
          <c:smooth val="0"/>
          <c:extLst>
            <c:ext xmlns:c16="http://schemas.microsoft.com/office/drawing/2014/chart" uri="{C3380CC4-5D6E-409C-BE32-E72D297353CC}">
              <c16:uniqueId val="{00000007-ED26-4BC1-AD8D-4B4E9BBBD630}"/>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94473984"/>
        <c:crosses val="autoZero"/>
        <c:auto val="1"/>
        <c:lblAlgn val="ctr"/>
        <c:lblOffset val="0"/>
        <c:noMultiLvlLbl val="0"/>
      </c:catAx>
      <c:valAx>
        <c:axId val="194473984"/>
        <c:scaling>
          <c:orientation val="minMax"/>
          <c:max val="20"/>
          <c:min val="-28"/>
        </c:scaling>
        <c:delete val="0"/>
        <c:axPos val="l"/>
        <c:majorGridlines>
          <c:spPr>
            <a:ln w="6350">
              <a:solidFill>
                <a:schemeClr val="bg1">
                  <a:lumMod val="75000"/>
                </a:schemeClr>
              </a:solidFill>
            </a:ln>
          </c:spPr>
        </c:majorGridlines>
        <c:title>
          <c:tx>
            <c:rich>
              <a:bodyPr/>
              <a:lstStyle/>
              <a:p>
                <a:pPr>
                  <a:defRPr b="0"/>
                </a:pPr>
                <a:r>
                  <a:rPr lang="cs-CZ" b="0"/>
                  <a:t>Contribution to the growth of total tax income</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200"/>
          <c:min val="-280"/>
        </c:scaling>
        <c:delete val="0"/>
        <c:axPos val="r"/>
        <c:title>
          <c:tx>
            <c:rich>
              <a:bodyPr/>
              <a:lstStyle/>
              <a:p>
                <a:pPr>
                  <a:defRPr b="0"/>
                </a:pPr>
                <a:r>
                  <a:rPr lang="cs-CZ" b="0"/>
                  <a:t>State budget balance</a:t>
                </a:r>
              </a:p>
            </c:rich>
          </c:tx>
          <c:layout>
            <c:manualLayout>
              <c:xMode val="edge"/>
              <c:yMode val="edge"/>
              <c:x val="0.97036646544776606"/>
              <c:y val="0.20963215506367217"/>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4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7.2243904074620724E-2"/>
          <c:y val="0.77373633332208702"/>
          <c:w val="0.84146408070246237"/>
          <c:h val="0.2152617312942421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885756473824532E-2"/>
          <c:y val="1.6748499743327625E-2"/>
          <c:w val="0.8431399757009802"/>
          <c:h val="0.69874367802214377"/>
        </c:manualLayout>
      </c:layout>
      <c:barChart>
        <c:barDir val="col"/>
        <c:grouping val="clustered"/>
        <c:varyColors val="0"/>
        <c:ser>
          <c:idx val="0"/>
          <c:order val="0"/>
          <c:tx>
            <c:strRef>
              <c:f>'G2-St.rozpočet-výdaje'!$B$31</c:f>
              <c:strCache>
                <c:ptCount val="1"/>
                <c:pt idx="0">
                  <c:v>Total current expenditures (right axis)</c:v>
                </c:pt>
              </c:strCache>
            </c:strRef>
          </c:tx>
          <c:spPr>
            <a:solidFill>
              <a:schemeClr val="bg1">
                <a:lumMod val="95000"/>
              </a:schemeClr>
            </a:solidFill>
            <a:ln w="6350">
              <a:solidFill>
                <a:schemeClr val="bg1">
                  <a:lumMod val="75000"/>
                </a:schemeClr>
              </a:solidFill>
            </a:ln>
          </c:spPr>
          <c:invertIfNegative val="0"/>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'G2-St.rozpočet-výdaje'!$B$35:$B$50</c:f>
              <c:numCache>
                <c:formatCode>0.0</c:formatCode>
                <c:ptCount val="16"/>
                <c:pt idx="0">
                  <c:v>488.71899999999999</c:v>
                </c:pt>
                <c:pt idx="1">
                  <c:v>523.79999999999995</c:v>
                </c:pt>
                <c:pt idx="2">
                  <c:v>527.73400000000004</c:v>
                </c:pt>
                <c:pt idx="3">
                  <c:v>523.22</c:v>
                </c:pt>
                <c:pt idx="4">
                  <c:v>534.42999999999995</c:v>
                </c:pt>
                <c:pt idx="5">
                  <c:v>544.65</c:v>
                </c:pt>
                <c:pt idx="6">
                  <c:v>552.71100000000001</c:v>
                </c:pt>
                <c:pt idx="7">
                  <c:v>564.13</c:v>
                </c:pt>
                <c:pt idx="8">
                  <c:v>575.57000000000005</c:v>
                </c:pt>
                <c:pt idx="9">
                  <c:v>609.53</c:v>
                </c:pt>
                <c:pt idx="10">
                  <c:v>660.76</c:v>
                </c:pt>
                <c:pt idx="11">
                  <c:v>718.74153402592015</c:v>
                </c:pt>
                <c:pt idx="12">
                  <c:v>829.93717826878003</c:v>
                </c:pt>
                <c:pt idx="13">
                  <c:v>918.12541435127969</c:v>
                </c:pt>
                <c:pt idx="14">
                  <c:v>901.89641601966002</c:v>
                </c:pt>
                <c:pt idx="15">
                  <c:v>1053.5517284800999</c:v>
                </c:pt>
              </c:numCache>
            </c:numRef>
          </c:val>
          <c:extLst>
            <c:ext xmlns:c16="http://schemas.microsoft.com/office/drawing/2014/chart" uri="{C3380CC4-5D6E-409C-BE32-E72D297353CC}">
              <c16:uniqueId val="{00000000-9E76-400F-8404-798B071C90BF}"/>
            </c:ext>
          </c:extLst>
        </c:ser>
        <c:ser>
          <c:idx val="1"/>
          <c:order val="1"/>
          <c:tx>
            <c:strRef>
              <c:f>'G2-St.rozpočet-výdaje'!$C$31</c:f>
              <c:strCache>
                <c:ptCount val="1"/>
                <c:pt idx="0">
                  <c:v>Expenditures on pensions (right axis)</c:v>
                </c:pt>
              </c:strCache>
            </c:strRef>
          </c:tx>
          <c:spPr>
            <a:solidFill>
              <a:schemeClr val="bg1">
                <a:lumMod val="75000"/>
              </a:schemeClr>
            </a:solidFill>
            <a:ln w="6350">
              <a:solidFill>
                <a:schemeClr val="bg1">
                  <a:lumMod val="75000"/>
                </a:schemeClr>
              </a:solidFill>
            </a:ln>
          </c:spPr>
          <c:invertIfNegative val="0"/>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'G2-St.rozpočet-výdaje'!$C$35:$C$50</c:f>
              <c:numCache>
                <c:formatCode>0.0</c:formatCode>
                <c:ptCount val="16"/>
                <c:pt idx="0">
                  <c:v>147.84299999999999</c:v>
                </c:pt>
                <c:pt idx="1">
                  <c:v>165.148</c:v>
                </c:pt>
                <c:pt idx="2">
                  <c:v>169.67400000000001</c:v>
                </c:pt>
                <c:pt idx="3">
                  <c:v>181.59700000000001</c:v>
                </c:pt>
                <c:pt idx="4">
                  <c:v>187.47399999999999</c:v>
                </c:pt>
                <c:pt idx="5">
                  <c:v>184.07900000000001</c:v>
                </c:pt>
                <c:pt idx="6">
                  <c:v>184.58799999999999</c:v>
                </c:pt>
                <c:pt idx="7">
                  <c:v>189.53800000000001</c:v>
                </c:pt>
                <c:pt idx="8">
                  <c:v>197.32599999999999</c:v>
                </c:pt>
                <c:pt idx="9">
                  <c:v>210.6</c:v>
                </c:pt>
                <c:pt idx="10">
                  <c:v>218.4</c:v>
                </c:pt>
                <c:pt idx="11">
                  <c:v>234.8</c:v>
                </c:pt>
                <c:pt idx="12">
                  <c:v>253.4</c:v>
                </c:pt>
                <c:pt idx="13">
                  <c:v>267.63183364664002</c:v>
                </c:pt>
                <c:pt idx="14">
                  <c:v>285.69003688876995</c:v>
                </c:pt>
                <c:pt idx="15">
                  <c:v>342.15011523328002</c:v>
                </c:pt>
              </c:numCache>
            </c:numRef>
          </c:val>
          <c:extLst>
            <c:ext xmlns:c16="http://schemas.microsoft.com/office/drawing/2014/chart" uri="{C3380CC4-5D6E-409C-BE32-E72D297353CC}">
              <c16:uniqueId val="{00000001-9E76-400F-8404-798B071C90BF}"/>
            </c:ext>
          </c:extLst>
        </c:ser>
        <c:dLbls>
          <c:showLegendKey val="0"/>
          <c:showVal val="0"/>
          <c:showCatName val="0"/>
          <c:showSerName val="0"/>
          <c:showPercent val="0"/>
          <c:showBubbleSize val="0"/>
        </c:dLbls>
        <c:gapWidth val="82"/>
        <c:overlap val="100"/>
        <c:axId val="72836608"/>
        <c:axId val="72835072"/>
      </c:barChart>
      <c:lineChart>
        <c:grouping val="standard"/>
        <c:varyColors val="0"/>
        <c:ser>
          <c:idx val="6"/>
          <c:order val="2"/>
          <c:tx>
            <c:strRef>
              <c:f>'G2-St.rozpočet-výdaje'!$D$31</c:f>
              <c:strCache>
                <c:ptCount val="1"/>
                <c:pt idx="0">
                  <c:v>Wages of employees in public admin.*</c:v>
                </c:pt>
              </c:strCache>
            </c:strRef>
          </c:tx>
          <c:spPr>
            <a:ln w="15875">
              <a:solidFill>
                <a:schemeClr val="accent6">
                  <a:lumMod val="60000"/>
                  <a:lumOff val="40000"/>
                </a:schemeClr>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'G2-St.rozpočet-výdaje'!$D$35:$D$50</c:f>
              <c:numCache>
                <c:formatCode>0.0</c:formatCode>
                <c:ptCount val="16"/>
                <c:pt idx="0">
                  <c:v>37.729999999999997</c:v>
                </c:pt>
                <c:pt idx="1">
                  <c:v>38.979999999999997</c:v>
                </c:pt>
                <c:pt idx="2">
                  <c:v>39.36</c:v>
                </c:pt>
                <c:pt idx="3">
                  <c:v>35.700000000000003</c:v>
                </c:pt>
                <c:pt idx="4">
                  <c:v>36.299999999999997</c:v>
                </c:pt>
                <c:pt idx="5">
                  <c:v>36.880000000000003</c:v>
                </c:pt>
                <c:pt idx="6">
                  <c:v>38.090000000000003</c:v>
                </c:pt>
                <c:pt idx="7">
                  <c:v>41.88</c:v>
                </c:pt>
                <c:pt idx="8">
                  <c:v>43.22</c:v>
                </c:pt>
                <c:pt idx="9">
                  <c:v>46.52</c:v>
                </c:pt>
                <c:pt idx="10">
                  <c:v>53.13</c:v>
                </c:pt>
                <c:pt idx="11">
                  <c:v>57.572759809109989</c:v>
                </c:pt>
                <c:pt idx="12">
                  <c:v>60.066088983770015</c:v>
                </c:pt>
                <c:pt idx="13">
                  <c:v>60.729182157669975</c:v>
                </c:pt>
                <c:pt idx="14">
                  <c:v>60.913936425969993</c:v>
                </c:pt>
                <c:pt idx="15">
                  <c:v>67.069920296660001</c:v>
                </c:pt>
              </c:numCache>
            </c:numRef>
          </c:val>
          <c:smooth val="0"/>
          <c:extLst>
            <c:ext xmlns:c16="http://schemas.microsoft.com/office/drawing/2014/chart" uri="{C3380CC4-5D6E-409C-BE32-E72D297353CC}">
              <c16:uniqueId val="{00000002-9E76-400F-8404-798B071C90BF}"/>
            </c:ext>
          </c:extLst>
        </c:ser>
        <c:ser>
          <c:idx val="7"/>
          <c:order val="3"/>
          <c:tx>
            <c:strRef>
              <c:f>'G2-St.rozpočet-výdaje'!$E$31</c:f>
              <c:strCache>
                <c:ptCount val="1"/>
                <c:pt idx="0">
                  <c:v>Unemployment benefits</c:v>
                </c:pt>
              </c:strCache>
            </c:strRef>
          </c:tx>
          <c:spPr>
            <a:ln w="15875">
              <a:solidFill>
                <a:srgbClr val="996633"/>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'G2-St.rozpočet-výdaje'!$E$35:$E$50</c:f>
              <c:numCache>
                <c:formatCode>0.0</c:formatCode>
                <c:ptCount val="16"/>
                <c:pt idx="0">
                  <c:v>3.56</c:v>
                </c:pt>
                <c:pt idx="1">
                  <c:v>7.3049999999999997</c:v>
                </c:pt>
                <c:pt idx="2">
                  <c:v>7.77</c:v>
                </c:pt>
                <c:pt idx="3">
                  <c:v>6.2279999999999998</c:v>
                </c:pt>
                <c:pt idx="4">
                  <c:v>4.8410000000000002</c:v>
                </c:pt>
                <c:pt idx="5">
                  <c:v>5.3579999999999997</c:v>
                </c:pt>
                <c:pt idx="6">
                  <c:v>5.2690000000000001</c:v>
                </c:pt>
                <c:pt idx="7">
                  <c:v>4.6150000000000002</c:v>
                </c:pt>
                <c:pt idx="8">
                  <c:v>4.4829999999999997</c:v>
                </c:pt>
                <c:pt idx="9">
                  <c:v>4.3310000000000004</c:v>
                </c:pt>
                <c:pt idx="10">
                  <c:v>3.98</c:v>
                </c:pt>
                <c:pt idx="11">
                  <c:v>4.2361097359899995</c:v>
                </c:pt>
                <c:pt idx="12">
                  <c:v>5.1359402661699995</c:v>
                </c:pt>
                <c:pt idx="13">
                  <c:v>5.4746733001600001</c:v>
                </c:pt>
                <c:pt idx="14">
                  <c:v>5.0541544272099994</c:v>
                </c:pt>
                <c:pt idx="15">
                  <c:v>5.3917853745599995</c:v>
                </c:pt>
              </c:numCache>
            </c:numRef>
          </c:val>
          <c:smooth val="0"/>
          <c:extLst>
            <c:ext xmlns:c16="http://schemas.microsoft.com/office/drawing/2014/chart" uri="{C3380CC4-5D6E-409C-BE32-E72D297353CC}">
              <c16:uniqueId val="{00000003-9E76-400F-8404-798B071C90BF}"/>
            </c:ext>
          </c:extLst>
        </c:ser>
        <c:ser>
          <c:idx val="2"/>
          <c:order val="4"/>
          <c:tx>
            <c:strRef>
              <c:f>'G2-St.rozpočet-výdaje'!$F$31</c:f>
              <c:strCache>
                <c:ptCount val="1"/>
                <c:pt idx="0">
                  <c:v>State social support**</c:v>
                </c:pt>
              </c:strCache>
            </c:strRef>
          </c:tx>
          <c:spPr>
            <a:ln w="15875">
              <a:solidFill>
                <a:srgbClr val="D5D000"/>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'G2-St.rozpočet-výdaje'!$F$35:$F$50</c:f>
              <c:numCache>
                <c:formatCode>0.0</c:formatCode>
                <c:ptCount val="16"/>
                <c:pt idx="0">
                  <c:v>21.52</c:v>
                </c:pt>
                <c:pt idx="1">
                  <c:v>20.594999999999999</c:v>
                </c:pt>
                <c:pt idx="2">
                  <c:v>20.64</c:v>
                </c:pt>
                <c:pt idx="3">
                  <c:v>18.405999999999999</c:v>
                </c:pt>
                <c:pt idx="4">
                  <c:v>17.881</c:v>
                </c:pt>
                <c:pt idx="5">
                  <c:v>18.681999999999999</c:v>
                </c:pt>
                <c:pt idx="6">
                  <c:v>18.91</c:v>
                </c:pt>
                <c:pt idx="7">
                  <c:v>18.873999999999999</c:v>
                </c:pt>
                <c:pt idx="8">
                  <c:v>18.963999999999999</c:v>
                </c:pt>
                <c:pt idx="9">
                  <c:v>18.742000000000001</c:v>
                </c:pt>
                <c:pt idx="10">
                  <c:v>19.53</c:v>
                </c:pt>
                <c:pt idx="11">
                  <c:v>19.01942501061</c:v>
                </c:pt>
                <c:pt idx="12">
                  <c:v>25.639216971080003</c:v>
                </c:pt>
                <c:pt idx="13">
                  <c:v>24.53789922679</c:v>
                </c:pt>
                <c:pt idx="14">
                  <c:v>24.1571471902</c:v>
                </c:pt>
                <c:pt idx="15">
                  <c:v>29.487497482729999</c:v>
                </c:pt>
              </c:numCache>
            </c:numRef>
          </c:val>
          <c:smooth val="0"/>
          <c:extLst>
            <c:ext xmlns:c16="http://schemas.microsoft.com/office/drawing/2014/chart" uri="{C3380CC4-5D6E-409C-BE32-E72D297353CC}">
              <c16:uniqueId val="{00000004-9E76-400F-8404-798B071C90BF}"/>
            </c:ext>
          </c:extLst>
        </c:ser>
        <c:ser>
          <c:idx val="3"/>
          <c:order val="5"/>
          <c:tx>
            <c:strRef>
              <c:f>'G2-St.rozpočet-výdaje'!$G$31</c:f>
              <c:strCache>
                <c:ptCount val="1"/>
                <c:pt idx="0">
                  <c:v>Sickness benefits</c:v>
                </c:pt>
              </c:strCache>
            </c:strRef>
          </c:tx>
          <c:spPr>
            <a:ln w="15875">
              <a:solidFill>
                <a:srgbClr val="70BDD2"/>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'G2-St.rozpočet-výdaje'!$G$35:$G$50</c:f>
              <c:numCache>
                <c:formatCode>0.00</c:formatCode>
                <c:ptCount val="16"/>
                <c:pt idx="0">
                  <c:v>16.734000000000002</c:v>
                </c:pt>
                <c:pt idx="1">
                  <c:v>14.089</c:v>
                </c:pt>
                <c:pt idx="2">
                  <c:v>11.56</c:v>
                </c:pt>
                <c:pt idx="3">
                  <c:v>11.773</c:v>
                </c:pt>
                <c:pt idx="4">
                  <c:v>10.244</c:v>
                </c:pt>
                <c:pt idx="5">
                  <c:v>10.609</c:v>
                </c:pt>
                <c:pt idx="6">
                  <c:v>11.201000000000001</c:v>
                </c:pt>
                <c:pt idx="7">
                  <c:v>12.429</c:v>
                </c:pt>
                <c:pt idx="8">
                  <c:v>13.566000000000001</c:v>
                </c:pt>
                <c:pt idx="9">
                  <c:v>14.757999999999999</c:v>
                </c:pt>
                <c:pt idx="10">
                  <c:v>17.3</c:v>
                </c:pt>
                <c:pt idx="11">
                  <c:v>19.93</c:v>
                </c:pt>
                <c:pt idx="12">
                  <c:v>30.15</c:v>
                </c:pt>
                <c:pt idx="13">
                  <c:v>28.65</c:v>
                </c:pt>
                <c:pt idx="14">
                  <c:v>25.56</c:v>
                </c:pt>
                <c:pt idx="15">
                  <c:v>24.3</c:v>
                </c:pt>
              </c:numCache>
            </c:numRef>
          </c:val>
          <c:smooth val="0"/>
          <c:extLst>
            <c:ext xmlns:c16="http://schemas.microsoft.com/office/drawing/2014/chart" uri="{C3380CC4-5D6E-409C-BE32-E72D297353CC}">
              <c16:uniqueId val="{00000005-9E76-400F-8404-798B071C90BF}"/>
            </c:ext>
          </c:extLst>
        </c:ser>
        <c:ser>
          <c:idx val="4"/>
          <c:order val="6"/>
          <c:tx>
            <c:strRef>
              <c:f>'G2-St.rozpočet-výdaje'!$H$31</c:f>
              <c:strCache>
                <c:ptCount val="1"/>
                <c:pt idx="0">
                  <c:v>Social care benefits***</c:v>
                </c:pt>
              </c:strCache>
            </c:strRef>
          </c:tx>
          <c:spPr>
            <a:ln w="15875">
              <a:solidFill>
                <a:srgbClr val="00B050"/>
              </a:solidFill>
              <a:prstDash val="solid"/>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'G2-St.rozpočet-výdaje'!$H$35:$H$50</c:f>
              <c:numCache>
                <c:formatCode>0.00</c:formatCode>
                <c:ptCount val="16"/>
                <c:pt idx="0">
                  <c:v>13.247</c:v>
                </c:pt>
                <c:pt idx="1">
                  <c:v>13.003</c:v>
                </c:pt>
                <c:pt idx="2">
                  <c:v>13.486000000000001</c:v>
                </c:pt>
                <c:pt idx="3">
                  <c:v>12.911000000000001</c:v>
                </c:pt>
                <c:pt idx="4">
                  <c:v>13.282</c:v>
                </c:pt>
                <c:pt idx="5">
                  <c:v>15.668000000000001</c:v>
                </c:pt>
                <c:pt idx="6">
                  <c:v>16.734999999999999</c:v>
                </c:pt>
                <c:pt idx="7">
                  <c:v>16.93</c:v>
                </c:pt>
                <c:pt idx="8">
                  <c:v>16.78</c:v>
                </c:pt>
                <c:pt idx="9">
                  <c:v>17.489999999999998</c:v>
                </c:pt>
                <c:pt idx="10">
                  <c:v>17.100000000000001</c:v>
                </c:pt>
                <c:pt idx="11">
                  <c:v>17.32</c:v>
                </c:pt>
                <c:pt idx="12">
                  <c:v>20.09</c:v>
                </c:pt>
                <c:pt idx="13">
                  <c:v>20.37</c:v>
                </c:pt>
                <c:pt idx="14">
                  <c:v>26.55</c:v>
                </c:pt>
                <c:pt idx="15">
                  <c:v>27.539400000000001</c:v>
                </c:pt>
              </c:numCache>
            </c:numRef>
          </c:val>
          <c:smooth val="0"/>
          <c:extLst>
            <c:ext xmlns:c16="http://schemas.microsoft.com/office/drawing/2014/chart" uri="{C3380CC4-5D6E-409C-BE32-E72D297353CC}">
              <c16:uniqueId val="{00000006-9E76-400F-8404-798B071C90BF}"/>
            </c:ext>
          </c:extLst>
        </c:ser>
        <c:ser>
          <c:idx val="5"/>
          <c:order val="7"/>
          <c:tx>
            <c:strRef>
              <c:f>'G2-St.rozpočet-výdaje'!$I$31</c:f>
              <c:strCache>
                <c:ptCount val="1"/>
                <c:pt idx="0">
                  <c:v>Non-investment purchases****</c:v>
                </c:pt>
              </c:strCache>
            </c:strRef>
          </c:tx>
          <c:spPr>
            <a:ln w="15875">
              <a:solidFill>
                <a:srgbClr val="EA6C75"/>
              </a:solidFill>
              <a:prstDash val="solid"/>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'G2-St.rozpočet-výdaje'!$I$35:$I$50</c:f>
              <c:numCache>
                <c:formatCode>0.0</c:formatCode>
                <c:ptCount val="16"/>
                <c:pt idx="0">
                  <c:v>31.934000000000005</c:v>
                </c:pt>
                <c:pt idx="1">
                  <c:v>32.001999999999995</c:v>
                </c:pt>
                <c:pt idx="2">
                  <c:v>31.84</c:v>
                </c:pt>
                <c:pt idx="3">
                  <c:v>29.076999999999998</c:v>
                </c:pt>
                <c:pt idx="4">
                  <c:v>26.950000000000003</c:v>
                </c:pt>
                <c:pt idx="5">
                  <c:v>23.5</c:v>
                </c:pt>
                <c:pt idx="6">
                  <c:v>22.14</c:v>
                </c:pt>
                <c:pt idx="7">
                  <c:v>25.509999999999998</c:v>
                </c:pt>
                <c:pt idx="8">
                  <c:v>25.499999999999996</c:v>
                </c:pt>
                <c:pt idx="9">
                  <c:v>29.889999999999997</c:v>
                </c:pt>
                <c:pt idx="10">
                  <c:v>30.75</c:v>
                </c:pt>
                <c:pt idx="11">
                  <c:v>27.947201055630007</c:v>
                </c:pt>
                <c:pt idx="12">
                  <c:v>35.631314475349981</c:v>
                </c:pt>
                <c:pt idx="13">
                  <c:v>32.201508781230004</c:v>
                </c:pt>
                <c:pt idx="14">
                  <c:v>39.429741521560018</c:v>
                </c:pt>
                <c:pt idx="15">
                  <c:v>33.935016863069997</c:v>
                </c:pt>
              </c:numCache>
            </c:numRef>
          </c:val>
          <c:smooth val="0"/>
          <c:extLst>
            <c:ext xmlns:c16="http://schemas.microsoft.com/office/drawing/2014/chart" uri="{C3380CC4-5D6E-409C-BE32-E72D297353CC}">
              <c16:uniqueId val="{00000007-9E76-400F-8404-798B071C90BF}"/>
            </c:ext>
          </c:extLst>
        </c:ser>
        <c:ser>
          <c:idx val="9"/>
          <c:order val="8"/>
          <c:tx>
            <c:strRef>
              <c:f>'G2-St.rozpočet-výdaje'!$J$31</c:f>
              <c:strCache>
                <c:ptCount val="1"/>
                <c:pt idx="0">
                  <c:v>State debt (net expenditures) *****</c:v>
                </c:pt>
              </c:strCache>
            </c:strRef>
          </c:tx>
          <c:spPr>
            <a:ln w="3175">
              <a:solidFill>
                <a:srgbClr val="7030A0"/>
              </a:solidFill>
              <a:prstDash val="dash"/>
            </a:ln>
          </c:spPr>
          <c:marker>
            <c:symbol val="square"/>
            <c:size val="5"/>
            <c:spPr>
              <a:solidFill>
                <a:schemeClr val="bg1"/>
              </a:solidFill>
              <a:ln>
                <a:solidFill>
                  <a:srgbClr val="7030A0"/>
                </a:solidFill>
              </a:ln>
            </c:spPr>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'G2-St.rozpočet-výdaje'!$J$35:$J$50</c:f>
              <c:numCache>
                <c:formatCode>0.0</c:formatCode>
                <c:ptCount val="16"/>
                <c:pt idx="0">
                  <c:v>16.5</c:v>
                </c:pt>
                <c:pt idx="1">
                  <c:v>25.770000000000003</c:v>
                </c:pt>
                <c:pt idx="2">
                  <c:v>21.27</c:v>
                </c:pt>
                <c:pt idx="3">
                  <c:v>25.81</c:v>
                </c:pt>
                <c:pt idx="4">
                  <c:v>26.419999999999998</c:v>
                </c:pt>
                <c:pt idx="5">
                  <c:v>30.400000000000002</c:v>
                </c:pt>
                <c:pt idx="6">
                  <c:v>26.86</c:v>
                </c:pt>
                <c:pt idx="7">
                  <c:v>23.55</c:v>
                </c:pt>
                <c:pt idx="8">
                  <c:v>23.76</c:v>
                </c:pt>
                <c:pt idx="9">
                  <c:v>18.739999999999998</c:v>
                </c:pt>
                <c:pt idx="10">
                  <c:v>20.11</c:v>
                </c:pt>
                <c:pt idx="11">
                  <c:v>16.91954772339</c:v>
                </c:pt>
                <c:pt idx="12">
                  <c:v>12.518656263610001</c:v>
                </c:pt>
                <c:pt idx="13">
                  <c:v>18.61619246826</c:v>
                </c:pt>
                <c:pt idx="14">
                  <c:v>23.0003230005</c:v>
                </c:pt>
                <c:pt idx="15">
                  <c:v>37.545198524830006</c:v>
                </c:pt>
              </c:numCache>
            </c:numRef>
          </c:val>
          <c:smooth val="0"/>
          <c:extLst>
            <c:ext xmlns:c16="http://schemas.microsoft.com/office/drawing/2014/chart" uri="{C3380CC4-5D6E-409C-BE32-E72D297353CC}">
              <c16:uniqueId val="{00000008-9E76-400F-8404-798B071C90BF}"/>
            </c:ext>
          </c:extLst>
        </c:ser>
        <c:ser>
          <c:idx val="8"/>
          <c:order val="9"/>
          <c:tx>
            <c:strRef>
              <c:f>'G2-St.rozpočet-výdaje'!$K$31</c:f>
              <c:strCache>
                <c:ptCount val="1"/>
                <c:pt idx="0">
                  <c:v>Non-invest. transfers to commercial ent.</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'G2-St.rozpočet-výdaje'!$K$35:$K$50</c:f>
              <c:numCache>
                <c:formatCode>0.0</c:formatCode>
                <c:ptCount val="16"/>
                <c:pt idx="0">
                  <c:v>13.86</c:v>
                </c:pt>
                <c:pt idx="1">
                  <c:v>13.8</c:v>
                </c:pt>
                <c:pt idx="2">
                  <c:v>15.068</c:v>
                </c:pt>
                <c:pt idx="3">
                  <c:v>15.095000000000001</c:v>
                </c:pt>
                <c:pt idx="4">
                  <c:v>18.314</c:v>
                </c:pt>
                <c:pt idx="5">
                  <c:v>16.995000000000001</c:v>
                </c:pt>
                <c:pt idx="6">
                  <c:v>19.023</c:v>
                </c:pt>
                <c:pt idx="7">
                  <c:v>18.837</c:v>
                </c:pt>
                <c:pt idx="8">
                  <c:v>18.062000000000001</c:v>
                </c:pt>
                <c:pt idx="9">
                  <c:v>23.908000000000001</c:v>
                </c:pt>
                <c:pt idx="10">
                  <c:v>28.649000000000001</c:v>
                </c:pt>
                <c:pt idx="11">
                  <c:v>28.899000000000001</c:v>
                </c:pt>
                <c:pt idx="12">
                  <c:v>52.881999999999998</c:v>
                </c:pt>
                <c:pt idx="13">
                  <c:v>85.23259722775002</c:v>
                </c:pt>
                <c:pt idx="14">
                  <c:v>34.10096142143</c:v>
                </c:pt>
                <c:pt idx="15">
                  <c:v>77.829618817300002</c:v>
                </c:pt>
              </c:numCache>
            </c:numRef>
          </c:val>
          <c:smooth val="0"/>
          <c:extLst>
            <c:ext xmlns:c16="http://schemas.microsoft.com/office/drawing/2014/chart" uri="{C3380CC4-5D6E-409C-BE32-E72D297353CC}">
              <c16:uniqueId val="{00000009-9E76-400F-8404-798B071C90BF}"/>
            </c:ext>
          </c:extLst>
        </c:ser>
        <c:ser>
          <c:idx val="10"/>
          <c:order val="10"/>
          <c:tx>
            <c:strRef>
              <c:f>'G2-St.rozpočet-výdaje'!$L$31</c:f>
              <c:strCache>
                <c:ptCount val="1"/>
                <c:pt idx="0">
                  <c:v>Total capital expenditures</c:v>
                </c:pt>
              </c:strCache>
            </c:strRef>
          </c:tx>
          <c:spPr>
            <a:ln w="15875">
              <a:solidFill>
                <a:srgbClr val="706840"/>
              </a:solidFill>
              <a:prstDash val="sysDash"/>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'G2-St.rozpočet-výdaje'!$L$35:$L$50</c:f>
              <c:numCache>
                <c:formatCode>0.0</c:formatCode>
                <c:ptCount val="16"/>
                <c:pt idx="0">
                  <c:v>53.505000000000003</c:v>
                </c:pt>
                <c:pt idx="1">
                  <c:v>51.149000000000001</c:v>
                </c:pt>
                <c:pt idx="2">
                  <c:v>55.872999999999998</c:v>
                </c:pt>
                <c:pt idx="3">
                  <c:v>47.277000000000001</c:v>
                </c:pt>
                <c:pt idx="4">
                  <c:v>41.93</c:v>
                </c:pt>
                <c:pt idx="5">
                  <c:v>36.779000000000003</c:v>
                </c:pt>
                <c:pt idx="6">
                  <c:v>34.893999999999998</c:v>
                </c:pt>
                <c:pt idx="7">
                  <c:v>54.02</c:v>
                </c:pt>
                <c:pt idx="8">
                  <c:v>39.090000000000003</c:v>
                </c:pt>
                <c:pt idx="9">
                  <c:v>20.309999999999999</c:v>
                </c:pt>
                <c:pt idx="10">
                  <c:v>33.25</c:v>
                </c:pt>
                <c:pt idx="11">
                  <c:v>45.820505926130004</c:v>
                </c:pt>
                <c:pt idx="12">
                  <c:v>64.976999301739994</c:v>
                </c:pt>
                <c:pt idx="13">
                  <c:v>59.7056835355</c:v>
                </c:pt>
                <c:pt idx="14">
                  <c:v>68.07113003696</c:v>
                </c:pt>
                <c:pt idx="15">
                  <c:v>79.024935165610003</c:v>
                </c:pt>
              </c:numCache>
            </c:numRef>
          </c:val>
          <c:smooth val="0"/>
          <c:extLst>
            <c:ext xmlns:c16="http://schemas.microsoft.com/office/drawing/2014/chart" uri="{C3380CC4-5D6E-409C-BE32-E72D297353CC}">
              <c16:uniqueId val="{0000000A-9E76-400F-8404-798B071C90BF}"/>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2220000"/>
          <a:lstStyle/>
          <a:p>
            <a:pPr>
              <a:defRPr/>
            </a:pPr>
            <a:endParaRPr lang="cs-CZ"/>
          </a:p>
        </c:txPr>
        <c:crossAx val="72829184"/>
        <c:crosses val="autoZero"/>
        <c:auto val="1"/>
        <c:lblAlgn val="ctr"/>
        <c:lblOffset val="0"/>
        <c:noMultiLvlLbl val="0"/>
      </c:catAx>
      <c:valAx>
        <c:axId val="72829184"/>
        <c:scaling>
          <c:orientation val="minMax"/>
          <c:max val="88"/>
          <c:min val="0"/>
        </c:scaling>
        <c:delete val="0"/>
        <c:axPos val="l"/>
        <c:majorGridlines>
          <c:spPr>
            <a:ln w="6350">
              <a:solidFill>
                <a:schemeClr val="bg1">
                  <a:lumMod val="75000"/>
                </a:schemeClr>
              </a:solidFill>
            </a:ln>
          </c:spPr>
        </c:majorGridlines>
        <c:title>
          <c:tx>
            <c:rich>
              <a:bodyPr/>
              <a:lstStyle/>
              <a:p>
                <a:pPr>
                  <a:defRPr sz="700" b="0" i="1"/>
                </a:pPr>
                <a:r>
                  <a:rPr lang="cs-CZ" sz="700" b="0" i="1"/>
                  <a:t>Selected expenditures</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8"/>
      </c:valAx>
      <c:valAx>
        <c:axId val="72835072"/>
        <c:scaling>
          <c:orientation val="minMax"/>
          <c:max val="1100"/>
          <c:min val="0"/>
        </c:scaling>
        <c:delete val="0"/>
        <c:axPos val="r"/>
        <c:title>
          <c:tx>
            <c:rich>
              <a:bodyPr/>
              <a:lstStyle/>
              <a:p>
                <a:pPr>
                  <a:defRPr sz="700" b="0" i="1"/>
                </a:pPr>
                <a:r>
                  <a:rPr lang="cs-CZ" sz="700" b="0" i="1"/>
                  <a:t>Total current expenditures, pensions</a:t>
                </a:r>
              </a:p>
            </c:rich>
          </c:tx>
          <c:layout>
            <c:manualLayout>
              <c:xMode val="edge"/>
              <c:yMode val="edge"/>
              <c:x val="0.96904914990503888"/>
              <c:y val="0.18297345985136199"/>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1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2.8258891545233356E-2"/>
          <c:y val="0.78994694453603698"/>
          <c:w val="0.95861688368777354"/>
          <c:h val="0.2027898112147393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63760458694316E-2"/>
          <c:y val="2.1433051007174339E-2"/>
          <c:w val="0.92385424401342719"/>
          <c:h val="0.7803745146125618"/>
        </c:manualLayout>
      </c:layout>
      <c:barChart>
        <c:barDir val="col"/>
        <c:grouping val="clustered"/>
        <c:varyColors val="0"/>
        <c:ser>
          <c:idx val="0"/>
          <c:order val="0"/>
          <c:tx>
            <c:strRef>
              <c:f>'G3-Sektor vlád.institucí'!$Z$104</c:f>
              <c:strCache>
                <c:ptCount val="1"/>
                <c:pt idx="0">
                  <c:v>EU27</c:v>
                </c:pt>
              </c:strCache>
            </c:strRef>
          </c:tx>
          <c:spPr>
            <a:solidFill>
              <a:schemeClr val="bg2">
                <a:lumMod val="90000"/>
              </a:schemeClr>
            </a:solidFill>
            <a:ln w="6350">
              <a:solidFill>
                <a:schemeClr val="bg2">
                  <a:lumMod val="50000"/>
                </a:schemeClr>
              </a:solidFill>
            </a:ln>
          </c:spPr>
          <c:invertIfNegative val="0"/>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vlád.institucí'!$AA$104:$BC$104</c:f>
              <c:numCache>
                <c:formatCode>#\ ##0.##########</c:formatCode>
                <c:ptCount val="29"/>
                <c:pt idx="0">
                  <c:v>-1.6</c:v>
                </c:pt>
                <c:pt idx="1">
                  <c:v>-1.4</c:v>
                </c:pt>
                <c:pt idx="2">
                  <c:v>-1.6</c:v>
                </c:pt>
                <c:pt idx="3">
                  <c:v>-0.8</c:v>
                </c:pt>
                <c:pt idx="4">
                  <c:v>-0.9</c:v>
                </c:pt>
                <c:pt idx="5">
                  <c:v>-1.2</c:v>
                </c:pt>
                <c:pt idx="6">
                  <c:v>-0.7</c:v>
                </c:pt>
                <c:pt idx="7">
                  <c:v>-0.3</c:v>
                </c:pt>
                <c:pt idx="8">
                  <c:v>-0.2</c:v>
                </c:pt>
                <c:pt idx="9">
                  <c:v>-0.1</c:v>
                </c:pt>
                <c:pt idx="10">
                  <c:v>-0.5</c:v>
                </c:pt>
                <c:pt idx="11">
                  <c:v>-0.7</c:v>
                </c:pt>
                <c:pt idx="12">
                  <c:v>-0.2</c:v>
                </c:pt>
                <c:pt idx="13">
                  <c:v>-0.2</c:v>
                </c:pt>
                <c:pt idx="14" formatCode="#\ ##0.0">
                  <c:v>-1</c:v>
                </c:pt>
                <c:pt idx="15">
                  <c:v>-0.8</c:v>
                </c:pt>
                <c:pt idx="16">
                  <c:v>-2.7</c:v>
                </c:pt>
                <c:pt idx="17">
                  <c:v>-11.7</c:v>
                </c:pt>
                <c:pt idx="18">
                  <c:v>-6.2</c:v>
                </c:pt>
                <c:pt idx="19">
                  <c:v>-6.8</c:v>
                </c:pt>
                <c:pt idx="20">
                  <c:v>-6.4</c:v>
                </c:pt>
                <c:pt idx="21" formatCode="#\ ##0.0">
                  <c:v>-6</c:v>
                </c:pt>
                <c:pt idx="22">
                  <c:v>-3.8</c:v>
                </c:pt>
                <c:pt idx="23">
                  <c:v>-3.1</c:v>
                </c:pt>
                <c:pt idx="24">
                  <c:v>-2.4</c:v>
                </c:pt>
                <c:pt idx="25">
                  <c:v>-2.2000000000000002</c:v>
                </c:pt>
                <c:pt idx="26">
                  <c:v>-4.3</c:v>
                </c:pt>
                <c:pt idx="27">
                  <c:v>-4.5</c:v>
                </c:pt>
                <c:pt idx="28" formatCode="#\ ##0.0">
                  <c:v>-3</c:v>
                </c:pt>
              </c:numCache>
            </c:numRef>
          </c:val>
          <c:extLst>
            <c:ext xmlns:c16="http://schemas.microsoft.com/office/drawing/2014/chart" uri="{C3380CC4-5D6E-409C-BE32-E72D297353CC}">
              <c16:uniqueId val="{00000000-CAD2-43BC-9FFE-C0863E4AB51D}"/>
            </c:ext>
          </c:extLst>
        </c:ser>
        <c:ser>
          <c:idx val="1"/>
          <c:order val="1"/>
          <c:tx>
            <c:strRef>
              <c:f>'G3-Sektor vlád.institucí'!$Z$105</c:f>
              <c:strCache>
                <c:ptCount val="1"/>
                <c:pt idx="0">
                  <c:v>CR</c:v>
                </c:pt>
              </c:strCache>
            </c:strRef>
          </c:tx>
          <c:spPr>
            <a:solidFill>
              <a:schemeClr val="bg2">
                <a:lumMod val="50000"/>
              </a:schemeClr>
            </a:solidFill>
            <a:ln w="6350">
              <a:noFill/>
            </a:ln>
          </c:spPr>
          <c:invertIfNegative val="0"/>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vlád.institucí'!$AA$105:$BC$105</c:f>
              <c:numCache>
                <c:formatCode>#\ ##0.##########</c:formatCode>
                <c:ptCount val="29"/>
                <c:pt idx="0">
                  <c:v>0.7</c:v>
                </c:pt>
                <c:pt idx="1">
                  <c:v>0.8</c:v>
                </c:pt>
                <c:pt idx="2" formatCode="#\ ##0.0">
                  <c:v>1</c:v>
                </c:pt>
                <c:pt idx="3">
                  <c:v>0.4</c:v>
                </c:pt>
                <c:pt idx="4">
                  <c:v>0.9</c:v>
                </c:pt>
                <c:pt idx="5">
                  <c:v>1.7</c:v>
                </c:pt>
                <c:pt idx="6">
                  <c:v>1.7</c:v>
                </c:pt>
                <c:pt idx="7">
                  <c:v>1.7</c:v>
                </c:pt>
                <c:pt idx="8">
                  <c:v>1.1000000000000001</c:v>
                </c:pt>
                <c:pt idx="9">
                  <c:v>1.6</c:v>
                </c:pt>
                <c:pt idx="10">
                  <c:v>0.3</c:v>
                </c:pt>
                <c:pt idx="11">
                  <c:v>0.6</c:v>
                </c:pt>
                <c:pt idx="12">
                  <c:v>0.9</c:v>
                </c:pt>
                <c:pt idx="13">
                  <c:v>1.1000000000000001</c:v>
                </c:pt>
                <c:pt idx="14">
                  <c:v>-0.1</c:v>
                </c:pt>
                <c:pt idx="15">
                  <c:v>-0.7</c:v>
                </c:pt>
                <c:pt idx="16">
                  <c:v>-2.6</c:v>
                </c:pt>
                <c:pt idx="17">
                  <c:v>-8.5</c:v>
                </c:pt>
                <c:pt idx="18" formatCode="#\ ##0.0">
                  <c:v>-5</c:v>
                </c:pt>
                <c:pt idx="19">
                  <c:v>-7.2</c:v>
                </c:pt>
                <c:pt idx="20">
                  <c:v>-7.5</c:v>
                </c:pt>
                <c:pt idx="21">
                  <c:v>-4.9000000000000004</c:v>
                </c:pt>
                <c:pt idx="22">
                  <c:v>-4.0999999999999996</c:v>
                </c:pt>
                <c:pt idx="23" formatCode="#\ ##0.0">
                  <c:v>-4</c:v>
                </c:pt>
                <c:pt idx="24">
                  <c:v>-2.9</c:v>
                </c:pt>
                <c:pt idx="25">
                  <c:v>-2.8</c:v>
                </c:pt>
                <c:pt idx="26">
                  <c:v>-4.5999999999999996</c:v>
                </c:pt>
                <c:pt idx="27">
                  <c:v>-4.2</c:v>
                </c:pt>
                <c:pt idx="28">
                  <c:v>-4.2</c:v>
                </c:pt>
              </c:numCache>
            </c:numRef>
          </c:val>
          <c:extLst>
            <c:ext xmlns:c16="http://schemas.microsoft.com/office/drawing/2014/chart" uri="{C3380CC4-5D6E-409C-BE32-E72D297353CC}">
              <c16:uniqueId val="{00000001-CAD2-43BC-9FFE-C0863E4AB51D}"/>
            </c:ext>
          </c:extLst>
        </c:ser>
        <c:dLbls>
          <c:showLegendKey val="0"/>
          <c:showVal val="0"/>
          <c:showCatName val="0"/>
          <c:showSerName val="0"/>
          <c:showPercent val="0"/>
          <c:showBubbleSize val="0"/>
        </c:dLbls>
        <c:gapWidth val="120"/>
        <c:axId val="72827648"/>
        <c:axId val="72829184"/>
      </c:barChart>
      <c:lineChart>
        <c:grouping val="standard"/>
        <c:varyColors val="0"/>
        <c:ser>
          <c:idx val="6"/>
          <c:order val="2"/>
          <c:tx>
            <c:strRef>
              <c:f>'G3-Sektor vlád.institucí'!$Z$106</c:f>
              <c:strCache>
                <c:ptCount val="1"/>
                <c:pt idx="0">
                  <c:v>Slovakia</c:v>
                </c:pt>
              </c:strCache>
            </c:strRef>
          </c:tx>
          <c:spPr>
            <a:ln w="15875">
              <a:solidFill>
                <a:srgbClr val="00B050"/>
              </a:solidFill>
              <a:prstDash val="sys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vlád.institucí'!$AA$106:$BC$106</c:f>
              <c:numCache>
                <c:formatCode>#\ ##0.0</c:formatCode>
                <c:ptCount val="29"/>
                <c:pt idx="0" formatCode="#\ ##0.##########">
                  <c:v>-3.3</c:v>
                </c:pt>
                <c:pt idx="1">
                  <c:v>-3</c:v>
                </c:pt>
                <c:pt idx="2" formatCode="#\ ##0.##########">
                  <c:v>-2.2999999999999998</c:v>
                </c:pt>
                <c:pt idx="3" formatCode="#\ ##0.##########">
                  <c:v>-1.9</c:v>
                </c:pt>
                <c:pt idx="4" formatCode="#\ ##0.##########">
                  <c:v>-2.1</c:v>
                </c:pt>
                <c:pt idx="5" formatCode="#\ ##0.##########">
                  <c:v>-1.2</c:v>
                </c:pt>
                <c:pt idx="6" formatCode="#\ ##0.##########">
                  <c:v>-1.4</c:v>
                </c:pt>
                <c:pt idx="7" formatCode="#\ ##0.##########">
                  <c:v>0.5</c:v>
                </c:pt>
                <c:pt idx="8" formatCode="#\ ##0.##########">
                  <c:v>-1.2</c:v>
                </c:pt>
                <c:pt idx="9">
                  <c:v>-1</c:v>
                </c:pt>
                <c:pt idx="10" formatCode="#\ ##0.##########">
                  <c:v>-1.4</c:v>
                </c:pt>
                <c:pt idx="11" formatCode="#\ ##0.##########">
                  <c:v>-0.3</c:v>
                </c:pt>
                <c:pt idx="12" formatCode="#\ ##0.##########">
                  <c:v>-1.1000000000000001</c:v>
                </c:pt>
                <c:pt idx="13" formatCode="#\ ##0.##########">
                  <c:v>-1.2</c:v>
                </c:pt>
                <c:pt idx="14" formatCode="#\ ##0.##########">
                  <c:v>-1.9</c:v>
                </c:pt>
                <c:pt idx="15" formatCode="#\ ##0.##########">
                  <c:v>-0.5</c:v>
                </c:pt>
                <c:pt idx="16" formatCode="#\ ##0.##########">
                  <c:v>-2.9</c:v>
                </c:pt>
                <c:pt idx="17" formatCode="#\ ##0.##########">
                  <c:v>-7.4</c:v>
                </c:pt>
                <c:pt idx="18" formatCode="#\ ##0.##########">
                  <c:v>-5.2</c:v>
                </c:pt>
                <c:pt idx="19" formatCode="#\ ##0.##########">
                  <c:v>-5.7</c:v>
                </c:pt>
                <c:pt idx="20" formatCode="#\ ##0.##########">
                  <c:v>-6.1</c:v>
                </c:pt>
                <c:pt idx="21" formatCode="#\ ##0.##########">
                  <c:v>-6.9</c:v>
                </c:pt>
                <c:pt idx="22" formatCode="#\ ##0.##########">
                  <c:v>-3.6</c:v>
                </c:pt>
                <c:pt idx="23" formatCode="#\ ##0.##########">
                  <c:v>-5.2</c:v>
                </c:pt>
                <c:pt idx="24" formatCode="#\ ##0.##########">
                  <c:v>-1.9</c:v>
                </c:pt>
                <c:pt idx="25" formatCode="#\ ##0.##########">
                  <c:v>-1.9</c:v>
                </c:pt>
                <c:pt idx="26" formatCode="#\ ##0.##########">
                  <c:v>-1.7</c:v>
                </c:pt>
                <c:pt idx="27" formatCode="#\ ##0.##########">
                  <c:v>-2.7</c:v>
                </c:pt>
                <c:pt idx="28" formatCode="#\ ##0.##########">
                  <c:v>-3.8</c:v>
                </c:pt>
              </c:numCache>
            </c:numRef>
          </c:val>
          <c:smooth val="0"/>
          <c:extLst>
            <c:ext xmlns:c16="http://schemas.microsoft.com/office/drawing/2014/chart" uri="{C3380CC4-5D6E-409C-BE32-E72D297353CC}">
              <c16:uniqueId val="{00000002-CAD2-43BC-9FFE-C0863E4AB51D}"/>
            </c:ext>
          </c:extLst>
        </c:ser>
        <c:ser>
          <c:idx val="7"/>
          <c:order val="3"/>
          <c:tx>
            <c:strRef>
              <c:f>'G3-Sektor vlád.institucí'!$Z$107</c:f>
              <c:strCache>
                <c:ptCount val="1"/>
                <c:pt idx="0">
                  <c:v>Poland</c:v>
                </c:pt>
              </c:strCache>
            </c:strRef>
          </c:tx>
          <c:spPr>
            <a:ln w="15875">
              <a:solidFill>
                <a:schemeClr val="accent6">
                  <a:lumMod val="75000"/>
                </a:schemeClr>
              </a:solidFill>
              <a:prstDash val="sys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vlád.institucí'!$AA$107:$BC$107</c:f>
              <c:numCache>
                <c:formatCode>#\ ##0.##########</c:formatCode>
                <c:ptCount val="29"/>
                <c:pt idx="0">
                  <c:v>-2.2999999999999998</c:v>
                </c:pt>
                <c:pt idx="1">
                  <c:v>-2.2000000000000002</c:v>
                </c:pt>
                <c:pt idx="2">
                  <c:v>-2.4</c:v>
                </c:pt>
                <c:pt idx="3">
                  <c:v>-2.2000000000000002</c:v>
                </c:pt>
                <c:pt idx="4" formatCode="#\ ##0.0">
                  <c:v>-2</c:v>
                </c:pt>
                <c:pt idx="5">
                  <c:v>-1.3</c:v>
                </c:pt>
                <c:pt idx="6">
                  <c:v>-1.4</c:v>
                </c:pt>
                <c:pt idx="7" formatCode="#\ ##0.0">
                  <c:v>-1</c:v>
                </c:pt>
                <c:pt idx="8">
                  <c:v>-0.9</c:v>
                </c:pt>
                <c:pt idx="9">
                  <c:v>0.1</c:v>
                </c:pt>
                <c:pt idx="10">
                  <c:v>-0.3</c:v>
                </c:pt>
                <c:pt idx="11">
                  <c:v>0.2</c:v>
                </c:pt>
                <c:pt idx="12">
                  <c:v>0.3</c:v>
                </c:pt>
                <c:pt idx="13" formatCode="#\ ##0.0">
                  <c:v>-1</c:v>
                </c:pt>
                <c:pt idx="14">
                  <c:v>-0.7</c:v>
                </c:pt>
                <c:pt idx="15">
                  <c:v>-1.6</c:v>
                </c:pt>
                <c:pt idx="16">
                  <c:v>-3.8</c:v>
                </c:pt>
                <c:pt idx="17">
                  <c:v>-16.899999999999999</c:v>
                </c:pt>
                <c:pt idx="18">
                  <c:v>-4.2</c:v>
                </c:pt>
                <c:pt idx="19">
                  <c:v>-2.9</c:v>
                </c:pt>
                <c:pt idx="20">
                  <c:v>-2.7</c:v>
                </c:pt>
                <c:pt idx="21">
                  <c:v>-1.5</c:v>
                </c:pt>
                <c:pt idx="22">
                  <c:v>-0.5</c:v>
                </c:pt>
                <c:pt idx="23">
                  <c:v>-2.8</c:v>
                </c:pt>
                <c:pt idx="24">
                  <c:v>-0.8</c:v>
                </c:pt>
                <c:pt idx="25">
                  <c:v>-1.3</c:v>
                </c:pt>
                <c:pt idx="26">
                  <c:v>-3.8</c:v>
                </c:pt>
                <c:pt idx="27">
                  <c:v>-8.4</c:v>
                </c:pt>
                <c:pt idx="28" formatCode="#\ ##0.0">
                  <c:v>-2</c:v>
                </c:pt>
              </c:numCache>
            </c:numRef>
          </c:val>
          <c:smooth val="0"/>
          <c:extLst>
            <c:ext xmlns:c16="http://schemas.microsoft.com/office/drawing/2014/chart" uri="{C3380CC4-5D6E-409C-BE32-E72D297353CC}">
              <c16:uniqueId val="{00000003-CAD2-43BC-9FFE-C0863E4AB51D}"/>
            </c:ext>
          </c:extLst>
        </c:ser>
        <c:ser>
          <c:idx val="2"/>
          <c:order val="4"/>
          <c:tx>
            <c:strRef>
              <c:f>'G3-Sektor vlád.institucí'!$Z$108</c:f>
              <c:strCache>
                <c:ptCount val="1"/>
                <c:pt idx="0">
                  <c:v>Hungary</c:v>
                </c:pt>
              </c:strCache>
            </c:strRef>
          </c:tx>
          <c:spPr>
            <a:ln w="15875">
              <a:solidFill>
                <a:srgbClr val="D5D000"/>
              </a:solidFill>
              <a:prstDash val="sys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vlád.institucí'!$AA$108:$BC$108</c:f>
              <c:numCache>
                <c:formatCode>#\ ##0.##########</c:formatCode>
                <c:ptCount val="29"/>
                <c:pt idx="0">
                  <c:v>-2.5</c:v>
                </c:pt>
                <c:pt idx="1">
                  <c:v>-2.1</c:v>
                </c:pt>
                <c:pt idx="2">
                  <c:v>-0.5</c:v>
                </c:pt>
                <c:pt idx="3">
                  <c:v>-2.1</c:v>
                </c:pt>
                <c:pt idx="4">
                  <c:v>-0.6</c:v>
                </c:pt>
                <c:pt idx="5">
                  <c:v>-2.7</c:v>
                </c:pt>
                <c:pt idx="6">
                  <c:v>-5.0999999999999996</c:v>
                </c:pt>
                <c:pt idx="7">
                  <c:v>-1.5</c:v>
                </c:pt>
                <c:pt idx="8">
                  <c:v>-3.5</c:v>
                </c:pt>
                <c:pt idx="9">
                  <c:v>-2.8</c:v>
                </c:pt>
                <c:pt idx="10">
                  <c:v>-1.7</c:v>
                </c:pt>
                <c:pt idx="11">
                  <c:v>-0.4</c:v>
                </c:pt>
                <c:pt idx="12">
                  <c:v>-1.5</c:v>
                </c:pt>
                <c:pt idx="13">
                  <c:v>-1.4</c:v>
                </c:pt>
                <c:pt idx="14">
                  <c:v>-4.5</c:v>
                </c:pt>
                <c:pt idx="15">
                  <c:v>-0.8</c:v>
                </c:pt>
                <c:pt idx="16">
                  <c:v>-3.3</c:v>
                </c:pt>
                <c:pt idx="17">
                  <c:v>-10.8</c:v>
                </c:pt>
                <c:pt idx="18">
                  <c:v>-5.6</c:v>
                </c:pt>
                <c:pt idx="19">
                  <c:v>-10.6</c:v>
                </c:pt>
                <c:pt idx="20">
                  <c:v>-8.9</c:v>
                </c:pt>
                <c:pt idx="21">
                  <c:v>-6.9</c:v>
                </c:pt>
                <c:pt idx="22">
                  <c:v>-6.4</c:v>
                </c:pt>
                <c:pt idx="23">
                  <c:v>-6.5</c:v>
                </c:pt>
                <c:pt idx="24">
                  <c:v>-4.5999999999999996</c:v>
                </c:pt>
                <c:pt idx="25">
                  <c:v>-3.6</c:v>
                </c:pt>
                <c:pt idx="26" formatCode="#\ ##0.0">
                  <c:v>-7</c:v>
                </c:pt>
                <c:pt idx="27">
                  <c:v>-9.4</c:v>
                </c:pt>
                <c:pt idx="28">
                  <c:v>-11.1</c:v>
                </c:pt>
              </c:numCache>
            </c:numRef>
          </c:val>
          <c:smooth val="0"/>
          <c:extLst>
            <c:ext xmlns:c16="http://schemas.microsoft.com/office/drawing/2014/chart" uri="{C3380CC4-5D6E-409C-BE32-E72D297353CC}">
              <c16:uniqueId val="{00000004-CAD2-43BC-9FFE-C0863E4AB51D}"/>
            </c:ext>
          </c:extLst>
        </c:ser>
        <c:ser>
          <c:idx val="3"/>
          <c:order val="5"/>
          <c:tx>
            <c:strRef>
              <c:f>'G3-Sektor vlád.institucí'!$Z$109</c:f>
              <c:strCache>
                <c:ptCount val="1"/>
                <c:pt idx="0">
                  <c:v>Germany</c:v>
                </c:pt>
              </c:strCache>
            </c:strRef>
          </c:tx>
          <c:spPr>
            <a:ln w="15875">
              <a:solidFill>
                <a:srgbClr val="7030A0"/>
              </a:solidFill>
              <a:prstDash val="sys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vlád.institucí'!$AA$109:$BC$109</c:f>
              <c:numCache>
                <c:formatCode>#\ ##0.##########</c:formatCode>
                <c:ptCount val="29"/>
                <c:pt idx="0">
                  <c:v>1.1000000000000001</c:v>
                </c:pt>
                <c:pt idx="1">
                  <c:v>0.9</c:v>
                </c:pt>
                <c:pt idx="2">
                  <c:v>0.5</c:v>
                </c:pt>
                <c:pt idx="3">
                  <c:v>2.1</c:v>
                </c:pt>
                <c:pt idx="4">
                  <c:v>1.6</c:v>
                </c:pt>
                <c:pt idx="5">
                  <c:v>0.4</c:v>
                </c:pt>
                <c:pt idx="6">
                  <c:v>1.5</c:v>
                </c:pt>
                <c:pt idx="7">
                  <c:v>1.8</c:v>
                </c:pt>
                <c:pt idx="8">
                  <c:v>2.5</c:v>
                </c:pt>
                <c:pt idx="9">
                  <c:v>2.6</c:v>
                </c:pt>
                <c:pt idx="10">
                  <c:v>1.6</c:v>
                </c:pt>
                <c:pt idx="11">
                  <c:v>1.1000000000000001</c:v>
                </c:pt>
                <c:pt idx="12">
                  <c:v>2.4</c:v>
                </c:pt>
                <c:pt idx="13">
                  <c:v>2.1</c:v>
                </c:pt>
                <c:pt idx="14">
                  <c:v>0.6</c:v>
                </c:pt>
                <c:pt idx="15">
                  <c:v>1.1000000000000001</c:v>
                </c:pt>
                <c:pt idx="16">
                  <c:v>0.7</c:v>
                </c:pt>
                <c:pt idx="17">
                  <c:v>-8.3000000000000007</c:v>
                </c:pt>
                <c:pt idx="18">
                  <c:v>-5.9</c:v>
                </c:pt>
                <c:pt idx="19">
                  <c:v>-4.2</c:v>
                </c:pt>
                <c:pt idx="20">
                  <c:v>-4.5999999999999996</c:v>
                </c:pt>
                <c:pt idx="21">
                  <c:v>-5.5</c:v>
                </c:pt>
                <c:pt idx="22">
                  <c:v>-3.2</c:v>
                </c:pt>
                <c:pt idx="23">
                  <c:v>-1.8</c:v>
                </c:pt>
                <c:pt idx="24">
                  <c:v>-0.9</c:v>
                </c:pt>
                <c:pt idx="25">
                  <c:v>-1.1000000000000001</c:v>
                </c:pt>
                <c:pt idx="26">
                  <c:v>-5.4</c:v>
                </c:pt>
                <c:pt idx="27">
                  <c:v>-3.5</c:v>
                </c:pt>
                <c:pt idx="28">
                  <c:v>-2.2000000000000002</c:v>
                </c:pt>
              </c:numCache>
            </c:numRef>
          </c:val>
          <c:smooth val="0"/>
          <c:extLst>
            <c:ext xmlns:c16="http://schemas.microsoft.com/office/drawing/2014/chart" uri="{C3380CC4-5D6E-409C-BE32-E72D297353CC}">
              <c16:uniqueId val="{00000005-CAD2-43BC-9FFE-C0863E4AB51D}"/>
            </c:ext>
          </c:extLst>
        </c:ser>
        <c:ser>
          <c:idx val="4"/>
          <c:order val="6"/>
          <c:tx>
            <c:strRef>
              <c:f>'G3-Sektor vlád.institucí'!$Z$110</c:f>
              <c:strCache>
                <c:ptCount val="1"/>
                <c:pt idx="0">
                  <c:v>Austria</c:v>
                </c:pt>
              </c:strCache>
            </c:strRef>
          </c:tx>
          <c:spPr>
            <a:ln w="15875">
              <a:solidFill>
                <a:srgbClr val="00B0F0"/>
              </a:solidFill>
              <a:prstDash val="sys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vlád.institucí'!$AA$110:$BC$110</c:f>
              <c:numCache>
                <c:formatCode>#\ ##0.##########</c:formatCode>
                <c:ptCount val="29"/>
                <c:pt idx="0">
                  <c:v>-1.6</c:v>
                </c:pt>
                <c:pt idx="1">
                  <c:v>-0.8</c:v>
                </c:pt>
                <c:pt idx="2">
                  <c:v>-1.2</c:v>
                </c:pt>
                <c:pt idx="3">
                  <c:v>-2.5</c:v>
                </c:pt>
                <c:pt idx="4">
                  <c:v>-0.2</c:v>
                </c:pt>
                <c:pt idx="5">
                  <c:v>-1.8</c:v>
                </c:pt>
                <c:pt idx="6">
                  <c:v>-0.5</c:v>
                </c:pt>
                <c:pt idx="7">
                  <c:v>-0.7</c:v>
                </c:pt>
                <c:pt idx="8">
                  <c:v>0.7</c:v>
                </c:pt>
                <c:pt idx="9">
                  <c:v>0.2</c:v>
                </c:pt>
                <c:pt idx="10" formatCode="#\ ##0.0">
                  <c:v>0</c:v>
                </c:pt>
                <c:pt idx="11">
                  <c:v>-0.2</c:v>
                </c:pt>
                <c:pt idx="12">
                  <c:v>-0.1</c:v>
                </c:pt>
                <c:pt idx="13">
                  <c:v>0.7</c:v>
                </c:pt>
                <c:pt idx="14">
                  <c:v>0.4</c:v>
                </c:pt>
                <c:pt idx="15">
                  <c:v>1.2</c:v>
                </c:pt>
                <c:pt idx="16">
                  <c:v>-0.2</c:v>
                </c:pt>
                <c:pt idx="17">
                  <c:v>-13.7</c:v>
                </c:pt>
                <c:pt idx="18">
                  <c:v>-7.6</c:v>
                </c:pt>
                <c:pt idx="19">
                  <c:v>-11.1</c:v>
                </c:pt>
                <c:pt idx="20">
                  <c:v>-11.7</c:v>
                </c:pt>
                <c:pt idx="21">
                  <c:v>-7.6</c:v>
                </c:pt>
                <c:pt idx="22">
                  <c:v>-2.5</c:v>
                </c:pt>
                <c:pt idx="23">
                  <c:v>-1.9</c:v>
                </c:pt>
                <c:pt idx="24">
                  <c:v>-2.4</c:v>
                </c:pt>
                <c:pt idx="25">
                  <c:v>-0.4</c:v>
                </c:pt>
                <c:pt idx="26">
                  <c:v>-5.2</c:v>
                </c:pt>
                <c:pt idx="27">
                  <c:v>-4.5999999999999996</c:v>
                </c:pt>
                <c:pt idx="28">
                  <c:v>-2.6</c:v>
                </c:pt>
              </c:numCache>
            </c:numRef>
          </c:val>
          <c:smooth val="0"/>
          <c:extLst>
            <c:ext xmlns:c16="http://schemas.microsoft.com/office/drawing/2014/chart" uri="{C3380CC4-5D6E-409C-BE32-E72D297353CC}">
              <c16:uniqueId val="{00000006-CAD2-43BC-9FFE-C0863E4AB51D}"/>
            </c:ext>
          </c:extLst>
        </c:ser>
        <c:ser>
          <c:idx val="5"/>
          <c:order val="7"/>
          <c:tx>
            <c:strRef>
              <c:f>'G3-Sektor vlád.institucí'!$Z$111</c:f>
              <c:strCache>
                <c:ptCount val="1"/>
                <c:pt idx="0">
                  <c:v>Denmark</c:v>
                </c:pt>
              </c:strCache>
            </c:strRef>
          </c:tx>
          <c:spPr>
            <a:ln w="15875">
              <a:solidFill>
                <a:srgbClr val="996633"/>
              </a:solidFill>
              <a:prstDash val="dash"/>
            </a:ln>
          </c:spPr>
          <c:marker>
            <c:symbol val="none"/>
          </c:marker>
          <c:cat>
            <c:multiLvlStrRef>
              <c:f>'G3-Sektor vlád.institucí'!$AA$102:$BC$103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2016</c:v>
                  </c:pt>
                  <c:pt idx="4">
                    <c:v>2017</c:v>
                  </c:pt>
                  <c:pt idx="8">
                    <c:v>2018</c:v>
                  </c:pt>
                  <c:pt idx="12">
                    <c:v>2019</c:v>
                  </c:pt>
                  <c:pt idx="16">
                    <c:v>2020</c:v>
                  </c:pt>
                  <c:pt idx="20">
                    <c:v>2021</c:v>
                  </c:pt>
                  <c:pt idx="24">
                    <c:v>2022</c:v>
                  </c:pt>
                  <c:pt idx="28">
                    <c:v>2023</c:v>
                  </c:pt>
                </c:lvl>
              </c:multiLvlStrCache>
            </c:multiLvlStrRef>
          </c:cat>
          <c:val>
            <c:numRef>
              <c:f>'G3-Sektor vlád.institucí'!$AA$111:$BC$111</c:f>
              <c:numCache>
                <c:formatCode>#\ ##0.##########</c:formatCode>
                <c:ptCount val="29"/>
                <c:pt idx="0">
                  <c:v>-0.4</c:v>
                </c:pt>
                <c:pt idx="1">
                  <c:v>-0.6</c:v>
                </c:pt>
                <c:pt idx="2">
                  <c:v>-0.4</c:v>
                </c:pt>
                <c:pt idx="3">
                  <c:v>0.6</c:v>
                </c:pt>
                <c:pt idx="4">
                  <c:v>2.2000000000000002</c:v>
                </c:pt>
                <c:pt idx="5">
                  <c:v>1.3</c:v>
                </c:pt>
                <c:pt idx="6">
                  <c:v>1.7</c:v>
                </c:pt>
                <c:pt idx="7" formatCode="#\ ##0.0">
                  <c:v>2</c:v>
                </c:pt>
                <c:pt idx="8">
                  <c:v>1.1000000000000001</c:v>
                </c:pt>
                <c:pt idx="9">
                  <c:v>1.2</c:v>
                </c:pt>
                <c:pt idx="10">
                  <c:v>1.7</c:v>
                </c:pt>
                <c:pt idx="11">
                  <c:v>-0.1</c:v>
                </c:pt>
                <c:pt idx="12">
                  <c:v>5.5</c:v>
                </c:pt>
                <c:pt idx="13">
                  <c:v>4.9000000000000004</c:v>
                </c:pt>
                <c:pt idx="14">
                  <c:v>3.3</c:v>
                </c:pt>
                <c:pt idx="15">
                  <c:v>3.1</c:v>
                </c:pt>
                <c:pt idx="16">
                  <c:v>1.8</c:v>
                </c:pt>
                <c:pt idx="17">
                  <c:v>-1.5</c:v>
                </c:pt>
                <c:pt idx="18">
                  <c:v>0.2</c:v>
                </c:pt>
                <c:pt idx="19">
                  <c:v>1.7</c:v>
                </c:pt>
                <c:pt idx="20">
                  <c:v>3.9</c:v>
                </c:pt>
                <c:pt idx="21">
                  <c:v>4.7</c:v>
                </c:pt>
                <c:pt idx="22">
                  <c:v>4.7</c:v>
                </c:pt>
                <c:pt idx="23">
                  <c:v>3.4</c:v>
                </c:pt>
                <c:pt idx="24">
                  <c:v>3.7</c:v>
                </c:pt>
                <c:pt idx="25">
                  <c:v>3.6</c:v>
                </c:pt>
                <c:pt idx="26">
                  <c:v>2.8</c:v>
                </c:pt>
                <c:pt idx="27">
                  <c:v>3.4</c:v>
                </c:pt>
                <c:pt idx="28" formatCode="#\ ##0.0">
                  <c:v>3</c:v>
                </c:pt>
              </c:numCache>
            </c:numRef>
          </c:val>
          <c:smooth val="0"/>
          <c:extLst>
            <c:ext xmlns:c16="http://schemas.microsoft.com/office/drawing/2014/chart" uri="{C3380CC4-5D6E-409C-BE32-E72D297353CC}">
              <c16:uniqueId val="{00000007-CAD2-43BC-9FFE-C0863E4AB51D}"/>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0"/>
          <a:lstStyle/>
          <a:p>
            <a:pPr>
              <a:defRPr/>
            </a:pPr>
            <a:endParaRPr lang="cs-CZ"/>
          </a:p>
        </c:txPr>
        <c:crossAx val="72829184"/>
        <c:crosses val="autoZero"/>
        <c:auto val="1"/>
        <c:lblAlgn val="ctr"/>
        <c:lblOffset val="0"/>
        <c:noMultiLvlLbl val="0"/>
      </c:catAx>
      <c:valAx>
        <c:axId val="72829184"/>
        <c:scaling>
          <c:orientation val="minMax"/>
          <c:max val="6"/>
          <c:min val="-18"/>
        </c:scaling>
        <c:delete val="0"/>
        <c:axPos val="l"/>
        <c:majorGridlines>
          <c:spPr>
            <a:ln w="6350">
              <a:solidFill>
                <a:schemeClr val="bg1">
                  <a:lumMod val="75000"/>
                </a:schemeClr>
              </a:solidFill>
            </a:ln>
          </c:spPr>
        </c:majorGridlines>
        <c:numFmt formatCode="0" sourceLinked="0"/>
        <c:majorTickMark val="out"/>
        <c:minorTickMark val="none"/>
        <c:tickLblPos val="nextTo"/>
        <c:spPr>
          <a:ln w="6350">
            <a:solidFill>
              <a:schemeClr val="tx1"/>
            </a:solidFill>
          </a:ln>
        </c:spPr>
        <c:crossAx val="72827648"/>
        <c:crosses val="autoZero"/>
        <c:crossBetween val="between"/>
        <c:majorUnit val="3"/>
      </c:valAx>
      <c:spPr>
        <a:ln w="6350">
          <a:solidFill>
            <a:schemeClr val="tx1"/>
          </a:solidFill>
        </a:ln>
      </c:spPr>
    </c:plotArea>
    <c:legend>
      <c:legendPos val="b"/>
      <c:layout>
        <c:manualLayout>
          <c:xMode val="edge"/>
          <c:yMode val="edge"/>
          <c:x val="5.2473172038967411E-2"/>
          <c:y val="0.89790244414461118"/>
          <c:w val="0.92331254746729852"/>
          <c:h val="9.4064682258848412E-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3" ma:contentTypeDescription="Vytvoří nový dokument" ma:contentTypeScope="" ma:versionID="3072f6f3e77686ec6964bf5712aff85a">
  <xsd:schema xmlns:xsd="http://www.w3.org/2001/XMLSchema" xmlns:xs="http://www.w3.org/2001/XMLSchema" xmlns:p="http://schemas.microsoft.com/office/2006/metadata/properties" xmlns:ns2="eabc42bd-08fe-4a27-9645-04f6ad96d74a" targetNamespace="http://schemas.microsoft.com/office/2006/metadata/properties" ma:root="true" ma:fieldsID="572e7ed591a9b745512fd70b2662d46d" ns2:_="">
    <xsd:import namespace="eabc42bd-08fe-4a27-9645-04f6ad96d7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0CFD8-CD6F-4E0C-A345-781C95A8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782B4-D83A-4568-B4EA-525F32D2C40A}">
  <ds:schemaRefs>
    <ds:schemaRef ds:uri="http://schemas.openxmlformats.org/officeDocument/2006/bibliography"/>
  </ds:schemaRefs>
</ds:datastoreItem>
</file>

<file path=customXml/itemProps5.xml><?xml version="1.0" encoding="utf-8"?>
<ds:datastoreItem xmlns:ds="http://schemas.openxmlformats.org/officeDocument/2006/customXml" ds:itemID="{6CDBC94C-68DA-4A42-8F1D-A0FF40BE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5</TotalTime>
  <Pages>7</Pages>
  <Words>3267</Words>
  <Characters>19282</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2023-06-09T17:23:00Z</cp:lastPrinted>
  <dcterms:created xsi:type="dcterms:W3CDTF">2023-10-17T10:13:00Z</dcterms:created>
  <dcterms:modified xsi:type="dcterms:W3CDTF">2023-10-17T10:30:00Z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2023-09-17T16:05:15Z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bc2e51ea-0f16-4c13-bd82-d5a39cb11630</vt:lpwstr>
  </property>
  <property fmtid="{D5CDD505-2E9C-101B-9397-08002B2CF9AE}" pid="9" name="MSIP_Label_29db9e61-aac5-4f6e-805d-ceb8cb9983a1_ContentBits">
    <vt:lpwstr>0</vt:lpwstr>
  </property>
</Properties>
</file>