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1CA90" w14:textId="798867F9" w:rsidR="00EA1EBB" w:rsidRPr="006E725C" w:rsidRDefault="00EA1EBB" w:rsidP="00EA1EBB">
      <w:pPr>
        <w:pStyle w:val="Nadpis1"/>
        <w:rPr>
          <w:lang w:val="en-GB"/>
        </w:rPr>
      </w:pPr>
      <w:bookmarkStart w:id="0" w:name="_Toc145318531"/>
      <w:bookmarkStart w:id="1" w:name="_Toc153531174"/>
      <w:bookmarkStart w:id="2" w:name="_Toc161914422"/>
      <w:bookmarkStart w:id="3" w:name="_Toc137233026"/>
      <w:bookmarkStart w:id="4" w:name="_Toc130286019"/>
      <w:bookmarkStart w:id="5" w:name="_Toc114134050"/>
      <w:bookmarkStart w:id="6" w:name="_Toc121993822"/>
      <w:r w:rsidRPr="006E725C">
        <w:rPr>
          <w:lang w:val="en-GB"/>
        </w:rPr>
        <w:t>2. </w:t>
      </w:r>
      <w:r w:rsidR="0037480D" w:rsidRPr="006E725C">
        <w:rPr>
          <w:lang w:val="en-GB"/>
        </w:rPr>
        <w:t>Overall Economic Performance</w:t>
      </w:r>
      <w:bookmarkEnd w:id="0"/>
      <w:bookmarkEnd w:id="1"/>
      <w:bookmarkEnd w:id="2"/>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EA1EBB" w:rsidRPr="006E725C" w14:paraId="2F58A64B" w14:textId="77777777" w:rsidTr="005855B4">
        <w:trPr>
          <w:trHeight w:val="145"/>
        </w:trPr>
        <w:tc>
          <w:tcPr>
            <w:tcW w:w="1806" w:type="dxa"/>
            <w:shd w:val="clear" w:color="auto" w:fill="auto"/>
            <w:tcMar>
              <w:left w:w="0" w:type="dxa"/>
            </w:tcMar>
          </w:tcPr>
          <w:p w14:paraId="3A54FC82" w14:textId="0AC50BBF" w:rsidR="00EA1EBB" w:rsidRPr="006E725C" w:rsidRDefault="0037480D" w:rsidP="00BA5125">
            <w:pPr>
              <w:pStyle w:val="Marginlie"/>
              <w:rPr>
                <w:lang w:val="en-GB"/>
              </w:rPr>
            </w:pPr>
            <w:r w:rsidRPr="006E725C">
              <w:rPr>
                <w:lang w:val="en-GB"/>
              </w:rPr>
              <w:t xml:space="preserve">The Czech economy </w:t>
            </w:r>
            <w:r w:rsidR="00402222" w:rsidRPr="006E725C">
              <w:rPr>
                <w:lang w:val="en-GB"/>
              </w:rPr>
              <w:t>was on a decline last year.</w:t>
            </w:r>
          </w:p>
        </w:tc>
        <w:tc>
          <w:tcPr>
            <w:tcW w:w="223" w:type="dxa"/>
            <w:shd w:val="clear" w:color="auto" w:fill="auto"/>
            <w:tcMar>
              <w:left w:w="0" w:type="dxa"/>
            </w:tcMar>
          </w:tcPr>
          <w:p w14:paraId="6967ED5A" w14:textId="77777777" w:rsidR="00EA1EBB" w:rsidRPr="006E725C" w:rsidRDefault="00EA1EBB" w:rsidP="00BA5125">
            <w:pPr>
              <w:pStyle w:val="Textpoznpodarou"/>
              <w:jc w:val="both"/>
              <w:rPr>
                <w:spacing w:val="-4"/>
                <w:lang w:val="en-GB"/>
              </w:rPr>
            </w:pPr>
          </w:p>
        </w:tc>
        <w:tc>
          <w:tcPr>
            <w:tcW w:w="7610" w:type="dxa"/>
            <w:shd w:val="clear" w:color="auto" w:fill="auto"/>
            <w:tcMar>
              <w:left w:w="0" w:type="dxa"/>
            </w:tcMar>
          </w:tcPr>
          <w:p w14:paraId="530985A3" w14:textId="51FE311A" w:rsidR="00EA1EBB" w:rsidRPr="006E725C" w:rsidRDefault="00402222" w:rsidP="00502372">
            <w:pPr>
              <w:rPr>
                <w:spacing w:val="-2"/>
                <w:lang w:val="en-GB"/>
              </w:rPr>
            </w:pPr>
            <w:r w:rsidRPr="006E725C">
              <w:rPr>
                <w:spacing w:val="-2"/>
                <w:lang w:val="en-GB"/>
              </w:rPr>
              <w:t xml:space="preserve">The Czech economy </w:t>
            </w:r>
            <w:r w:rsidR="00AD449D" w:rsidRPr="006E725C">
              <w:rPr>
                <w:spacing w:val="-2"/>
                <w:lang w:val="en-GB"/>
              </w:rPr>
              <w:t xml:space="preserve">contended with a </w:t>
            </w:r>
            <w:r w:rsidR="001F3C7C" w:rsidRPr="006E725C">
              <w:rPr>
                <w:spacing w:val="-2"/>
                <w:lang w:val="en-GB"/>
              </w:rPr>
              <w:t>mixture</w:t>
            </w:r>
            <w:r w:rsidR="009A1DA8" w:rsidRPr="006E725C">
              <w:rPr>
                <w:spacing w:val="-2"/>
                <w:lang w:val="en-GB"/>
              </w:rPr>
              <w:t xml:space="preserve"> of effect </w:t>
            </w:r>
            <w:r w:rsidR="0076384E" w:rsidRPr="006E725C">
              <w:rPr>
                <w:spacing w:val="-2"/>
                <w:lang w:val="en-GB"/>
              </w:rPr>
              <w:t xml:space="preserve">of growing </w:t>
            </w:r>
            <w:r w:rsidR="005C63A5" w:rsidRPr="006E725C">
              <w:rPr>
                <w:spacing w:val="-2"/>
                <w:lang w:val="en-GB"/>
              </w:rPr>
              <w:t>foreign</w:t>
            </w:r>
            <w:r w:rsidR="0076384E" w:rsidRPr="006E725C">
              <w:rPr>
                <w:spacing w:val="-2"/>
                <w:lang w:val="en-GB"/>
              </w:rPr>
              <w:t xml:space="preserve"> demand, domestic investment activity and government consumption and ongoing slump of the household consumption and negative </w:t>
            </w:r>
            <w:r w:rsidR="00F6556B" w:rsidRPr="006E725C">
              <w:rPr>
                <w:spacing w:val="-2"/>
                <w:lang w:val="en-GB"/>
              </w:rPr>
              <w:t xml:space="preserve">influence of the </w:t>
            </w:r>
            <w:r w:rsidR="005B16AB" w:rsidRPr="006E725C">
              <w:rPr>
                <w:spacing w:val="-2"/>
                <w:lang w:val="en-GB"/>
              </w:rPr>
              <w:t>change in inventories</w:t>
            </w:r>
            <w:r w:rsidR="001F3C7C" w:rsidRPr="006E725C">
              <w:rPr>
                <w:spacing w:val="-2"/>
                <w:lang w:val="en-GB"/>
              </w:rPr>
              <w:t xml:space="preserve"> </w:t>
            </w:r>
            <w:r w:rsidRPr="006E725C">
              <w:rPr>
                <w:spacing w:val="-2"/>
                <w:lang w:val="en-GB"/>
              </w:rPr>
              <w:t>in year 2023</w:t>
            </w:r>
            <w:r w:rsidR="00EA1EBB" w:rsidRPr="006E725C">
              <w:rPr>
                <w:spacing w:val="-2"/>
                <w:lang w:val="en-GB"/>
              </w:rPr>
              <w:t xml:space="preserve">. </w:t>
            </w:r>
            <w:r w:rsidR="000B3D72" w:rsidRPr="006E725C">
              <w:rPr>
                <w:spacing w:val="-2"/>
                <w:lang w:val="en-GB"/>
              </w:rPr>
              <w:t xml:space="preserve">It resulted in fluctuation of the economy within the stagnation range. </w:t>
            </w:r>
            <w:r w:rsidR="00844998" w:rsidRPr="006E725C">
              <w:rPr>
                <w:spacing w:val="-2"/>
                <w:lang w:val="en-GB"/>
              </w:rPr>
              <w:t>T</w:t>
            </w:r>
            <w:r w:rsidRPr="006E725C">
              <w:rPr>
                <w:spacing w:val="-2"/>
                <w:lang w:val="en-GB"/>
              </w:rPr>
              <w:t xml:space="preserve">otal gross domestic product </w:t>
            </w:r>
            <w:r w:rsidR="00EA1EBB" w:rsidRPr="006E725C">
              <w:rPr>
                <w:spacing w:val="-2"/>
                <w:lang w:val="en-GB"/>
              </w:rPr>
              <w:t>(</w:t>
            </w:r>
            <w:r w:rsidRPr="006E725C">
              <w:rPr>
                <w:spacing w:val="-2"/>
                <w:lang w:val="en-GB"/>
              </w:rPr>
              <w:t>GDP</w:t>
            </w:r>
            <w:r w:rsidR="00EA1EBB" w:rsidRPr="006E725C">
              <w:rPr>
                <w:spacing w:val="-2"/>
                <w:lang w:val="en-GB"/>
              </w:rPr>
              <w:t xml:space="preserve">) </w:t>
            </w:r>
            <w:r w:rsidRPr="006E725C">
              <w:rPr>
                <w:spacing w:val="-2"/>
                <w:lang w:val="en-GB"/>
              </w:rPr>
              <w:t xml:space="preserve">decreased by </w:t>
            </w:r>
            <w:r w:rsidR="00EA1EBB" w:rsidRPr="006E725C">
              <w:rPr>
                <w:spacing w:val="-2"/>
                <w:lang w:val="en-GB"/>
              </w:rPr>
              <w:t>0</w:t>
            </w:r>
            <w:r w:rsidRPr="006E725C">
              <w:rPr>
                <w:spacing w:val="-2"/>
                <w:lang w:val="en-GB"/>
              </w:rPr>
              <w:t>.</w:t>
            </w:r>
            <w:r w:rsidR="00EA1EBB" w:rsidRPr="006E725C">
              <w:rPr>
                <w:spacing w:val="-2"/>
                <w:lang w:val="en-GB"/>
              </w:rPr>
              <w:t>4%</w:t>
            </w:r>
            <w:r w:rsidRPr="006E725C">
              <w:rPr>
                <w:spacing w:val="-2"/>
                <w:lang w:val="en-GB"/>
              </w:rPr>
              <w:t xml:space="preserve"> last year</w:t>
            </w:r>
            <w:r w:rsidR="00EA1EBB" w:rsidRPr="006E725C">
              <w:rPr>
                <w:rStyle w:val="Znakapoznpodarou"/>
                <w:rFonts w:cs="Arial"/>
                <w:spacing w:val="-2"/>
                <w:lang w:val="en-GB"/>
              </w:rPr>
              <w:footnoteReference w:id="1"/>
            </w:r>
            <w:r w:rsidR="00EA1EBB" w:rsidRPr="006E725C">
              <w:rPr>
                <w:spacing w:val="-2"/>
                <w:lang w:val="en-GB"/>
              </w:rPr>
              <w:t xml:space="preserve">. </w:t>
            </w:r>
            <w:r w:rsidR="00CE2DC6" w:rsidRPr="006E725C">
              <w:rPr>
                <w:spacing w:val="-2"/>
                <w:lang w:val="en-GB"/>
              </w:rPr>
              <w:t xml:space="preserve">The GDP </w:t>
            </w:r>
            <w:r w:rsidR="00EF179E" w:rsidRPr="006E725C">
              <w:rPr>
                <w:spacing w:val="-2"/>
                <w:lang w:val="en-GB"/>
              </w:rPr>
              <w:t xml:space="preserve">was falling year-on-year in individual quarters </w:t>
            </w:r>
            <w:r w:rsidR="00EA1EBB" w:rsidRPr="006E725C">
              <w:rPr>
                <w:spacing w:val="-2"/>
                <w:lang w:val="en-GB"/>
              </w:rPr>
              <w:t>(</w:t>
            </w:r>
            <w:r w:rsidRPr="006E725C">
              <w:rPr>
                <w:spacing w:val="-2"/>
                <w:lang w:val="en-GB"/>
              </w:rPr>
              <w:t xml:space="preserve">gradually </w:t>
            </w:r>
            <w:r w:rsidR="00EA1EBB" w:rsidRPr="006E725C">
              <w:rPr>
                <w:spacing w:val="-2"/>
                <w:lang w:val="en-GB"/>
              </w:rPr>
              <w:t>−0</w:t>
            </w:r>
            <w:r w:rsidRPr="006E725C">
              <w:rPr>
                <w:spacing w:val="-2"/>
                <w:lang w:val="en-GB"/>
              </w:rPr>
              <w:t>.</w:t>
            </w:r>
            <w:r w:rsidR="00EA1EBB" w:rsidRPr="006E725C">
              <w:rPr>
                <w:spacing w:val="-2"/>
                <w:lang w:val="en-GB"/>
              </w:rPr>
              <w:t>3%, −0</w:t>
            </w:r>
            <w:r w:rsidRPr="006E725C">
              <w:rPr>
                <w:spacing w:val="-2"/>
                <w:lang w:val="en-GB"/>
              </w:rPr>
              <w:t>.</w:t>
            </w:r>
            <w:r w:rsidR="00EA1EBB" w:rsidRPr="006E725C">
              <w:rPr>
                <w:spacing w:val="-2"/>
                <w:lang w:val="en-GB"/>
              </w:rPr>
              <w:t>2%, −0</w:t>
            </w:r>
            <w:r w:rsidRPr="006E725C">
              <w:rPr>
                <w:spacing w:val="-2"/>
                <w:lang w:val="en-GB"/>
              </w:rPr>
              <w:t>.</w:t>
            </w:r>
            <w:r w:rsidR="00EA1EBB" w:rsidRPr="006E725C">
              <w:rPr>
                <w:spacing w:val="-2"/>
                <w:lang w:val="en-GB"/>
              </w:rPr>
              <w:t>8% a</w:t>
            </w:r>
            <w:r w:rsidRPr="006E725C">
              <w:rPr>
                <w:spacing w:val="-2"/>
                <w:lang w:val="en-GB"/>
              </w:rPr>
              <w:t>nd</w:t>
            </w:r>
            <w:r w:rsidR="00EA1EBB" w:rsidRPr="006E725C">
              <w:rPr>
                <w:spacing w:val="-2"/>
                <w:lang w:val="en-GB"/>
              </w:rPr>
              <w:t xml:space="preserve"> −0</w:t>
            </w:r>
            <w:r w:rsidRPr="006E725C">
              <w:rPr>
                <w:spacing w:val="-2"/>
                <w:lang w:val="en-GB"/>
              </w:rPr>
              <w:t>.</w:t>
            </w:r>
            <w:r w:rsidR="00EA1EBB" w:rsidRPr="006E725C">
              <w:rPr>
                <w:spacing w:val="-2"/>
                <w:lang w:val="en-GB"/>
              </w:rPr>
              <w:t xml:space="preserve">2%). </w:t>
            </w:r>
            <w:r w:rsidR="005C41AF" w:rsidRPr="006E725C">
              <w:rPr>
                <w:spacing w:val="-2"/>
                <w:lang w:val="en-GB"/>
              </w:rPr>
              <w:t xml:space="preserve">At the very end of the </w:t>
            </w:r>
            <w:r w:rsidR="006E725C" w:rsidRPr="006E725C">
              <w:rPr>
                <w:spacing w:val="-2"/>
                <w:lang w:val="en-GB"/>
              </w:rPr>
              <w:t>year,</w:t>
            </w:r>
            <w:r w:rsidR="005C41AF" w:rsidRPr="006E725C">
              <w:rPr>
                <w:spacing w:val="-2"/>
                <w:lang w:val="en-GB"/>
              </w:rPr>
              <w:t xml:space="preserve"> </w:t>
            </w:r>
            <w:r w:rsidR="00CE75F3" w:rsidRPr="006E725C">
              <w:rPr>
                <w:spacing w:val="-2"/>
                <w:lang w:val="en-GB"/>
              </w:rPr>
              <w:t xml:space="preserve">the change in inventories worked in the direction of year-on-year GDP decrease and its impact completely </w:t>
            </w:r>
            <w:r w:rsidR="0009704A" w:rsidRPr="006E725C">
              <w:rPr>
                <w:spacing w:val="-2"/>
                <w:lang w:val="en-GB"/>
              </w:rPr>
              <w:t>exceeded the positive contribution of consumption</w:t>
            </w:r>
            <w:r w:rsidR="00EA1EBB" w:rsidRPr="006E725C">
              <w:rPr>
                <w:rStyle w:val="Znakapoznpodarou"/>
                <w:spacing w:val="-2"/>
                <w:lang w:val="en-GB"/>
              </w:rPr>
              <w:footnoteReference w:id="2"/>
            </w:r>
            <w:r w:rsidR="00EA1EBB" w:rsidRPr="006E725C">
              <w:rPr>
                <w:spacing w:val="-2"/>
                <w:lang w:val="en-GB"/>
              </w:rPr>
              <w:t xml:space="preserve">, </w:t>
            </w:r>
            <w:r w:rsidR="0009704A" w:rsidRPr="006E725C">
              <w:rPr>
                <w:spacing w:val="-2"/>
                <w:lang w:val="en-GB"/>
              </w:rPr>
              <w:t xml:space="preserve">investment as well as the </w:t>
            </w:r>
            <w:r w:rsidR="00A94E67" w:rsidRPr="006E725C">
              <w:rPr>
                <w:spacing w:val="-2"/>
                <w:lang w:val="en-GB"/>
              </w:rPr>
              <w:t xml:space="preserve">external </w:t>
            </w:r>
            <w:r w:rsidR="0009704A" w:rsidRPr="006E725C">
              <w:rPr>
                <w:spacing w:val="-2"/>
                <w:lang w:val="en-GB"/>
              </w:rPr>
              <w:t>demand</w:t>
            </w:r>
            <w:r w:rsidR="00EA1EBB" w:rsidRPr="006E725C">
              <w:rPr>
                <w:spacing w:val="-2"/>
                <w:lang w:val="en-GB"/>
              </w:rPr>
              <w:t xml:space="preserve">. </w:t>
            </w:r>
            <w:r w:rsidR="00DE5BED" w:rsidRPr="006E725C">
              <w:rPr>
                <w:spacing w:val="-2"/>
                <w:lang w:val="en-GB"/>
              </w:rPr>
              <w:t xml:space="preserve">Recovery occurred last year (0.1% and 0.2% in Q1 and </w:t>
            </w:r>
            <w:r w:rsidR="00A94E67" w:rsidRPr="006E725C">
              <w:rPr>
                <w:spacing w:val="-2"/>
                <w:lang w:val="en-GB"/>
              </w:rPr>
              <w:t>Q</w:t>
            </w:r>
            <w:r w:rsidR="00DE5BED" w:rsidRPr="006E725C">
              <w:rPr>
                <w:spacing w:val="-2"/>
                <w:lang w:val="en-GB"/>
              </w:rPr>
              <w:t>2</w:t>
            </w:r>
            <w:r w:rsidR="00815EE3" w:rsidRPr="006E725C">
              <w:rPr>
                <w:spacing w:val="-2"/>
                <w:lang w:val="en-GB"/>
              </w:rPr>
              <w:t xml:space="preserve"> </w:t>
            </w:r>
            <w:r w:rsidR="00DE5BED" w:rsidRPr="006E725C">
              <w:rPr>
                <w:spacing w:val="-2"/>
                <w:lang w:val="en-GB"/>
              </w:rPr>
              <w:t xml:space="preserve">2023) following two quarter-on-quarter GDP declines from the second half of </w:t>
            </w:r>
            <w:r w:rsidR="00502372">
              <w:rPr>
                <w:spacing w:val="-2"/>
                <w:lang w:val="en-GB"/>
              </w:rPr>
              <w:t>2022.</w:t>
            </w:r>
            <w:r w:rsidR="00EA1EBB" w:rsidRPr="006E725C">
              <w:rPr>
                <w:spacing w:val="-2"/>
                <w:lang w:val="en-GB"/>
              </w:rPr>
              <w:t xml:space="preserve"> </w:t>
            </w:r>
            <w:r w:rsidR="003B0834" w:rsidRPr="006E725C">
              <w:rPr>
                <w:spacing w:val="-2"/>
                <w:lang w:val="en-GB"/>
              </w:rPr>
              <w:t>The GDP again</w:t>
            </w:r>
            <w:r w:rsidR="00502372" w:rsidRPr="006E725C">
              <w:rPr>
                <w:spacing w:val="-2"/>
                <w:lang w:val="en-GB"/>
              </w:rPr>
              <w:t xml:space="preserve"> decrease</w:t>
            </w:r>
            <w:r w:rsidR="00502372">
              <w:rPr>
                <w:spacing w:val="-2"/>
                <w:lang w:val="en-GB"/>
              </w:rPr>
              <w:t>d</w:t>
            </w:r>
            <w:r w:rsidR="00502372" w:rsidRPr="006E725C">
              <w:rPr>
                <w:spacing w:val="-2"/>
                <w:lang w:val="en-GB"/>
              </w:rPr>
              <w:t xml:space="preserve"> by 0.8% in Q3</w:t>
            </w:r>
            <w:r w:rsidR="00502372">
              <w:rPr>
                <w:spacing w:val="-2"/>
                <w:lang w:val="en-GB"/>
              </w:rPr>
              <w:t xml:space="preserve"> 2023 and</w:t>
            </w:r>
            <w:r w:rsidR="003B0834" w:rsidRPr="006E725C">
              <w:rPr>
                <w:spacing w:val="-2"/>
                <w:lang w:val="en-GB"/>
              </w:rPr>
              <w:t xml:space="preserve"> increased quarter-on-quarter in Q</w:t>
            </w:r>
            <w:r w:rsidR="00EA1EBB" w:rsidRPr="006E725C">
              <w:rPr>
                <w:spacing w:val="-2"/>
                <w:lang w:val="en-GB"/>
              </w:rPr>
              <w:t>4</w:t>
            </w:r>
            <w:r w:rsidR="003B0834" w:rsidRPr="006E725C">
              <w:rPr>
                <w:spacing w:val="-2"/>
                <w:lang w:val="en-GB"/>
              </w:rPr>
              <w:t xml:space="preserve"> </w:t>
            </w:r>
            <w:r w:rsidR="00EA1EBB" w:rsidRPr="006E725C">
              <w:rPr>
                <w:spacing w:val="-2"/>
                <w:lang w:val="en-GB"/>
              </w:rPr>
              <w:t>(0</w:t>
            </w:r>
            <w:r w:rsidR="003B0834" w:rsidRPr="006E725C">
              <w:rPr>
                <w:spacing w:val="-2"/>
                <w:lang w:val="en-GB"/>
              </w:rPr>
              <w:t>.</w:t>
            </w:r>
            <w:r w:rsidR="00EA1EBB" w:rsidRPr="006E725C">
              <w:rPr>
                <w:spacing w:val="-2"/>
                <w:lang w:val="en-GB"/>
              </w:rPr>
              <w:t xml:space="preserve">2%) </w:t>
            </w:r>
            <w:r w:rsidR="00594B24" w:rsidRPr="006E725C">
              <w:rPr>
                <w:spacing w:val="-2"/>
                <w:lang w:val="en-GB"/>
              </w:rPr>
              <w:t xml:space="preserve">with the contribution from the development of household consumption, investment as well as foreign demand. </w:t>
            </w:r>
            <w:r w:rsidR="00650A4F" w:rsidRPr="006E725C">
              <w:rPr>
                <w:spacing w:val="-2"/>
                <w:lang w:val="en-GB"/>
              </w:rPr>
              <w:t xml:space="preserve">Consumption of general government </w:t>
            </w:r>
            <w:r w:rsidR="00406FBE" w:rsidRPr="006E725C">
              <w:rPr>
                <w:spacing w:val="-2"/>
                <w:lang w:val="en-GB"/>
              </w:rPr>
              <w:t>and also the change in inventories was h</w:t>
            </w:r>
            <w:r w:rsidR="001D0F32" w:rsidRPr="006E725C">
              <w:rPr>
                <w:spacing w:val="-2"/>
                <w:lang w:val="en-GB"/>
              </w:rPr>
              <w:t>owever crimpin</w:t>
            </w:r>
            <w:r w:rsidR="0090165B" w:rsidRPr="006E725C">
              <w:rPr>
                <w:spacing w:val="-2"/>
                <w:lang w:val="en-GB"/>
              </w:rPr>
              <w:t>g</w:t>
            </w:r>
            <w:r w:rsidR="001D0F32" w:rsidRPr="006E725C">
              <w:rPr>
                <w:spacing w:val="-2"/>
                <w:lang w:val="en-GB"/>
              </w:rPr>
              <w:t xml:space="preserve"> the GDP recovery</w:t>
            </w:r>
            <w:r w:rsidR="001223CD" w:rsidRPr="006E725C">
              <w:rPr>
                <w:spacing w:val="-2"/>
                <w:lang w:val="en-GB"/>
              </w:rPr>
              <w:t xml:space="preserve">. </w:t>
            </w:r>
            <w:r w:rsidR="00021DD9" w:rsidRPr="006E725C">
              <w:rPr>
                <w:spacing w:val="-2"/>
                <w:lang w:val="en-GB"/>
              </w:rPr>
              <w:t>The Gross domestic product in constant prices</w:t>
            </w:r>
            <w:r w:rsidR="00F81DE1" w:rsidRPr="006E725C">
              <w:rPr>
                <w:spacing w:val="-2"/>
                <w:lang w:val="en-GB"/>
              </w:rPr>
              <w:t xml:space="preserve"> year-on-year</w:t>
            </w:r>
            <w:r w:rsidR="00021DD9" w:rsidRPr="006E725C">
              <w:rPr>
                <w:spacing w:val="-2"/>
                <w:lang w:val="en-GB"/>
              </w:rPr>
              <w:t xml:space="preserve"> </w:t>
            </w:r>
            <w:r w:rsidR="00034E58" w:rsidRPr="006E725C">
              <w:rPr>
                <w:spacing w:val="-2"/>
                <w:lang w:val="en-GB"/>
              </w:rPr>
              <w:t xml:space="preserve">however also </w:t>
            </w:r>
            <w:r w:rsidR="00F81DE1" w:rsidRPr="006E725C">
              <w:rPr>
                <w:spacing w:val="-2"/>
                <w:lang w:val="en-GB"/>
              </w:rPr>
              <w:t>lagged</w:t>
            </w:r>
            <w:r w:rsidR="00034E58" w:rsidRPr="006E725C">
              <w:rPr>
                <w:spacing w:val="-2"/>
                <w:lang w:val="en-GB"/>
              </w:rPr>
              <w:t xml:space="preserve"> </w:t>
            </w:r>
            <w:r w:rsidR="00F81DE1" w:rsidRPr="006E725C">
              <w:rPr>
                <w:spacing w:val="-2"/>
                <w:lang w:val="en-GB"/>
              </w:rPr>
              <w:t xml:space="preserve">behind </w:t>
            </w:r>
            <w:r w:rsidR="00034E58" w:rsidRPr="006E725C">
              <w:rPr>
                <w:spacing w:val="-2"/>
                <w:lang w:val="en-GB"/>
              </w:rPr>
              <w:t>the level from the pre-pandemic year 2019 last year, which was slightly overt</w:t>
            </w:r>
            <w:r w:rsidR="00A94E67" w:rsidRPr="006E725C">
              <w:rPr>
                <w:spacing w:val="-2"/>
                <w:lang w:val="en-GB"/>
              </w:rPr>
              <w:t>aken</w:t>
            </w:r>
            <w:r w:rsidR="00034E58" w:rsidRPr="006E725C">
              <w:rPr>
                <w:spacing w:val="-2"/>
                <w:lang w:val="en-GB"/>
              </w:rPr>
              <w:t xml:space="preserve"> in year 2022. </w:t>
            </w:r>
            <w:r w:rsidR="00EA1EBB" w:rsidRPr="006E725C">
              <w:rPr>
                <w:spacing w:val="-2"/>
                <w:lang w:val="en-GB"/>
              </w:rPr>
              <w:t xml:space="preserve">     </w:t>
            </w:r>
          </w:p>
        </w:tc>
      </w:tr>
      <w:tr w:rsidR="00EA1EBB" w:rsidRPr="006E725C" w14:paraId="30F8CC2F" w14:textId="77777777" w:rsidTr="005855B4">
        <w:trPr>
          <w:trHeight w:val="170"/>
        </w:trPr>
        <w:tc>
          <w:tcPr>
            <w:tcW w:w="1806" w:type="dxa"/>
            <w:vMerge w:val="restart"/>
            <w:shd w:val="clear" w:color="auto" w:fill="auto"/>
            <w:tcMar>
              <w:left w:w="0" w:type="dxa"/>
            </w:tcMar>
          </w:tcPr>
          <w:p w14:paraId="76F04A2F" w14:textId="77777777" w:rsidR="00EA1EBB" w:rsidRPr="006E725C" w:rsidRDefault="00EA1EBB" w:rsidP="00BA5125">
            <w:pPr>
              <w:pStyle w:val="Marginlie"/>
              <w:rPr>
                <w:lang w:val="en-GB"/>
              </w:rPr>
            </w:pPr>
          </w:p>
        </w:tc>
        <w:tc>
          <w:tcPr>
            <w:tcW w:w="223" w:type="dxa"/>
            <w:vMerge w:val="restart"/>
            <w:shd w:val="clear" w:color="auto" w:fill="auto"/>
            <w:tcMar>
              <w:left w:w="0" w:type="dxa"/>
            </w:tcMar>
          </w:tcPr>
          <w:p w14:paraId="7B5ADD17" w14:textId="77777777" w:rsidR="00EA1EBB" w:rsidRPr="006E725C" w:rsidRDefault="00EA1EBB" w:rsidP="00BA5125">
            <w:pPr>
              <w:pStyle w:val="Textpoznpodarou"/>
              <w:jc w:val="both"/>
              <w:rPr>
                <w:spacing w:val="-4"/>
                <w:lang w:val="en-GB"/>
              </w:rPr>
            </w:pPr>
          </w:p>
        </w:tc>
        <w:tc>
          <w:tcPr>
            <w:tcW w:w="7610" w:type="dxa"/>
            <w:shd w:val="clear" w:color="auto" w:fill="auto"/>
            <w:tcMar>
              <w:left w:w="0" w:type="dxa"/>
            </w:tcMar>
          </w:tcPr>
          <w:p w14:paraId="67E0AA79" w14:textId="01FE0B38" w:rsidR="00EA1EBB" w:rsidRPr="006E725C" w:rsidRDefault="00544E6E" w:rsidP="00BA5125">
            <w:pPr>
              <w:spacing w:after="0"/>
              <w:rPr>
                <w:b/>
                <w:szCs w:val="20"/>
                <w:lang w:val="en-GB"/>
              </w:rPr>
            </w:pPr>
            <w:r w:rsidRPr="006E725C">
              <w:rPr>
                <w:rFonts w:cs="Arial"/>
                <w:b/>
                <w:bCs/>
                <w:color w:val="000000"/>
                <w:szCs w:val="20"/>
                <w:lang w:val="en-GB"/>
              </w:rPr>
              <w:t xml:space="preserve">Chart </w:t>
            </w:r>
            <w:r w:rsidR="00EA1EBB" w:rsidRPr="006E725C">
              <w:rPr>
                <w:rFonts w:cs="Arial"/>
                <w:b/>
                <w:bCs/>
                <w:color w:val="000000"/>
                <w:szCs w:val="20"/>
                <w:lang w:val="en-GB"/>
              </w:rPr>
              <w:t xml:space="preserve">1 </w:t>
            </w:r>
            <w:r w:rsidRPr="006E725C">
              <w:rPr>
                <w:rFonts w:cs="Arial"/>
                <w:b/>
                <w:bCs/>
                <w:color w:val="000000"/>
                <w:szCs w:val="20"/>
                <w:lang w:val="en-GB"/>
              </w:rPr>
              <w:t>GDP</w:t>
            </w:r>
            <w:r w:rsidR="00EA1EBB" w:rsidRPr="006E725C">
              <w:rPr>
                <w:rFonts w:cs="Arial"/>
                <w:b/>
                <w:szCs w:val="20"/>
                <w:lang w:val="en-GB" w:eastAsia="en-US"/>
              </w:rPr>
              <w:t xml:space="preserve"> </w:t>
            </w:r>
            <w:r w:rsidR="00AB69DD" w:rsidRPr="006E725C">
              <w:rPr>
                <w:rFonts w:cs="Arial"/>
                <w:bCs/>
                <w:szCs w:val="20"/>
                <w:lang w:val="en-GB" w:eastAsia="en-US"/>
              </w:rPr>
              <w:t xml:space="preserve">(volume indices, adjusted for seasonal and calendar effects, in %) </w:t>
            </w:r>
          </w:p>
        </w:tc>
      </w:tr>
      <w:tr w:rsidR="00EA1EBB" w:rsidRPr="006E725C" w14:paraId="67E5DD17" w14:textId="77777777" w:rsidTr="0079457A">
        <w:tblPrEx>
          <w:tblCellMar>
            <w:left w:w="70" w:type="dxa"/>
            <w:right w:w="70" w:type="dxa"/>
          </w:tblCellMar>
        </w:tblPrEx>
        <w:trPr>
          <w:trHeight w:val="170"/>
        </w:trPr>
        <w:tc>
          <w:tcPr>
            <w:tcW w:w="1806" w:type="dxa"/>
            <w:vMerge/>
          </w:tcPr>
          <w:p w14:paraId="53BDF3F3" w14:textId="77777777" w:rsidR="00EA1EBB" w:rsidRPr="006E725C" w:rsidRDefault="00EA1EBB" w:rsidP="00BA5125">
            <w:pPr>
              <w:pStyle w:val="Marginlie"/>
              <w:rPr>
                <w:lang w:val="en-GB"/>
              </w:rPr>
            </w:pPr>
          </w:p>
        </w:tc>
        <w:tc>
          <w:tcPr>
            <w:tcW w:w="223" w:type="dxa"/>
            <w:vMerge/>
          </w:tcPr>
          <w:p w14:paraId="3944990E" w14:textId="77777777" w:rsidR="00EA1EBB" w:rsidRPr="006E725C" w:rsidRDefault="00EA1EBB" w:rsidP="00BA5125">
            <w:pPr>
              <w:pStyle w:val="Textpoznpodarou"/>
              <w:jc w:val="both"/>
              <w:rPr>
                <w:spacing w:val="-4"/>
                <w:lang w:val="en-GB"/>
              </w:rPr>
            </w:pPr>
          </w:p>
        </w:tc>
        <w:tc>
          <w:tcPr>
            <w:tcW w:w="7610" w:type="dxa"/>
            <w:shd w:val="clear" w:color="auto" w:fill="auto"/>
          </w:tcPr>
          <w:p w14:paraId="17B07785" w14:textId="2E1BC378" w:rsidR="00EA1EBB" w:rsidRPr="006E725C" w:rsidRDefault="0079457A" w:rsidP="00BA5125">
            <w:pPr>
              <w:spacing w:after="0"/>
              <w:rPr>
                <w:lang w:val="en-GB"/>
              </w:rPr>
            </w:pPr>
            <w:r>
              <w:rPr>
                <w:noProof/>
              </w:rPr>
              <w:drawing>
                <wp:inline distT="0" distB="0" distL="0" distR="0" wp14:anchorId="7A26A2C4" wp14:editId="13D0447E">
                  <wp:extent cx="4737600" cy="3553200"/>
                  <wp:effectExtent l="0" t="0" r="6350" b="0"/>
                  <wp:docPr id="6" name="Graf 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EA1EBB" w:rsidRPr="006E725C" w14:paraId="10397AC7" w14:textId="77777777" w:rsidTr="005855B4">
        <w:trPr>
          <w:trHeight w:val="170"/>
        </w:trPr>
        <w:tc>
          <w:tcPr>
            <w:tcW w:w="1806" w:type="dxa"/>
            <w:vMerge/>
            <w:tcMar>
              <w:left w:w="0" w:type="dxa"/>
            </w:tcMar>
          </w:tcPr>
          <w:p w14:paraId="785FA8E6" w14:textId="77777777" w:rsidR="00EA1EBB" w:rsidRPr="006E725C" w:rsidRDefault="00EA1EBB" w:rsidP="00BA5125">
            <w:pPr>
              <w:pStyle w:val="Marginlie"/>
              <w:rPr>
                <w:lang w:val="en-GB"/>
              </w:rPr>
            </w:pPr>
          </w:p>
        </w:tc>
        <w:tc>
          <w:tcPr>
            <w:tcW w:w="223" w:type="dxa"/>
            <w:vMerge/>
            <w:tcMar>
              <w:left w:w="0" w:type="dxa"/>
            </w:tcMar>
          </w:tcPr>
          <w:p w14:paraId="08DF6ED4" w14:textId="77777777" w:rsidR="00EA1EBB" w:rsidRPr="006E725C" w:rsidRDefault="00EA1EBB" w:rsidP="00BA5125">
            <w:pPr>
              <w:pStyle w:val="Textpoznpodarou"/>
              <w:jc w:val="both"/>
              <w:rPr>
                <w:spacing w:val="-4"/>
                <w:lang w:val="en-GB"/>
              </w:rPr>
            </w:pPr>
          </w:p>
        </w:tc>
        <w:tc>
          <w:tcPr>
            <w:tcW w:w="7610" w:type="dxa"/>
            <w:shd w:val="clear" w:color="auto" w:fill="auto"/>
            <w:tcMar>
              <w:left w:w="0" w:type="dxa"/>
            </w:tcMar>
          </w:tcPr>
          <w:p w14:paraId="7EAB6473" w14:textId="0B30936B" w:rsidR="001765D1" w:rsidRPr="0079457A" w:rsidRDefault="005855B4" w:rsidP="0079457A">
            <w:pPr>
              <w:spacing w:after="220"/>
              <w:rPr>
                <w:sz w:val="14"/>
                <w:szCs w:val="14"/>
                <w:lang w:val="en-GB"/>
              </w:rPr>
            </w:pPr>
            <w:r w:rsidRPr="006E725C">
              <w:rPr>
                <w:sz w:val="14"/>
                <w:szCs w:val="14"/>
                <w:lang w:val="en-GB"/>
              </w:rPr>
              <w:t>Source</w:t>
            </w:r>
            <w:r w:rsidR="00EA1EBB" w:rsidRPr="006E725C">
              <w:rPr>
                <w:sz w:val="14"/>
                <w:szCs w:val="14"/>
                <w:lang w:val="en-GB"/>
              </w:rPr>
              <w:t xml:space="preserve">: </w:t>
            </w:r>
            <w:r w:rsidRPr="006E725C">
              <w:rPr>
                <w:sz w:val="14"/>
                <w:szCs w:val="14"/>
                <w:lang w:val="en-GB"/>
              </w:rPr>
              <w:t>CZSO</w:t>
            </w:r>
            <w:r w:rsidR="00EA1EBB" w:rsidRPr="006E725C">
              <w:rPr>
                <w:sz w:val="14"/>
                <w:szCs w:val="14"/>
                <w:lang w:val="en-GB"/>
              </w:rPr>
              <w:t>, Eurostat</w:t>
            </w:r>
          </w:p>
        </w:tc>
      </w:tr>
      <w:tr w:rsidR="00EA1EBB" w:rsidRPr="006E725C" w14:paraId="3952C244" w14:textId="77777777" w:rsidTr="005855B4">
        <w:trPr>
          <w:trHeight w:val="145"/>
        </w:trPr>
        <w:tc>
          <w:tcPr>
            <w:tcW w:w="1806" w:type="dxa"/>
            <w:shd w:val="clear" w:color="auto" w:fill="auto"/>
            <w:tcMar>
              <w:left w:w="0" w:type="dxa"/>
            </w:tcMar>
          </w:tcPr>
          <w:p w14:paraId="0827E675" w14:textId="6E44431D" w:rsidR="00EA1EBB" w:rsidRPr="006E725C" w:rsidRDefault="0092008B" w:rsidP="00BA5125">
            <w:pPr>
              <w:pStyle w:val="Marginlie"/>
              <w:rPr>
                <w:lang w:val="en-GB"/>
              </w:rPr>
            </w:pPr>
            <w:r w:rsidRPr="006E725C">
              <w:rPr>
                <w:lang w:val="en-GB"/>
              </w:rPr>
              <w:t xml:space="preserve">The Central European region </w:t>
            </w:r>
            <w:r w:rsidR="006E725C" w:rsidRPr="006E725C">
              <w:rPr>
                <w:lang w:val="en-GB"/>
              </w:rPr>
              <w:t>economically</w:t>
            </w:r>
            <w:r w:rsidRPr="006E725C">
              <w:rPr>
                <w:lang w:val="en-GB"/>
              </w:rPr>
              <w:t xml:space="preserve"> stagnated in Q</w:t>
            </w:r>
            <w:r w:rsidR="00EA1EBB" w:rsidRPr="006E725C">
              <w:rPr>
                <w:lang w:val="en-GB"/>
              </w:rPr>
              <w:t>4.</w:t>
            </w:r>
          </w:p>
        </w:tc>
        <w:tc>
          <w:tcPr>
            <w:tcW w:w="223" w:type="dxa"/>
            <w:shd w:val="clear" w:color="auto" w:fill="auto"/>
            <w:tcMar>
              <w:left w:w="0" w:type="dxa"/>
            </w:tcMar>
          </w:tcPr>
          <w:p w14:paraId="7DC0D8E3" w14:textId="77777777" w:rsidR="00EA1EBB" w:rsidRPr="006E725C" w:rsidRDefault="00EA1EBB" w:rsidP="00BA5125">
            <w:pPr>
              <w:pStyle w:val="Textpoznpodarou"/>
              <w:jc w:val="both"/>
              <w:rPr>
                <w:spacing w:val="-4"/>
                <w:lang w:val="en-GB"/>
              </w:rPr>
            </w:pPr>
          </w:p>
        </w:tc>
        <w:tc>
          <w:tcPr>
            <w:tcW w:w="7610" w:type="dxa"/>
            <w:shd w:val="clear" w:color="auto" w:fill="auto"/>
            <w:tcMar>
              <w:left w:w="0" w:type="dxa"/>
            </w:tcMar>
          </w:tcPr>
          <w:p w14:paraId="6A4D7A1E" w14:textId="0B0F6930" w:rsidR="00EA1EBB" w:rsidRPr="006E725C" w:rsidRDefault="007725CC" w:rsidP="00BA5125">
            <w:pPr>
              <w:rPr>
                <w:lang w:val="en-GB"/>
              </w:rPr>
            </w:pPr>
            <w:r w:rsidRPr="006E725C">
              <w:rPr>
                <w:lang w:val="en-GB"/>
              </w:rPr>
              <w:t xml:space="preserve">The Gross domestic product </w:t>
            </w:r>
            <w:r w:rsidR="00F770F5" w:rsidRPr="006E725C">
              <w:rPr>
                <w:lang w:val="en-GB"/>
              </w:rPr>
              <w:t xml:space="preserve">went up </w:t>
            </w:r>
            <w:r w:rsidRPr="006E725C">
              <w:rPr>
                <w:lang w:val="en-GB"/>
              </w:rPr>
              <w:t>by 0.2% year-on-year in the EU in Q</w:t>
            </w:r>
            <w:r w:rsidR="00EA1EBB" w:rsidRPr="006E725C">
              <w:rPr>
                <w:lang w:val="en-GB"/>
              </w:rPr>
              <w:t>4</w:t>
            </w:r>
            <w:r w:rsidRPr="006E725C">
              <w:rPr>
                <w:lang w:val="en-GB"/>
              </w:rPr>
              <w:t xml:space="preserve"> </w:t>
            </w:r>
            <w:r w:rsidR="00EA1EBB" w:rsidRPr="006E725C">
              <w:rPr>
                <w:lang w:val="en-GB"/>
              </w:rPr>
              <w:t>a</w:t>
            </w:r>
            <w:r w:rsidR="003C19B1" w:rsidRPr="006E725C">
              <w:rPr>
                <w:lang w:val="en-GB"/>
              </w:rPr>
              <w:t>nd</w:t>
            </w:r>
            <w:r w:rsidR="00995B3D" w:rsidRPr="006E725C">
              <w:rPr>
                <w:lang w:val="en-GB"/>
              </w:rPr>
              <w:t xml:space="preserve"> the</w:t>
            </w:r>
            <w:r w:rsidR="00F770F5" w:rsidRPr="006E725C">
              <w:rPr>
                <w:lang w:val="en-GB"/>
              </w:rPr>
              <w:t xml:space="preserve"> increase thus slightly </w:t>
            </w:r>
            <w:r w:rsidR="006E725C" w:rsidRPr="006E725C">
              <w:rPr>
                <w:lang w:val="en-GB"/>
              </w:rPr>
              <w:t>strengthened</w:t>
            </w:r>
            <w:r w:rsidR="00F770F5" w:rsidRPr="006E725C">
              <w:rPr>
                <w:lang w:val="en-GB"/>
              </w:rPr>
              <w:t xml:space="preserve">. </w:t>
            </w:r>
            <w:r w:rsidR="00AD14D3" w:rsidRPr="006E725C">
              <w:rPr>
                <w:lang w:val="en-GB"/>
              </w:rPr>
              <w:t xml:space="preserve">The year-on-year dynamics of the GDP </w:t>
            </w:r>
            <w:r w:rsidR="006E725C" w:rsidRPr="006E725C">
              <w:rPr>
                <w:lang w:val="en-GB"/>
              </w:rPr>
              <w:t>displayed</w:t>
            </w:r>
            <w:r w:rsidR="00AD14D3" w:rsidRPr="006E725C">
              <w:rPr>
                <w:lang w:val="en-GB"/>
              </w:rPr>
              <w:t xml:space="preserve"> relatively wide ra</w:t>
            </w:r>
            <w:r w:rsidR="00A94E67" w:rsidRPr="006E725C">
              <w:rPr>
                <w:lang w:val="en-GB"/>
              </w:rPr>
              <w:t>nge</w:t>
            </w:r>
            <w:r w:rsidR="00AD14D3" w:rsidRPr="006E725C">
              <w:rPr>
                <w:lang w:val="en-GB"/>
              </w:rPr>
              <w:t xml:space="preserve"> for the individual countries at the end of the year. </w:t>
            </w:r>
            <w:r w:rsidR="00C9079E" w:rsidRPr="006E725C">
              <w:rPr>
                <w:lang w:val="en-GB"/>
              </w:rPr>
              <w:t xml:space="preserve">The GDP </w:t>
            </w:r>
            <w:r w:rsidR="00C54549" w:rsidRPr="006E725C">
              <w:rPr>
                <w:lang w:val="en-GB"/>
              </w:rPr>
              <w:t xml:space="preserve">decreased year-on-year in nine </w:t>
            </w:r>
            <w:r w:rsidR="00615ADD" w:rsidRPr="006E725C">
              <w:rPr>
                <w:lang w:val="en-GB"/>
              </w:rPr>
              <w:t>countries</w:t>
            </w:r>
            <w:r w:rsidR="00C54549" w:rsidRPr="006E725C">
              <w:rPr>
                <w:lang w:val="en-GB"/>
              </w:rPr>
              <w:t xml:space="preserve"> in Q</w:t>
            </w:r>
            <w:r w:rsidR="00EA1EBB" w:rsidRPr="006E725C">
              <w:rPr>
                <w:lang w:val="en-GB"/>
              </w:rPr>
              <w:t>4</w:t>
            </w:r>
            <w:r w:rsidR="00C54549" w:rsidRPr="006E725C">
              <w:rPr>
                <w:lang w:val="en-GB"/>
              </w:rPr>
              <w:t xml:space="preserve">, the most in Ireland </w:t>
            </w:r>
            <w:r w:rsidR="00EA1EBB" w:rsidRPr="006E725C">
              <w:rPr>
                <w:lang w:val="en-GB"/>
              </w:rPr>
              <w:t>(−9</w:t>
            </w:r>
            <w:r w:rsidR="00C54549" w:rsidRPr="006E725C">
              <w:rPr>
                <w:lang w:val="en-GB"/>
              </w:rPr>
              <w:t>.</w:t>
            </w:r>
            <w:r w:rsidR="00EA1EBB" w:rsidRPr="006E725C">
              <w:rPr>
                <w:lang w:val="en-GB"/>
              </w:rPr>
              <w:t>1%), Eston</w:t>
            </w:r>
            <w:r w:rsidR="00C54549" w:rsidRPr="006E725C">
              <w:rPr>
                <w:lang w:val="en-GB"/>
              </w:rPr>
              <w:t xml:space="preserve">ia </w:t>
            </w:r>
            <w:r w:rsidR="00EA1EBB" w:rsidRPr="006E725C">
              <w:rPr>
                <w:lang w:val="en-GB"/>
              </w:rPr>
              <w:t>(−2</w:t>
            </w:r>
            <w:r w:rsidR="00C54549" w:rsidRPr="006E725C">
              <w:rPr>
                <w:lang w:val="en-GB"/>
              </w:rPr>
              <w:t>.</w:t>
            </w:r>
            <w:r w:rsidR="00EA1EBB" w:rsidRPr="006E725C">
              <w:rPr>
                <w:lang w:val="en-GB"/>
              </w:rPr>
              <w:t>5%) a</w:t>
            </w:r>
            <w:r w:rsidR="00C54549" w:rsidRPr="006E725C">
              <w:rPr>
                <w:lang w:val="en-GB"/>
              </w:rPr>
              <w:t xml:space="preserve">nd Finland </w:t>
            </w:r>
            <w:r w:rsidR="00EA1EBB" w:rsidRPr="006E725C">
              <w:rPr>
                <w:lang w:val="en-GB"/>
              </w:rPr>
              <w:t>(−1</w:t>
            </w:r>
            <w:r w:rsidR="00C54549" w:rsidRPr="006E725C">
              <w:rPr>
                <w:lang w:val="en-GB"/>
              </w:rPr>
              <w:t>.</w:t>
            </w:r>
            <w:r w:rsidR="00EA1EBB" w:rsidRPr="006E725C">
              <w:rPr>
                <w:lang w:val="en-GB"/>
              </w:rPr>
              <w:t xml:space="preserve">6%), </w:t>
            </w:r>
            <w:r w:rsidR="00E84295" w:rsidRPr="006E725C">
              <w:rPr>
                <w:lang w:val="en-GB"/>
              </w:rPr>
              <w:t xml:space="preserve">however also the </w:t>
            </w:r>
            <w:r w:rsidR="002C268F" w:rsidRPr="006E725C">
              <w:rPr>
                <w:lang w:val="en-GB"/>
              </w:rPr>
              <w:t xml:space="preserve">German economy, important for the Czech exports fell behind </w:t>
            </w:r>
            <w:r w:rsidR="00EA1EBB" w:rsidRPr="006E725C">
              <w:rPr>
                <w:lang w:val="en-GB"/>
              </w:rPr>
              <w:t>(−0</w:t>
            </w:r>
            <w:r w:rsidR="002C268F" w:rsidRPr="006E725C">
              <w:rPr>
                <w:lang w:val="en-GB"/>
              </w:rPr>
              <w:t>.</w:t>
            </w:r>
            <w:r w:rsidR="00EA1EBB" w:rsidRPr="006E725C">
              <w:rPr>
                <w:lang w:val="en-GB"/>
              </w:rPr>
              <w:t xml:space="preserve">2%). </w:t>
            </w:r>
            <w:r w:rsidR="002C268F" w:rsidRPr="006E725C">
              <w:rPr>
                <w:lang w:val="en-GB"/>
              </w:rPr>
              <w:t xml:space="preserve">In contrast, </w:t>
            </w:r>
            <w:r w:rsidR="00B135D1" w:rsidRPr="006E725C">
              <w:rPr>
                <w:lang w:val="en-GB"/>
              </w:rPr>
              <w:t>the strongest year-on-year GD</w:t>
            </w:r>
            <w:r w:rsidR="00615ADD" w:rsidRPr="006E725C">
              <w:rPr>
                <w:lang w:val="en-GB"/>
              </w:rPr>
              <w:t>P</w:t>
            </w:r>
            <w:r w:rsidR="00B135D1" w:rsidRPr="006E725C">
              <w:rPr>
                <w:lang w:val="en-GB"/>
              </w:rPr>
              <w:t xml:space="preserve"> increase was recorded in Croatia </w:t>
            </w:r>
            <w:r w:rsidR="00EA1EBB" w:rsidRPr="006E725C">
              <w:rPr>
                <w:lang w:val="en-GB"/>
              </w:rPr>
              <w:t>(4</w:t>
            </w:r>
            <w:r w:rsidR="00B135D1" w:rsidRPr="006E725C">
              <w:rPr>
                <w:lang w:val="en-GB"/>
              </w:rPr>
              <w:t>.</w:t>
            </w:r>
            <w:r w:rsidR="00EA1EBB" w:rsidRPr="006E725C">
              <w:rPr>
                <w:lang w:val="en-GB"/>
              </w:rPr>
              <w:t xml:space="preserve">3%), </w:t>
            </w:r>
            <w:r w:rsidR="00B135D1" w:rsidRPr="006E725C">
              <w:rPr>
                <w:lang w:val="en-GB"/>
              </w:rPr>
              <w:t>Malta</w:t>
            </w:r>
            <w:r w:rsidR="00D90E41" w:rsidRPr="006E725C">
              <w:rPr>
                <w:lang w:val="en-GB"/>
              </w:rPr>
              <w:t xml:space="preserve"> </w:t>
            </w:r>
            <w:r w:rsidR="00EA1EBB" w:rsidRPr="006E725C">
              <w:rPr>
                <w:lang w:val="en-GB"/>
              </w:rPr>
              <w:t>(4</w:t>
            </w:r>
            <w:r w:rsidR="00B135D1" w:rsidRPr="006E725C">
              <w:rPr>
                <w:lang w:val="en-GB"/>
              </w:rPr>
              <w:t>.</w:t>
            </w:r>
            <w:r w:rsidR="00EA1EBB" w:rsidRPr="006E725C">
              <w:rPr>
                <w:lang w:val="en-GB"/>
              </w:rPr>
              <w:t>3%) a</w:t>
            </w:r>
            <w:r w:rsidR="00B135D1" w:rsidRPr="006E725C">
              <w:rPr>
                <w:lang w:val="en-GB"/>
              </w:rPr>
              <w:t xml:space="preserve">nd in Denmark </w:t>
            </w:r>
            <w:r w:rsidR="00EA1EBB" w:rsidRPr="006E725C">
              <w:rPr>
                <w:lang w:val="en-GB"/>
              </w:rPr>
              <w:t>(3</w:t>
            </w:r>
            <w:r w:rsidR="00B135D1" w:rsidRPr="006E725C">
              <w:rPr>
                <w:lang w:val="en-GB"/>
              </w:rPr>
              <w:t>.</w:t>
            </w:r>
            <w:r w:rsidR="00EA1EBB" w:rsidRPr="006E725C">
              <w:rPr>
                <w:lang w:val="en-GB"/>
              </w:rPr>
              <w:t>1%)</w:t>
            </w:r>
            <w:r w:rsidR="00B135D1" w:rsidRPr="006E725C">
              <w:rPr>
                <w:lang w:val="en-GB"/>
              </w:rPr>
              <w:t xml:space="preserve"> in Q4</w:t>
            </w:r>
            <w:r w:rsidR="00EA1EBB" w:rsidRPr="006E725C">
              <w:rPr>
                <w:lang w:val="en-GB"/>
              </w:rPr>
              <w:t xml:space="preserve">. </w:t>
            </w:r>
            <w:r w:rsidR="00230AFA" w:rsidRPr="006E725C">
              <w:rPr>
                <w:lang w:val="en-GB"/>
              </w:rPr>
              <w:t xml:space="preserve">Quarter-on-quarter GDP development </w:t>
            </w:r>
            <w:r w:rsidR="00FE4E8C" w:rsidRPr="006E725C">
              <w:rPr>
                <w:lang w:val="en-GB"/>
              </w:rPr>
              <w:t xml:space="preserve">has been </w:t>
            </w:r>
            <w:r w:rsidR="00155571" w:rsidRPr="006E725C">
              <w:rPr>
                <w:lang w:val="en-GB"/>
              </w:rPr>
              <w:t>oscillating</w:t>
            </w:r>
            <w:r w:rsidR="00FE4E8C" w:rsidRPr="006E725C">
              <w:rPr>
                <w:lang w:val="en-GB"/>
              </w:rPr>
              <w:t xml:space="preserve"> </w:t>
            </w:r>
            <w:r w:rsidR="00155571" w:rsidRPr="006E725C">
              <w:rPr>
                <w:lang w:val="en-GB"/>
              </w:rPr>
              <w:t xml:space="preserve">closely near stagnation in </w:t>
            </w:r>
            <w:r w:rsidR="00155571" w:rsidRPr="006E725C">
              <w:rPr>
                <w:lang w:val="en-GB"/>
              </w:rPr>
              <w:lastRenderedPageBreak/>
              <w:t xml:space="preserve">the EU for more than one year and the GDP also did not change in real terms in Q2 compared to the previous quarter. </w:t>
            </w:r>
            <w:r w:rsidR="00112919" w:rsidRPr="006E725C">
              <w:rPr>
                <w:lang w:val="en-GB"/>
              </w:rPr>
              <w:t xml:space="preserve">The GDP increased quarter-on-quarter for more than one half of the EU countries. </w:t>
            </w:r>
            <w:r w:rsidR="005F5156" w:rsidRPr="006E725C">
              <w:rPr>
                <w:lang w:val="en-GB"/>
              </w:rPr>
              <w:t xml:space="preserve">The total GDP stagnation in the EU was firstly affected by the sharp decline in Ireland </w:t>
            </w:r>
            <w:r w:rsidR="00EA1EBB" w:rsidRPr="006E725C">
              <w:rPr>
                <w:lang w:val="en-GB"/>
              </w:rPr>
              <w:t>(−3</w:t>
            </w:r>
            <w:r w:rsidR="005F5156" w:rsidRPr="006E725C">
              <w:rPr>
                <w:lang w:val="en-GB"/>
              </w:rPr>
              <w:t>.</w:t>
            </w:r>
            <w:r w:rsidR="00EA1EBB" w:rsidRPr="006E725C">
              <w:rPr>
                <w:lang w:val="en-GB"/>
              </w:rPr>
              <w:t>4%) a</w:t>
            </w:r>
            <w:r w:rsidR="005F5156" w:rsidRPr="006E725C">
              <w:rPr>
                <w:lang w:val="en-GB"/>
              </w:rPr>
              <w:t xml:space="preserve">nd further by the </w:t>
            </w:r>
            <w:r w:rsidR="0034599A" w:rsidRPr="006E725C">
              <w:rPr>
                <w:lang w:val="en-GB"/>
              </w:rPr>
              <w:t xml:space="preserve">decrease of Germany </w:t>
            </w:r>
            <w:r w:rsidR="00EA1EBB" w:rsidRPr="006E725C">
              <w:rPr>
                <w:lang w:val="en-GB"/>
              </w:rPr>
              <w:t>(−0</w:t>
            </w:r>
            <w:r w:rsidR="0034599A" w:rsidRPr="006E725C">
              <w:rPr>
                <w:lang w:val="en-GB"/>
              </w:rPr>
              <w:t>.</w:t>
            </w:r>
            <w:r w:rsidR="00EA1EBB" w:rsidRPr="006E725C">
              <w:rPr>
                <w:lang w:val="en-GB"/>
              </w:rPr>
              <w:t>3%)</w:t>
            </w:r>
            <w:r w:rsidR="0034599A" w:rsidRPr="006E725C">
              <w:rPr>
                <w:lang w:val="en-GB"/>
              </w:rPr>
              <w:t xml:space="preserve"> and weak growth of France </w:t>
            </w:r>
            <w:r w:rsidR="00EA1EBB" w:rsidRPr="006E725C">
              <w:rPr>
                <w:lang w:val="en-GB"/>
              </w:rPr>
              <w:t>(0</w:t>
            </w:r>
            <w:r w:rsidR="0034599A" w:rsidRPr="006E725C">
              <w:rPr>
                <w:lang w:val="en-GB"/>
              </w:rPr>
              <w:t>.</w:t>
            </w:r>
            <w:r w:rsidR="00615ADD" w:rsidRPr="006E725C">
              <w:rPr>
                <w:lang w:val="en-GB"/>
              </w:rPr>
              <w:t>1</w:t>
            </w:r>
            <w:r w:rsidR="00EA1EBB" w:rsidRPr="006E725C">
              <w:rPr>
                <w:lang w:val="en-GB"/>
              </w:rPr>
              <w:t xml:space="preserve">%). </w:t>
            </w:r>
            <w:r w:rsidR="0034599A" w:rsidRPr="006E725C">
              <w:rPr>
                <w:lang w:val="en-GB"/>
              </w:rPr>
              <w:t>Large group of countries re</w:t>
            </w:r>
            <w:r w:rsidR="00C20366" w:rsidRPr="006E725C">
              <w:rPr>
                <w:lang w:val="en-GB"/>
              </w:rPr>
              <w:t xml:space="preserve">corded only a weak growth at the end of year </w:t>
            </w:r>
            <w:r w:rsidR="00EA1EBB" w:rsidRPr="006E725C">
              <w:rPr>
                <w:lang w:val="en-GB"/>
              </w:rPr>
              <w:t>2023</w:t>
            </w:r>
            <w:r w:rsidR="00C20366" w:rsidRPr="006E725C">
              <w:rPr>
                <w:lang w:val="en-GB"/>
              </w:rPr>
              <w:t xml:space="preserve">, also including the entire Central European region </w:t>
            </w:r>
            <w:r w:rsidR="00EA1EBB" w:rsidRPr="006E725C">
              <w:rPr>
                <w:lang w:val="en-GB"/>
              </w:rPr>
              <w:t>(</w:t>
            </w:r>
            <w:r w:rsidR="00C20366" w:rsidRPr="006E725C">
              <w:rPr>
                <w:lang w:val="en-GB"/>
              </w:rPr>
              <w:t xml:space="preserve">Hungary, Austria, Poland </w:t>
            </w:r>
            <w:r w:rsidR="0044356B" w:rsidRPr="006E725C">
              <w:rPr>
                <w:lang w:val="en-GB"/>
              </w:rPr>
              <w:t>stagnated</w:t>
            </w:r>
            <w:r w:rsidR="00EA1EBB" w:rsidRPr="006E725C">
              <w:rPr>
                <w:lang w:val="en-GB"/>
              </w:rPr>
              <w:t>,</w:t>
            </w:r>
            <w:r w:rsidR="0044356B" w:rsidRPr="006E725C">
              <w:rPr>
                <w:lang w:val="en-GB"/>
              </w:rPr>
              <w:t xml:space="preserve"> the Czech Republic </w:t>
            </w:r>
            <w:r w:rsidR="00631B14" w:rsidRPr="006E725C">
              <w:rPr>
                <w:lang w:val="en-GB"/>
              </w:rPr>
              <w:t xml:space="preserve">featured weak growth and the GDP increased by </w:t>
            </w:r>
            <w:r w:rsidR="00EA1EBB" w:rsidRPr="006E725C">
              <w:rPr>
                <w:lang w:val="en-GB"/>
              </w:rPr>
              <w:t>0</w:t>
            </w:r>
            <w:r w:rsidR="00631B14" w:rsidRPr="006E725C">
              <w:rPr>
                <w:lang w:val="en-GB"/>
              </w:rPr>
              <w:t>.</w:t>
            </w:r>
            <w:r w:rsidR="00EA1EBB" w:rsidRPr="006E725C">
              <w:rPr>
                <w:lang w:val="en-GB"/>
              </w:rPr>
              <w:t>3%</w:t>
            </w:r>
            <w:r w:rsidR="00631B14" w:rsidRPr="006E725C">
              <w:rPr>
                <w:lang w:val="en-GB"/>
              </w:rPr>
              <w:t xml:space="preserve"> in Slovakia</w:t>
            </w:r>
            <w:r w:rsidR="00EA1EBB" w:rsidRPr="006E725C">
              <w:rPr>
                <w:lang w:val="en-GB"/>
              </w:rPr>
              <w:t>).</w:t>
            </w:r>
            <w:r w:rsidR="00631B14" w:rsidRPr="006E725C">
              <w:rPr>
                <w:lang w:val="en-GB"/>
              </w:rPr>
              <w:t xml:space="preserve"> The GDP grew the most quarter-on-quarter in Denmark </w:t>
            </w:r>
            <w:r w:rsidR="00EA1EBB" w:rsidRPr="006E725C">
              <w:rPr>
                <w:lang w:val="en-GB"/>
              </w:rPr>
              <w:t>(2</w:t>
            </w:r>
            <w:r w:rsidR="00631B14" w:rsidRPr="006E725C">
              <w:rPr>
                <w:lang w:val="en-GB"/>
              </w:rPr>
              <w:t>.</w:t>
            </w:r>
            <w:r w:rsidR="00EA1EBB" w:rsidRPr="006E725C">
              <w:rPr>
                <w:lang w:val="en-GB"/>
              </w:rPr>
              <w:t>0%),</w:t>
            </w:r>
            <w:r w:rsidR="00631B14" w:rsidRPr="006E725C">
              <w:rPr>
                <w:lang w:val="en-GB"/>
              </w:rPr>
              <w:t xml:space="preserve"> Croatia </w:t>
            </w:r>
            <w:r w:rsidR="00EA1EBB" w:rsidRPr="006E725C">
              <w:rPr>
                <w:lang w:val="en-GB"/>
              </w:rPr>
              <w:t>(1</w:t>
            </w:r>
            <w:r w:rsidR="00631B14" w:rsidRPr="006E725C">
              <w:rPr>
                <w:lang w:val="en-GB"/>
              </w:rPr>
              <w:t>.</w:t>
            </w:r>
            <w:r w:rsidR="00EA1EBB" w:rsidRPr="006E725C">
              <w:rPr>
                <w:lang w:val="en-GB"/>
              </w:rPr>
              <w:t>3%) a</w:t>
            </w:r>
            <w:r w:rsidR="00631B14" w:rsidRPr="006E725C">
              <w:rPr>
                <w:lang w:val="en-GB"/>
              </w:rPr>
              <w:t xml:space="preserve">nd in Slovenia </w:t>
            </w:r>
            <w:r w:rsidR="00EA1EBB" w:rsidRPr="006E725C">
              <w:rPr>
                <w:lang w:val="en-GB"/>
              </w:rPr>
              <w:t>(1</w:t>
            </w:r>
            <w:r w:rsidR="00631B14" w:rsidRPr="006E725C">
              <w:rPr>
                <w:lang w:val="en-GB"/>
              </w:rPr>
              <w:t>.</w:t>
            </w:r>
            <w:r w:rsidR="00EA1EBB" w:rsidRPr="006E725C">
              <w:rPr>
                <w:lang w:val="en-GB"/>
              </w:rPr>
              <w:t xml:space="preserve">1%). </w:t>
            </w:r>
          </w:p>
        </w:tc>
      </w:tr>
      <w:tr w:rsidR="00EA1EBB" w:rsidRPr="006E725C" w14:paraId="3EEBE7DD" w14:textId="77777777" w:rsidTr="005855B4">
        <w:trPr>
          <w:trHeight w:val="145"/>
        </w:trPr>
        <w:tc>
          <w:tcPr>
            <w:tcW w:w="1806" w:type="dxa"/>
            <w:shd w:val="clear" w:color="auto" w:fill="auto"/>
            <w:tcMar>
              <w:left w:w="0" w:type="dxa"/>
            </w:tcMar>
          </w:tcPr>
          <w:p w14:paraId="36F37DB9" w14:textId="6F4E8A0F" w:rsidR="00EA1EBB" w:rsidRPr="006E725C" w:rsidRDefault="00EA1EBB" w:rsidP="00BA5125">
            <w:pPr>
              <w:pStyle w:val="Marginlie"/>
              <w:rPr>
                <w:lang w:val="en-GB"/>
              </w:rPr>
            </w:pPr>
            <w:r w:rsidRPr="006E725C">
              <w:rPr>
                <w:lang w:val="en-GB"/>
              </w:rPr>
              <w:lastRenderedPageBreak/>
              <w:t>Nomin</w:t>
            </w:r>
            <w:r w:rsidR="005A0280" w:rsidRPr="006E725C">
              <w:rPr>
                <w:lang w:val="en-GB"/>
              </w:rPr>
              <w:t xml:space="preserve">al growth of wages and salaries remained high. </w:t>
            </w:r>
          </w:p>
        </w:tc>
        <w:tc>
          <w:tcPr>
            <w:tcW w:w="223" w:type="dxa"/>
            <w:shd w:val="clear" w:color="auto" w:fill="auto"/>
            <w:tcMar>
              <w:left w:w="0" w:type="dxa"/>
            </w:tcMar>
          </w:tcPr>
          <w:p w14:paraId="362B05F0" w14:textId="77777777" w:rsidR="00EA1EBB" w:rsidRPr="006E725C" w:rsidRDefault="00EA1EBB" w:rsidP="00BA5125">
            <w:pPr>
              <w:pStyle w:val="Textpoznpodarou"/>
              <w:jc w:val="both"/>
              <w:rPr>
                <w:spacing w:val="-4"/>
                <w:lang w:val="en-GB"/>
              </w:rPr>
            </w:pPr>
          </w:p>
        </w:tc>
        <w:tc>
          <w:tcPr>
            <w:tcW w:w="7610" w:type="dxa"/>
            <w:shd w:val="clear" w:color="auto" w:fill="auto"/>
            <w:tcMar>
              <w:left w:w="0" w:type="dxa"/>
            </w:tcMar>
          </w:tcPr>
          <w:p w14:paraId="2B8F98F6" w14:textId="2A048CF4" w:rsidR="00EA1EBB" w:rsidRPr="006E725C" w:rsidRDefault="00D90E41" w:rsidP="00BA5125">
            <w:pPr>
              <w:rPr>
                <w:lang w:val="en-GB"/>
              </w:rPr>
            </w:pPr>
            <w:r w:rsidRPr="00A362F9">
              <w:rPr>
                <w:lang w:val="en-GB"/>
              </w:rPr>
              <w:t xml:space="preserve">Total volume of paid out wages and salaries expanded in nominal terms by </w:t>
            </w:r>
            <w:r w:rsidR="00EA1EBB" w:rsidRPr="00A362F9">
              <w:rPr>
                <w:lang w:val="en-GB"/>
              </w:rPr>
              <w:t>8</w:t>
            </w:r>
            <w:r w:rsidRPr="00A362F9">
              <w:rPr>
                <w:lang w:val="en-GB"/>
              </w:rPr>
              <w:t>.</w:t>
            </w:r>
            <w:r w:rsidR="00EA1EBB" w:rsidRPr="00A362F9">
              <w:rPr>
                <w:lang w:val="en-GB"/>
              </w:rPr>
              <w:t xml:space="preserve">0% </w:t>
            </w:r>
            <w:r w:rsidRPr="00A362F9">
              <w:rPr>
                <w:lang w:val="en-GB"/>
              </w:rPr>
              <w:t>last year</w:t>
            </w:r>
            <w:r w:rsidR="00933959" w:rsidRPr="00A362F9">
              <w:rPr>
                <w:lang w:val="en-GB"/>
              </w:rPr>
              <w:t xml:space="preserve"> given the </w:t>
            </w:r>
            <w:r w:rsidR="003135C4" w:rsidRPr="00A362F9">
              <w:rPr>
                <w:lang w:val="en-GB"/>
              </w:rPr>
              <w:t>simultaneous</w:t>
            </w:r>
            <w:r w:rsidR="00933959" w:rsidRPr="00A362F9">
              <w:rPr>
                <w:lang w:val="en-GB"/>
              </w:rPr>
              <w:t xml:space="preserve"> increase of total employment</w:t>
            </w:r>
            <w:r w:rsidR="00EA1EBB" w:rsidRPr="00A362F9">
              <w:rPr>
                <w:vertAlign w:val="superscript"/>
                <w:lang w:val="en-GB"/>
              </w:rPr>
              <w:footnoteReference w:id="3"/>
            </w:r>
            <w:r w:rsidR="00EA1EBB" w:rsidRPr="00A362F9">
              <w:rPr>
                <w:lang w:val="en-GB"/>
              </w:rPr>
              <w:t xml:space="preserve"> </w:t>
            </w:r>
            <w:r w:rsidR="00933959" w:rsidRPr="00A362F9">
              <w:rPr>
                <w:lang w:val="en-GB"/>
              </w:rPr>
              <w:t xml:space="preserve">by </w:t>
            </w:r>
            <w:r w:rsidR="00EA1EBB" w:rsidRPr="00A362F9">
              <w:rPr>
                <w:lang w:val="en-GB"/>
              </w:rPr>
              <w:t>0</w:t>
            </w:r>
            <w:r w:rsidR="00933959" w:rsidRPr="00A362F9">
              <w:rPr>
                <w:lang w:val="en-GB"/>
              </w:rPr>
              <w:t>.</w:t>
            </w:r>
            <w:r w:rsidR="00EA1EBB" w:rsidRPr="00A362F9">
              <w:rPr>
                <w:lang w:val="en-GB"/>
              </w:rPr>
              <w:t xml:space="preserve">8%. </w:t>
            </w:r>
            <w:r w:rsidR="00615ADD" w:rsidRPr="00A362F9">
              <w:rPr>
                <w:lang w:val="en-GB"/>
              </w:rPr>
              <w:t>However,</w:t>
            </w:r>
            <w:r w:rsidR="005831AA" w:rsidRPr="00A362F9">
              <w:rPr>
                <w:lang w:val="en-GB"/>
              </w:rPr>
              <w:t xml:space="preserve"> with respect to the continuing growth of the price level the earnings </w:t>
            </w:r>
            <w:r w:rsidR="00150384" w:rsidRPr="00A362F9">
              <w:rPr>
                <w:lang w:val="en-GB"/>
              </w:rPr>
              <w:t xml:space="preserve">dropped in real terms by </w:t>
            </w:r>
            <w:r w:rsidR="00EA1EBB" w:rsidRPr="00A362F9">
              <w:rPr>
                <w:lang w:val="en-GB"/>
              </w:rPr>
              <w:t>1</w:t>
            </w:r>
            <w:r w:rsidR="00150384" w:rsidRPr="00A362F9">
              <w:rPr>
                <w:lang w:val="en-GB"/>
              </w:rPr>
              <w:t>.</w:t>
            </w:r>
            <w:r w:rsidR="00EA1EBB" w:rsidRPr="00A362F9">
              <w:rPr>
                <w:lang w:val="en-GB"/>
              </w:rPr>
              <w:t>2%</w:t>
            </w:r>
            <w:r w:rsidR="00EA1EBB" w:rsidRPr="00A362F9">
              <w:rPr>
                <w:vertAlign w:val="superscript"/>
                <w:lang w:val="en-GB"/>
              </w:rPr>
              <w:footnoteReference w:id="4"/>
            </w:r>
            <w:r w:rsidR="00EA1EBB" w:rsidRPr="00A362F9">
              <w:rPr>
                <w:lang w:val="en-GB"/>
              </w:rPr>
              <w:t xml:space="preserve">. </w:t>
            </w:r>
            <w:r w:rsidR="0076190A" w:rsidRPr="00A362F9">
              <w:rPr>
                <w:lang w:val="en-GB"/>
              </w:rPr>
              <w:t xml:space="preserve">The volume of wages and salaries increased the most in real estate </w:t>
            </w:r>
            <w:r w:rsidR="00A26B56" w:rsidRPr="00A362F9">
              <w:rPr>
                <w:lang w:val="en-GB"/>
              </w:rPr>
              <w:t>activities</w:t>
            </w:r>
            <w:r w:rsidR="00E034A1" w:rsidRPr="00A362F9">
              <w:rPr>
                <w:lang w:val="en-GB"/>
              </w:rPr>
              <w:t xml:space="preserve"> </w:t>
            </w:r>
            <w:r w:rsidR="00EA1EBB" w:rsidRPr="00A362F9">
              <w:rPr>
                <w:lang w:val="en-GB"/>
              </w:rPr>
              <w:t>(15</w:t>
            </w:r>
            <w:r w:rsidR="00E034A1" w:rsidRPr="00A362F9">
              <w:rPr>
                <w:lang w:val="en-GB"/>
              </w:rPr>
              <w:t>.</w:t>
            </w:r>
            <w:r w:rsidR="00EA1EBB" w:rsidRPr="00A362F9">
              <w:rPr>
                <w:lang w:val="en-GB"/>
              </w:rPr>
              <w:t>6%),</w:t>
            </w:r>
            <w:r w:rsidR="00E034A1" w:rsidRPr="00A362F9">
              <w:rPr>
                <w:lang w:val="en-GB"/>
              </w:rPr>
              <w:t xml:space="preserve"> in other activities</w:t>
            </w:r>
            <w:r w:rsidR="00EA1EBB" w:rsidRPr="00A362F9">
              <w:rPr>
                <w:vertAlign w:val="superscript"/>
                <w:lang w:val="en-GB"/>
              </w:rPr>
              <w:footnoteReference w:id="5"/>
            </w:r>
            <w:r w:rsidR="00582A12" w:rsidRPr="00A362F9">
              <w:rPr>
                <w:lang w:val="en-GB"/>
              </w:rPr>
              <w:t xml:space="preserve"> (10</w:t>
            </w:r>
            <w:r w:rsidR="00A26B56" w:rsidRPr="00A362F9">
              <w:rPr>
                <w:lang w:val="en-GB"/>
              </w:rPr>
              <w:t>.</w:t>
            </w:r>
            <w:r w:rsidR="00582A12" w:rsidRPr="00A362F9">
              <w:rPr>
                <w:lang w:val="en-GB"/>
              </w:rPr>
              <w:t xml:space="preserve">3%) </w:t>
            </w:r>
            <w:r w:rsidR="00EA1EBB" w:rsidRPr="00A362F9">
              <w:rPr>
                <w:lang w:val="en-GB"/>
              </w:rPr>
              <w:t>a</w:t>
            </w:r>
            <w:r w:rsidR="00A26B56" w:rsidRPr="00A362F9">
              <w:rPr>
                <w:lang w:val="en-GB"/>
              </w:rPr>
              <w:t xml:space="preserve">nd in </w:t>
            </w:r>
            <w:r w:rsidR="00ED602C" w:rsidRPr="00A362F9">
              <w:rPr>
                <w:lang w:val="en-GB"/>
              </w:rPr>
              <w:t>section of professional, scientific</w:t>
            </w:r>
            <w:r w:rsidR="00C56E94" w:rsidRPr="00A362F9">
              <w:rPr>
                <w:lang w:val="en-GB"/>
              </w:rPr>
              <w:t>, t</w:t>
            </w:r>
            <w:r w:rsidR="00ED602C" w:rsidRPr="00A362F9">
              <w:rPr>
                <w:lang w:val="en-GB"/>
              </w:rPr>
              <w:t>echnical</w:t>
            </w:r>
            <w:r w:rsidR="00C56E94" w:rsidRPr="00A362F9">
              <w:rPr>
                <w:lang w:val="en-GB"/>
              </w:rPr>
              <w:t xml:space="preserve"> and administrative </w:t>
            </w:r>
            <w:r w:rsidR="00ED602C" w:rsidRPr="00A362F9">
              <w:rPr>
                <w:lang w:val="en-GB"/>
              </w:rPr>
              <w:t>activities</w:t>
            </w:r>
            <w:r w:rsidR="00C56E94" w:rsidRPr="00A362F9">
              <w:rPr>
                <w:lang w:val="en-GB"/>
              </w:rPr>
              <w:t xml:space="preserve"> </w:t>
            </w:r>
            <w:r w:rsidR="00EA1EBB" w:rsidRPr="00A362F9">
              <w:rPr>
                <w:lang w:val="en-GB"/>
              </w:rPr>
              <w:t>(</w:t>
            </w:r>
            <w:r w:rsidR="00C737F1" w:rsidRPr="00A362F9">
              <w:rPr>
                <w:lang w:val="en-GB"/>
              </w:rPr>
              <w:t>9.</w:t>
            </w:r>
            <w:r w:rsidR="00EA1EBB" w:rsidRPr="00A362F9">
              <w:rPr>
                <w:lang w:val="en-GB"/>
              </w:rPr>
              <w:t>9%)</w:t>
            </w:r>
            <w:r w:rsidR="0076190A" w:rsidRPr="00A362F9">
              <w:rPr>
                <w:lang w:val="en-GB"/>
              </w:rPr>
              <w:t xml:space="preserve"> last year</w:t>
            </w:r>
            <w:r w:rsidR="00EA1EBB" w:rsidRPr="00A362F9">
              <w:rPr>
                <w:lang w:val="en-GB"/>
              </w:rPr>
              <w:t>.</w:t>
            </w:r>
            <w:r w:rsidR="0076190A" w:rsidRPr="00A362F9">
              <w:rPr>
                <w:lang w:val="en-GB"/>
              </w:rPr>
              <w:t xml:space="preserve"> On the </w:t>
            </w:r>
            <w:r w:rsidR="007E585C" w:rsidRPr="00A362F9">
              <w:rPr>
                <w:lang w:val="en-GB"/>
              </w:rPr>
              <w:t>contrary,</w:t>
            </w:r>
            <w:r w:rsidR="00EA1EBB" w:rsidRPr="00A362F9">
              <w:rPr>
                <w:lang w:val="en-GB"/>
              </w:rPr>
              <w:t xml:space="preserve"> </w:t>
            </w:r>
            <w:r w:rsidR="00EF1067" w:rsidRPr="00A362F9">
              <w:rPr>
                <w:lang w:val="en-GB"/>
              </w:rPr>
              <w:t xml:space="preserve">the increase of wages and salaries was significantly below average in agriculture, forestry and fishing </w:t>
            </w:r>
            <w:r w:rsidR="00EA1EBB" w:rsidRPr="00A362F9">
              <w:rPr>
                <w:lang w:val="en-GB"/>
              </w:rPr>
              <w:t>(4</w:t>
            </w:r>
            <w:r w:rsidR="00EF1067" w:rsidRPr="00A362F9">
              <w:rPr>
                <w:lang w:val="en-GB"/>
              </w:rPr>
              <w:t>.</w:t>
            </w:r>
            <w:r w:rsidR="00EA1EBB" w:rsidRPr="00A362F9">
              <w:rPr>
                <w:lang w:val="en-GB"/>
              </w:rPr>
              <w:t>8%),</w:t>
            </w:r>
            <w:r w:rsidR="00EF1067" w:rsidRPr="00A362F9">
              <w:rPr>
                <w:lang w:val="en-GB"/>
              </w:rPr>
              <w:t xml:space="preserve"> in financial and insurance </w:t>
            </w:r>
            <w:r w:rsidR="00253952" w:rsidRPr="00A362F9">
              <w:rPr>
                <w:lang w:val="en-GB"/>
              </w:rPr>
              <w:t xml:space="preserve">activities </w:t>
            </w:r>
            <w:r w:rsidR="00EA1EBB" w:rsidRPr="00A362F9">
              <w:rPr>
                <w:lang w:val="en-GB"/>
              </w:rPr>
              <w:t>(6</w:t>
            </w:r>
            <w:r w:rsidR="00253952" w:rsidRPr="00A362F9">
              <w:rPr>
                <w:lang w:val="en-GB"/>
              </w:rPr>
              <w:t>.</w:t>
            </w:r>
            <w:r w:rsidR="00EA1EBB" w:rsidRPr="00A362F9">
              <w:rPr>
                <w:lang w:val="en-GB"/>
              </w:rPr>
              <w:t>2%)</w:t>
            </w:r>
            <w:r w:rsidR="00253952" w:rsidRPr="00A362F9">
              <w:rPr>
                <w:lang w:val="en-GB"/>
              </w:rPr>
              <w:t xml:space="preserve"> and in manufacturing </w:t>
            </w:r>
            <w:r w:rsidR="00EA1EBB" w:rsidRPr="00A362F9">
              <w:rPr>
                <w:lang w:val="en-GB"/>
              </w:rPr>
              <w:t>(6</w:t>
            </w:r>
            <w:r w:rsidR="00253952" w:rsidRPr="00A362F9">
              <w:rPr>
                <w:lang w:val="en-GB"/>
              </w:rPr>
              <w:t>.</w:t>
            </w:r>
            <w:r w:rsidR="00EA1EBB" w:rsidRPr="00A362F9">
              <w:rPr>
                <w:lang w:val="en-GB"/>
              </w:rPr>
              <w:t xml:space="preserve">9%). </w:t>
            </w:r>
            <w:r w:rsidR="00040EE0" w:rsidRPr="00A362F9">
              <w:rPr>
                <w:lang w:val="en-GB"/>
              </w:rPr>
              <w:t xml:space="preserve">The wage dynamics slowed down </w:t>
            </w:r>
            <w:r w:rsidR="00F4729B" w:rsidRPr="00A362F9">
              <w:rPr>
                <w:lang w:val="en-GB"/>
              </w:rPr>
              <w:t>during the year and the year-on-year volume of</w:t>
            </w:r>
            <w:r w:rsidR="00F4729B" w:rsidRPr="006E725C">
              <w:rPr>
                <w:lang w:val="en-GB"/>
              </w:rPr>
              <w:t xml:space="preserve"> wages and salaries reached 6.6% in Q</w:t>
            </w:r>
            <w:r w:rsidR="00EA1EBB" w:rsidRPr="006E725C">
              <w:rPr>
                <w:lang w:val="en-GB"/>
              </w:rPr>
              <w:t>4</w:t>
            </w:r>
            <w:r w:rsidR="00F4729B" w:rsidRPr="006E725C">
              <w:rPr>
                <w:lang w:val="en-GB"/>
              </w:rPr>
              <w:t xml:space="preserve"> with </w:t>
            </w:r>
            <w:r w:rsidR="00F544A4" w:rsidRPr="006E725C">
              <w:rPr>
                <w:lang w:val="en-GB"/>
              </w:rPr>
              <w:t xml:space="preserve">parallel </w:t>
            </w:r>
            <w:r w:rsidR="00F4729B" w:rsidRPr="006E725C">
              <w:rPr>
                <w:lang w:val="en-GB"/>
              </w:rPr>
              <w:t xml:space="preserve">total employment growth of </w:t>
            </w:r>
            <w:r w:rsidR="00EA1EBB" w:rsidRPr="006E725C">
              <w:rPr>
                <w:lang w:val="en-GB"/>
              </w:rPr>
              <w:t>0</w:t>
            </w:r>
            <w:r w:rsidR="00F544A4" w:rsidRPr="006E725C">
              <w:rPr>
                <w:lang w:val="en-GB"/>
              </w:rPr>
              <w:t>.</w:t>
            </w:r>
            <w:r w:rsidR="00EA1EBB" w:rsidRPr="006E725C">
              <w:rPr>
                <w:lang w:val="en-GB"/>
              </w:rPr>
              <w:t xml:space="preserve">4%. </w:t>
            </w:r>
            <w:r w:rsidR="00062A71" w:rsidRPr="006E725C">
              <w:rPr>
                <w:lang w:val="en-GB"/>
              </w:rPr>
              <w:t>Total</w:t>
            </w:r>
            <w:r w:rsidR="00A362F9">
              <w:rPr>
                <w:lang w:val="en-GB"/>
              </w:rPr>
              <w:t xml:space="preserve"> price</w:t>
            </w:r>
            <w:r w:rsidR="00062A71" w:rsidRPr="006E725C">
              <w:rPr>
                <w:lang w:val="en-GB"/>
              </w:rPr>
              <w:t xml:space="preserve"> growth was weakening last year faster than the</w:t>
            </w:r>
            <w:r w:rsidR="003523A9" w:rsidRPr="006E725C">
              <w:rPr>
                <w:lang w:val="en-GB"/>
              </w:rPr>
              <w:t xml:space="preserve"> </w:t>
            </w:r>
            <w:r w:rsidR="00062A71" w:rsidRPr="006E725C">
              <w:rPr>
                <w:lang w:val="en-GB"/>
              </w:rPr>
              <w:t xml:space="preserve">nominal increase of wages and salaries, thus </w:t>
            </w:r>
            <w:r w:rsidR="003523A9" w:rsidRPr="006E725C">
              <w:rPr>
                <w:lang w:val="en-GB"/>
              </w:rPr>
              <w:t xml:space="preserve">the real year-on-year increase of the volume of wages and salaries slightly strengthened </w:t>
            </w:r>
            <w:r w:rsidR="00AC1B53" w:rsidRPr="006E725C">
              <w:rPr>
                <w:lang w:val="en-GB"/>
              </w:rPr>
              <w:t xml:space="preserve">to </w:t>
            </w:r>
            <w:r w:rsidR="00EA1EBB" w:rsidRPr="006E725C">
              <w:rPr>
                <w:lang w:val="en-GB"/>
              </w:rPr>
              <w:t>0</w:t>
            </w:r>
            <w:r w:rsidR="00AC1B53" w:rsidRPr="006E725C">
              <w:rPr>
                <w:lang w:val="en-GB"/>
              </w:rPr>
              <w:t>.</w:t>
            </w:r>
            <w:r w:rsidR="00EA1EBB" w:rsidRPr="006E725C">
              <w:rPr>
                <w:lang w:val="en-GB"/>
              </w:rPr>
              <w:t>5%</w:t>
            </w:r>
            <w:r w:rsidR="00062A71" w:rsidRPr="006E725C">
              <w:rPr>
                <w:lang w:val="en-GB"/>
              </w:rPr>
              <w:t xml:space="preserve"> in Q4</w:t>
            </w:r>
            <w:r w:rsidR="00EA1EBB" w:rsidRPr="006E725C">
              <w:rPr>
                <w:lang w:val="en-GB"/>
              </w:rPr>
              <w:t xml:space="preserve">. </w:t>
            </w:r>
            <w:r w:rsidR="00932117" w:rsidRPr="006E725C">
              <w:rPr>
                <w:lang w:val="en-GB"/>
              </w:rPr>
              <w:t xml:space="preserve">Wages and salaries grew the most year-on-year in other activities </w:t>
            </w:r>
            <w:r w:rsidR="00EA1EBB" w:rsidRPr="006E725C">
              <w:rPr>
                <w:lang w:val="en-GB"/>
              </w:rPr>
              <w:t>(12</w:t>
            </w:r>
            <w:r w:rsidR="00932117" w:rsidRPr="006E725C">
              <w:rPr>
                <w:lang w:val="en-GB"/>
              </w:rPr>
              <w:t>.</w:t>
            </w:r>
            <w:r w:rsidR="00EA1EBB" w:rsidRPr="006E725C">
              <w:rPr>
                <w:lang w:val="en-GB"/>
              </w:rPr>
              <w:t xml:space="preserve">9% </w:t>
            </w:r>
            <w:r w:rsidR="00932117" w:rsidRPr="006E725C">
              <w:rPr>
                <w:lang w:val="en-GB"/>
              </w:rPr>
              <w:t xml:space="preserve">with the employment growth of </w:t>
            </w:r>
            <w:r w:rsidR="00EA1EBB" w:rsidRPr="006E725C">
              <w:rPr>
                <w:lang w:val="en-GB"/>
              </w:rPr>
              <w:t>2</w:t>
            </w:r>
            <w:r w:rsidR="00932117" w:rsidRPr="006E725C">
              <w:rPr>
                <w:lang w:val="en-GB"/>
              </w:rPr>
              <w:t>.</w:t>
            </w:r>
            <w:r w:rsidR="00EA1EBB" w:rsidRPr="006E725C">
              <w:rPr>
                <w:lang w:val="en-GB"/>
              </w:rPr>
              <w:t xml:space="preserve">9%), </w:t>
            </w:r>
            <w:r w:rsidR="004B2249" w:rsidRPr="006E725C">
              <w:rPr>
                <w:lang w:val="en-GB"/>
              </w:rPr>
              <w:t xml:space="preserve">closely followed by the real estate activities </w:t>
            </w:r>
            <w:r w:rsidR="00EA1EBB" w:rsidRPr="006E725C">
              <w:rPr>
                <w:lang w:val="en-GB"/>
              </w:rPr>
              <w:t>(12</w:t>
            </w:r>
            <w:r w:rsidR="004B2249" w:rsidRPr="006E725C">
              <w:rPr>
                <w:lang w:val="en-GB"/>
              </w:rPr>
              <w:t>.</w:t>
            </w:r>
            <w:r w:rsidR="00EA1EBB" w:rsidRPr="006E725C">
              <w:rPr>
                <w:lang w:val="en-GB"/>
              </w:rPr>
              <w:t>5%</w:t>
            </w:r>
            <w:r w:rsidR="004B2249" w:rsidRPr="006E725C">
              <w:rPr>
                <w:lang w:val="en-GB"/>
              </w:rPr>
              <w:t xml:space="preserve"> with the employment growth of </w:t>
            </w:r>
            <w:r w:rsidR="00EA1EBB" w:rsidRPr="006E725C">
              <w:rPr>
                <w:lang w:val="en-GB"/>
              </w:rPr>
              <w:t>0</w:t>
            </w:r>
            <w:r w:rsidR="004B2249" w:rsidRPr="006E725C">
              <w:rPr>
                <w:lang w:val="en-GB"/>
              </w:rPr>
              <w:t>.</w:t>
            </w:r>
            <w:r w:rsidR="00EA1EBB" w:rsidRPr="006E725C">
              <w:rPr>
                <w:lang w:val="en-GB"/>
              </w:rPr>
              <w:t>8%).</w:t>
            </w:r>
            <w:r w:rsidR="004B2249" w:rsidRPr="006E725C">
              <w:rPr>
                <w:lang w:val="en-GB"/>
              </w:rPr>
              <w:t xml:space="preserve"> </w:t>
            </w:r>
            <w:r w:rsidR="0098371F" w:rsidRPr="006E725C">
              <w:rPr>
                <w:lang w:val="en-GB"/>
              </w:rPr>
              <w:t xml:space="preserve">The increase of the volume of wages and salaries was above average in professional, scientific, technical and administrative activities </w:t>
            </w:r>
            <w:r w:rsidR="00EA1EBB" w:rsidRPr="006E725C">
              <w:rPr>
                <w:lang w:val="en-GB"/>
              </w:rPr>
              <w:t>(8</w:t>
            </w:r>
            <w:r w:rsidR="0098371F" w:rsidRPr="006E725C">
              <w:rPr>
                <w:lang w:val="en-GB"/>
              </w:rPr>
              <w:t>.</w:t>
            </w:r>
            <w:r w:rsidR="00EA1EBB" w:rsidRPr="006E725C">
              <w:rPr>
                <w:lang w:val="en-GB"/>
              </w:rPr>
              <w:t>6%,</w:t>
            </w:r>
            <w:r w:rsidR="0098371F" w:rsidRPr="006E725C">
              <w:rPr>
                <w:lang w:val="en-GB"/>
              </w:rPr>
              <w:t xml:space="preserve"> employment by </w:t>
            </w:r>
            <w:r w:rsidR="00EA1EBB" w:rsidRPr="006E725C">
              <w:rPr>
                <w:lang w:val="en-GB"/>
              </w:rPr>
              <w:t>2</w:t>
            </w:r>
            <w:r w:rsidR="0098371F" w:rsidRPr="006E725C">
              <w:rPr>
                <w:lang w:val="en-GB"/>
              </w:rPr>
              <w:t>.</w:t>
            </w:r>
            <w:r w:rsidR="00EA1EBB" w:rsidRPr="006E725C">
              <w:rPr>
                <w:lang w:val="en-GB"/>
              </w:rPr>
              <w:t>5%)</w:t>
            </w:r>
            <w:r w:rsidR="0098371F" w:rsidRPr="006E725C">
              <w:rPr>
                <w:lang w:val="en-GB"/>
              </w:rPr>
              <w:t xml:space="preserve"> and in information and communication </w:t>
            </w:r>
            <w:r w:rsidR="00EA1EBB" w:rsidRPr="006E725C">
              <w:rPr>
                <w:lang w:val="en-GB"/>
              </w:rPr>
              <w:t>(7</w:t>
            </w:r>
            <w:r w:rsidR="0098371F" w:rsidRPr="006E725C">
              <w:rPr>
                <w:lang w:val="en-GB"/>
              </w:rPr>
              <w:t>.</w:t>
            </w:r>
            <w:r w:rsidR="00EA1EBB" w:rsidRPr="006E725C">
              <w:rPr>
                <w:lang w:val="en-GB"/>
              </w:rPr>
              <w:t>5%,</w:t>
            </w:r>
            <w:r w:rsidR="0098371F" w:rsidRPr="006E725C">
              <w:rPr>
                <w:lang w:val="en-GB"/>
              </w:rPr>
              <w:t xml:space="preserve"> employment by </w:t>
            </w:r>
            <w:r w:rsidR="00EA1EBB" w:rsidRPr="006E725C">
              <w:rPr>
                <w:lang w:val="en-GB"/>
              </w:rPr>
              <w:t>1</w:t>
            </w:r>
            <w:r w:rsidR="0098371F" w:rsidRPr="006E725C">
              <w:rPr>
                <w:lang w:val="en-GB"/>
              </w:rPr>
              <w:t>.</w:t>
            </w:r>
            <w:r w:rsidR="00EA1EBB" w:rsidRPr="006E725C">
              <w:rPr>
                <w:lang w:val="en-GB"/>
              </w:rPr>
              <w:t xml:space="preserve">0%). </w:t>
            </w:r>
            <w:r w:rsidR="00901F6D" w:rsidRPr="006E725C">
              <w:rPr>
                <w:lang w:val="en-GB"/>
              </w:rPr>
              <w:t xml:space="preserve">Wages grew markedly slower compared to the rest of </w:t>
            </w:r>
            <w:r w:rsidR="00D7497E" w:rsidRPr="006E725C">
              <w:rPr>
                <w:lang w:val="en-GB"/>
              </w:rPr>
              <w:t xml:space="preserve">the </w:t>
            </w:r>
            <w:r w:rsidR="00901F6D" w:rsidRPr="006E725C">
              <w:rPr>
                <w:lang w:val="en-GB"/>
              </w:rPr>
              <w:t xml:space="preserve">economy </w:t>
            </w:r>
            <w:r w:rsidR="00294977" w:rsidRPr="006E725C">
              <w:rPr>
                <w:lang w:val="en-GB"/>
              </w:rPr>
              <w:t xml:space="preserve">in manufacturing </w:t>
            </w:r>
            <w:r w:rsidR="00EA1EBB" w:rsidRPr="006E725C">
              <w:rPr>
                <w:lang w:val="en-GB"/>
              </w:rPr>
              <w:t>(5</w:t>
            </w:r>
            <w:r w:rsidR="00294977" w:rsidRPr="006E725C">
              <w:rPr>
                <w:lang w:val="en-GB"/>
              </w:rPr>
              <w:t>.</w:t>
            </w:r>
            <w:r w:rsidR="00EA1EBB" w:rsidRPr="006E725C">
              <w:rPr>
                <w:lang w:val="en-GB"/>
              </w:rPr>
              <w:t>1%),</w:t>
            </w:r>
            <w:r w:rsidR="00294977" w:rsidRPr="006E725C">
              <w:rPr>
                <w:lang w:val="en-GB"/>
              </w:rPr>
              <w:t xml:space="preserve"> where the employment simultaneously decreased by </w:t>
            </w:r>
            <w:r w:rsidR="00EA1EBB" w:rsidRPr="006E725C">
              <w:rPr>
                <w:lang w:val="en-GB"/>
              </w:rPr>
              <w:t>1</w:t>
            </w:r>
            <w:r w:rsidR="00294977" w:rsidRPr="006E725C">
              <w:rPr>
                <w:lang w:val="en-GB"/>
              </w:rPr>
              <w:t>.</w:t>
            </w:r>
            <w:r w:rsidR="00EA1EBB" w:rsidRPr="006E725C">
              <w:rPr>
                <w:lang w:val="en-GB"/>
              </w:rPr>
              <w:t>3%</w:t>
            </w:r>
            <w:r w:rsidR="00294977" w:rsidRPr="006E725C">
              <w:rPr>
                <w:lang w:val="en-GB"/>
              </w:rPr>
              <w:t xml:space="preserve"> year-on-year</w:t>
            </w:r>
            <w:r w:rsidR="00EA1EBB" w:rsidRPr="006E725C">
              <w:rPr>
                <w:lang w:val="en-GB"/>
              </w:rPr>
              <w:t>, a</w:t>
            </w:r>
            <w:r w:rsidR="00294977" w:rsidRPr="006E725C">
              <w:rPr>
                <w:lang w:val="en-GB"/>
              </w:rPr>
              <w:t xml:space="preserve">nd in financial and insurance activities </w:t>
            </w:r>
            <w:r w:rsidR="00EA1EBB" w:rsidRPr="006E725C">
              <w:rPr>
                <w:lang w:val="en-GB"/>
              </w:rPr>
              <w:t>(5</w:t>
            </w:r>
            <w:r w:rsidR="00294977" w:rsidRPr="006E725C">
              <w:rPr>
                <w:lang w:val="en-GB"/>
              </w:rPr>
              <w:t>.</w:t>
            </w:r>
            <w:r w:rsidR="00EA1EBB" w:rsidRPr="006E725C">
              <w:rPr>
                <w:lang w:val="en-GB"/>
              </w:rPr>
              <w:t>0%</w:t>
            </w:r>
            <w:r w:rsidR="00294977" w:rsidRPr="006E725C">
              <w:rPr>
                <w:lang w:val="en-GB"/>
              </w:rPr>
              <w:t xml:space="preserve"> given the drop of employment by </w:t>
            </w:r>
            <w:r w:rsidR="00EA1EBB" w:rsidRPr="006E725C">
              <w:rPr>
                <w:lang w:val="en-GB"/>
              </w:rPr>
              <w:t>1</w:t>
            </w:r>
            <w:r w:rsidR="00294977" w:rsidRPr="006E725C">
              <w:rPr>
                <w:lang w:val="en-GB"/>
              </w:rPr>
              <w:t>.</w:t>
            </w:r>
            <w:r w:rsidR="00EA1EBB" w:rsidRPr="006E725C">
              <w:rPr>
                <w:lang w:val="en-GB"/>
              </w:rPr>
              <w:t>2%).</w:t>
            </w:r>
          </w:p>
        </w:tc>
      </w:tr>
      <w:tr w:rsidR="00EA1EBB" w:rsidRPr="006E725C" w14:paraId="5BC159AD" w14:textId="77777777" w:rsidTr="005855B4">
        <w:trPr>
          <w:trHeight w:val="145"/>
        </w:trPr>
        <w:tc>
          <w:tcPr>
            <w:tcW w:w="1806" w:type="dxa"/>
            <w:shd w:val="clear" w:color="auto" w:fill="auto"/>
            <w:tcMar>
              <w:left w:w="0" w:type="dxa"/>
            </w:tcMar>
          </w:tcPr>
          <w:p w14:paraId="7B2AE299" w14:textId="2675BC7A" w:rsidR="00EA1EBB" w:rsidRPr="006E725C" w:rsidRDefault="00CF2A1B" w:rsidP="00BA5125">
            <w:pPr>
              <w:pStyle w:val="Marginlie"/>
              <w:rPr>
                <w:lang w:val="en-GB"/>
              </w:rPr>
            </w:pPr>
            <w:r w:rsidRPr="006E725C">
              <w:rPr>
                <w:lang w:val="en-GB"/>
              </w:rPr>
              <w:t xml:space="preserve">Quarter-on-quarter growth of wages and </w:t>
            </w:r>
            <w:r w:rsidR="00901F6D" w:rsidRPr="006E725C">
              <w:rPr>
                <w:lang w:val="en-GB"/>
              </w:rPr>
              <w:t>salaries</w:t>
            </w:r>
            <w:r w:rsidRPr="006E725C">
              <w:rPr>
                <w:lang w:val="en-GB"/>
              </w:rPr>
              <w:t xml:space="preserve"> </w:t>
            </w:r>
            <w:r w:rsidR="006F29CB" w:rsidRPr="006E725C">
              <w:rPr>
                <w:lang w:val="en-GB"/>
              </w:rPr>
              <w:t xml:space="preserve">strengthened at the end of year </w:t>
            </w:r>
            <w:r w:rsidR="00EA1EBB" w:rsidRPr="006E725C">
              <w:rPr>
                <w:lang w:val="en-GB"/>
              </w:rPr>
              <w:t>2023</w:t>
            </w:r>
            <w:r w:rsidR="006F29CB" w:rsidRPr="006E725C">
              <w:rPr>
                <w:lang w:val="en-GB"/>
              </w:rPr>
              <w:t xml:space="preserve">. </w:t>
            </w:r>
          </w:p>
        </w:tc>
        <w:tc>
          <w:tcPr>
            <w:tcW w:w="223" w:type="dxa"/>
            <w:shd w:val="clear" w:color="auto" w:fill="auto"/>
            <w:tcMar>
              <w:left w:w="0" w:type="dxa"/>
            </w:tcMar>
          </w:tcPr>
          <w:p w14:paraId="3743F534" w14:textId="77777777" w:rsidR="00EA1EBB" w:rsidRPr="006E725C" w:rsidRDefault="00EA1EBB" w:rsidP="00BA5125">
            <w:pPr>
              <w:pStyle w:val="Textpoznpodarou"/>
              <w:jc w:val="both"/>
              <w:rPr>
                <w:spacing w:val="-4"/>
                <w:lang w:val="en-GB"/>
              </w:rPr>
            </w:pPr>
          </w:p>
        </w:tc>
        <w:tc>
          <w:tcPr>
            <w:tcW w:w="7610" w:type="dxa"/>
            <w:shd w:val="clear" w:color="auto" w:fill="auto"/>
            <w:tcMar>
              <w:left w:w="0" w:type="dxa"/>
            </w:tcMar>
          </w:tcPr>
          <w:p w14:paraId="45229BD7" w14:textId="61EA7AC4" w:rsidR="00EA1EBB" w:rsidRPr="006E725C" w:rsidRDefault="00314D47" w:rsidP="00192BA8">
            <w:pPr>
              <w:rPr>
                <w:lang w:val="en-GB"/>
              </w:rPr>
            </w:pPr>
            <w:r w:rsidRPr="006E725C">
              <w:rPr>
                <w:lang w:val="en-GB"/>
              </w:rPr>
              <w:t xml:space="preserve">Quarter-on-quarter growth of wages and salaries strengthened to </w:t>
            </w:r>
            <w:r w:rsidR="00EA1EBB" w:rsidRPr="006E725C">
              <w:rPr>
                <w:lang w:val="en-GB"/>
              </w:rPr>
              <w:t>1</w:t>
            </w:r>
            <w:r w:rsidRPr="006E725C">
              <w:rPr>
                <w:lang w:val="en-GB"/>
              </w:rPr>
              <w:t>.</w:t>
            </w:r>
            <w:r w:rsidR="00EA1EBB" w:rsidRPr="006E725C">
              <w:rPr>
                <w:lang w:val="en-GB"/>
              </w:rPr>
              <w:t>7%</w:t>
            </w:r>
            <w:r w:rsidRPr="006E725C">
              <w:rPr>
                <w:lang w:val="en-GB"/>
              </w:rPr>
              <w:t xml:space="preserve"> in Q4</w:t>
            </w:r>
            <w:r w:rsidR="00EA1EBB" w:rsidRPr="006E725C">
              <w:rPr>
                <w:lang w:val="en-GB"/>
              </w:rPr>
              <w:t>,</w:t>
            </w:r>
            <w:r w:rsidRPr="006E725C">
              <w:rPr>
                <w:lang w:val="en-GB"/>
              </w:rPr>
              <w:t xml:space="preserve"> while the total employment in fact stagnated </w:t>
            </w:r>
            <w:r w:rsidR="00EA1EBB" w:rsidRPr="006E725C">
              <w:rPr>
                <w:lang w:val="en-GB"/>
              </w:rPr>
              <w:t>(−0</w:t>
            </w:r>
            <w:r w:rsidRPr="006E725C">
              <w:rPr>
                <w:lang w:val="en-GB"/>
              </w:rPr>
              <w:t>.</w:t>
            </w:r>
            <w:r w:rsidR="00EA1EBB" w:rsidRPr="006E725C">
              <w:rPr>
                <w:lang w:val="en-GB"/>
              </w:rPr>
              <w:t>1%).</w:t>
            </w:r>
            <w:r w:rsidRPr="006E725C">
              <w:rPr>
                <w:lang w:val="en-GB"/>
              </w:rPr>
              <w:t xml:space="preserve"> Wages and salaries grew in real terms by </w:t>
            </w:r>
            <w:r w:rsidR="00EA1EBB" w:rsidRPr="006E725C">
              <w:rPr>
                <w:lang w:val="en-GB"/>
              </w:rPr>
              <w:t>0</w:t>
            </w:r>
            <w:r w:rsidRPr="006E725C">
              <w:rPr>
                <w:lang w:val="en-GB"/>
              </w:rPr>
              <w:t>.</w:t>
            </w:r>
            <w:r w:rsidR="00EA1EBB" w:rsidRPr="006E725C">
              <w:rPr>
                <w:lang w:val="en-GB"/>
              </w:rPr>
              <w:t>7%.</w:t>
            </w:r>
            <w:r w:rsidRPr="006E725C">
              <w:rPr>
                <w:lang w:val="en-GB"/>
              </w:rPr>
              <w:t xml:space="preserve"> </w:t>
            </w:r>
            <w:r w:rsidR="000C0190" w:rsidRPr="006E725C">
              <w:rPr>
                <w:lang w:val="en-GB"/>
              </w:rPr>
              <w:t xml:space="preserve">The revival of the wage dynamics involved the whole economy. </w:t>
            </w:r>
            <w:r w:rsidR="000A55C4" w:rsidRPr="006E725C">
              <w:rPr>
                <w:lang w:val="en-GB"/>
              </w:rPr>
              <w:t xml:space="preserve">The volume of wages and salaries </w:t>
            </w:r>
            <w:r w:rsidR="00C76249" w:rsidRPr="006E725C">
              <w:rPr>
                <w:lang w:val="en-GB"/>
              </w:rPr>
              <w:t xml:space="preserve">increased the most quarter-on-quarter in other activities </w:t>
            </w:r>
            <w:r w:rsidR="00EA1EBB" w:rsidRPr="006E725C">
              <w:rPr>
                <w:lang w:val="en-GB"/>
              </w:rPr>
              <w:t>(6</w:t>
            </w:r>
            <w:r w:rsidR="00C76249" w:rsidRPr="006E725C">
              <w:rPr>
                <w:lang w:val="en-GB"/>
              </w:rPr>
              <w:t>.</w:t>
            </w:r>
            <w:r w:rsidR="00EA1EBB" w:rsidRPr="006E725C">
              <w:rPr>
                <w:lang w:val="en-GB"/>
              </w:rPr>
              <w:t>2%),</w:t>
            </w:r>
            <w:r w:rsidR="00C76249" w:rsidRPr="006E725C">
              <w:rPr>
                <w:lang w:val="en-GB"/>
              </w:rPr>
              <w:t xml:space="preserve"> where the employment also grew strongly </w:t>
            </w:r>
            <w:r w:rsidR="00EA1EBB" w:rsidRPr="006E725C">
              <w:rPr>
                <w:lang w:val="en-GB"/>
              </w:rPr>
              <w:t>(2</w:t>
            </w:r>
            <w:r w:rsidR="00C76249" w:rsidRPr="006E725C">
              <w:rPr>
                <w:lang w:val="en-GB"/>
              </w:rPr>
              <w:t>.</w:t>
            </w:r>
            <w:r w:rsidR="00EA1EBB" w:rsidRPr="006E725C">
              <w:rPr>
                <w:lang w:val="en-GB"/>
              </w:rPr>
              <w:t>4%).</w:t>
            </w:r>
            <w:r w:rsidR="00C76249" w:rsidRPr="006E725C">
              <w:rPr>
                <w:lang w:val="en-GB"/>
              </w:rPr>
              <w:t xml:space="preserve"> Wages and salaries also grew strongly in</w:t>
            </w:r>
            <w:r w:rsidR="00D84060" w:rsidRPr="006E725C">
              <w:rPr>
                <w:lang w:val="en-GB"/>
              </w:rPr>
              <w:t xml:space="preserve"> </w:t>
            </w:r>
            <w:r w:rsidR="007F72E3" w:rsidRPr="006E725C">
              <w:rPr>
                <w:spacing w:val="-5"/>
                <w:lang w:val="en-GB"/>
              </w:rPr>
              <w:t xml:space="preserve">division </w:t>
            </w:r>
            <w:r w:rsidR="00192BA8">
              <w:rPr>
                <w:spacing w:val="-5"/>
                <w:lang w:val="en-GB"/>
              </w:rPr>
              <w:t>t</w:t>
            </w:r>
            <w:r w:rsidR="007F72E3" w:rsidRPr="006E725C">
              <w:rPr>
                <w:spacing w:val="-5"/>
                <w:lang w:val="en-GB"/>
              </w:rPr>
              <w:t xml:space="preserve">rade, transport, accommodation and </w:t>
            </w:r>
            <w:r w:rsidR="00192BA8">
              <w:rPr>
                <w:spacing w:val="-5"/>
                <w:lang w:val="en-GB"/>
              </w:rPr>
              <w:t>food service</w:t>
            </w:r>
            <w:r w:rsidR="007F72E3" w:rsidRPr="006E725C">
              <w:rPr>
                <w:spacing w:val="-5"/>
                <w:lang w:val="en-GB"/>
              </w:rPr>
              <w:t xml:space="preserve"> </w:t>
            </w:r>
            <w:r w:rsidR="00EA1EBB" w:rsidRPr="006E725C">
              <w:rPr>
                <w:lang w:val="en-GB"/>
              </w:rPr>
              <w:t>(3</w:t>
            </w:r>
            <w:r w:rsidR="003A18CA" w:rsidRPr="006E725C">
              <w:rPr>
                <w:lang w:val="en-GB"/>
              </w:rPr>
              <w:t>.</w:t>
            </w:r>
            <w:r w:rsidR="00EA1EBB" w:rsidRPr="006E725C">
              <w:rPr>
                <w:lang w:val="en-GB"/>
              </w:rPr>
              <w:t xml:space="preserve">1, </w:t>
            </w:r>
            <w:r w:rsidR="003A18CA" w:rsidRPr="006E725C">
              <w:rPr>
                <w:lang w:val="en-GB"/>
              </w:rPr>
              <w:t xml:space="preserve">employment fell by </w:t>
            </w:r>
            <w:r w:rsidR="00EA1EBB" w:rsidRPr="006E725C">
              <w:rPr>
                <w:lang w:val="en-GB"/>
              </w:rPr>
              <w:t>1</w:t>
            </w:r>
            <w:r w:rsidR="003A18CA" w:rsidRPr="006E725C">
              <w:rPr>
                <w:lang w:val="en-GB"/>
              </w:rPr>
              <w:t>.</w:t>
            </w:r>
            <w:r w:rsidR="00EA1EBB" w:rsidRPr="006E725C">
              <w:rPr>
                <w:lang w:val="en-GB"/>
              </w:rPr>
              <w:t>1%),</w:t>
            </w:r>
            <w:r w:rsidR="003A18CA" w:rsidRPr="006E725C">
              <w:rPr>
                <w:lang w:val="en-GB"/>
              </w:rPr>
              <w:t xml:space="preserve"> in financial and insurance activities </w:t>
            </w:r>
            <w:r w:rsidR="00EA1EBB" w:rsidRPr="006E725C">
              <w:rPr>
                <w:lang w:val="en-GB"/>
              </w:rPr>
              <w:t>(2</w:t>
            </w:r>
            <w:r w:rsidR="003A18CA" w:rsidRPr="006E725C">
              <w:rPr>
                <w:lang w:val="en-GB"/>
              </w:rPr>
              <w:t>.</w:t>
            </w:r>
            <w:r w:rsidR="00EA1EBB" w:rsidRPr="006E725C">
              <w:rPr>
                <w:lang w:val="en-GB"/>
              </w:rPr>
              <w:t>4%,</w:t>
            </w:r>
            <w:r w:rsidR="003A18CA" w:rsidRPr="006E725C">
              <w:rPr>
                <w:lang w:val="en-GB"/>
              </w:rPr>
              <w:t xml:space="preserve"> employment </w:t>
            </w:r>
            <w:r w:rsidR="00EA1EBB" w:rsidRPr="006E725C">
              <w:rPr>
                <w:lang w:val="en-GB"/>
              </w:rPr>
              <w:t>−1</w:t>
            </w:r>
            <w:r w:rsidR="003A18CA" w:rsidRPr="006E725C">
              <w:rPr>
                <w:lang w:val="en-GB"/>
              </w:rPr>
              <w:t>.</w:t>
            </w:r>
            <w:r w:rsidR="00EA1EBB" w:rsidRPr="006E725C">
              <w:rPr>
                <w:lang w:val="en-GB"/>
              </w:rPr>
              <w:t>1%) a</w:t>
            </w:r>
            <w:r w:rsidR="00557D13" w:rsidRPr="006E725C">
              <w:rPr>
                <w:lang w:val="en-GB"/>
              </w:rPr>
              <w:t xml:space="preserve">nd in construction </w:t>
            </w:r>
            <w:r w:rsidR="00EA1EBB" w:rsidRPr="006E725C">
              <w:rPr>
                <w:lang w:val="en-GB"/>
              </w:rPr>
              <w:t>(2</w:t>
            </w:r>
            <w:r w:rsidR="00557D13" w:rsidRPr="006E725C">
              <w:rPr>
                <w:lang w:val="en-GB"/>
              </w:rPr>
              <w:t>.</w:t>
            </w:r>
            <w:r w:rsidR="00EA1EBB" w:rsidRPr="006E725C">
              <w:rPr>
                <w:lang w:val="en-GB"/>
              </w:rPr>
              <w:t xml:space="preserve">0%, </w:t>
            </w:r>
            <w:r w:rsidR="00557D13" w:rsidRPr="006E725C">
              <w:rPr>
                <w:lang w:val="en-GB"/>
              </w:rPr>
              <w:t xml:space="preserve">employment </w:t>
            </w:r>
            <w:r w:rsidR="00EA1EBB" w:rsidRPr="006E725C">
              <w:rPr>
                <w:lang w:val="en-GB"/>
              </w:rPr>
              <w:t>−1</w:t>
            </w:r>
            <w:r w:rsidR="00557D13" w:rsidRPr="006E725C">
              <w:rPr>
                <w:lang w:val="en-GB"/>
              </w:rPr>
              <w:t>.</w:t>
            </w:r>
            <w:r w:rsidR="00EA1EBB" w:rsidRPr="006E725C">
              <w:rPr>
                <w:lang w:val="en-GB"/>
              </w:rPr>
              <w:t xml:space="preserve">0%). </w:t>
            </w:r>
            <w:r w:rsidR="0051672B" w:rsidRPr="006E725C">
              <w:rPr>
                <w:lang w:val="en-GB"/>
              </w:rPr>
              <w:t xml:space="preserve">On the </w:t>
            </w:r>
            <w:r w:rsidR="007E585C" w:rsidRPr="006E725C">
              <w:rPr>
                <w:lang w:val="en-GB"/>
              </w:rPr>
              <w:t>contrary,</w:t>
            </w:r>
            <w:r w:rsidR="0051672B" w:rsidRPr="006E725C">
              <w:rPr>
                <w:lang w:val="en-GB"/>
              </w:rPr>
              <w:t xml:space="preserve"> the quarter-on-quarter increase of wages and salaries weakened to </w:t>
            </w:r>
            <w:r w:rsidR="00EA1EBB" w:rsidRPr="006E725C">
              <w:rPr>
                <w:lang w:val="en-GB"/>
              </w:rPr>
              <w:t>0</w:t>
            </w:r>
            <w:r w:rsidR="0051672B" w:rsidRPr="006E725C">
              <w:rPr>
                <w:lang w:val="en-GB"/>
              </w:rPr>
              <w:t>.</w:t>
            </w:r>
            <w:r w:rsidR="00EA1EBB" w:rsidRPr="006E725C">
              <w:rPr>
                <w:lang w:val="en-GB"/>
              </w:rPr>
              <w:t>5%</w:t>
            </w:r>
            <w:r w:rsidR="0051672B" w:rsidRPr="006E725C">
              <w:rPr>
                <w:lang w:val="en-GB"/>
              </w:rPr>
              <w:t xml:space="preserve"> in the </w:t>
            </w:r>
            <w:bookmarkStart w:id="7" w:name="OLE_LINK1"/>
            <w:r w:rsidR="005F0B43" w:rsidRPr="006E725C">
              <w:rPr>
                <w:lang w:val="en-GB"/>
              </w:rPr>
              <w:t>p</w:t>
            </w:r>
            <w:r w:rsidR="00416097" w:rsidRPr="006E725C">
              <w:rPr>
                <w:rFonts w:cs="Arial"/>
                <w:szCs w:val="20"/>
                <w:lang w:val="en-GB"/>
              </w:rPr>
              <w:t xml:space="preserve">ublic administration, education, health and social work </w:t>
            </w:r>
            <w:bookmarkEnd w:id="7"/>
            <w:r w:rsidR="00D7497E" w:rsidRPr="006E725C">
              <w:rPr>
                <w:rFonts w:cs="Arial"/>
                <w:szCs w:val="20"/>
                <w:lang w:val="en-GB"/>
              </w:rPr>
              <w:t>accompanied</w:t>
            </w:r>
            <w:r w:rsidR="00CE6D92" w:rsidRPr="006E725C">
              <w:rPr>
                <w:rFonts w:cs="Arial"/>
                <w:szCs w:val="20"/>
                <w:lang w:val="en-GB"/>
              </w:rPr>
              <w:t xml:space="preserve"> by the employment growth of </w:t>
            </w:r>
            <w:r w:rsidR="00EA1EBB" w:rsidRPr="006E725C">
              <w:rPr>
                <w:lang w:val="en-GB"/>
              </w:rPr>
              <w:t>1</w:t>
            </w:r>
            <w:r w:rsidR="00CE6D92" w:rsidRPr="006E725C">
              <w:rPr>
                <w:lang w:val="en-GB"/>
              </w:rPr>
              <w:t>.</w:t>
            </w:r>
            <w:r w:rsidR="00EA1EBB" w:rsidRPr="006E725C">
              <w:rPr>
                <w:lang w:val="en-GB"/>
              </w:rPr>
              <w:t>0%.</w:t>
            </w:r>
            <w:r w:rsidR="00CE6D92" w:rsidRPr="006E725C">
              <w:rPr>
                <w:lang w:val="en-GB"/>
              </w:rPr>
              <w:t xml:space="preserve"> The wage dynamics was below the average of the total e</w:t>
            </w:r>
            <w:r w:rsidR="003F1E67" w:rsidRPr="006E725C">
              <w:rPr>
                <w:lang w:val="en-GB"/>
              </w:rPr>
              <w:t>c</w:t>
            </w:r>
            <w:r w:rsidR="00CE6D92" w:rsidRPr="006E725C">
              <w:rPr>
                <w:lang w:val="en-GB"/>
              </w:rPr>
              <w:t xml:space="preserve">onomy also in manufacturing </w:t>
            </w:r>
            <w:r w:rsidR="00EA1EBB" w:rsidRPr="006E725C">
              <w:rPr>
                <w:lang w:val="en-GB"/>
              </w:rPr>
              <w:t>(1</w:t>
            </w:r>
            <w:r w:rsidR="00CE6D92" w:rsidRPr="006E725C">
              <w:rPr>
                <w:lang w:val="en-GB"/>
              </w:rPr>
              <w:t>.</w:t>
            </w:r>
            <w:r w:rsidR="00EA1EBB" w:rsidRPr="006E725C">
              <w:rPr>
                <w:lang w:val="en-GB"/>
              </w:rPr>
              <w:t xml:space="preserve">2%, </w:t>
            </w:r>
            <w:r w:rsidR="00CE6D92" w:rsidRPr="006E725C">
              <w:rPr>
                <w:lang w:val="en-GB"/>
              </w:rPr>
              <w:t xml:space="preserve">employment </w:t>
            </w:r>
            <w:r w:rsidR="00EA1EBB" w:rsidRPr="006E725C">
              <w:rPr>
                <w:lang w:val="en-GB"/>
              </w:rPr>
              <w:t>−0</w:t>
            </w:r>
            <w:r w:rsidR="00CE6D92" w:rsidRPr="006E725C">
              <w:rPr>
                <w:lang w:val="en-GB"/>
              </w:rPr>
              <w:t>.</w:t>
            </w:r>
            <w:r w:rsidR="00EA1EBB" w:rsidRPr="006E725C">
              <w:rPr>
                <w:lang w:val="en-GB"/>
              </w:rPr>
              <w:t>3%).</w:t>
            </w:r>
          </w:p>
        </w:tc>
      </w:tr>
      <w:tr w:rsidR="00EA1EBB" w:rsidRPr="006E725C" w14:paraId="1B84378E" w14:textId="77777777" w:rsidTr="005855B4">
        <w:trPr>
          <w:trHeight w:val="145"/>
        </w:trPr>
        <w:tc>
          <w:tcPr>
            <w:tcW w:w="1806" w:type="dxa"/>
            <w:shd w:val="clear" w:color="auto" w:fill="auto"/>
            <w:tcMar>
              <w:left w:w="0" w:type="dxa"/>
            </w:tcMar>
          </w:tcPr>
          <w:p w14:paraId="239A2222" w14:textId="76AEC419" w:rsidR="00EA1EBB" w:rsidRPr="006E725C" w:rsidRDefault="00EB7D07" w:rsidP="00BA5125">
            <w:pPr>
              <w:pStyle w:val="Marginlie"/>
              <w:rPr>
                <w:lang w:val="en-GB"/>
              </w:rPr>
            </w:pPr>
            <w:r w:rsidRPr="006E725C">
              <w:rPr>
                <w:lang w:val="en-GB"/>
              </w:rPr>
              <w:t>Househol</w:t>
            </w:r>
            <w:r w:rsidR="00224BB6" w:rsidRPr="006E725C">
              <w:rPr>
                <w:lang w:val="en-GB"/>
              </w:rPr>
              <w:t xml:space="preserve">d consumption strongly slumped last year. </w:t>
            </w:r>
          </w:p>
        </w:tc>
        <w:tc>
          <w:tcPr>
            <w:tcW w:w="223" w:type="dxa"/>
            <w:shd w:val="clear" w:color="auto" w:fill="auto"/>
            <w:tcMar>
              <w:left w:w="0" w:type="dxa"/>
            </w:tcMar>
          </w:tcPr>
          <w:p w14:paraId="6B1C357C" w14:textId="77777777" w:rsidR="00EA1EBB" w:rsidRPr="006E725C" w:rsidRDefault="00EA1EBB" w:rsidP="00BA5125">
            <w:pPr>
              <w:pStyle w:val="Textpoznpodarou"/>
              <w:jc w:val="both"/>
              <w:rPr>
                <w:spacing w:val="-4"/>
                <w:lang w:val="en-GB"/>
              </w:rPr>
            </w:pPr>
          </w:p>
        </w:tc>
        <w:tc>
          <w:tcPr>
            <w:tcW w:w="7610" w:type="dxa"/>
            <w:shd w:val="clear" w:color="auto" w:fill="auto"/>
            <w:tcMar>
              <w:left w:w="0" w:type="dxa"/>
            </w:tcMar>
          </w:tcPr>
          <w:p w14:paraId="343CCCA9" w14:textId="7B0D59CE" w:rsidR="00EA1EBB" w:rsidRPr="006E725C" w:rsidRDefault="00B46BE1" w:rsidP="00BA5125">
            <w:pPr>
              <w:rPr>
                <w:spacing w:val="-2"/>
                <w:lang w:val="en-GB"/>
              </w:rPr>
            </w:pPr>
            <w:r w:rsidRPr="006E725C">
              <w:rPr>
                <w:spacing w:val="-2"/>
                <w:lang w:val="en-GB"/>
              </w:rPr>
              <w:t xml:space="preserve">Domestic </w:t>
            </w:r>
            <w:r w:rsidR="001D2FE3" w:rsidRPr="006E725C">
              <w:rPr>
                <w:spacing w:val="-2"/>
                <w:lang w:val="en-GB"/>
              </w:rPr>
              <w:t xml:space="preserve">consumption </w:t>
            </w:r>
            <w:r w:rsidR="0071333D" w:rsidRPr="006E725C">
              <w:rPr>
                <w:spacing w:val="-2"/>
                <w:lang w:val="en-GB"/>
              </w:rPr>
              <w:t xml:space="preserve">decreased in total by </w:t>
            </w:r>
            <w:r w:rsidR="00EA1EBB" w:rsidRPr="006E725C">
              <w:rPr>
                <w:spacing w:val="-2"/>
                <w:lang w:val="en-GB"/>
              </w:rPr>
              <w:t>1</w:t>
            </w:r>
            <w:r w:rsidR="0071333D" w:rsidRPr="006E725C">
              <w:rPr>
                <w:spacing w:val="-2"/>
                <w:lang w:val="en-GB"/>
              </w:rPr>
              <w:t>.</w:t>
            </w:r>
            <w:r w:rsidR="00EA1EBB" w:rsidRPr="006E725C">
              <w:rPr>
                <w:spacing w:val="-2"/>
                <w:lang w:val="en-GB"/>
              </w:rPr>
              <w:t>2%</w:t>
            </w:r>
            <w:r w:rsidR="0071333D" w:rsidRPr="006E725C">
              <w:rPr>
                <w:spacing w:val="-2"/>
                <w:lang w:val="en-GB"/>
              </w:rPr>
              <w:t xml:space="preserve"> last year</w:t>
            </w:r>
            <w:r w:rsidR="00EA1EBB" w:rsidRPr="006E725C">
              <w:rPr>
                <w:spacing w:val="-2"/>
                <w:lang w:val="en-GB"/>
              </w:rPr>
              <w:t xml:space="preserve">. </w:t>
            </w:r>
            <w:r w:rsidR="00426F72" w:rsidRPr="006E725C">
              <w:rPr>
                <w:spacing w:val="-2"/>
                <w:lang w:val="en-GB"/>
              </w:rPr>
              <w:t xml:space="preserve">The development of </w:t>
            </w:r>
            <w:r w:rsidR="00456C88" w:rsidRPr="006E725C">
              <w:rPr>
                <w:spacing w:val="-2"/>
                <w:lang w:val="en-GB"/>
              </w:rPr>
              <w:t xml:space="preserve">household consumption, which was lower by </w:t>
            </w:r>
            <w:r w:rsidR="00EA1EBB" w:rsidRPr="006E725C">
              <w:rPr>
                <w:spacing w:val="-2"/>
                <w:lang w:val="en-GB"/>
              </w:rPr>
              <w:t>3</w:t>
            </w:r>
            <w:r w:rsidR="00456C88" w:rsidRPr="006E725C">
              <w:rPr>
                <w:spacing w:val="-2"/>
                <w:lang w:val="en-GB"/>
              </w:rPr>
              <w:t>.</w:t>
            </w:r>
            <w:r w:rsidR="00EA1EBB" w:rsidRPr="006E725C">
              <w:rPr>
                <w:spacing w:val="-2"/>
                <w:lang w:val="en-GB"/>
              </w:rPr>
              <w:t>1%</w:t>
            </w:r>
            <w:r w:rsidR="00426F72" w:rsidRPr="006E725C">
              <w:rPr>
                <w:spacing w:val="-2"/>
                <w:lang w:val="en-GB"/>
              </w:rPr>
              <w:t xml:space="preserve"> stood exclusively behind it</w:t>
            </w:r>
            <w:r w:rsidR="00EA1EBB" w:rsidRPr="006E725C">
              <w:rPr>
                <w:spacing w:val="-2"/>
                <w:lang w:val="en-GB"/>
              </w:rPr>
              <w:t xml:space="preserve">. </w:t>
            </w:r>
            <w:r w:rsidR="00DA114D" w:rsidRPr="006E725C">
              <w:rPr>
                <w:spacing w:val="-2"/>
                <w:lang w:val="en-GB"/>
              </w:rPr>
              <w:t>Except for the p</w:t>
            </w:r>
            <w:r w:rsidR="005648F8" w:rsidRPr="006E725C">
              <w:rPr>
                <w:spacing w:val="-2"/>
                <w:lang w:val="en-GB"/>
              </w:rPr>
              <w:t xml:space="preserve">andemic year </w:t>
            </w:r>
            <w:r w:rsidR="00EA1EBB" w:rsidRPr="006E725C">
              <w:rPr>
                <w:spacing w:val="-2"/>
                <w:lang w:val="en-GB"/>
              </w:rPr>
              <w:t>2020</w:t>
            </w:r>
            <w:r w:rsidR="005648F8" w:rsidRPr="006E725C">
              <w:rPr>
                <w:spacing w:val="-2"/>
                <w:lang w:val="en-GB"/>
              </w:rPr>
              <w:t xml:space="preserve">, it was the </w:t>
            </w:r>
            <w:r w:rsidR="00DA114D" w:rsidRPr="006E725C">
              <w:rPr>
                <w:spacing w:val="-2"/>
                <w:lang w:val="en-GB"/>
              </w:rPr>
              <w:t>deepest</w:t>
            </w:r>
            <w:r w:rsidR="005648F8" w:rsidRPr="006E725C">
              <w:rPr>
                <w:spacing w:val="-2"/>
                <w:lang w:val="en-GB"/>
              </w:rPr>
              <w:t xml:space="preserve"> recorded </w:t>
            </w:r>
            <w:r w:rsidR="006B2A1F" w:rsidRPr="006E725C">
              <w:rPr>
                <w:spacing w:val="-2"/>
                <w:lang w:val="en-GB"/>
              </w:rPr>
              <w:t xml:space="preserve">plunge of the household consumption in the history of the independent CR. </w:t>
            </w:r>
            <w:r w:rsidR="00D30003" w:rsidRPr="006E725C">
              <w:rPr>
                <w:spacing w:val="-2"/>
                <w:lang w:val="en-GB"/>
              </w:rPr>
              <w:t xml:space="preserve">General government consumption on the other hand increased by </w:t>
            </w:r>
            <w:r w:rsidR="00EA1EBB" w:rsidRPr="006E725C">
              <w:rPr>
                <w:spacing w:val="-2"/>
                <w:lang w:val="en-GB"/>
              </w:rPr>
              <w:t>3</w:t>
            </w:r>
            <w:r w:rsidR="00D30003" w:rsidRPr="006E725C">
              <w:rPr>
                <w:spacing w:val="-2"/>
                <w:lang w:val="en-GB"/>
              </w:rPr>
              <w:t>.</w:t>
            </w:r>
            <w:r w:rsidR="00EA1EBB" w:rsidRPr="006E725C">
              <w:rPr>
                <w:spacing w:val="-2"/>
                <w:lang w:val="en-GB"/>
              </w:rPr>
              <w:t>0%</w:t>
            </w:r>
            <w:r w:rsidR="00D30003" w:rsidRPr="006E725C">
              <w:rPr>
                <w:spacing w:val="-2"/>
                <w:lang w:val="en-GB"/>
              </w:rPr>
              <w:t xml:space="preserve"> last year</w:t>
            </w:r>
            <w:r w:rsidR="00EA1EBB" w:rsidRPr="006E725C">
              <w:rPr>
                <w:spacing w:val="-2"/>
                <w:lang w:val="en-GB"/>
              </w:rPr>
              <w:t xml:space="preserve">. </w:t>
            </w:r>
            <w:r w:rsidR="00BC4C38" w:rsidRPr="006E725C">
              <w:rPr>
                <w:spacing w:val="-2"/>
                <w:lang w:val="en-GB"/>
              </w:rPr>
              <w:t xml:space="preserve">Regarding the </w:t>
            </w:r>
            <w:r w:rsidR="00BB25E8" w:rsidRPr="006E725C">
              <w:rPr>
                <w:spacing w:val="-2"/>
                <w:lang w:val="en-GB"/>
              </w:rPr>
              <w:t xml:space="preserve">structure </w:t>
            </w:r>
            <w:r w:rsidR="00E20733" w:rsidRPr="006E725C">
              <w:rPr>
                <w:spacing w:val="-2"/>
                <w:lang w:val="en-GB"/>
              </w:rPr>
              <w:t xml:space="preserve">of household </w:t>
            </w:r>
            <w:r w:rsidR="00E20733" w:rsidRPr="006E725C">
              <w:rPr>
                <w:spacing w:val="-2"/>
                <w:lang w:val="en-GB"/>
              </w:rPr>
              <w:lastRenderedPageBreak/>
              <w:t>consumption according to the durability</w:t>
            </w:r>
            <w:r w:rsidR="00EA1EBB" w:rsidRPr="006E725C">
              <w:rPr>
                <w:rStyle w:val="Znakapoznpodarou"/>
                <w:lang w:val="en-GB"/>
              </w:rPr>
              <w:footnoteReference w:id="6"/>
            </w:r>
            <w:r w:rsidR="006E725C">
              <w:rPr>
                <w:spacing w:val="-2"/>
                <w:lang w:val="en-GB"/>
              </w:rPr>
              <w:t>,</w:t>
            </w:r>
            <w:r w:rsidR="00EA1EBB" w:rsidRPr="006E725C">
              <w:rPr>
                <w:spacing w:val="-2"/>
                <w:lang w:val="en-GB"/>
              </w:rPr>
              <w:t xml:space="preserve"> </w:t>
            </w:r>
            <w:r w:rsidR="00E20733" w:rsidRPr="006E725C">
              <w:rPr>
                <w:spacing w:val="-2"/>
                <w:lang w:val="en-GB"/>
              </w:rPr>
              <w:t xml:space="preserve">all </w:t>
            </w:r>
            <w:r w:rsidR="00220989" w:rsidRPr="006E725C">
              <w:rPr>
                <w:spacing w:val="-2"/>
                <w:lang w:val="en-GB"/>
              </w:rPr>
              <w:t xml:space="preserve">its </w:t>
            </w:r>
            <w:r w:rsidR="00E20733" w:rsidRPr="006E725C">
              <w:rPr>
                <w:spacing w:val="-2"/>
                <w:lang w:val="en-GB"/>
              </w:rPr>
              <w:t xml:space="preserve">types </w:t>
            </w:r>
            <w:r w:rsidR="00220989" w:rsidRPr="006E725C">
              <w:rPr>
                <w:spacing w:val="-2"/>
                <w:lang w:val="en-GB"/>
              </w:rPr>
              <w:t xml:space="preserve">were falling last year. </w:t>
            </w:r>
            <w:r w:rsidR="00EB6B48" w:rsidRPr="006E725C">
              <w:rPr>
                <w:spacing w:val="-2"/>
                <w:lang w:val="en-GB"/>
              </w:rPr>
              <w:t xml:space="preserve">The consumption of medium-term </w:t>
            </w:r>
            <w:r w:rsidR="002470EB" w:rsidRPr="006E725C">
              <w:rPr>
                <w:spacing w:val="-2"/>
                <w:lang w:val="en-GB"/>
              </w:rPr>
              <w:t xml:space="preserve">durability </w:t>
            </w:r>
            <w:r w:rsidR="00EA1EBB" w:rsidRPr="006E725C">
              <w:rPr>
                <w:spacing w:val="-2"/>
                <w:lang w:val="en-GB"/>
              </w:rPr>
              <w:t>(−6</w:t>
            </w:r>
            <w:r w:rsidR="002470EB" w:rsidRPr="006E725C">
              <w:rPr>
                <w:spacing w:val="-2"/>
                <w:lang w:val="en-GB"/>
              </w:rPr>
              <w:t>.</w:t>
            </w:r>
            <w:r w:rsidR="00EA1EBB" w:rsidRPr="006E725C">
              <w:rPr>
                <w:spacing w:val="-2"/>
                <w:lang w:val="en-GB"/>
              </w:rPr>
              <w:t>3%) a</w:t>
            </w:r>
            <w:r w:rsidR="002470EB" w:rsidRPr="006E725C">
              <w:rPr>
                <w:spacing w:val="-2"/>
                <w:lang w:val="en-GB"/>
              </w:rPr>
              <w:t xml:space="preserve">nd long-term durability </w:t>
            </w:r>
            <w:r w:rsidR="00EA1EBB" w:rsidRPr="006E725C">
              <w:rPr>
                <w:spacing w:val="-2"/>
                <w:lang w:val="en-GB"/>
              </w:rPr>
              <w:t>(−4</w:t>
            </w:r>
            <w:r w:rsidR="002470EB" w:rsidRPr="006E725C">
              <w:rPr>
                <w:spacing w:val="-2"/>
                <w:lang w:val="en-GB"/>
              </w:rPr>
              <w:t>.</w:t>
            </w:r>
            <w:r w:rsidR="00EA1EBB" w:rsidRPr="006E725C">
              <w:rPr>
                <w:spacing w:val="-2"/>
                <w:lang w:val="en-GB"/>
              </w:rPr>
              <w:t xml:space="preserve">4%) </w:t>
            </w:r>
            <w:r w:rsidR="00F56D87" w:rsidRPr="006E725C">
              <w:rPr>
                <w:spacing w:val="-2"/>
                <w:lang w:val="en-GB"/>
              </w:rPr>
              <w:t>goods dived t</w:t>
            </w:r>
            <w:r w:rsidR="00EB6B48" w:rsidRPr="006E725C">
              <w:rPr>
                <w:spacing w:val="-2"/>
                <w:lang w:val="en-GB"/>
              </w:rPr>
              <w:t>he most</w:t>
            </w:r>
            <w:r w:rsidR="00EA1EBB" w:rsidRPr="006E725C">
              <w:rPr>
                <w:spacing w:val="-2"/>
                <w:lang w:val="en-GB"/>
              </w:rPr>
              <w:t xml:space="preserve">. </w:t>
            </w:r>
            <w:r w:rsidR="00F71047" w:rsidRPr="006E725C">
              <w:rPr>
                <w:spacing w:val="-2"/>
                <w:lang w:val="en-GB"/>
              </w:rPr>
              <w:t>Households</w:t>
            </w:r>
            <w:r w:rsidR="002470EB" w:rsidRPr="006E725C">
              <w:rPr>
                <w:spacing w:val="-2"/>
                <w:lang w:val="en-GB"/>
              </w:rPr>
              <w:t xml:space="preserve"> considerably reduced </w:t>
            </w:r>
            <w:r w:rsidR="00F71047" w:rsidRPr="006E725C">
              <w:rPr>
                <w:spacing w:val="-2"/>
                <w:lang w:val="en-GB"/>
              </w:rPr>
              <w:t xml:space="preserve">their expenditures also </w:t>
            </w:r>
            <w:r w:rsidR="004C2346" w:rsidRPr="006E725C">
              <w:rPr>
                <w:spacing w:val="-2"/>
                <w:lang w:val="en-GB"/>
              </w:rPr>
              <w:t xml:space="preserve">on </w:t>
            </w:r>
            <w:r w:rsidR="00CA66FE" w:rsidRPr="006E725C">
              <w:rPr>
                <w:spacing w:val="-2"/>
                <w:lang w:val="en-GB"/>
              </w:rPr>
              <w:t xml:space="preserve">the </w:t>
            </w:r>
            <w:r w:rsidR="00617C0F" w:rsidRPr="006E725C">
              <w:rPr>
                <w:spacing w:val="-2"/>
                <w:lang w:val="en-GB"/>
              </w:rPr>
              <w:t xml:space="preserve">short-term durability </w:t>
            </w:r>
            <w:r w:rsidR="00CA66FE" w:rsidRPr="006E725C">
              <w:rPr>
                <w:spacing w:val="-2"/>
                <w:lang w:val="en-GB"/>
              </w:rPr>
              <w:t xml:space="preserve">goods consumption </w:t>
            </w:r>
            <w:r w:rsidR="00EA1EBB" w:rsidRPr="006E725C">
              <w:rPr>
                <w:spacing w:val="-2"/>
                <w:lang w:val="en-GB"/>
              </w:rPr>
              <w:t>(−4</w:t>
            </w:r>
            <w:r w:rsidR="00617C0F" w:rsidRPr="006E725C">
              <w:rPr>
                <w:spacing w:val="-2"/>
                <w:lang w:val="en-GB"/>
              </w:rPr>
              <w:t>.</w:t>
            </w:r>
            <w:r w:rsidR="00EA1EBB" w:rsidRPr="006E725C">
              <w:rPr>
                <w:spacing w:val="-2"/>
                <w:lang w:val="en-GB"/>
              </w:rPr>
              <w:t>1%). T</w:t>
            </w:r>
            <w:r w:rsidR="000D4E8E" w:rsidRPr="006E725C">
              <w:rPr>
                <w:spacing w:val="-2"/>
                <w:lang w:val="en-GB"/>
              </w:rPr>
              <w:t xml:space="preserve">his consumption </w:t>
            </w:r>
            <w:r w:rsidR="00411826" w:rsidRPr="006E725C">
              <w:rPr>
                <w:spacing w:val="-2"/>
                <w:lang w:val="en-GB"/>
              </w:rPr>
              <w:t xml:space="preserve">slumped three times in real terms during the last four years and thus fell below the level </w:t>
            </w:r>
            <w:r w:rsidR="00AD2E25" w:rsidRPr="006E725C">
              <w:rPr>
                <w:spacing w:val="-2"/>
                <w:lang w:val="en-GB"/>
              </w:rPr>
              <w:t xml:space="preserve">of year </w:t>
            </w:r>
            <w:r w:rsidR="00EA1EBB" w:rsidRPr="006E725C">
              <w:rPr>
                <w:spacing w:val="-2"/>
                <w:lang w:val="en-GB"/>
              </w:rPr>
              <w:t xml:space="preserve">2015. </w:t>
            </w:r>
            <w:r w:rsidR="00647EDF" w:rsidRPr="006E725C">
              <w:rPr>
                <w:spacing w:val="-2"/>
                <w:lang w:val="en-GB"/>
              </w:rPr>
              <w:t xml:space="preserve">Consumption of services went down by </w:t>
            </w:r>
            <w:r w:rsidR="00EA1EBB" w:rsidRPr="006E725C">
              <w:rPr>
                <w:spacing w:val="-2"/>
                <w:lang w:val="en-GB"/>
              </w:rPr>
              <w:t>0</w:t>
            </w:r>
            <w:r w:rsidR="00647EDF" w:rsidRPr="006E725C">
              <w:rPr>
                <w:spacing w:val="-2"/>
                <w:lang w:val="en-GB"/>
              </w:rPr>
              <w:t>.</w:t>
            </w:r>
            <w:r w:rsidR="00EA1EBB" w:rsidRPr="006E725C">
              <w:rPr>
                <w:spacing w:val="-2"/>
                <w:lang w:val="en-GB"/>
              </w:rPr>
              <w:t>4%</w:t>
            </w:r>
            <w:r w:rsidR="00647EDF" w:rsidRPr="006E725C">
              <w:rPr>
                <w:spacing w:val="-2"/>
                <w:lang w:val="en-GB"/>
              </w:rPr>
              <w:t xml:space="preserve"> last year</w:t>
            </w:r>
            <w:r w:rsidR="00EA1EBB" w:rsidRPr="006E725C">
              <w:rPr>
                <w:spacing w:val="-2"/>
                <w:lang w:val="en-GB"/>
              </w:rPr>
              <w:t xml:space="preserve">. </w:t>
            </w:r>
            <w:r w:rsidR="00FE4EBA" w:rsidRPr="006E725C">
              <w:rPr>
                <w:spacing w:val="-2"/>
                <w:lang w:val="en-GB"/>
              </w:rPr>
              <w:t xml:space="preserve">Total consumption increased year-on-year by </w:t>
            </w:r>
            <w:r w:rsidR="00EA1EBB" w:rsidRPr="006E725C">
              <w:rPr>
                <w:spacing w:val="-2"/>
                <w:lang w:val="en-GB"/>
              </w:rPr>
              <w:t>0</w:t>
            </w:r>
            <w:r w:rsidR="00FE4EBA" w:rsidRPr="006E725C">
              <w:rPr>
                <w:spacing w:val="-2"/>
                <w:lang w:val="en-GB"/>
              </w:rPr>
              <w:t>.</w:t>
            </w:r>
            <w:r w:rsidR="00EA1EBB" w:rsidRPr="006E725C">
              <w:rPr>
                <w:spacing w:val="-2"/>
                <w:lang w:val="en-GB"/>
              </w:rPr>
              <w:t>3%</w:t>
            </w:r>
            <w:r w:rsidR="00FE4EBA" w:rsidRPr="006E725C">
              <w:rPr>
                <w:spacing w:val="-2"/>
                <w:lang w:val="en-GB"/>
              </w:rPr>
              <w:t xml:space="preserve"> in Q4</w:t>
            </w:r>
            <w:r w:rsidR="00EA1EBB" w:rsidRPr="006E725C">
              <w:rPr>
                <w:spacing w:val="-2"/>
                <w:lang w:val="en-GB"/>
              </w:rPr>
              <w:t>,</w:t>
            </w:r>
            <w:r w:rsidR="00FE4EBA" w:rsidRPr="006E725C">
              <w:rPr>
                <w:spacing w:val="-2"/>
                <w:lang w:val="en-GB"/>
              </w:rPr>
              <w:t xml:space="preserve"> for the first time since Q</w:t>
            </w:r>
            <w:r w:rsidR="00EA1EBB" w:rsidRPr="006E725C">
              <w:rPr>
                <w:spacing w:val="-2"/>
                <w:lang w:val="en-GB"/>
              </w:rPr>
              <w:t>2</w:t>
            </w:r>
            <w:r w:rsidR="00FE4EBA" w:rsidRPr="006E725C">
              <w:rPr>
                <w:spacing w:val="-2"/>
                <w:lang w:val="en-GB"/>
              </w:rPr>
              <w:t xml:space="preserve"> </w:t>
            </w:r>
            <w:r w:rsidR="00EA1EBB" w:rsidRPr="006E725C">
              <w:rPr>
                <w:spacing w:val="-2"/>
                <w:lang w:val="en-GB"/>
              </w:rPr>
              <w:t xml:space="preserve">2022. </w:t>
            </w:r>
            <w:r w:rsidR="00FE4EBA" w:rsidRPr="006E725C">
              <w:rPr>
                <w:spacing w:val="-2"/>
                <w:lang w:val="en-GB"/>
              </w:rPr>
              <w:t xml:space="preserve">The year-on-year decrease of household consumption </w:t>
            </w:r>
            <w:r w:rsidR="005E4B04" w:rsidRPr="006E725C">
              <w:rPr>
                <w:spacing w:val="-2"/>
                <w:lang w:val="en-GB"/>
              </w:rPr>
              <w:t xml:space="preserve">was curbed to </w:t>
            </w:r>
            <w:r w:rsidR="00EA1EBB" w:rsidRPr="006E725C">
              <w:rPr>
                <w:spacing w:val="-2"/>
                <w:lang w:val="en-GB"/>
              </w:rPr>
              <w:t>−0</w:t>
            </w:r>
            <w:r w:rsidR="005E4B04" w:rsidRPr="006E725C">
              <w:rPr>
                <w:spacing w:val="-2"/>
                <w:lang w:val="en-GB"/>
              </w:rPr>
              <w:t>.</w:t>
            </w:r>
            <w:r w:rsidR="00EA1EBB" w:rsidRPr="006E725C">
              <w:rPr>
                <w:spacing w:val="-2"/>
                <w:lang w:val="en-GB"/>
              </w:rPr>
              <w:t>5% a</w:t>
            </w:r>
            <w:r w:rsidR="005E4B04" w:rsidRPr="006E725C">
              <w:rPr>
                <w:spacing w:val="-2"/>
                <w:lang w:val="en-GB"/>
              </w:rPr>
              <w:t xml:space="preserve">nd the government consumption increased by </w:t>
            </w:r>
            <w:r w:rsidR="00EA1EBB" w:rsidRPr="006E725C">
              <w:rPr>
                <w:spacing w:val="-2"/>
                <w:lang w:val="en-GB"/>
              </w:rPr>
              <w:t>1</w:t>
            </w:r>
            <w:r w:rsidR="005E4B04" w:rsidRPr="006E725C">
              <w:rPr>
                <w:spacing w:val="-2"/>
                <w:lang w:val="en-GB"/>
              </w:rPr>
              <w:t>.</w:t>
            </w:r>
            <w:r w:rsidR="00EA1EBB" w:rsidRPr="006E725C">
              <w:rPr>
                <w:spacing w:val="-2"/>
                <w:lang w:val="en-GB"/>
              </w:rPr>
              <w:t>9%</w:t>
            </w:r>
            <w:r w:rsidR="005E4B04" w:rsidRPr="006E725C">
              <w:rPr>
                <w:spacing w:val="-2"/>
                <w:lang w:val="en-GB"/>
              </w:rPr>
              <w:t xml:space="preserve"> year-on-year</w:t>
            </w:r>
            <w:r w:rsidR="00EA1EBB" w:rsidRPr="006E725C">
              <w:rPr>
                <w:spacing w:val="-2"/>
                <w:lang w:val="en-GB"/>
              </w:rPr>
              <w:t xml:space="preserve">. </w:t>
            </w:r>
            <w:r w:rsidR="00220128" w:rsidRPr="006E725C">
              <w:rPr>
                <w:spacing w:val="-2"/>
                <w:lang w:val="en-GB"/>
              </w:rPr>
              <w:t>The two quarter-on-quarter increases from Q2 an</w:t>
            </w:r>
            <w:r w:rsidR="006E725C">
              <w:rPr>
                <w:spacing w:val="-2"/>
                <w:lang w:val="en-GB"/>
              </w:rPr>
              <w:t>d</w:t>
            </w:r>
            <w:r w:rsidR="00220128" w:rsidRPr="006E725C">
              <w:rPr>
                <w:spacing w:val="-2"/>
                <w:lang w:val="en-GB"/>
              </w:rPr>
              <w:t xml:space="preserve"> Q3 were followed by stagnating consumption in Q</w:t>
            </w:r>
            <w:r w:rsidR="00EA1EBB" w:rsidRPr="006E725C">
              <w:rPr>
                <w:spacing w:val="-2"/>
                <w:lang w:val="en-GB"/>
              </w:rPr>
              <w:t xml:space="preserve">4. </w:t>
            </w:r>
            <w:r w:rsidR="00912AF9" w:rsidRPr="006E725C">
              <w:rPr>
                <w:spacing w:val="-2"/>
                <w:lang w:val="en-GB"/>
              </w:rPr>
              <w:t xml:space="preserve">Household consumption was quarter-on-quarter higher by </w:t>
            </w:r>
            <w:r w:rsidR="00EA1EBB" w:rsidRPr="006E725C">
              <w:rPr>
                <w:spacing w:val="-2"/>
                <w:lang w:val="en-GB"/>
              </w:rPr>
              <w:t>0</w:t>
            </w:r>
            <w:r w:rsidR="00912AF9" w:rsidRPr="006E725C">
              <w:rPr>
                <w:spacing w:val="-2"/>
                <w:lang w:val="en-GB"/>
              </w:rPr>
              <w:t>.</w:t>
            </w:r>
            <w:r w:rsidR="00EA1EBB" w:rsidRPr="006E725C">
              <w:rPr>
                <w:spacing w:val="-2"/>
                <w:lang w:val="en-GB"/>
              </w:rPr>
              <w:t>5%,</w:t>
            </w:r>
            <w:r w:rsidR="00912AF9" w:rsidRPr="006E725C">
              <w:rPr>
                <w:spacing w:val="-2"/>
                <w:lang w:val="en-GB"/>
              </w:rPr>
              <w:t xml:space="preserve"> while the government consumption decreased by </w:t>
            </w:r>
            <w:r w:rsidR="00EA1EBB" w:rsidRPr="006E725C">
              <w:rPr>
                <w:spacing w:val="-2"/>
                <w:lang w:val="en-GB"/>
              </w:rPr>
              <w:t>1</w:t>
            </w:r>
            <w:r w:rsidR="00912AF9" w:rsidRPr="006E725C">
              <w:rPr>
                <w:spacing w:val="-2"/>
                <w:lang w:val="en-GB"/>
              </w:rPr>
              <w:t>.</w:t>
            </w:r>
            <w:r w:rsidR="00EA1EBB" w:rsidRPr="006E725C">
              <w:rPr>
                <w:spacing w:val="-2"/>
                <w:lang w:val="en-GB"/>
              </w:rPr>
              <w:t xml:space="preserve">3%. </w:t>
            </w:r>
            <w:r w:rsidR="00FB2A1A" w:rsidRPr="006E725C">
              <w:rPr>
                <w:spacing w:val="-2"/>
                <w:lang w:val="en-GB"/>
              </w:rPr>
              <w:t xml:space="preserve">In Q4 itself, the long-term durability </w:t>
            </w:r>
            <w:r w:rsidR="00BE4E2F" w:rsidRPr="006E725C">
              <w:rPr>
                <w:spacing w:val="-2"/>
                <w:lang w:val="en-GB"/>
              </w:rPr>
              <w:t xml:space="preserve">goods </w:t>
            </w:r>
            <w:r w:rsidR="00EA1EBB" w:rsidRPr="006E725C">
              <w:rPr>
                <w:spacing w:val="-2"/>
                <w:lang w:val="en-GB"/>
              </w:rPr>
              <w:t>(2</w:t>
            </w:r>
            <w:r w:rsidR="00BE4E2F" w:rsidRPr="006E725C">
              <w:rPr>
                <w:spacing w:val="-2"/>
                <w:lang w:val="en-GB"/>
              </w:rPr>
              <w:t>.</w:t>
            </w:r>
            <w:r w:rsidR="00EA1EBB" w:rsidRPr="006E725C">
              <w:rPr>
                <w:spacing w:val="-2"/>
                <w:lang w:val="en-GB"/>
              </w:rPr>
              <w:t xml:space="preserve">0 %, </w:t>
            </w:r>
            <w:r w:rsidR="00BE4E2F" w:rsidRPr="006E725C">
              <w:rPr>
                <w:spacing w:val="-2"/>
                <w:lang w:val="en-GB"/>
              </w:rPr>
              <w:t>for the first time since Q</w:t>
            </w:r>
            <w:r w:rsidR="00EA1EBB" w:rsidRPr="006E725C">
              <w:rPr>
                <w:spacing w:val="-2"/>
                <w:lang w:val="en-GB"/>
              </w:rPr>
              <w:t>1</w:t>
            </w:r>
            <w:r w:rsidR="00BE4E2F" w:rsidRPr="006E725C">
              <w:rPr>
                <w:spacing w:val="-2"/>
                <w:lang w:val="en-GB"/>
              </w:rPr>
              <w:t xml:space="preserve"> </w:t>
            </w:r>
            <w:r w:rsidR="00EA1EBB" w:rsidRPr="006E725C">
              <w:rPr>
                <w:spacing w:val="-2"/>
                <w:lang w:val="en-GB"/>
              </w:rPr>
              <w:t xml:space="preserve">2022) </w:t>
            </w:r>
            <w:r w:rsidR="00FB2A1A" w:rsidRPr="006E725C">
              <w:rPr>
                <w:spacing w:val="-2"/>
                <w:lang w:val="en-GB"/>
              </w:rPr>
              <w:t>as well as short-term durability</w:t>
            </w:r>
            <w:r w:rsidR="00BE4E2F" w:rsidRPr="006E725C">
              <w:rPr>
                <w:spacing w:val="-2"/>
                <w:lang w:val="en-GB"/>
              </w:rPr>
              <w:t xml:space="preserve"> goods </w:t>
            </w:r>
            <w:r w:rsidR="00EA1EBB" w:rsidRPr="006E725C">
              <w:rPr>
                <w:spacing w:val="-2"/>
                <w:lang w:val="en-GB"/>
              </w:rPr>
              <w:t>(0</w:t>
            </w:r>
            <w:r w:rsidR="00BE4E2F" w:rsidRPr="006E725C">
              <w:rPr>
                <w:spacing w:val="-2"/>
                <w:lang w:val="en-GB"/>
              </w:rPr>
              <w:t>.</w:t>
            </w:r>
            <w:r w:rsidR="00EA1EBB" w:rsidRPr="006E725C">
              <w:rPr>
                <w:spacing w:val="-2"/>
                <w:lang w:val="en-GB"/>
              </w:rPr>
              <w:t xml:space="preserve">9%, </w:t>
            </w:r>
            <w:r w:rsidR="00BE4E2F" w:rsidRPr="006E725C">
              <w:rPr>
                <w:spacing w:val="-2"/>
                <w:lang w:val="en-GB"/>
              </w:rPr>
              <w:t xml:space="preserve">for the first time since the end of year </w:t>
            </w:r>
            <w:r w:rsidR="00EA1EBB" w:rsidRPr="006E725C">
              <w:rPr>
                <w:spacing w:val="-2"/>
                <w:lang w:val="en-GB"/>
              </w:rPr>
              <w:t xml:space="preserve">2021) </w:t>
            </w:r>
            <w:r w:rsidR="00FB2A1A" w:rsidRPr="006E725C">
              <w:rPr>
                <w:spacing w:val="-2"/>
                <w:lang w:val="en-GB"/>
              </w:rPr>
              <w:t xml:space="preserve">consumption </w:t>
            </w:r>
            <w:r w:rsidR="00BE4E2F" w:rsidRPr="006E725C">
              <w:rPr>
                <w:spacing w:val="-2"/>
                <w:lang w:val="en-GB"/>
              </w:rPr>
              <w:t>increased year-on-year a</w:t>
            </w:r>
            <w:r w:rsidR="00136175" w:rsidRPr="006E725C">
              <w:rPr>
                <w:spacing w:val="-2"/>
                <w:lang w:val="en-GB"/>
              </w:rPr>
              <w:t>nd the consumption of services stagnated</w:t>
            </w:r>
            <w:r w:rsidR="00EA1EBB" w:rsidRPr="006E725C">
              <w:rPr>
                <w:spacing w:val="-2"/>
                <w:lang w:val="en-GB"/>
              </w:rPr>
              <w:t xml:space="preserve">. </w:t>
            </w:r>
            <w:r w:rsidR="00136175" w:rsidRPr="006E725C">
              <w:rPr>
                <w:spacing w:val="-2"/>
                <w:lang w:val="en-GB"/>
              </w:rPr>
              <w:t>Year-on-year plunge of the medium-term durab</w:t>
            </w:r>
            <w:r w:rsidR="00F539B0" w:rsidRPr="006E725C">
              <w:rPr>
                <w:spacing w:val="-2"/>
                <w:lang w:val="en-GB"/>
              </w:rPr>
              <w:t xml:space="preserve">ility goods consumption nevertheless continued </w:t>
            </w:r>
            <w:r w:rsidR="00EA1EBB" w:rsidRPr="006E725C">
              <w:rPr>
                <w:spacing w:val="-2"/>
                <w:lang w:val="en-GB"/>
              </w:rPr>
              <w:t>(−4</w:t>
            </w:r>
            <w:r w:rsidR="00F539B0" w:rsidRPr="006E725C">
              <w:rPr>
                <w:spacing w:val="-2"/>
                <w:lang w:val="en-GB"/>
              </w:rPr>
              <w:t>.</w:t>
            </w:r>
            <w:r w:rsidR="00EA1EBB" w:rsidRPr="006E725C">
              <w:rPr>
                <w:spacing w:val="-2"/>
                <w:lang w:val="en-GB"/>
              </w:rPr>
              <w:t xml:space="preserve">8%). </w:t>
            </w:r>
            <w:r w:rsidR="00A336D2" w:rsidRPr="006E725C">
              <w:rPr>
                <w:spacing w:val="-2"/>
                <w:lang w:val="en-GB"/>
              </w:rPr>
              <w:t xml:space="preserve">Consumption of both long-term durability </w:t>
            </w:r>
            <w:r w:rsidR="00EA1EBB" w:rsidRPr="006E725C">
              <w:rPr>
                <w:spacing w:val="-2"/>
                <w:lang w:val="en-GB"/>
              </w:rPr>
              <w:t>(2</w:t>
            </w:r>
            <w:r w:rsidR="00A336D2" w:rsidRPr="006E725C">
              <w:rPr>
                <w:spacing w:val="-2"/>
                <w:lang w:val="en-GB"/>
              </w:rPr>
              <w:t>.</w:t>
            </w:r>
            <w:r w:rsidR="00EA1EBB" w:rsidRPr="006E725C">
              <w:rPr>
                <w:spacing w:val="-2"/>
                <w:lang w:val="en-GB"/>
              </w:rPr>
              <w:t xml:space="preserve">7%) </w:t>
            </w:r>
            <w:r w:rsidR="00A336D2" w:rsidRPr="006E725C">
              <w:rPr>
                <w:spacing w:val="-2"/>
                <w:lang w:val="en-GB"/>
              </w:rPr>
              <w:t xml:space="preserve">and medium-term durability </w:t>
            </w:r>
            <w:r w:rsidR="00EA1EBB" w:rsidRPr="006E725C">
              <w:rPr>
                <w:spacing w:val="-2"/>
                <w:lang w:val="en-GB"/>
              </w:rPr>
              <w:t>(3</w:t>
            </w:r>
            <w:r w:rsidR="00A336D2" w:rsidRPr="006E725C">
              <w:rPr>
                <w:spacing w:val="-2"/>
                <w:lang w:val="en-GB"/>
              </w:rPr>
              <w:t>.</w:t>
            </w:r>
            <w:r w:rsidR="00EA1EBB" w:rsidRPr="006E725C">
              <w:rPr>
                <w:spacing w:val="-2"/>
                <w:lang w:val="en-GB"/>
              </w:rPr>
              <w:t xml:space="preserve">2%) </w:t>
            </w:r>
            <w:r w:rsidR="005868C6" w:rsidRPr="006E725C">
              <w:rPr>
                <w:spacing w:val="-2"/>
                <w:lang w:val="en-GB"/>
              </w:rPr>
              <w:t xml:space="preserve">goods as well as services </w:t>
            </w:r>
            <w:r w:rsidR="00EA1EBB" w:rsidRPr="006E725C">
              <w:rPr>
                <w:spacing w:val="-2"/>
                <w:lang w:val="en-GB"/>
              </w:rPr>
              <w:t>(2</w:t>
            </w:r>
            <w:r w:rsidR="005868C6" w:rsidRPr="006E725C">
              <w:rPr>
                <w:spacing w:val="-2"/>
                <w:lang w:val="en-GB"/>
              </w:rPr>
              <w:t>.</w:t>
            </w:r>
            <w:r w:rsidR="00EA1EBB" w:rsidRPr="006E725C">
              <w:rPr>
                <w:spacing w:val="-2"/>
                <w:lang w:val="en-GB"/>
              </w:rPr>
              <w:t>1%)</w:t>
            </w:r>
            <w:r w:rsidR="00A336D2" w:rsidRPr="006E725C">
              <w:rPr>
                <w:spacing w:val="-2"/>
                <w:lang w:val="en-GB"/>
              </w:rPr>
              <w:t xml:space="preserve"> was higher quarter-on-quarter</w:t>
            </w:r>
            <w:r w:rsidR="00EA1EBB" w:rsidRPr="006E725C">
              <w:rPr>
                <w:spacing w:val="-2"/>
                <w:lang w:val="en-GB"/>
              </w:rPr>
              <w:t xml:space="preserve">. </w:t>
            </w:r>
            <w:r w:rsidR="00707CA3" w:rsidRPr="006E725C">
              <w:rPr>
                <w:spacing w:val="-2"/>
                <w:lang w:val="en-GB"/>
              </w:rPr>
              <w:t>However,</w:t>
            </w:r>
            <w:r w:rsidR="00515BD0" w:rsidRPr="006E725C">
              <w:rPr>
                <w:spacing w:val="-2"/>
                <w:lang w:val="en-GB"/>
              </w:rPr>
              <w:t xml:space="preserve"> the household consumption for non-durable goods shrank by 1.8% quarter-on-quarter in Q4. </w:t>
            </w:r>
            <w:r w:rsidR="00EA1EBB" w:rsidRPr="006E725C">
              <w:rPr>
                <w:spacing w:val="-2"/>
                <w:lang w:val="en-GB"/>
              </w:rPr>
              <w:t xml:space="preserve">  </w:t>
            </w:r>
          </w:p>
        </w:tc>
      </w:tr>
      <w:tr w:rsidR="00EA1EBB" w:rsidRPr="006E725C" w14:paraId="1A04B19A" w14:textId="77777777" w:rsidTr="005855B4">
        <w:trPr>
          <w:trHeight w:val="154"/>
        </w:trPr>
        <w:tc>
          <w:tcPr>
            <w:tcW w:w="1806" w:type="dxa"/>
            <w:vMerge w:val="restart"/>
            <w:shd w:val="clear" w:color="auto" w:fill="auto"/>
            <w:tcMar>
              <w:left w:w="0" w:type="dxa"/>
            </w:tcMar>
          </w:tcPr>
          <w:p w14:paraId="3A53F2FE" w14:textId="77777777" w:rsidR="00EA1EBB" w:rsidRPr="006E725C" w:rsidRDefault="00EA1EBB" w:rsidP="00BA5125">
            <w:pPr>
              <w:pStyle w:val="Marginlie"/>
              <w:rPr>
                <w:lang w:val="en-GB"/>
              </w:rPr>
            </w:pPr>
          </w:p>
        </w:tc>
        <w:tc>
          <w:tcPr>
            <w:tcW w:w="223" w:type="dxa"/>
            <w:vMerge w:val="restart"/>
            <w:shd w:val="clear" w:color="auto" w:fill="auto"/>
            <w:tcMar>
              <w:left w:w="0" w:type="dxa"/>
            </w:tcMar>
          </w:tcPr>
          <w:p w14:paraId="419DBAC9" w14:textId="77777777" w:rsidR="00EA1EBB" w:rsidRPr="006E725C" w:rsidRDefault="00EA1EBB" w:rsidP="00BA5125">
            <w:pPr>
              <w:pStyle w:val="Textpoznpodarou"/>
              <w:jc w:val="both"/>
              <w:rPr>
                <w:spacing w:val="-4"/>
                <w:lang w:val="en-GB"/>
              </w:rPr>
            </w:pPr>
          </w:p>
        </w:tc>
        <w:tc>
          <w:tcPr>
            <w:tcW w:w="7610" w:type="dxa"/>
            <w:shd w:val="clear" w:color="auto" w:fill="auto"/>
            <w:tcMar>
              <w:left w:w="0" w:type="dxa"/>
            </w:tcMar>
          </w:tcPr>
          <w:p w14:paraId="5B1399EB" w14:textId="7004C8B2" w:rsidR="00EA1EBB" w:rsidRPr="006E725C" w:rsidRDefault="00E730ED" w:rsidP="00BA5125">
            <w:pPr>
              <w:spacing w:after="0"/>
              <w:rPr>
                <w:lang w:val="en-GB"/>
              </w:rPr>
            </w:pPr>
            <w:r w:rsidRPr="006E725C">
              <w:rPr>
                <w:b/>
                <w:szCs w:val="20"/>
                <w:lang w:val="en-GB"/>
              </w:rPr>
              <w:t xml:space="preserve">Chart </w:t>
            </w:r>
            <w:r w:rsidR="00EA1EBB" w:rsidRPr="006E725C">
              <w:rPr>
                <w:b/>
                <w:szCs w:val="20"/>
                <w:lang w:val="en-GB"/>
              </w:rPr>
              <w:t xml:space="preserve">2 </w:t>
            </w:r>
            <w:r w:rsidR="00C22576" w:rsidRPr="006E725C">
              <w:rPr>
                <w:b/>
                <w:szCs w:val="20"/>
                <w:lang w:val="en-GB"/>
              </w:rPr>
              <w:t>Contribution of expenditure items to real GDP change</w:t>
            </w:r>
            <w:r w:rsidR="00C22576" w:rsidRPr="006E725C">
              <w:rPr>
                <w:rFonts w:cs="Arial"/>
                <w:b/>
                <w:szCs w:val="20"/>
                <w:lang w:val="en-GB" w:eastAsia="en-US"/>
              </w:rPr>
              <w:t xml:space="preserve">* </w:t>
            </w:r>
            <w:r w:rsidR="00C22576" w:rsidRPr="006E725C">
              <w:rPr>
                <w:rFonts w:cs="Arial"/>
                <w:bCs/>
                <w:szCs w:val="20"/>
                <w:lang w:val="en-GB" w:eastAsia="en-US"/>
              </w:rPr>
              <w:t xml:space="preserve">(volume indices, year-on-year growth, contributions in p.p., GDP in %) </w:t>
            </w:r>
          </w:p>
        </w:tc>
      </w:tr>
      <w:tr w:rsidR="00EA1EBB" w:rsidRPr="006E725C" w14:paraId="1E3F9AE0" w14:textId="77777777" w:rsidTr="0079457A">
        <w:tblPrEx>
          <w:tblCellMar>
            <w:left w:w="70" w:type="dxa"/>
            <w:right w:w="70" w:type="dxa"/>
          </w:tblCellMar>
        </w:tblPrEx>
        <w:trPr>
          <w:trHeight w:val="154"/>
        </w:trPr>
        <w:tc>
          <w:tcPr>
            <w:tcW w:w="1806" w:type="dxa"/>
            <w:vMerge/>
          </w:tcPr>
          <w:p w14:paraId="411E23A2" w14:textId="77777777" w:rsidR="00EA1EBB" w:rsidRPr="006E725C" w:rsidRDefault="00EA1EBB" w:rsidP="00BA5125">
            <w:pPr>
              <w:pStyle w:val="Marginlie"/>
              <w:rPr>
                <w:lang w:val="en-GB"/>
              </w:rPr>
            </w:pPr>
          </w:p>
        </w:tc>
        <w:tc>
          <w:tcPr>
            <w:tcW w:w="223" w:type="dxa"/>
            <w:vMerge/>
          </w:tcPr>
          <w:p w14:paraId="3C49CAA7" w14:textId="77777777" w:rsidR="00EA1EBB" w:rsidRPr="006E725C" w:rsidRDefault="00EA1EBB" w:rsidP="00BA5125">
            <w:pPr>
              <w:pStyle w:val="Textpoznpodarou"/>
              <w:jc w:val="both"/>
              <w:rPr>
                <w:spacing w:val="-4"/>
                <w:lang w:val="en-GB"/>
              </w:rPr>
            </w:pPr>
          </w:p>
        </w:tc>
        <w:tc>
          <w:tcPr>
            <w:tcW w:w="7610" w:type="dxa"/>
            <w:shd w:val="clear" w:color="auto" w:fill="auto"/>
          </w:tcPr>
          <w:p w14:paraId="75F04979" w14:textId="4AADFC26" w:rsidR="00EA1EBB" w:rsidRPr="006E725C" w:rsidRDefault="0079457A" w:rsidP="00BA5125">
            <w:pPr>
              <w:spacing w:after="0"/>
              <w:rPr>
                <w:lang w:val="en-GB"/>
              </w:rPr>
            </w:pPr>
            <w:r>
              <w:rPr>
                <w:noProof/>
              </w:rPr>
              <w:drawing>
                <wp:inline distT="0" distB="0" distL="0" distR="0" wp14:anchorId="0FAF1ACB" wp14:editId="0AA5680C">
                  <wp:extent cx="4743950" cy="3457950"/>
                  <wp:effectExtent l="0" t="0" r="0" b="0"/>
                  <wp:docPr id="7" name="Graf 7">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A1EBB" w:rsidRPr="006E725C" w14:paraId="490AAC8B" w14:textId="77777777" w:rsidTr="005855B4">
        <w:trPr>
          <w:trHeight w:val="154"/>
        </w:trPr>
        <w:tc>
          <w:tcPr>
            <w:tcW w:w="1806" w:type="dxa"/>
            <w:vMerge/>
            <w:tcMar>
              <w:left w:w="0" w:type="dxa"/>
            </w:tcMar>
          </w:tcPr>
          <w:p w14:paraId="092536DB" w14:textId="77777777" w:rsidR="00EA1EBB" w:rsidRPr="006E725C" w:rsidRDefault="00EA1EBB" w:rsidP="00BA5125">
            <w:pPr>
              <w:pStyle w:val="Marginlie"/>
              <w:rPr>
                <w:lang w:val="en-GB"/>
              </w:rPr>
            </w:pPr>
          </w:p>
        </w:tc>
        <w:tc>
          <w:tcPr>
            <w:tcW w:w="223" w:type="dxa"/>
            <w:vMerge/>
            <w:tcMar>
              <w:left w:w="0" w:type="dxa"/>
            </w:tcMar>
          </w:tcPr>
          <w:p w14:paraId="73B61ADD" w14:textId="77777777" w:rsidR="00EA1EBB" w:rsidRPr="006E725C" w:rsidRDefault="00EA1EBB" w:rsidP="00BA5125">
            <w:pPr>
              <w:pStyle w:val="Textpoznpodarou"/>
              <w:jc w:val="both"/>
              <w:rPr>
                <w:spacing w:val="-4"/>
                <w:lang w:val="en-GB"/>
              </w:rPr>
            </w:pPr>
          </w:p>
        </w:tc>
        <w:tc>
          <w:tcPr>
            <w:tcW w:w="7610" w:type="dxa"/>
            <w:shd w:val="clear" w:color="auto" w:fill="auto"/>
            <w:tcMar>
              <w:left w:w="0" w:type="dxa"/>
            </w:tcMar>
          </w:tcPr>
          <w:p w14:paraId="2C31900A" w14:textId="06ED2FAF" w:rsidR="00EA1EBB" w:rsidRPr="006E725C" w:rsidRDefault="00E730ED" w:rsidP="00BA5125">
            <w:pPr>
              <w:spacing w:after="0"/>
              <w:rPr>
                <w:sz w:val="14"/>
                <w:szCs w:val="14"/>
                <w:lang w:val="en-GB"/>
              </w:rPr>
            </w:pPr>
            <w:r w:rsidRPr="006E725C">
              <w:rPr>
                <w:sz w:val="14"/>
                <w:szCs w:val="14"/>
                <w:lang w:val="en-GB"/>
              </w:rPr>
              <w:t>Source</w:t>
            </w:r>
            <w:r w:rsidR="00EA1EBB" w:rsidRPr="006E725C">
              <w:rPr>
                <w:sz w:val="14"/>
                <w:szCs w:val="14"/>
                <w:lang w:val="en-GB"/>
              </w:rPr>
              <w:t xml:space="preserve">: </w:t>
            </w:r>
            <w:r w:rsidRPr="006E725C">
              <w:rPr>
                <w:sz w:val="14"/>
                <w:szCs w:val="14"/>
                <w:lang w:val="en-GB"/>
              </w:rPr>
              <w:t>CZ</w:t>
            </w:r>
            <w:r w:rsidR="003F07A8" w:rsidRPr="006E725C">
              <w:rPr>
                <w:sz w:val="14"/>
                <w:szCs w:val="14"/>
                <w:lang w:val="en-GB"/>
              </w:rPr>
              <w:t>SO</w:t>
            </w:r>
          </w:p>
          <w:p w14:paraId="046F9DF0" w14:textId="20A4951F" w:rsidR="00387EDC" w:rsidRPr="006E725C" w:rsidRDefault="00EA1EBB" w:rsidP="0079457A">
            <w:pPr>
              <w:rPr>
                <w:b/>
                <w:bCs/>
                <w:sz w:val="16"/>
                <w:szCs w:val="16"/>
                <w:lang w:val="en-GB"/>
              </w:rPr>
            </w:pPr>
            <w:r w:rsidRPr="006E725C">
              <w:rPr>
                <w:sz w:val="14"/>
                <w:szCs w:val="14"/>
                <w:lang w:val="en-GB"/>
              </w:rPr>
              <w:t xml:space="preserve">* </w:t>
            </w:r>
            <w:r w:rsidR="003D3B79" w:rsidRPr="006E725C">
              <w:rPr>
                <w:sz w:val="14"/>
                <w:szCs w:val="14"/>
                <w:lang w:val="en-GB"/>
              </w:rPr>
              <w:t>after exclusion of imports for final use</w:t>
            </w:r>
          </w:p>
        </w:tc>
      </w:tr>
      <w:tr w:rsidR="00EA1EBB" w:rsidRPr="006E725C" w14:paraId="54EA766E" w14:textId="77777777" w:rsidTr="005855B4">
        <w:trPr>
          <w:trHeight w:val="145"/>
        </w:trPr>
        <w:tc>
          <w:tcPr>
            <w:tcW w:w="1806" w:type="dxa"/>
            <w:shd w:val="clear" w:color="auto" w:fill="auto"/>
            <w:tcMar>
              <w:left w:w="0" w:type="dxa"/>
            </w:tcMar>
          </w:tcPr>
          <w:p w14:paraId="398A3EB7" w14:textId="0C863F42" w:rsidR="00EA1EBB" w:rsidRPr="006E725C" w:rsidRDefault="001A6F58" w:rsidP="00BA5125">
            <w:pPr>
              <w:pStyle w:val="Marginlie"/>
              <w:rPr>
                <w:lang w:val="en-GB"/>
              </w:rPr>
            </w:pPr>
            <w:r w:rsidRPr="006E725C">
              <w:rPr>
                <w:lang w:val="en-GB"/>
              </w:rPr>
              <w:t xml:space="preserve">Investment activity expanded last year, </w:t>
            </w:r>
            <w:r w:rsidR="00C62B91" w:rsidRPr="006E725C">
              <w:rPr>
                <w:lang w:val="en-GB"/>
              </w:rPr>
              <w:t>but the change in inventories worked strongly in the direction of GDP decrease.</w:t>
            </w:r>
          </w:p>
        </w:tc>
        <w:tc>
          <w:tcPr>
            <w:tcW w:w="223" w:type="dxa"/>
            <w:shd w:val="clear" w:color="auto" w:fill="auto"/>
            <w:tcMar>
              <w:left w:w="0" w:type="dxa"/>
            </w:tcMar>
          </w:tcPr>
          <w:p w14:paraId="0794D3BE" w14:textId="77777777" w:rsidR="00EA1EBB" w:rsidRPr="006E725C" w:rsidRDefault="00EA1EBB" w:rsidP="00BA5125">
            <w:pPr>
              <w:pStyle w:val="Textpoznpodarou"/>
              <w:jc w:val="both"/>
              <w:rPr>
                <w:spacing w:val="-4"/>
                <w:lang w:val="en-GB"/>
              </w:rPr>
            </w:pPr>
          </w:p>
        </w:tc>
        <w:tc>
          <w:tcPr>
            <w:tcW w:w="7610" w:type="dxa"/>
            <w:shd w:val="clear" w:color="auto" w:fill="auto"/>
            <w:tcMar>
              <w:left w:w="0" w:type="dxa"/>
            </w:tcMar>
          </w:tcPr>
          <w:p w14:paraId="738BCAA8" w14:textId="5DF5394A" w:rsidR="00EA1EBB" w:rsidRPr="006E725C" w:rsidRDefault="00351894" w:rsidP="00BA5125">
            <w:pPr>
              <w:rPr>
                <w:lang w:val="en-GB"/>
              </w:rPr>
            </w:pPr>
            <w:r w:rsidRPr="006E725C">
              <w:rPr>
                <w:lang w:val="en-GB"/>
              </w:rPr>
              <w:t xml:space="preserve">Expenditures on gross </w:t>
            </w:r>
            <w:r w:rsidR="006E13F6" w:rsidRPr="006E725C">
              <w:rPr>
                <w:lang w:val="en-GB"/>
              </w:rPr>
              <w:t xml:space="preserve">capital formation decreased in real terms by </w:t>
            </w:r>
            <w:r w:rsidR="00EA1EBB" w:rsidRPr="006E725C">
              <w:rPr>
                <w:lang w:val="en-GB"/>
              </w:rPr>
              <w:t>7</w:t>
            </w:r>
            <w:r w:rsidR="006E13F6" w:rsidRPr="006E725C">
              <w:rPr>
                <w:lang w:val="en-GB"/>
              </w:rPr>
              <w:t>.</w:t>
            </w:r>
            <w:r w:rsidR="00EA1EBB" w:rsidRPr="006E725C">
              <w:rPr>
                <w:lang w:val="en-GB"/>
              </w:rPr>
              <w:t>0%</w:t>
            </w:r>
            <w:r w:rsidR="006E13F6" w:rsidRPr="006E725C">
              <w:rPr>
                <w:lang w:val="en-GB"/>
              </w:rPr>
              <w:t xml:space="preserve"> last year</w:t>
            </w:r>
            <w:r w:rsidR="00EA1EBB" w:rsidRPr="006E725C">
              <w:rPr>
                <w:lang w:val="en-GB"/>
              </w:rPr>
              <w:t xml:space="preserve">. </w:t>
            </w:r>
            <w:r w:rsidR="00306D98" w:rsidRPr="006E725C">
              <w:rPr>
                <w:lang w:val="en-GB"/>
              </w:rPr>
              <w:t>However,</w:t>
            </w:r>
            <w:r w:rsidR="00D97483" w:rsidRPr="006E725C">
              <w:rPr>
                <w:lang w:val="en-GB"/>
              </w:rPr>
              <w:t xml:space="preserve"> the gross fixed capital formation </w:t>
            </w:r>
            <w:r w:rsidR="00EA1EBB" w:rsidRPr="006E725C">
              <w:rPr>
                <w:lang w:val="en-GB"/>
              </w:rPr>
              <w:t>(</w:t>
            </w:r>
            <w:r w:rsidR="00FC283B" w:rsidRPr="006E725C">
              <w:rPr>
                <w:lang w:val="en-GB"/>
              </w:rPr>
              <w:t>investment</w:t>
            </w:r>
            <w:r w:rsidR="00EA1EBB" w:rsidRPr="006E725C">
              <w:rPr>
                <w:lang w:val="en-GB"/>
              </w:rPr>
              <w:t>)</w:t>
            </w:r>
            <w:r w:rsidR="00D97483" w:rsidRPr="006E725C">
              <w:rPr>
                <w:lang w:val="en-GB"/>
              </w:rPr>
              <w:t xml:space="preserve"> as such continued in the favourable </w:t>
            </w:r>
            <w:r w:rsidR="00FC283B" w:rsidRPr="006E725C">
              <w:rPr>
                <w:lang w:val="en-GB"/>
              </w:rPr>
              <w:t xml:space="preserve">development in year </w:t>
            </w:r>
            <w:r w:rsidR="00EA1EBB" w:rsidRPr="006E725C">
              <w:rPr>
                <w:lang w:val="en-GB"/>
              </w:rPr>
              <w:t>2022 a</w:t>
            </w:r>
            <w:r w:rsidR="004E086D" w:rsidRPr="006E725C">
              <w:rPr>
                <w:lang w:val="en-GB"/>
              </w:rPr>
              <w:t xml:space="preserve">nd </w:t>
            </w:r>
            <w:r w:rsidR="00FC283B" w:rsidRPr="006E725C">
              <w:rPr>
                <w:lang w:val="en-GB"/>
              </w:rPr>
              <w:t>increased</w:t>
            </w:r>
            <w:r w:rsidR="004E086D" w:rsidRPr="006E725C">
              <w:rPr>
                <w:lang w:val="en-GB"/>
              </w:rPr>
              <w:t xml:space="preserve"> by </w:t>
            </w:r>
            <w:r w:rsidR="00EA1EBB" w:rsidRPr="006E725C">
              <w:rPr>
                <w:lang w:val="en-GB"/>
              </w:rPr>
              <w:t>3</w:t>
            </w:r>
            <w:r w:rsidR="004E086D" w:rsidRPr="006E725C">
              <w:rPr>
                <w:lang w:val="en-GB"/>
              </w:rPr>
              <w:t>.</w:t>
            </w:r>
            <w:r w:rsidR="00EA1EBB" w:rsidRPr="006E725C">
              <w:rPr>
                <w:lang w:val="en-GB"/>
              </w:rPr>
              <w:t>3%</w:t>
            </w:r>
            <w:r w:rsidR="00A460FC" w:rsidRPr="006E725C">
              <w:rPr>
                <w:lang w:val="en-GB"/>
              </w:rPr>
              <w:t xml:space="preserve"> last year</w:t>
            </w:r>
            <w:r w:rsidR="00EA1EBB" w:rsidRPr="006E725C">
              <w:rPr>
                <w:lang w:val="en-GB"/>
              </w:rPr>
              <w:t xml:space="preserve">. </w:t>
            </w:r>
            <w:r w:rsidR="00A460FC" w:rsidRPr="006E725C">
              <w:rPr>
                <w:lang w:val="en-GB"/>
              </w:rPr>
              <w:t>Total decrease was thus caused by the change in inventories</w:t>
            </w:r>
            <w:r w:rsidR="00EA1EBB" w:rsidRPr="006E725C">
              <w:rPr>
                <w:rStyle w:val="Znakapoznpodarou"/>
                <w:lang w:val="en-GB"/>
              </w:rPr>
              <w:footnoteReference w:id="7"/>
            </w:r>
            <w:r w:rsidR="00EA1EBB" w:rsidRPr="006E725C">
              <w:rPr>
                <w:lang w:val="en-GB"/>
              </w:rPr>
              <w:t xml:space="preserve">, </w:t>
            </w:r>
            <w:r w:rsidR="00960405" w:rsidRPr="006E725C">
              <w:rPr>
                <w:lang w:val="en-GB"/>
              </w:rPr>
              <w:t xml:space="preserve">which considerably affects the </w:t>
            </w:r>
            <w:r w:rsidR="00990D4E" w:rsidRPr="006E725C">
              <w:rPr>
                <w:lang w:val="en-GB"/>
              </w:rPr>
              <w:t xml:space="preserve">economic development dynamics </w:t>
            </w:r>
            <w:r w:rsidR="00960405" w:rsidRPr="006E725C">
              <w:rPr>
                <w:lang w:val="en-GB"/>
              </w:rPr>
              <w:t>in the last years</w:t>
            </w:r>
            <w:r w:rsidR="00EA1EBB" w:rsidRPr="006E725C">
              <w:rPr>
                <w:lang w:val="en-GB"/>
              </w:rPr>
              <w:t xml:space="preserve">. </w:t>
            </w:r>
            <w:r w:rsidR="00F052CC" w:rsidRPr="006E725C">
              <w:rPr>
                <w:lang w:val="en-GB"/>
              </w:rPr>
              <w:t>Its contribution in the direction of GDP decrease was</w:t>
            </w:r>
            <w:r w:rsidR="00EA1EBB" w:rsidRPr="006E725C">
              <w:rPr>
                <w:lang w:val="en-GB"/>
              </w:rPr>
              <w:t xml:space="preserve"> −3</w:t>
            </w:r>
            <w:r w:rsidR="00F052CC" w:rsidRPr="006E725C">
              <w:rPr>
                <w:lang w:val="en-GB"/>
              </w:rPr>
              <w:t>.</w:t>
            </w:r>
            <w:r w:rsidR="00EA1EBB" w:rsidRPr="006E725C">
              <w:rPr>
                <w:lang w:val="en-GB"/>
              </w:rPr>
              <w:t>1 p.</w:t>
            </w:r>
            <w:r w:rsidR="00F052CC" w:rsidRPr="006E725C">
              <w:rPr>
                <w:lang w:val="en-GB"/>
              </w:rPr>
              <w:t>p</w:t>
            </w:r>
            <w:r w:rsidR="00990D4E" w:rsidRPr="006E725C">
              <w:rPr>
                <w:lang w:val="en-GB"/>
              </w:rPr>
              <w:t xml:space="preserve"> last year</w:t>
            </w:r>
            <w:r w:rsidR="00EA1EBB" w:rsidRPr="006E725C">
              <w:rPr>
                <w:lang w:val="en-GB"/>
              </w:rPr>
              <w:t xml:space="preserve">. </w:t>
            </w:r>
            <w:r w:rsidR="00E47394" w:rsidRPr="006E725C">
              <w:rPr>
                <w:lang w:val="en-GB"/>
              </w:rPr>
              <w:t xml:space="preserve">Significant </w:t>
            </w:r>
            <w:r w:rsidR="007C0D78" w:rsidRPr="006E725C">
              <w:rPr>
                <w:lang w:val="en-GB"/>
              </w:rPr>
              <w:t xml:space="preserve">rise </w:t>
            </w:r>
            <w:r w:rsidR="00E47394" w:rsidRPr="006E725C">
              <w:rPr>
                <w:lang w:val="en-GB"/>
              </w:rPr>
              <w:t>of i</w:t>
            </w:r>
            <w:r w:rsidR="004A620D" w:rsidRPr="006E725C">
              <w:rPr>
                <w:lang w:val="en-GB"/>
              </w:rPr>
              <w:t xml:space="preserve">nvestments </w:t>
            </w:r>
            <w:r w:rsidR="000B4309" w:rsidRPr="006E725C">
              <w:rPr>
                <w:lang w:val="en-GB"/>
              </w:rPr>
              <w:t xml:space="preserve">in transport </w:t>
            </w:r>
            <w:r w:rsidR="000B4309" w:rsidRPr="006E725C">
              <w:rPr>
                <w:lang w:val="en-GB"/>
              </w:rPr>
              <w:lastRenderedPageBreak/>
              <w:t>equipment (15.7%)</w:t>
            </w:r>
            <w:r w:rsidR="007D4FA5" w:rsidRPr="006E725C">
              <w:rPr>
                <w:lang w:val="en-GB"/>
              </w:rPr>
              <w:t xml:space="preserve"> and </w:t>
            </w:r>
            <w:r w:rsidR="00F56FFB" w:rsidRPr="006E725C">
              <w:rPr>
                <w:lang w:val="en-GB"/>
              </w:rPr>
              <w:t xml:space="preserve">in ICT and other machinery and equipment </w:t>
            </w:r>
            <w:r w:rsidR="00EA1EBB" w:rsidRPr="006E725C">
              <w:rPr>
                <w:lang w:val="en-GB"/>
              </w:rPr>
              <w:t>(15</w:t>
            </w:r>
            <w:r w:rsidR="00F56FFB" w:rsidRPr="006E725C">
              <w:rPr>
                <w:lang w:val="en-GB"/>
              </w:rPr>
              <w:t>.</w:t>
            </w:r>
            <w:r w:rsidR="00EA1EBB" w:rsidRPr="006E725C">
              <w:rPr>
                <w:lang w:val="en-GB"/>
              </w:rPr>
              <w:t>5%)</w:t>
            </w:r>
            <w:r w:rsidR="00463091" w:rsidRPr="006E725C">
              <w:rPr>
                <w:lang w:val="en-GB"/>
              </w:rPr>
              <w:t xml:space="preserve"> contributed to the last year’s</w:t>
            </w:r>
            <w:r w:rsidR="007C0D78" w:rsidRPr="006E725C">
              <w:rPr>
                <w:lang w:val="en-GB"/>
              </w:rPr>
              <w:t xml:space="preserve"> </w:t>
            </w:r>
            <w:r w:rsidR="0095408D" w:rsidRPr="006E725C">
              <w:rPr>
                <w:lang w:val="en-GB"/>
              </w:rPr>
              <w:t>increase of</w:t>
            </w:r>
            <w:r w:rsidR="007D4FA5" w:rsidRPr="006E725C">
              <w:rPr>
                <w:lang w:val="en-GB"/>
              </w:rPr>
              <w:t xml:space="preserve"> expenditures on gross fixed capital formation. </w:t>
            </w:r>
            <w:r w:rsidR="00865E80" w:rsidRPr="006E725C">
              <w:rPr>
                <w:lang w:val="en-GB"/>
              </w:rPr>
              <w:t xml:space="preserve">Situation in the area of investment into </w:t>
            </w:r>
            <w:r w:rsidR="00DB28CB" w:rsidRPr="006E725C">
              <w:rPr>
                <w:lang w:val="en-GB"/>
              </w:rPr>
              <w:t xml:space="preserve">structures corresponded </w:t>
            </w:r>
            <w:r w:rsidR="002A0132" w:rsidRPr="006E725C">
              <w:rPr>
                <w:lang w:val="en-GB"/>
              </w:rPr>
              <w:t>with the adverse development in construction.</w:t>
            </w:r>
            <w:r w:rsidR="00C57EC0" w:rsidRPr="006E725C">
              <w:rPr>
                <w:lang w:val="en-GB"/>
              </w:rPr>
              <w:t xml:space="preserve"> Investment</w:t>
            </w:r>
            <w:r w:rsidR="00947816" w:rsidRPr="006E725C">
              <w:rPr>
                <w:lang w:val="en-GB"/>
              </w:rPr>
              <w:t xml:space="preserve">s in dwellings </w:t>
            </w:r>
            <w:r w:rsidR="00EA1EBB" w:rsidRPr="006E725C">
              <w:rPr>
                <w:lang w:val="en-GB"/>
              </w:rPr>
              <w:t>(−6</w:t>
            </w:r>
            <w:r w:rsidR="00947816" w:rsidRPr="006E725C">
              <w:rPr>
                <w:lang w:val="en-GB"/>
              </w:rPr>
              <w:t>.</w:t>
            </w:r>
            <w:r w:rsidR="00EA1EBB" w:rsidRPr="006E725C">
              <w:rPr>
                <w:lang w:val="en-GB"/>
              </w:rPr>
              <w:t xml:space="preserve">7%) </w:t>
            </w:r>
            <w:r w:rsidR="00C57EC0" w:rsidRPr="006E725C">
              <w:rPr>
                <w:lang w:val="en-GB"/>
              </w:rPr>
              <w:t xml:space="preserve">fell for the third year in a row and </w:t>
            </w:r>
            <w:r w:rsidR="00EA1EBB" w:rsidRPr="006E725C">
              <w:rPr>
                <w:lang w:val="en-GB"/>
              </w:rPr>
              <w:t>invest</w:t>
            </w:r>
            <w:r w:rsidR="00D14680" w:rsidRPr="006E725C">
              <w:rPr>
                <w:lang w:val="en-GB"/>
              </w:rPr>
              <w:t xml:space="preserve">ments in other buildings and structures </w:t>
            </w:r>
            <w:r w:rsidR="00EA1EBB" w:rsidRPr="006E725C">
              <w:rPr>
                <w:lang w:val="en-GB"/>
              </w:rPr>
              <w:t>(−1</w:t>
            </w:r>
            <w:r w:rsidR="00D14680" w:rsidRPr="006E725C">
              <w:rPr>
                <w:lang w:val="en-GB"/>
              </w:rPr>
              <w:t>.</w:t>
            </w:r>
            <w:r w:rsidR="00EA1EBB" w:rsidRPr="006E725C">
              <w:rPr>
                <w:lang w:val="en-GB"/>
              </w:rPr>
              <w:t>5%)</w:t>
            </w:r>
            <w:r w:rsidR="00947816" w:rsidRPr="006E725C">
              <w:rPr>
                <w:lang w:val="en-GB"/>
              </w:rPr>
              <w:t xml:space="preserve"> did not </w:t>
            </w:r>
            <w:r w:rsidR="00697FC2" w:rsidRPr="006E725C">
              <w:rPr>
                <w:lang w:val="en-GB"/>
              </w:rPr>
              <w:t xml:space="preserve">continue in the strong increase from year 2022. </w:t>
            </w:r>
            <w:r w:rsidR="004C2735" w:rsidRPr="006E725C">
              <w:rPr>
                <w:lang w:val="en-GB"/>
              </w:rPr>
              <w:t xml:space="preserve">Expenditures on intellectual property products were also lower last year </w:t>
            </w:r>
            <w:r w:rsidR="00EA1EBB" w:rsidRPr="006E725C">
              <w:rPr>
                <w:lang w:val="en-GB"/>
              </w:rPr>
              <w:t>(−3</w:t>
            </w:r>
            <w:r w:rsidR="004C2735" w:rsidRPr="006E725C">
              <w:rPr>
                <w:lang w:val="en-GB"/>
              </w:rPr>
              <w:t>.</w:t>
            </w:r>
            <w:r w:rsidR="00EA1EBB" w:rsidRPr="006E725C">
              <w:rPr>
                <w:lang w:val="en-GB"/>
              </w:rPr>
              <w:t xml:space="preserve">5%). </w:t>
            </w:r>
            <w:r w:rsidR="00D9113A" w:rsidRPr="006E725C">
              <w:rPr>
                <w:lang w:val="en-GB"/>
              </w:rPr>
              <w:t>Expenditures</w:t>
            </w:r>
            <w:r w:rsidR="005C02F0" w:rsidRPr="006E725C">
              <w:rPr>
                <w:lang w:val="en-GB"/>
              </w:rPr>
              <w:t xml:space="preserve"> on </w:t>
            </w:r>
            <w:r w:rsidR="00D9113A" w:rsidRPr="006E725C">
              <w:rPr>
                <w:lang w:val="en-GB"/>
              </w:rPr>
              <w:t>gross capital formation fell by 14.9% year-on-year due to the inventories dissolution in Q</w:t>
            </w:r>
            <w:r w:rsidR="00EA1EBB" w:rsidRPr="006E725C">
              <w:rPr>
                <w:lang w:val="en-GB"/>
              </w:rPr>
              <w:t>4</w:t>
            </w:r>
            <w:r w:rsidR="00D9113A" w:rsidRPr="006E725C">
              <w:rPr>
                <w:lang w:val="en-GB"/>
              </w:rPr>
              <w:t xml:space="preserve"> itself. Nevertheless,</w:t>
            </w:r>
            <w:r w:rsidR="00801BFE" w:rsidRPr="006E725C">
              <w:rPr>
                <w:lang w:val="en-GB"/>
              </w:rPr>
              <w:t xml:space="preserve"> investment still featured a robust growth </w:t>
            </w:r>
            <w:r w:rsidR="00EA1EBB" w:rsidRPr="006E725C">
              <w:rPr>
                <w:lang w:val="en-GB"/>
              </w:rPr>
              <w:t>(4</w:t>
            </w:r>
            <w:r w:rsidR="00801BFE" w:rsidRPr="006E725C">
              <w:rPr>
                <w:lang w:val="en-GB"/>
              </w:rPr>
              <w:t>.</w:t>
            </w:r>
            <w:r w:rsidR="00EA1EBB" w:rsidRPr="006E725C">
              <w:rPr>
                <w:lang w:val="en-GB"/>
              </w:rPr>
              <w:t xml:space="preserve">7%). </w:t>
            </w:r>
            <w:r w:rsidR="00354B4A" w:rsidRPr="006E725C">
              <w:rPr>
                <w:lang w:val="en-GB"/>
              </w:rPr>
              <w:t xml:space="preserve">The situation was similar from the view of the quarter-on-quarter dynamics. Expenditures on gross capital formation decreased by </w:t>
            </w:r>
            <w:r w:rsidR="00EA1EBB" w:rsidRPr="006E725C">
              <w:rPr>
                <w:lang w:val="en-GB"/>
              </w:rPr>
              <w:t>10</w:t>
            </w:r>
            <w:r w:rsidR="00354B4A" w:rsidRPr="006E725C">
              <w:rPr>
                <w:lang w:val="en-GB"/>
              </w:rPr>
              <w:t>.</w:t>
            </w:r>
            <w:r w:rsidR="00EA1EBB" w:rsidRPr="006E725C">
              <w:rPr>
                <w:lang w:val="en-GB"/>
              </w:rPr>
              <w:t>5%,</w:t>
            </w:r>
            <w:r w:rsidR="00354B4A" w:rsidRPr="006E725C">
              <w:rPr>
                <w:lang w:val="en-GB"/>
              </w:rPr>
              <w:t xml:space="preserve"> but </w:t>
            </w:r>
            <w:r w:rsidR="005A7E84" w:rsidRPr="006E725C">
              <w:rPr>
                <w:lang w:val="en-GB"/>
              </w:rPr>
              <w:t xml:space="preserve">the investment activity recorded a recovery of </w:t>
            </w:r>
            <w:r w:rsidR="00EA1EBB" w:rsidRPr="006E725C">
              <w:rPr>
                <w:lang w:val="en-GB"/>
              </w:rPr>
              <w:t>1</w:t>
            </w:r>
            <w:r w:rsidR="005A7E84" w:rsidRPr="006E725C">
              <w:rPr>
                <w:lang w:val="en-GB"/>
              </w:rPr>
              <w:t>.</w:t>
            </w:r>
            <w:r w:rsidR="00EA1EBB" w:rsidRPr="006E725C">
              <w:rPr>
                <w:lang w:val="en-GB"/>
              </w:rPr>
              <w:t xml:space="preserve">1%. </w:t>
            </w:r>
            <w:r w:rsidR="005650BF" w:rsidRPr="006E725C">
              <w:rPr>
                <w:lang w:val="en-GB"/>
              </w:rPr>
              <w:t xml:space="preserve">The investment growth displayed the same structure in Q4 itself as for the whole year. </w:t>
            </w:r>
            <w:r w:rsidR="009834D2" w:rsidRPr="006E725C">
              <w:rPr>
                <w:lang w:val="en-GB"/>
              </w:rPr>
              <w:t xml:space="preserve">Investment in transport equipment </w:t>
            </w:r>
            <w:r w:rsidR="00EA1EBB" w:rsidRPr="006E725C">
              <w:rPr>
                <w:lang w:val="en-GB"/>
              </w:rPr>
              <w:t>(20</w:t>
            </w:r>
            <w:r w:rsidR="009834D2" w:rsidRPr="006E725C">
              <w:rPr>
                <w:lang w:val="en-GB"/>
              </w:rPr>
              <w:t>.</w:t>
            </w:r>
            <w:r w:rsidR="00EA1EBB" w:rsidRPr="006E725C">
              <w:rPr>
                <w:lang w:val="en-GB"/>
              </w:rPr>
              <w:t>3%) a</w:t>
            </w:r>
            <w:r w:rsidR="009834D2" w:rsidRPr="006E725C">
              <w:rPr>
                <w:lang w:val="en-GB"/>
              </w:rPr>
              <w:t xml:space="preserve">nd in ICT and other </w:t>
            </w:r>
            <w:r w:rsidR="00EA5895" w:rsidRPr="006E725C">
              <w:rPr>
                <w:lang w:val="en-GB"/>
              </w:rPr>
              <w:t xml:space="preserve">machinery and equipment </w:t>
            </w:r>
            <w:r w:rsidR="00EA1EBB" w:rsidRPr="006E725C">
              <w:rPr>
                <w:lang w:val="en-GB"/>
              </w:rPr>
              <w:t>(17</w:t>
            </w:r>
            <w:r w:rsidR="00EA5895" w:rsidRPr="006E725C">
              <w:rPr>
                <w:lang w:val="en-GB"/>
              </w:rPr>
              <w:t>.</w:t>
            </w:r>
            <w:r w:rsidR="00EA1EBB" w:rsidRPr="006E725C">
              <w:rPr>
                <w:lang w:val="en-GB"/>
              </w:rPr>
              <w:t>0%)</w:t>
            </w:r>
            <w:r w:rsidR="00EA5895" w:rsidRPr="006E725C">
              <w:rPr>
                <w:lang w:val="en-GB"/>
              </w:rPr>
              <w:t xml:space="preserve"> grew very strongly year-on-year</w:t>
            </w:r>
            <w:r w:rsidR="00EA1EBB" w:rsidRPr="006E725C">
              <w:rPr>
                <w:lang w:val="en-GB"/>
              </w:rPr>
              <w:t xml:space="preserve">. </w:t>
            </w:r>
            <w:r w:rsidR="008D2CB5" w:rsidRPr="006E725C">
              <w:rPr>
                <w:lang w:val="en-GB"/>
              </w:rPr>
              <w:t xml:space="preserve">Expenditures on </w:t>
            </w:r>
            <w:r w:rsidR="00576B08" w:rsidRPr="006E725C">
              <w:rPr>
                <w:lang w:val="en-GB"/>
              </w:rPr>
              <w:t>dwellings</w:t>
            </w:r>
            <w:r w:rsidR="008D2CB5" w:rsidRPr="006E725C">
              <w:rPr>
                <w:lang w:val="en-GB"/>
              </w:rPr>
              <w:t xml:space="preserve"> dropped for the </w:t>
            </w:r>
            <w:r w:rsidR="00576B08" w:rsidRPr="006E725C">
              <w:rPr>
                <w:lang w:val="en-GB"/>
              </w:rPr>
              <w:t>seventh</w:t>
            </w:r>
            <w:r w:rsidR="008D2CB5" w:rsidRPr="006E725C">
              <w:rPr>
                <w:lang w:val="en-GB"/>
              </w:rPr>
              <w:t xml:space="preserve"> time in a row </w:t>
            </w:r>
            <w:r w:rsidR="00EA1EBB" w:rsidRPr="006E725C">
              <w:rPr>
                <w:lang w:val="en-GB"/>
              </w:rPr>
              <w:t>(−2</w:t>
            </w:r>
            <w:r w:rsidR="008D2CB5" w:rsidRPr="006E725C">
              <w:rPr>
                <w:lang w:val="en-GB"/>
              </w:rPr>
              <w:t>.</w:t>
            </w:r>
            <w:r w:rsidR="00EA1EBB" w:rsidRPr="006E725C">
              <w:rPr>
                <w:lang w:val="en-GB"/>
              </w:rPr>
              <w:t>3%)</w:t>
            </w:r>
            <w:r w:rsidR="008D2CB5" w:rsidRPr="006E725C">
              <w:rPr>
                <w:lang w:val="en-GB"/>
              </w:rPr>
              <w:t xml:space="preserve"> and investment</w:t>
            </w:r>
            <w:r w:rsidR="00576B08" w:rsidRPr="006E725C">
              <w:rPr>
                <w:lang w:val="en-GB"/>
              </w:rPr>
              <w:t xml:space="preserve">s in other buildings and structures were also lower </w:t>
            </w:r>
            <w:r w:rsidR="00EA1EBB" w:rsidRPr="006E725C">
              <w:rPr>
                <w:lang w:val="en-GB"/>
              </w:rPr>
              <w:t>(−1</w:t>
            </w:r>
            <w:r w:rsidR="00576B08" w:rsidRPr="006E725C">
              <w:rPr>
                <w:lang w:val="en-GB"/>
              </w:rPr>
              <w:t>.</w:t>
            </w:r>
            <w:r w:rsidR="00EA1EBB" w:rsidRPr="006E725C">
              <w:rPr>
                <w:lang w:val="en-GB"/>
              </w:rPr>
              <w:t>6%). Invest</w:t>
            </w:r>
            <w:r w:rsidR="00EC7BAA" w:rsidRPr="006E725C">
              <w:rPr>
                <w:lang w:val="en-GB"/>
              </w:rPr>
              <w:t xml:space="preserve">ment </w:t>
            </w:r>
            <w:r w:rsidR="00306D98" w:rsidRPr="006E725C">
              <w:rPr>
                <w:lang w:val="en-GB"/>
              </w:rPr>
              <w:t xml:space="preserve">in </w:t>
            </w:r>
            <w:r w:rsidR="004B4DA5" w:rsidRPr="006E725C">
              <w:rPr>
                <w:lang w:val="en-GB"/>
              </w:rPr>
              <w:t xml:space="preserve">intellectual property products dropped by </w:t>
            </w:r>
            <w:r w:rsidR="00EA1EBB" w:rsidRPr="006E725C">
              <w:rPr>
                <w:lang w:val="en-GB"/>
              </w:rPr>
              <w:t>4</w:t>
            </w:r>
            <w:r w:rsidR="004B4DA5" w:rsidRPr="006E725C">
              <w:rPr>
                <w:lang w:val="en-GB"/>
              </w:rPr>
              <w:t>.</w:t>
            </w:r>
            <w:r w:rsidR="00EA1EBB" w:rsidRPr="006E725C">
              <w:rPr>
                <w:lang w:val="en-GB"/>
              </w:rPr>
              <w:t>0%</w:t>
            </w:r>
            <w:r w:rsidR="004B4DA5" w:rsidRPr="006E725C">
              <w:rPr>
                <w:lang w:val="en-GB"/>
              </w:rPr>
              <w:t xml:space="preserve"> year-on-year</w:t>
            </w:r>
            <w:r w:rsidR="00EA1EBB" w:rsidRPr="006E725C">
              <w:rPr>
                <w:lang w:val="en-GB"/>
              </w:rPr>
              <w:t xml:space="preserve">. </w:t>
            </w:r>
            <w:r w:rsidR="00282B3F" w:rsidRPr="006E725C">
              <w:rPr>
                <w:lang w:val="en-GB"/>
              </w:rPr>
              <w:t xml:space="preserve">The quarter-on-quarter comparison of investment </w:t>
            </w:r>
            <w:r w:rsidR="002267F7" w:rsidRPr="006E725C">
              <w:rPr>
                <w:lang w:val="en-GB"/>
              </w:rPr>
              <w:t>activity</w:t>
            </w:r>
            <w:r w:rsidR="00282B3F" w:rsidRPr="006E725C">
              <w:rPr>
                <w:lang w:val="en-GB"/>
              </w:rPr>
              <w:t xml:space="preserve"> </w:t>
            </w:r>
            <w:r w:rsidR="009A3E06" w:rsidRPr="006E725C">
              <w:rPr>
                <w:lang w:val="en-GB"/>
              </w:rPr>
              <w:t xml:space="preserve">looked slightly more favourable at the end of year </w:t>
            </w:r>
            <w:r w:rsidR="00EA1EBB" w:rsidRPr="006E725C">
              <w:rPr>
                <w:lang w:val="en-GB"/>
              </w:rPr>
              <w:t>2023</w:t>
            </w:r>
            <w:r w:rsidR="009A3E06" w:rsidRPr="006E725C">
              <w:rPr>
                <w:lang w:val="en-GB"/>
              </w:rPr>
              <w:t xml:space="preserve">. </w:t>
            </w:r>
            <w:r w:rsidR="00F537D9" w:rsidRPr="006E725C">
              <w:rPr>
                <w:lang w:val="en-GB"/>
              </w:rPr>
              <w:t>Investment in</w:t>
            </w:r>
            <w:r w:rsidR="0030617B" w:rsidRPr="006E725C">
              <w:rPr>
                <w:lang w:val="en-GB"/>
              </w:rPr>
              <w:t xml:space="preserve"> dwellings </w:t>
            </w:r>
            <w:r w:rsidR="00EA1EBB" w:rsidRPr="006E725C">
              <w:rPr>
                <w:lang w:val="en-GB"/>
              </w:rPr>
              <w:t>(2</w:t>
            </w:r>
            <w:r w:rsidR="00F537D9" w:rsidRPr="006E725C">
              <w:rPr>
                <w:lang w:val="en-GB"/>
              </w:rPr>
              <w:t>.</w:t>
            </w:r>
            <w:r w:rsidR="00EA1EBB" w:rsidRPr="006E725C">
              <w:rPr>
                <w:lang w:val="en-GB"/>
              </w:rPr>
              <w:t>9%)</w:t>
            </w:r>
            <w:r w:rsidR="00B36AEB" w:rsidRPr="006E725C">
              <w:rPr>
                <w:lang w:val="en-GB"/>
              </w:rPr>
              <w:t xml:space="preserve"> as well as other buildings and structures </w:t>
            </w:r>
            <w:r w:rsidR="00EA1EBB" w:rsidRPr="006E725C">
              <w:rPr>
                <w:lang w:val="en-GB"/>
              </w:rPr>
              <w:t>(3</w:t>
            </w:r>
            <w:r w:rsidR="00B36AEB" w:rsidRPr="006E725C">
              <w:rPr>
                <w:lang w:val="en-GB"/>
              </w:rPr>
              <w:t>.</w:t>
            </w:r>
            <w:r w:rsidR="00EA1EBB" w:rsidRPr="006E725C">
              <w:rPr>
                <w:lang w:val="en-GB"/>
              </w:rPr>
              <w:t xml:space="preserve">5%) </w:t>
            </w:r>
            <w:r w:rsidR="00F537D9" w:rsidRPr="006E725C">
              <w:rPr>
                <w:lang w:val="en-GB"/>
              </w:rPr>
              <w:t>were higher</w:t>
            </w:r>
            <w:r w:rsidR="00B36AEB" w:rsidRPr="006E725C">
              <w:rPr>
                <w:lang w:val="en-GB"/>
              </w:rPr>
              <w:t xml:space="preserve"> </w:t>
            </w:r>
            <w:r w:rsidR="00EA1EBB" w:rsidRPr="006E725C">
              <w:rPr>
                <w:lang w:val="en-GB"/>
              </w:rPr>
              <w:t>a</w:t>
            </w:r>
            <w:r w:rsidR="00B36AEB" w:rsidRPr="006E725C">
              <w:rPr>
                <w:lang w:val="en-GB"/>
              </w:rPr>
              <w:t>nd</w:t>
            </w:r>
            <w:r w:rsidR="00EA1EBB" w:rsidRPr="006E725C">
              <w:rPr>
                <w:lang w:val="en-GB"/>
              </w:rPr>
              <w:t xml:space="preserve"> </w:t>
            </w:r>
            <w:r w:rsidR="004B4DA5" w:rsidRPr="006E725C">
              <w:rPr>
                <w:lang w:val="en-GB"/>
              </w:rPr>
              <w:t xml:space="preserve">the expenditures on intellectual property products also increased </w:t>
            </w:r>
            <w:r w:rsidR="00EA1EBB" w:rsidRPr="006E725C">
              <w:rPr>
                <w:lang w:val="en-GB"/>
              </w:rPr>
              <w:t>(3</w:t>
            </w:r>
            <w:r w:rsidR="004B4DA5" w:rsidRPr="006E725C">
              <w:rPr>
                <w:lang w:val="en-GB"/>
              </w:rPr>
              <w:t>.</w:t>
            </w:r>
            <w:r w:rsidR="00EA1EBB" w:rsidRPr="006E725C">
              <w:rPr>
                <w:lang w:val="en-GB"/>
              </w:rPr>
              <w:t xml:space="preserve">2%). </w:t>
            </w:r>
            <w:r w:rsidR="001371E1" w:rsidRPr="006E725C">
              <w:rPr>
                <w:lang w:val="en-GB"/>
              </w:rPr>
              <w:t xml:space="preserve">Investments </w:t>
            </w:r>
            <w:r w:rsidR="00FC5F81" w:rsidRPr="006E725C">
              <w:rPr>
                <w:lang w:val="en-GB"/>
              </w:rPr>
              <w:t xml:space="preserve">in transport equipment </w:t>
            </w:r>
            <w:r w:rsidR="00EA1EBB" w:rsidRPr="006E725C">
              <w:rPr>
                <w:lang w:val="en-GB"/>
              </w:rPr>
              <w:t>(−1</w:t>
            </w:r>
            <w:r w:rsidR="00FC5F81" w:rsidRPr="006E725C">
              <w:rPr>
                <w:lang w:val="en-GB"/>
              </w:rPr>
              <w:t>.</w:t>
            </w:r>
            <w:r w:rsidR="00EA1EBB" w:rsidRPr="006E725C">
              <w:rPr>
                <w:lang w:val="en-GB"/>
              </w:rPr>
              <w:t>6%) a</w:t>
            </w:r>
            <w:r w:rsidR="00FC5F81" w:rsidRPr="006E725C">
              <w:rPr>
                <w:lang w:val="en-GB"/>
              </w:rPr>
              <w:t>nd</w:t>
            </w:r>
            <w:r w:rsidR="00EA1EBB" w:rsidRPr="006E725C">
              <w:rPr>
                <w:lang w:val="en-GB"/>
              </w:rPr>
              <w:t xml:space="preserve"> ICT a</w:t>
            </w:r>
            <w:r w:rsidR="00C84D26" w:rsidRPr="006E725C">
              <w:rPr>
                <w:lang w:val="en-GB"/>
              </w:rPr>
              <w:t xml:space="preserve">nd other machinery and equipment </w:t>
            </w:r>
            <w:r w:rsidR="00EA1EBB" w:rsidRPr="006E725C">
              <w:rPr>
                <w:lang w:val="en-GB"/>
              </w:rPr>
              <w:t>(−2</w:t>
            </w:r>
            <w:r w:rsidR="00C84D26" w:rsidRPr="006E725C">
              <w:rPr>
                <w:lang w:val="en-GB"/>
              </w:rPr>
              <w:t>.</w:t>
            </w:r>
            <w:r w:rsidR="00EA1EBB" w:rsidRPr="006E725C">
              <w:rPr>
                <w:lang w:val="en-GB"/>
              </w:rPr>
              <w:t>2%)</w:t>
            </w:r>
            <w:r w:rsidR="00FC5F81" w:rsidRPr="006E725C">
              <w:rPr>
                <w:lang w:val="en-GB"/>
              </w:rPr>
              <w:t xml:space="preserve"> dropped quarter-on-quarter in Q4</w:t>
            </w:r>
            <w:r w:rsidR="00EA1EBB" w:rsidRPr="006E725C">
              <w:rPr>
                <w:lang w:val="en-GB"/>
              </w:rPr>
              <w:t>.</w:t>
            </w:r>
          </w:p>
        </w:tc>
      </w:tr>
      <w:tr w:rsidR="00EA1EBB" w:rsidRPr="006E725C" w14:paraId="66FDEB8B" w14:textId="77777777" w:rsidTr="005855B4">
        <w:trPr>
          <w:trHeight w:val="145"/>
        </w:trPr>
        <w:tc>
          <w:tcPr>
            <w:tcW w:w="1806" w:type="dxa"/>
            <w:shd w:val="clear" w:color="auto" w:fill="auto"/>
            <w:tcMar>
              <w:left w:w="0" w:type="dxa"/>
            </w:tcMar>
          </w:tcPr>
          <w:p w14:paraId="41CE4D47" w14:textId="2E127D57" w:rsidR="00EA1EBB" w:rsidRPr="006E725C" w:rsidRDefault="004C5A25" w:rsidP="00BA5125">
            <w:pPr>
              <w:pStyle w:val="Marginlie"/>
              <w:rPr>
                <w:lang w:val="en-GB"/>
              </w:rPr>
            </w:pPr>
            <w:r w:rsidRPr="006E725C">
              <w:rPr>
                <w:lang w:val="en-GB"/>
              </w:rPr>
              <w:lastRenderedPageBreak/>
              <w:t xml:space="preserve">The international trade balance of goods and services reached a surplus last year. </w:t>
            </w:r>
          </w:p>
        </w:tc>
        <w:tc>
          <w:tcPr>
            <w:tcW w:w="223" w:type="dxa"/>
            <w:shd w:val="clear" w:color="auto" w:fill="auto"/>
            <w:tcMar>
              <w:left w:w="0" w:type="dxa"/>
            </w:tcMar>
          </w:tcPr>
          <w:p w14:paraId="2277652D" w14:textId="77777777" w:rsidR="00EA1EBB" w:rsidRPr="006E725C" w:rsidRDefault="00EA1EBB" w:rsidP="00BA5125">
            <w:pPr>
              <w:pStyle w:val="Textpoznpodarou"/>
              <w:jc w:val="both"/>
              <w:rPr>
                <w:spacing w:val="-4"/>
                <w:lang w:val="en-GB"/>
              </w:rPr>
            </w:pPr>
          </w:p>
        </w:tc>
        <w:tc>
          <w:tcPr>
            <w:tcW w:w="7610" w:type="dxa"/>
            <w:shd w:val="clear" w:color="auto" w:fill="auto"/>
            <w:tcMar>
              <w:left w:w="0" w:type="dxa"/>
            </w:tcMar>
          </w:tcPr>
          <w:p w14:paraId="597134A8" w14:textId="2ACF5C90" w:rsidR="00EA1EBB" w:rsidRPr="006E725C" w:rsidRDefault="004C5A25" w:rsidP="00F01EA8">
            <w:pPr>
              <w:rPr>
                <w:lang w:val="en-GB"/>
              </w:rPr>
            </w:pPr>
            <w:r w:rsidRPr="006E725C">
              <w:rPr>
                <w:lang w:val="en-GB"/>
              </w:rPr>
              <w:t xml:space="preserve">Favourable influence of the external demand on the GDP growth </w:t>
            </w:r>
            <w:r w:rsidR="00CE3770" w:rsidRPr="006E725C">
              <w:rPr>
                <w:lang w:val="en-GB"/>
              </w:rPr>
              <w:t xml:space="preserve">flowed from the </w:t>
            </w:r>
            <w:r w:rsidR="006A6BE3" w:rsidRPr="006E725C">
              <w:rPr>
                <w:lang w:val="en-GB"/>
              </w:rPr>
              <w:t xml:space="preserve">opposing development of export and import in year </w:t>
            </w:r>
            <w:r w:rsidR="00EA1EBB" w:rsidRPr="006E725C">
              <w:rPr>
                <w:lang w:val="en-GB"/>
              </w:rPr>
              <w:t>2023</w:t>
            </w:r>
            <w:r w:rsidR="006A6BE3" w:rsidRPr="006E725C">
              <w:rPr>
                <w:lang w:val="en-GB"/>
              </w:rPr>
              <w:t>. While the export of goods and services</w:t>
            </w:r>
            <w:r w:rsidR="00EA1EBB" w:rsidRPr="006E725C">
              <w:rPr>
                <w:rStyle w:val="Znakapoznpodarou"/>
                <w:lang w:val="en-GB"/>
              </w:rPr>
              <w:footnoteReference w:id="8"/>
            </w:r>
            <w:r w:rsidR="00EA1EBB" w:rsidRPr="006E725C">
              <w:rPr>
                <w:lang w:val="en-GB"/>
              </w:rPr>
              <w:t xml:space="preserve"> </w:t>
            </w:r>
            <w:r w:rsidR="00E41634" w:rsidRPr="006E725C">
              <w:rPr>
                <w:lang w:val="en-GB"/>
              </w:rPr>
              <w:t xml:space="preserve">expanded in real terms by </w:t>
            </w:r>
            <w:r w:rsidR="00EA1EBB" w:rsidRPr="006E725C">
              <w:rPr>
                <w:lang w:val="en-GB"/>
              </w:rPr>
              <w:t>3</w:t>
            </w:r>
            <w:r w:rsidR="00E41634" w:rsidRPr="006E725C">
              <w:rPr>
                <w:lang w:val="en-GB"/>
              </w:rPr>
              <w:t>.</w:t>
            </w:r>
            <w:r w:rsidR="00EA1EBB" w:rsidRPr="006E725C">
              <w:rPr>
                <w:lang w:val="en-GB"/>
              </w:rPr>
              <w:t>1%</w:t>
            </w:r>
            <w:r w:rsidR="00E41634" w:rsidRPr="006E725C">
              <w:rPr>
                <w:lang w:val="en-GB"/>
              </w:rPr>
              <w:t xml:space="preserve"> last year</w:t>
            </w:r>
            <w:r w:rsidR="00EA1EBB" w:rsidRPr="006E725C">
              <w:rPr>
                <w:lang w:val="en-GB"/>
              </w:rPr>
              <w:t>,</w:t>
            </w:r>
            <w:r w:rsidR="00E41634" w:rsidRPr="006E725C">
              <w:rPr>
                <w:lang w:val="en-GB"/>
              </w:rPr>
              <w:t xml:space="preserve"> import fell by </w:t>
            </w:r>
            <w:r w:rsidR="00EA1EBB" w:rsidRPr="006E725C">
              <w:rPr>
                <w:lang w:val="en-GB"/>
              </w:rPr>
              <w:t>0</w:t>
            </w:r>
            <w:r w:rsidR="00E41634" w:rsidRPr="006E725C">
              <w:rPr>
                <w:lang w:val="en-GB"/>
              </w:rPr>
              <w:t>.</w:t>
            </w:r>
            <w:r w:rsidR="00EA1EBB" w:rsidRPr="006E725C">
              <w:rPr>
                <w:lang w:val="en-GB"/>
              </w:rPr>
              <w:t xml:space="preserve">4%. </w:t>
            </w:r>
            <w:r w:rsidR="00055E2F" w:rsidRPr="006E725C">
              <w:rPr>
                <w:lang w:val="en-GB"/>
              </w:rPr>
              <w:t xml:space="preserve">Exports of goods and services increased year-on-year by </w:t>
            </w:r>
            <w:r w:rsidR="00EA1EBB" w:rsidRPr="006E725C">
              <w:rPr>
                <w:lang w:val="en-GB"/>
              </w:rPr>
              <w:t>1</w:t>
            </w:r>
            <w:r w:rsidR="00055E2F" w:rsidRPr="006E725C">
              <w:rPr>
                <w:lang w:val="en-GB"/>
              </w:rPr>
              <w:t>.</w:t>
            </w:r>
            <w:r w:rsidR="00EA1EBB" w:rsidRPr="006E725C">
              <w:rPr>
                <w:lang w:val="en-GB"/>
              </w:rPr>
              <w:t>0% a</w:t>
            </w:r>
            <w:r w:rsidR="00055E2F" w:rsidRPr="006E725C">
              <w:rPr>
                <w:lang w:val="en-GB"/>
              </w:rPr>
              <w:t xml:space="preserve">nd imports on the contrary </w:t>
            </w:r>
            <w:r w:rsidR="00B27178" w:rsidRPr="006E725C">
              <w:rPr>
                <w:lang w:val="en-GB"/>
              </w:rPr>
              <w:t xml:space="preserve">plunged by notable </w:t>
            </w:r>
            <w:r w:rsidR="00EA1EBB" w:rsidRPr="006E725C">
              <w:rPr>
                <w:lang w:val="en-GB"/>
              </w:rPr>
              <w:t>4</w:t>
            </w:r>
            <w:r w:rsidR="00B27178" w:rsidRPr="006E725C">
              <w:rPr>
                <w:lang w:val="en-GB"/>
              </w:rPr>
              <w:t>.</w:t>
            </w:r>
            <w:r w:rsidR="00EA1EBB" w:rsidRPr="006E725C">
              <w:rPr>
                <w:lang w:val="en-GB"/>
              </w:rPr>
              <w:t>7%</w:t>
            </w:r>
            <w:r w:rsidR="00055E2F" w:rsidRPr="006E725C">
              <w:rPr>
                <w:lang w:val="en-GB"/>
              </w:rPr>
              <w:t xml:space="preserve"> in Q4</w:t>
            </w:r>
            <w:r w:rsidR="00EA1EBB" w:rsidRPr="006E725C">
              <w:rPr>
                <w:lang w:val="en-GB"/>
              </w:rPr>
              <w:t xml:space="preserve">. </w:t>
            </w:r>
            <w:r w:rsidR="00B60BBF" w:rsidRPr="006E725C">
              <w:rPr>
                <w:lang w:val="en-GB"/>
              </w:rPr>
              <w:t xml:space="preserve">Exports of goods grew relatively mildly </w:t>
            </w:r>
            <w:r w:rsidR="00EA1EBB" w:rsidRPr="006E725C">
              <w:rPr>
                <w:lang w:val="en-GB"/>
              </w:rPr>
              <w:t>(0</w:t>
            </w:r>
            <w:r w:rsidR="00B60BBF" w:rsidRPr="006E725C">
              <w:rPr>
                <w:lang w:val="en-GB"/>
              </w:rPr>
              <w:t>.</w:t>
            </w:r>
            <w:r w:rsidR="00EA1EBB" w:rsidRPr="006E725C">
              <w:rPr>
                <w:lang w:val="en-GB"/>
              </w:rPr>
              <w:t>4%),</w:t>
            </w:r>
            <w:r w:rsidR="00B60BBF" w:rsidRPr="006E725C">
              <w:rPr>
                <w:lang w:val="en-GB"/>
              </w:rPr>
              <w:t xml:space="preserve"> the increase for services was stronger </w:t>
            </w:r>
            <w:r w:rsidR="00EA1EBB" w:rsidRPr="006E725C">
              <w:rPr>
                <w:lang w:val="en-GB"/>
              </w:rPr>
              <w:t>(4</w:t>
            </w:r>
            <w:r w:rsidR="00B60BBF" w:rsidRPr="006E725C">
              <w:rPr>
                <w:lang w:val="en-GB"/>
              </w:rPr>
              <w:t>.</w:t>
            </w:r>
            <w:r w:rsidR="00EA1EBB" w:rsidRPr="006E725C">
              <w:rPr>
                <w:lang w:val="en-GB"/>
              </w:rPr>
              <w:t xml:space="preserve">7%). </w:t>
            </w:r>
            <w:r w:rsidR="00B60BBF" w:rsidRPr="006E725C">
              <w:rPr>
                <w:lang w:val="en-GB"/>
              </w:rPr>
              <w:t xml:space="preserve">Following the two preceding decreases the export increased by </w:t>
            </w:r>
            <w:r w:rsidR="00EA1EBB" w:rsidRPr="006E725C">
              <w:rPr>
                <w:lang w:val="en-GB"/>
              </w:rPr>
              <w:t>2</w:t>
            </w:r>
            <w:r w:rsidR="00B60BBF" w:rsidRPr="006E725C">
              <w:rPr>
                <w:lang w:val="en-GB"/>
              </w:rPr>
              <w:t>.</w:t>
            </w:r>
            <w:r w:rsidR="00EA1EBB" w:rsidRPr="006E725C">
              <w:rPr>
                <w:lang w:val="en-GB"/>
              </w:rPr>
              <w:t>2%</w:t>
            </w:r>
            <w:r w:rsidR="00B60BBF" w:rsidRPr="006E725C">
              <w:rPr>
                <w:lang w:val="en-GB"/>
              </w:rPr>
              <w:t xml:space="preserve"> quarter-on-quarter in Q4</w:t>
            </w:r>
            <w:r w:rsidR="00EA1EBB" w:rsidRPr="006E725C">
              <w:rPr>
                <w:lang w:val="en-GB"/>
              </w:rPr>
              <w:t xml:space="preserve">. </w:t>
            </w:r>
            <w:r w:rsidR="009B479C" w:rsidRPr="006E725C">
              <w:rPr>
                <w:lang w:val="en-GB"/>
              </w:rPr>
              <w:t xml:space="preserve">In </w:t>
            </w:r>
            <w:r w:rsidR="00AA314A" w:rsidRPr="006E725C">
              <w:rPr>
                <w:lang w:val="en-GB"/>
              </w:rPr>
              <w:t>that,</w:t>
            </w:r>
            <w:r w:rsidR="009B479C" w:rsidRPr="006E725C">
              <w:rPr>
                <w:lang w:val="en-GB"/>
              </w:rPr>
              <w:t xml:space="preserve"> the export of goods rose by </w:t>
            </w:r>
            <w:r w:rsidR="00EA1EBB" w:rsidRPr="006E725C">
              <w:rPr>
                <w:lang w:val="en-GB"/>
              </w:rPr>
              <w:t>1</w:t>
            </w:r>
            <w:r w:rsidR="009B479C" w:rsidRPr="006E725C">
              <w:rPr>
                <w:lang w:val="en-GB"/>
              </w:rPr>
              <w:t>.</w:t>
            </w:r>
            <w:r w:rsidR="00EA1EBB" w:rsidRPr="006E725C">
              <w:rPr>
                <w:lang w:val="en-GB"/>
              </w:rPr>
              <w:t>6% a</w:t>
            </w:r>
            <w:r w:rsidR="009B479C" w:rsidRPr="006E725C">
              <w:rPr>
                <w:lang w:val="en-GB"/>
              </w:rPr>
              <w:t xml:space="preserve">nd services by </w:t>
            </w:r>
            <w:r w:rsidR="00EA1EBB" w:rsidRPr="006E725C">
              <w:rPr>
                <w:lang w:val="en-GB"/>
              </w:rPr>
              <w:t>5</w:t>
            </w:r>
            <w:r w:rsidR="009B479C" w:rsidRPr="006E725C">
              <w:rPr>
                <w:lang w:val="en-GB"/>
              </w:rPr>
              <w:t>.</w:t>
            </w:r>
            <w:r w:rsidR="00EA1EBB" w:rsidRPr="006E725C">
              <w:rPr>
                <w:lang w:val="en-GB"/>
              </w:rPr>
              <w:t>1%.</w:t>
            </w:r>
            <w:r w:rsidR="009B479C" w:rsidRPr="006E725C">
              <w:rPr>
                <w:lang w:val="en-GB"/>
              </w:rPr>
              <w:t xml:space="preserve"> The quarter-on-quarter decrease of imports </w:t>
            </w:r>
            <w:r w:rsidR="00EA1EBB" w:rsidRPr="006E725C">
              <w:rPr>
                <w:lang w:val="en-GB"/>
              </w:rPr>
              <w:t>(−2</w:t>
            </w:r>
            <w:r w:rsidR="009B479C" w:rsidRPr="006E725C">
              <w:rPr>
                <w:lang w:val="en-GB"/>
              </w:rPr>
              <w:t>.</w:t>
            </w:r>
            <w:r w:rsidR="00EA1EBB" w:rsidRPr="006E725C">
              <w:rPr>
                <w:lang w:val="en-GB"/>
              </w:rPr>
              <w:t>4%)</w:t>
            </w:r>
            <w:r w:rsidR="009B479C" w:rsidRPr="006E725C">
              <w:rPr>
                <w:lang w:val="en-GB"/>
              </w:rPr>
              <w:t xml:space="preserve"> continued for the fourth quarter in a row. The international trade balance of goods and services attained a surplus of </w:t>
            </w:r>
            <w:r w:rsidR="00EA1EBB" w:rsidRPr="006E725C">
              <w:rPr>
                <w:lang w:val="en-GB"/>
              </w:rPr>
              <w:t>378</w:t>
            </w:r>
            <w:r w:rsidR="009B479C" w:rsidRPr="006E725C">
              <w:rPr>
                <w:lang w:val="en-GB"/>
              </w:rPr>
              <w:t>.</w:t>
            </w:r>
            <w:r w:rsidR="00EA1EBB" w:rsidRPr="006E725C">
              <w:rPr>
                <w:lang w:val="en-GB"/>
              </w:rPr>
              <w:t>0</w:t>
            </w:r>
            <w:r w:rsidR="009B479C" w:rsidRPr="006E725C">
              <w:rPr>
                <w:lang w:val="en-GB"/>
              </w:rPr>
              <w:t xml:space="preserve"> </w:t>
            </w:r>
            <w:r w:rsidR="009C0832">
              <w:rPr>
                <w:lang w:val="en-GB"/>
              </w:rPr>
              <w:t>CZK bn</w:t>
            </w:r>
            <w:r w:rsidR="009B479C" w:rsidRPr="006E725C">
              <w:rPr>
                <w:lang w:val="en-GB"/>
              </w:rPr>
              <w:t xml:space="preserve">, which was by </w:t>
            </w:r>
            <w:r w:rsidR="00EA1EBB" w:rsidRPr="006E725C">
              <w:rPr>
                <w:lang w:val="en-GB"/>
              </w:rPr>
              <w:t>312</w:t>
            </w:r>
            <w:r w:rsidR="009B479C" w:rsidRPr="006E725C">
              <w:rPr>
                <w:lang w:val="en-GB"/>
              </w:rPr>
              <w:t>.</w:t>
            </w:r>
            <w:r w:rsidR="00EA1EBB" w:rsidRPr="006E725C">
              <w:rPr>
                <w:lang w:val="en-GB"/>
              </w:rPr>
              <w:t>4</w:t>
            </w:r>
            <w:r w:rsidR="009B479C" w:rsidRPr="006E725C">
              <w:rPr>
                <w:lang w:val="en-GB"/>
              </w:rPr>
              <w:t xml:space="preserve"> bn </w:t>
            </w:r>
            <w:r w:rsidR="00540313" w:rsidRPr="006E725C">
              <w:rPr>
                <w:lang w:val="en-GB"/>
              </w:rPr>
              <w:t xml:space="preserve">better result </w:t>
            </w:r>
            <w:r w:rsidR="00865DDD" w:rsidRPr="006E725C">
              <w:rPr>
                <w:lang w:val="en-GB"/>
              </w:rPr>
              <w:t xml:space="preserve">year-on-year. Trade balance of goods improved significantly </w:t>
            </w:r>
            <w:r w:rsidR="00EA1EBB" w:rsidRPr="006E725C">
              <w:rPr>
                <w:lang w:val="en-GB"/>
              </w:rPr>
              <w:t>(</w:t>
            </w:r>
            <w:r w:rsidR="00865DDD" w:rsidRPr="006E725C">
              <w:rPr>
                <w:lang w:val="en-GB"/>
              </w:rPr>
              <w:t xml:space="preserve">by </w:t>
            </w:r>
            <w:r w:rsidR="00EA1EBB" w:rsidRPr="006E725C">
              <w:rPr>
                <w:lang w:val="en-GB"/>
              </w:rPr>
              <w:t>308</w:t>
            </w:r>
            <w:r w:rsidR="00865DDD" w:rsidRPr="006E725C">
              <w:rPr>
                <w:lang w:val="en-GB"/>
              </w:rPr>
              <w:t>.</w:t>
            </w:r>
            <w:r w:rsidR="00EA1EBB" w:rsidRPr="006E725C">
              <w:rPr>
                <w:lang w:val="en-GB"/>
              </w:rPr>
              <w:t>6</w:t>
            </w:r>
            <w:r w:rsidR="00865DDD" w:rsidRPr="006E725C">
              <w:rPr>
                <w:lang w:val="en-GB"/>
              </w:rPr>
              <w:t xml:space="preserve"> </w:t>
            </w:r>
            <w:r w:rsidR="009C0832">
              <w:rPr>
                <w:lang w:val="en-GB"/>
              </w:rPr>
              <w:t>CZK bn</w:t>
            </w:r>
            <w:r w:rsidR="00EA1EBB" w:rsidRPr="006E725C">
              <w:rPr>
                <w:lang w:val="en-GB"/>
              </w:rPr>
              <w:t xml:space="preserve">), </w:t>
            </w:r>
            <w:r w:rsidR="0082528D" w:rsidRPr="006E725C">
              <w:rPr>
                <w:lang w:val="en-GB"/>
              </w:rPr>
              <w:t xml:space="preserve">the surplus of international trade of services was also slightly larger </w:t>
            </w:r>
            <w:r w:rsidR="00EA1EBB" w:rsidRPr="006E725C">
              <w:rPr>
                <w:lang w:val="en-GB"/>
              </w:rPr>
              <w:t>(+3</w:t>
            </w:r>
            <w:r w:rsidR="0082528D" w:rsidRPr="006E725C">
              <w:rPr>
                <w:lang w:val="en-GB"/>
              </w:rPr>
              <w:t>.</w:t>
            </w:r>
            <w:r w:rsidR="00EA1EBB" w:rsidRPr="006E725C">
              <w:rPr>
                <w:lang w:val="en-GB"/>
              </w:rPr>
              <w:t>7</w:t>
            </w:r>
            <w:r w:rsidR="0082528D" w:rsidRPr="006E725C">
              <w:rPr>
                <w:lang w:val="en-GB"/>
              </w:rPr>
              <w:t xml:space="preserve"> bn</w:t>
            </w:r>
            <w:r w:rsidR="00EA1EBB" w:rsidRPr="006E725C">
              <w:rPr>
                <w:lang w:val="en-GB"/>
              </w:rPr>
              <w:t xml:space="preserve">). </w:t>
            </w:r>
            <w:r w:rsidR="005E0E74" w:rsidRPr="006E725C">
              <w:rPr>
                <w:lang w:val="en-GB"/>
              </w:rPr>
              <w:t xml:space="preserve">The international trade balance </w:t>
            </w:r>
            <w:r w:rsidR="00C129BB" w:rsidRPr="006E725C">
              <w:rPr>
                <w:lang w:val="en-GB"/>
              </w:rPr>
              <w:t xml:space="preserve">achieved a surplus of </w:t>
            </w:r>
            <w:r w:rsidR="00EA1EBB" w:rsidRPr="006E725C">
              <w:rPr>
                <w:lang w:val="en-GB"/>
              </w:rPr>
              <w:t>128</w:t>
            </w:r>
            <w:r w:rsidR="00C129BB" w:rsidRPr="006E725C">
              <w:rPr>
                <w:lang w:val="en-GB"/>
              </w:rPr>
              <w:t>.</w:t>
            </w:r>
            <w:r w:rsidR="00EA1EBB" w:rsidRPr="006E725C">
              <w:rPr>
                <w:lang w:val="en-GB"/>
              </w:rPr>
              <w:t>0</w:t>
            </w:r>
            <w:r w:rsidR="00C129BB" w:rsidRPr="006E725C">
              <w:rPr>
                <w:lang w:val="en-GB"/>
              </w:rPr>
              <w:t xml:space="preserve"> </w:t>
            </w:r>
            <w:r w:rsidR="009C0832">
              <w:rPr>
                <w:lang w:val="en-GB"/>
              </w:rPr>
              <w:t>CZK bn</w:t>
            </w:r>
            <w:r w:rsidR="00C129BB" w:rsidRPr="006E725C">
              <w:rPr>
                <w:lang w:val="en-GB"/>
              </w:rPr>
              <w:t xml:space="preserve"> in Q4 and improved by </w:t>
            </w:r>
            <w:r w:rsidR="00EA1EBB" w:rsidRPr="006E725C">
              <w:rPr>
                <w:lang w:val="en-GB"/>
              </w:rPr>
              <w:t>106</w:t>
            </w:r>
            <w:r w:rsidR="00C129BB" w:rsidRPr="006E725C">
              <w:rPr>
                <w:lang w:val="en-GB"/>
              </w:rPr>
              <w:t>.</w:t>
            </w:r>
            <w:r w:rsidR="00EA1EBB" w:rsidRPr="006E725C">
              <w:rPr>
                <w:lang w:val="en-GB"/>
              </w:rPr>
              <w:t>4</w:t>
            </w:r>
            <w:r w:rsidR="00C129BB" w:rsidRPr="006E725C">
              <w:rPr>
                <w:lang w:val="en-GB"/>
              </w:rPr>
              <w:t xml:space="preserve"> bn year-on-year</w:t>
            </w:r>
            <w:r w:rsidR="00EA1EBB" w:rsidRPr="006E725C">
              <w:rPr>
                <w:lang w:val="en-GB"/>
              </w:rPr>
              <w:t>.</w:t>
            </w:r>
            <w:r w:rsidR="00306D98" w:rsidRPr="006E725C">
              <w:rPr>
                <w:lang w:val="en-GB"/>
              </w:rPr>
              <w:t xml:space="preserve"> </w:t>
            </w:r>
            <w:r w:rsidR="00EA1EBB" w:rsidRPr="006E725C">
              <w:rPr>
                <w:lang w:val="en-GB"/>
              </w:rPr>
              <w:t>P</w:t>
            </w:r>
            <w:r w:rsidR="008E5274" w:rsidRPr="006E725C">
              <w:rPr>
                <w:lang w:val="en-GB"/>
              </w:rPr>
              <w:t xml:space="preserve">ositive balance of trade of goods </w:t>
            </w:r>
            <w:r w:rsidR="00EA1EBB" w:rsidRPr="006E725C">
              <w:rPr>
                <w:lang w:val="en-GB"/>
              </w:rPr>
              <w:t>(+90</w:t>
            </w:r>
            <w:r w:rsidR="00F01EA8" w:rsidRPr="006E725C">
              <w:rPr>
                <w:lang w:val="en-GB"/>
              </w:rPr>
              <w:t>.</w:t>
            </w:r>
            <w:r w:rsidR="00EA1EBB" w:rsidRPr="006E725C">
              <w:rPr>
                <w:lang w:val="en-GB"/>
              </w:rPr>
              <w:t>7</w:t>
            </w:r>
            <w:r w:rsidR="00306D98" w:rsidRPr="006E725C">
              <w:rPr>
                <w:lang w:val="en-GB"/>
              </w:rPr>
              <w:t xml:space="preserve"> </w:t>
            </w:r>
            <w:r w:rsidR="009C0832">
              <w:rPr>
                <w:lang w:val="en-GB"/>
              </w:rPr>
              <w:t>CZK bn</w:t>
            </w:r>
            <w:r w:rsidR="00EA1EBB" w:rsidRPr="006E725C">
              <w:rPr>
                <w:lang w:val="en-GB"/>
              </w:rPr>
              <w:t>)</w:t>
            </w:r>
            <w:r w:rsidR="00306D98" w:rsidRPr="006E725C">
              <w:rPr>
                <w:lang w:val="en-GB"/>
              </w:rPr>
              <w:t xml:space="preserve"> </w:t>
            </w:r>
            <w:r w:rsidR="00AD6634" w:rsidRPr="006E725C">
              <w:rPr>
                <w:lang w:val="en-GB"/>
              </w:rPr>
              <w:t xml:space="preserve">as well as services </w:t>
            </w:r>
            <w:r w:rsidR="00EA1EBB" w:rsidRPr="006E725C">
              <w:rPr>
                <w:lang w:val="en-GB"/>
              </w:rPr>
              <w:t>(+15</w:t>
            </w:r>
            <w:r w:rsidR="00AD6634" w:rsidRPr="006E725C">
              <w:rPr>
                <w:lang w:val="en-GB"/>
              </w:rPr>
              <w:t>.</w:t>
            </w:r>
            <w:r w:rsidR="00EA1EBB" w:rsidRPr="006E725C">
              <w:rPr>
                <w:lang w:val="en-GB"/>
              </w:rPr>
              <w:t>7</w:t>
            </w:r>
            <w:r w:rsidR="00AD6634" w:rsidRPr="006E725C">
              <w:rPr>
                <w:lang w:val="en-GB"/>
              </w:rPr>
              <w:t xml:space="preserve"> bn</w:t>
            </w:r>
            <w:r w:rsidR="00EA1EBB" w:rsidRPr="006E725C">
              <w:rPr>
                <w:lang w:val="en-GB"/>
              </w:rPr>
              <w:t>)</w:t>
            </w:r>
            <w:r w:rsidR="00AD6634" w:rsidRPr="006E725C">
              <w:rPr>
                <w:lang w:val="en-GB"/>
              </w:rPr>
              <w:t xml:space="preserve"> rose sharply year-on-year</w:t>
            </w:r>
            <w:r w:rsidR="00EA1EBB" w:rsidRPr="006E725C">
              <w:rPr>
                <w:lang w:val="en-GB"/>
              </w:rPr>
              <w:t xml:space="preserve">.       </w:t>
            </w:r>
          </w:p>
        </w:tc>
      </w:tr>
      <w:tr w:rsidR="0079457A" w:rsidRPr="006E725C" w14:paraId="0673ECB2" w14:textId="77777777" w:rsidTr="005855B4">
        <w:trPr>
          <w:trHeight w:val="145"/>
        </w:trPr>
        <w:tc>
          <w:tcPr>
            <w:tcW w:w="1806" w:type="dxa"/>
            <w:shd w:val="clear" w:color="auto" w:fill="auto"/>
            <w:tcMar>
              <w:left w:w="0" w:type="dxa"/>
            </w:tcMar>
          </w:tcPr>
          <w:p w14:paraId="2F957C75" w14:textId="69FAAB19" w:rsidR="0079457A" w:rsidRPr="006E725C" w:rsidRDefault="0079457A" w:rsidP="0079457A">
            <w:pPr>
              <w:pStyle w:val="Marginlie"/>
              <w:rPr>
                <w:lang w:val="en-GB"/>
              </w:rPr>
            </w:pPr>
            <w:r w:rsidRPr="006E725C">
              <w:rPr>
                <w:lang w:val="en-GB"/>
              </w:rPr>
              <w:t xml:space="preserve">Gross value added increased last year. </w:t>
            </w:r>
          </w:p>
        </w:tc>
        <w:tc>
          <w:tcPr>
            <w:tcW w:w="223" w:type="dxa"/>
            <w:shd w:val="clear" w:color="auto" w:fill="auto"/>
            <w:tcMar>
              <w:left w:w="0" w:type="dxa"/>
            </w:tcMar>
          </w:tcPr>
          <w:p w14:paraId="14D4594B" w14:textId="77777777" w:rsidR="0079457A" w:rsidRPr="006E725C" w:rsidRDefault="0079457A" w:rsidP="0079457A">
            <w:pPr>
              <w:pStyle w:val="Textpoznpodarou"/>
              <w:jc w:val="both"/>
              <w:rPr>
                <w:spacing w:val="-4"/>
                <w:lang w:val="en-GB"/>
              </w:rPr>
            </w:pPr>
          </w:p>
        </w:tc>
        <w:tc>
          <w:tcPr>
            <w:tcW w:w="7610" w:type="dxa"/>
            <w:shd w:val="clear" w:color="auto" w:fill="auto"/>
            <w:tcMar>
              <w:left w:w="0" w:type="dxa"/>
            </w:tcMar>
          </w:tcPr>
          <w:p w14:paraId="31723BFB" w14:textId="5EC14B78" w:rsidR="0079457A" w:rsidRPr="006E725C" w:rsidRDefault="0079457A" w:rsidP="0079457A">
            <w:pPr>
              <w:rPr>
                <w:lang w:val="en-GB"/>
              </w:rPr>
            </w:pPr>
            <w:r w:rsidRPr="006E725C">
              <w:rPr>
                <w:lang w:val="en-GB"/>
              </w:rPr>
              <w:t>The Gross value added (GVA) increased in total by 0.5% last year. Large difference thus emerged between the GVA and GDP dynamics</w:t>
            </w:r>
            <w:r w:rsidRPr="006E725C">
              <w:rPr>
                <w:rStyle w:val="Znakapoznpodarou"/>
                <w:lang w:val="en-GB"/>
              </w:rPr>
              <w:footnoteReference w:id="9"/>
            </w:r>
            <w:r w:rsidRPr="006E725C">
              <w:rPr>
                <w:lang w:val="en-GB"/>
              </w:rPr>
              <w:t>. GVA development in individual branches partially corresponded to the demand structure. Favourable development of external demand was thus reflected in the GVA growth of export-oriented manufacturing (2.2%). It was balancing the decreases in the remaining part of industry, which was apparent on the weak increase of GVA in the industry as a whole (0.5%). Among services, information and communication fared the best (6.2%). GVA recorded a moderate increase (similarly 1.1%) in real estate activities, p</w:t>
            </w:r>
            <w:r w:rsidRPr="006E725C">
              <w:rPr>
                <w:rFonts w:cs="Arial"/>
                <w:szCs w:val="20"/>
                <w:lang w:val="en-GB"/>
              </w:rPr>
              <w:t xml:space="preserve">ublic administration, education, health and social work and in other activities </w:t>
            </w:r>
            <w:r w:rsidRPr="006E725C">
              <w:rPr>
                <w:lang w:val="en-GB"/>
              </w:rPr>
              <w:t xml:space="preserve">last year. Professional, scientific, technical and administrative activities tied to the business demand showed GVA growth of 0.8% last year. Plunge of the household consumption was on the </w:t>
            </w:r>
            <w:r w:rsidRPr="006E725C">
              <w:rPr>
                <w:lang w:val="en-GB"/>
              </w:rPr>
              <w:lastRenderedPageBreak/>
              <w:t>contrary mirrored in the GVA decreased in d</w:t>
            </w:r>
            <w:r w:rsidRPr="006E725C">
              <w:rPr>
                <w:rFonts w:cs="Arial"/>
                <w:szCs w:val="20"/>
                <w:lang w:val="en-GB"/>
              </w:rPr>
              <w:t xml:space="preserve">ivision trade, transport, accommodation and </w:t>
            </w:r>
            <w:r w:rsidR="00192BA8">
              <w:rPr>
                <w:rFonts w:cs="Arial"/>
                <w:szCs w:val="20"/>
                <w:lang w:val="en-GB"/>
              </w:rPr>
              <w:t>food service</w:t>
            </w:r>
            <w:r w:rsidRPr="006E725C">
              <w:rPr>
                <w:rFonts w:cs="Arial"/>
                <w:szCs w:val="20"/>
                <w:lang w:val="en-GB"/>
              </w:rPr>
              <w:t xml:space="preserve"> </w:t>
            </w:r>
            <w:r w:rsidRPr="006E725C">
              <w:rPr>
                <w:lang w:val="en-GB"/>
              </w:rPr>
              <w:t xml:space="preserve">(−1.8%). Weak investment activities in the area of structures are observed on the GVA decrease in construction (−1.2%), where the GVA decreased for the fifth time in a row. Gross value added in construction thus by one fifth lagged behind the peak in year 2018 last year. </w:t>
            </w:r>
          </w:p>
        </w:tc>
      </w:tr>
      <w:tr w:rsidR="0079457A" w:rsidRPr="006E725C" w14:paraId="4E285A14" w14:textId="77777777" w:rsidTr="005855B4">
        <w:trPr>
          <w:trHeight w:val="170"/>
        </w:trPr>
        <w:tc>
          <w:tcPr>
            <w:tcW w:w="1806" w:type="dxa"/>
            <w:vMerge w:val="restart"/>
            <w:shd w:val="clear" w:color="auto" w:fill="auto"/>
            <w:tcMar>
              <w:left w:w="0" w:type="dxa"/>
            </w:tcMar>
          </w:tcPr>
          <w:p w14:paraId="36421D85" w14:textId="77777777" w:rsidR="0079457A" w:rsidRPr="006E725C" w:rsidRDefault="0079457A" w:rsidP="0079457A">
            <w:pPr>
              <w:pStyle w:val="Marginlie"/>
              <w:rPr>
                <w:lang w:val="en-GB"/>
              </w:rPr>
            </w:pPr>
          </w:p>
        </w:tc>
        <w:tc>
          <w:tcPr>
            <w:tcW w:w="223" w:type="dxa"/>
            <w:vMerge w:val="restart"/>
            <w:shd w:val="clear" w:color="auto" w:fill="auto"/>
            <w:tcMar>
              <w:left w:w="0" w:type="dxa"/>
            </w:tcMar>
          </w:tcPr>
          <w:p w14:paraId="217351FB" w14:textId="77777777" w:rsidR="0079457A" w:rsidRPr="006E725C" w:rsidRDefault="0079457A" w:rsidP="0079457A">
            <w:pPr>
              <w:pStyle w:val="Textpoznpodarou"/>
              <w:jc w:val="both"/>
              <w:rPr>
                <w:spacing w:val="-4"/>
                <w:lang w:val="en-GB"/>
              </w:rPr>
            </w:pPr>
          </w:p>
        </w:tc>
        <w:tc>
          <w:tcPr>
            <w:tcW w:w="7610" w:type="dxa"/>
            <w:shd w:val="clear" w:color="auto" w:fill="auto"/>
            <w:tcMar>
              <w:left w:w="0" w:type="dxa"/>
            </w:tcMar>
          </w:tcPr>
          <w:p w14:paraId="601CDBC7" w14:textId="14CA3A93" w:rsidR="0079457A" w:rsidRPr="006E725C" w:rsidRDefault="0079457A" w:rsidP="0079457A">
            <w:pPr>
              <w:spacing w:after="0"/>
              <w:rPr>
                <w:lang w:val="en-GB"/>
              </w:rPr>
            </w:pPr>
            <w:r w:rsidRPr="006E725C">
              <w:rPr>
                <w:b/>
                <w:szCs w:val="20"/>
                <w:lang w:val="en-GB"/>
              </w:rPr>
              <w:t>Chart 3 Contributions</w:t>
            </w:r>
            <w:r w:rsidRPr="006E725C">
              <w:rPr>
                <w:b/>
                <w:szCs w:val="20"/>
                <w:lang w:val="en-GB" w:eastAsia="en-US"/>
              </w:rPr>
              <w:t xml:space="preserve"> of branches to real change in GVA</w:t>
            </w:r>
            <w:r w:rsidRPr="006E725C">
              <w:rPr>
                <w:rFonts w:cs="Arial"/>
                <w:b/>
                <w:szCs w:val="20"/>
                <w:lang w:val="en-GB" w:eastAsia="en-US"/>
              </w:rPr>
              <w:t xml:space="preserve"> </w:t>
            </w:r>
            <w:r w:rsidRPr="006E725C">
              <w:rPr>
                <w:rFonts w:cs="Arial"/>
                <w:bCs/>
                <w:szCs w:val="20"/>
                <w:lang w:val="en-GB" w:eastAsia="en-US"/>
              </w:rPr>
              <w:t>(volume indices, year-on-year contributions in p.p., GVA in %)</w:t>
            </w:r>
            <w:r w:rsidRPr="006E725C">
              <w:rPr>
                <w:rFonts w:cs="Arial"/>
                <w:szCs w:val="20"/>
                <w:lang w:val="en-GB" w:eastAsia="en-US"/>
              </w:rPr>
              <w:t xml:space="preserve"> </w:t>
            </w:r>
          </w:p>
        </w:tc>
      </w:tr>
      <w:tr w:rsidR="0079457A" w:rsidRPr="006E725C" w14:paraId="75B87697" w14:textId="77777777" w:rsidTr="0079457A">
        <w:tblPrEx>
          <w:tblCellMar>
            <w:left w:w="70" w:type="dxa"/>
            <w:right w:w="70" w:type="dxa"/>
          </w:tblCellMar>
        </w:tblPrEx>
        <w:trPr>
          <w:trHeight w:val="170"/>
        </w:trPr>
        <w:tc>
          <w:tcPr>
            <w:tcW w:w="1806" w:type="dxa"/>
            <w:vMerge/>
          </w:tcPr>
          <w:p w14:paraId="7D14839C" w14:textId="77777777" w:rsidR="0079457A" w:rsidRPr="006E725C" w:rsidRDefault="0079457A" w:rsidP="0079457A">
            <w:pPr>
              <w:pStyle w:val="Marginlie"/>
              <w:rPr>
                <w:lang w:val="en-GB"/>
              </w:rPr>
            </w:pPr>
          </w:p>
        </w:tc>
        <w:tc>
          <w:tcPr>
            <w:tcW w:w="223" w:type="dxa"/>
            <w:vMerge/>
          </w:tcPr>
          <w:p w14:paraId="1709E96A" w14:textId="77777777" w:rsidR="0079457A" w:rsidRPr="006E725C" w:rsidRDefault="0079457A" w:rsidP="0079457A">
            <w:pPr>
              <w:pStyle w:val="Textpoznpodarou"/>
              <w:jc w:val="both"/>
              <w:rPr>
                <w:spacing w:val="-4"/>
                <w:lang w:val="en-GB"/>
              </w:rPr>
            </w:pPr>
          </w:p>
        </w:tc>
        <w:tc>
          <w:tcPr>
            <w:tcW w:w="7610" w:type="dxa"/>
            <w:shd w:val="clear" w:color="auto" w:fill="auto"/>
          </w:tcPr>
          <w:p w14:paraId="724C5727" w14:textId="6B560A67" w:rsidR="0079457A" w:rsidRPr="006E725C" w:rsidRDefault="0079457A" w:rsidP="0079457A">
            <w:pPr>
              <w:spacing w:after="0"/>
              <w:rPr>
                <w:lang w:val="en-GB"/>
              </w:rPr>
            </w:pPr>
            <w:r>
              <w:rPr>
                <w:noProof/>
              </w:rPr>
              <w:drawing>
                <wp:inline distT="0" distB="0" distL="0" distR="0" wp14:anchorId="1DDA840E" wp14:editId="226B9ECD">
                  <wp:extent cx="4734425" cy="3486525"/>
                  <wp:effectExtent l="0" t="0" r="0" b="0"/>
                  <wp:docPr id="9" name="Graf 9">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79457A" w:rsidRPr="006E725C" w14:paraId="0798EF6C" w14:textId="77777777" w:rsidTr="005855B4">
        <w:trPr>
          <w:trHeight w:val="170"/>
        </w:trPr>
        <w:tc>
          <w:tcPr>
            <w:tcW w:w="1806" w:type="dxa"/>
            <w:vMerge/>
            <w:tcMar>
              <w:left w:w="0" w:type="dxa"/>
            </w:tcMar>
          </w:tcPr>
          <w:p w14:paraId="40AA6FC6" w14:textId="77777777" w:rsidR="0079457A" w:rsidRPr="006E725C" w:rsidRDefault="0079457A" w:rsidP="0079457A">
            <w:pPr>
              <w:pStyle w:val="Marginlie"/>
              <w:rPr>
                <w:lang w:val="en-GB"/>
              </w:rPr>
            </w:pPr>
          </w:p>
        </w:tc>
        <w:tc>
          <w:tcPr>
            <w:tcW w:w="223" w:type="dxa"/>
            <w:vMerge/>
            <w:tcMar>
              <w:left w:w="0" w:type="dxa"/>
            </w:tcMar>
          </w:tcPr>
          <w:p w14:paraId="658ECE94" w14:textId="77777777" w:rsidR="0079457A" w:rsidRPr="006E725C" w:rsidRDefault="0079457A" w:rsidP="0079457A">
            <w:pPr>
              <w:pStyle w:val="Textpoznpodarou"/>
              <w:jc w:val="both"/>
              <w:rPr>
                <w:spacing w:val="-4"/>
                <w:lang w:val="en-GB"/>
              </w:rPr>
            </w:pPr>
          </w:p>
        </w:tc>
        <w:tc>
          <w:tcPr>
            <w:tcW w:w="7610" w:type="dxa"/>
            <w:shd w:val="clear" w:color="auto" w:fill="auto"/>
            <w:tcMar>
              <w:left w:w="0" w:type="dxa"/>
            </w:tcMar>
          </w:tcPr>
          <w:p w14:paraId="3297E0D4" w14:textId="2413E10A" w:rsidR="0079457A" w:rsidRPr="0079457A" w:rsidRDefault="0079457A" w:rsidP="0079457A">
            <w:pPr>
              <w:rPr>
                <w:sz w:val="14"/>
                <w:szCs w:val="14"/>
                <w:lang w:val="en-GB"/>
              </w:rPr>
            </w:pPr>
            <w:r w:rsidRPr="006E725C">
              <w:rPr>
                <w:sz w:val="14"/>
                <w:szCs w:val="14"/>
                <w:lang w:val="en-GB"/>
              </w:rPr>
              <w:t>Source: CZSO</w:t>
            </w:r>
          </w:p>
        </w:tc>
      </w:tr>
      <w:tr w:rsidR="0079457A" w:rsidRPr="006E725C" w14:paraId="5DEF988A" w14:textId="77777777" w:rsidTr="005855B4">
        <w:trPr>
          <w:trHeight w:val="145"/>
        </w:trPr>
        <w:tc>
          <w:tcPr>
            <w:tcW w:w="1806" w:type="dxa"/>
            <w:shd w:val="clear" w:color="auto" w:fill="auto"/>
            <w:tcMar>
              <w:left w:w="0" w:type="dxa"/>
            </w:tcMar>
          </w:tcPr>
          <w:p w14:paraId="52BEA2C4" w14:textId="106FE73E" w:rsidR="0079457A" w:rsidRPr="006E725C" w:rsidRDefault="0079457A" w:rsidP="0079457A">
            <w:pPr>
              <w:pStyle w:val="Marginlie"/>
              <w:rPr>
                <w:lang w:val="en-GB"/>
              </w:rPr>
            </w:pPr>
            <w:r w:rsidRPr="006E725C">
              <w:rPr>
                <w:lang w:val="en-GB"/>
              </w:rPr>
              <w:t xml:space="preserve">GVA </w:t>
            </w:r>
            <w:r>
              <w:rPr>
                <w:lang w:val="en-GB"/>
              </w:rPr>
              <w:t>increased both year-</w:t>
            </w:r>
            <w:r w:rsidRPr="006E725C">
              <w:rPr>
                <w:lang w:val="en-GB"/>
              </w:rPr>
              <w:t>on-year and quarter-on-quarter in Q4.</w:t>
            </w:r>
          </w:p>
        </w:tc>
        <w:tc>
          <w:tcPr>
            <w:tcW w:w="223" w:type="dxa"/>
            <w:shd w:val="clear" w:color="auto" w:fill="auto"/>
            <w:tcMar>
              <w:left w:w="0" w:type="dxa"/>
            </w:tcMar>
          </w:tcPr>
          <w:p w14:paraId="76770F98" w14:textId="77777777" w:rsidR="0079457A" w:rsidRPr="006E725C" w:rsidRDefault="0079457A" w:rsidP="0079457A">
            <w:pPr>
              <w:pStyle w:val="Textpoznpodarou"/>
              <w:jc w:val="both"/>
              <w:rPr>
                <w:spacing w:val="-4"/>
                <w:lang w:val="en-GB"/>
              </w:rPr>
            </w:pPr>
          </w:p>
        </w:tc>
        <w:tc>
          <w:tcPr>
            <w:tcW w:w="7610" w:type="dxa"/>
            <w:shd w:val="clear" w:color="auto" w:fill="auto"/>
            <w:tcMar>
              <w:left w:w="0" w:type="dxa"/>
            </w:tcMar>
          </w:tcPr>
          <w:p w14:paraId="509E249E" w14:textId="512AB6AD" w:rsidR="0079457A" w:rsidRPr="006E725C" w:rsidRDefault="0079457A" w:rsidP="0079457A">
            <w:pPr>
              <w:rPr>
                <w:lang w:val="en-GB"/>
              </w:rPr>
            </w:pPr>
            <w:r w:rsidRPr="006E725C">
              <w:rPr>
                <w:lang w:val="en-GB"/>
              </w:rPr>
              <w:t>The gross value added grew by 0.3% year-on-year in Q4 itself. Development in manufacturing contributed the most to the growth (GVA growth of 1.7%). Similarly to the rest of the year the remaining industrial branches did not thrive much and the substantial performance in manufacturing thus managed to drive the whole industry to the GVA increase of only 0.4 %. In Q4, the GVA grew strongly year-on-year in information and communication (4.0%) and among service real estate activities (1.6%), other service activities (1.4%), professional, scientific, technical and administrative activities (0.9%) and p</w:t>
            </w:r>
            <w:r w:rsidRPr="006E725C">
              <w:rPr>
                <w:rFonts w:cs="Arial"/>
                <w:szCs w:val="20"/>
                <w:lang w:val="en-GB"/>
              </w:rPr>
              <w:t xml:space="preserve">ublic administration, education, health and social work </w:t>
            </w:r>
            <w:r w:rsidRPr="006E725C">
              <w:rPr>
                <w:lang w:val="en-GB"/>
              </w:rPr>
              <w:t xml:space="preserve">(0.6%) attained an above average GVA. The division trade, transport, accommodation and restaurants (−1.8%) the most inhibited the total year-on-year GVA growth, GVA decreased also in financial and insurance activities (−1.8%) and also in construction (−0.4%). Following the two preceding decreases in Q4 the gross value added increased by 0.6% quarter-on-quarter. Revival in manufacturing was very strong (3.0%) and the GVA increased markedly in real estate activities (1.9%). Growth in professional, scientific, technical and administrative activities (0.9%) also revived. GVA went down quarter-on-quarter in construction (−2.5%), other activities (−2.0%) and in financial and insurance activities (−0.9%). </w:t>
            </w:r>
          </w:p>
        </w:tc>
      </w:tr>
    </w:tbl>
    <w:p w14:paraId="6FD91E5A" w14:textId="1416C17B" w:rsidR="00106BCC" w:rsidRPr="006E725C" w:rsidRDefault="00106BCC" w:rsidP="00006E5D">
      <w:pPr>
        <w:pStyle w:val="Nadpis11"/>
        <w:rPr>
          <w:sz w:val="2"/>
          <w:szCs w:val="2"/>
          <w:lang w:val="en-GB"/>
        </w:rPr>
      </w:pPr>
      <w:bookmarkStart w:id="8" w:name="_GoBack"/>
      <w:bookmarkEnd w:id="3"/>
      <w:bookmarkEnd w:id="4"/>
      <w:bookmarkEnd w:id="5"/>
      <w:bookmarkEnd w:id="6"/>
      <w:bookmarkEnd w:id="8"/>
    </w:p>
    <w:sectPr w:rsidR="00106BCC" w:rsidRPr="006E725C" w:rsidSect="00006E5D">
      <w:headerReference w:type="even" r:id="rId15"/>
      <w:headerReference w:type="default" r:id="rId16"/>
      <w:footerReference w:type="even" r:id="rId17"/>
      <w:footerReference w:type="default" r:id="rId18"/>
      <w:pgSz w:w="11906" w:h="16838" w:code="9"/>
      <w:pgMar w:top="1134" w:right="1134" w:bottom="1418" w:left="1134" w:header="680" w:footer="737"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A5E54" w14:textId="77777777" w:rsidR="003B4260" w:rsidRDefault="003B4260" w:rsidP="00E71A58">
      <w:r>
        <w:separator/>
      </w:r>
    </w:p>
  </w:endnote>
  <w:endnote w:type="continuationSeparator" w:id="0">
    <w:p w14:paraId="4A502AE6" w14:textId="77777777" w:rsidR="003B4260" w:rsidRDefault="003B426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1405AA38" w:rsidR="003B4260" w:rsidRPr="00932443" w:rsidRDefault="003B4260"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006E5D">
      <w:rPr>
        <w:szCs w:val="16"/>
      </w:rPr>
      <w:t>10</w:t>
    </w:r>
    <w:r w:rsidRPr="00932443">
      <w:rPr>
        <w:szCs w:val="16"/>
      </w:rPr>
      <w:fldChar w:fldCharType="end"/>
    </w:r>
    <w:r w:rsidRPr="00932443">
      <w:rPr>
        <w:szCs w:val="16"/>
      </w:rPr>
      <w:tab/>
    </w:r>
    <w:r>
      <w:rPr>
        <w:szCs w:val="16"/>
      </w:rPr>
      <w:t>year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521FA8D8" w:rsidR="003B4260" w:rsidRPr="00932443" w:rsidRDefault="003B4260" w:rsidP="00FA6CB6">
    <w:pPr>
      <w:pStyle w:val="Zpat"/>
      <w:rPr>
        <w:szCs w:val="16"/>
      </w:rPr>
    </w:pPr>
    <w:r>
      <w:rPr>
        <w:lang w:eastAsia="cs-CZ"/>
      </w:rPr>
      <w:drawing>
        <wp:anchor distT="0" distB="0" distL="114300" distR="114300" simplePos="0" relativeHeight="251670016" behindDoc="0" locked="0" layoutInCell="1" allowOverlap="1" wp14:anchorId="61E29A61" wp14:editId="1E02F1E3">
          <wp:simplePos x="0" y="0"/>
          <wp:positionH relativeFrom="margin">
            <wp:posOffset>17145</wp:posOffset>
          </wp:positionH>
          <wp:positionV relativeFrom="paragraph">
            <wp:posOffset>-55657</wp:posOffset>
          </wp:positionV>
          <wp:extent cx="676910" cy="201930"/>
          <wp:effectExtent l="0" t="0" r="8890" b="7620"/>
          <wp:wrapNone/>
          <wp:docPr id="3"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CB6">
      <w:rPr>
        <w:szCs w:val="16"/>
      </w:rPr>
      <w:tab/>
    </w:r>
    <w:r>
      <w:rPr>
        <w:szCs w:val="16"/>
      </w:rPr>
      <w:t>year 2023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006E5D">
      <w:rPr>
        <w:rStyle w:val="ZpatChar"/>
        <w:szCs w:val="16"/>
      </w:rPr>
      <w:t>11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53BD3" w14:textId="77777777" w:rsidR="003B4260" w:rsidRDefault="003B4260" w:rsidP="00A21B4D">
      <w:pPr>
        <w:spacing w:after="0"/>
      </w:pPr>
      <w:r>
        <w:separator/>
      </w:r>
    </w:p>
  </w:footnote>
  <w:footnote w:type="continuationSeparator" w:id="0">
    <w:p w14:paraId="225CD336" w14:textId="77777777" w:rsidR="003B4260" w:rsidRDefault="003B4260" w:rsidP="00E71A58">
      <w:r>
        <w:continuationSeparator/>
      </w:r>
    </w:p>
  </w:footnote>
  <w:footnote w:id="1">
    <w:p w14:paraId="184459A3" w14:textId="61E0ABE9" w:rsidR="003B4260" w:rsidRPr="000348AF" w:rsidRDefault="003B4260" w:rsidP="00D05995">
      <w:pPr>
        <w:pStyle w:val="Textpoznpodarou"/>
        <w:jc w:val="both"/>
        <w:rPr>
          <w:sz w:val="16"/>
          <w:szCs w:val="16"/>
        </w:rPr>
      </w:pPr>
      <w:r w:rsidRPr="000348AF">
        <w:rPr>
          <w:rStyle w:val="Znakapoznpodarou"/>
          <w:sz w:val="16"/>
          <w:szCs w:val="16"/>
        </w:rPr>
        <w:footnoteRef/>
      </w:r>
      <w:r w:rsidRPr="000348AF">
        <w:rPr>
          <w:sz w:val="16"/>
          <w:szCs w:val="16"/>
        </w:rPr>
        <w:t xml:space="preserve"> </w:t>
      </w:r>
      <w:r w:rsidRPr="00CE719A">
        <w:rPr>
          <w:sz w:val="16"/>
          <w:szCs w:val="16"/>
          <w:lang w:val="en-GB"/>
        </w:rPr>
        <w:t xml:space="preserve">The development of the GDP, gross value added and their components is expressed with the help of the volume indices (i.e. adjusted for changes in prices) and adjusted for seasonal and calendar effects. Data are valid as of </w:t>
      </w:r>
      <w:r>
        <w:rPr>
          <w:sz w:val="16"/>
          <w:szCs w:val="16"/>
          <w:lang w:val="en-GB"/>
        </w:rPr>
        <w:t>1</w:t>
      </w:r>
      <w:r w:rsidRPr="00A141A7">
        <w:rPr>
          <w:sz w:val="16"/>
          <w:szCs w:val="16"/>
          <w:vertAlign w:val="superscript"/>
          <w:lang w:val="en-GB"/>
        </w:rPr>
        <w:t>st</w:t>
      </w:r>
      <w:r>
        <w:rPr>
          <w:sz w:val="16"/>
          <w:szCs w:val="16"/>
          <w:lang w:val="en-GB"/>
        </w:rPr>
        <w:t xml:space="preserve"> March </w:t>
      </w:r>
      <w:r w:rsidRPr="00CE719A">
        <w:rPr>
          <w:sz w:val="16"/>
          <w:szCs w:val="16"/>
          <w:lang w:val="en-GB"/>
        </w:rPr>
        <w:t>202</w:t>
      </w:r>
      <w:r>
        <w:rPr>
          <w:sz w:val="16"/>
          <w:szCs w:val="16"/>
          <w:lang w:val="en-GB"/>
        </w:rPr>
        <w:t>4</w:t>
      </w:r>
      <w:r w:rsidRPr="00CE719A">
        <w:rPr>
          <w:sz w:val="16"/>
          <w:szCs w:val="16"/>
          <w:lang w:val="en-GB"/>
        </w:rPr>
        <w:t>.</w:t>
      </w:r>
    </w:p>
  </w:footnote>
  <w:footnote w:id="2">
    <w:p w14:paraId="112F8AD3" w14:textId="797BC723" w:rsidR="003B4260" w:rsidRPr="009C6EA8" w:rsidRDefault="003B4260" w:rsidP="00D05995">
      <w:pPr>
        <w:pStyle w:val="Textpoznpodarou"/>
        <w:jc w:val="both"/>
        <w:rPr>
          <w:sz w:val="16"/>
          <w:szCs w:val="16"/>
        </w:rPr>
      </w:pPr>
      <w:r w:rsidRPr="009C6EA8">
        <w:rPr>
          <w:rStyle w:val="Znakapoznpodarou"/>
          <w:sz w:val="16"/>
          <w:szCs w:val="16"/>
        </w:rPr>
        <w:footnoteRef/>
      </w:r>
      <w:r w:rsidRPr="009C6EA8">
        <w:rPr>
          <w:sz w:val="16"/>
          <w:szCs w:val="16"/>
        </w:rPr>
        <w:t xml:space="preserve"> </w:t>
      </w:r>
      <w:r w:rsidRPr="0029268D">
        <w:rPr>
          <w:sz w:val="16"/>
          <w:szCs w:val="16"/>
          <w:lang w:val="en-GB"/>
        </w:rPr>
        <w:t>Additions to the GDP change after exclusion of imports for final use.</w:t>
      </w:r>
    </w:p>
  </w:footnote>
  <w:footnote w:id="3">
    <w:p w14:paraId="67ED7480" w14:textId="7A1C6E70" w:rsidR="003B4260" w:rsidRPr="00150384" w:rsidRDefault="003B4260" w:rsidP="00150384">
      <w:pPr>
        <w:pStyle w:val="Textpoznpodarou"/>
        <w:jc w:val="both"/>
        <w:rPr>
          <w:lang w:val="en-GB"/>
        </w:rPr>
      </w:pPr>
      <w:r w:rsidRPr="009C6EA8">
        <w:rPr>
          <w:rStyle w:val="Znakapoznpodarou"/>
          <w:sz w:val="16"/>
          <w:szCs w:val="16"/>
        </w:rPr>
        <w:footnoteRef/>
      </w:r>
      <w:r w:rsidRPr="009C6EA8">
        <w:rPr>
          <w:sz w:val="16"/>
          <w:szCs w:val="16"/>
        </w:rPr>
        <w:t xml:space="preserve"> </w:t>
      </w:r>
      <w:r w:rsidRPr="00FD125F">
        <w:rPr>
          <w:sz w:val="16"/>
          <w:szCs w:val="16"/>
          <w:lang w:val="en-GB"/>
        </w:rPr>
        <w:t xml:space="preserve">Employment data in the national accounts conception (persons), figure seasonally adjusted.  </w:t>
      </w:r>
    </w:p>
  </w:footnote>
  <w:footnote w:id="4">
    <w:p w14:paraId="1B9B4704" w14:textId="538DD744" w:rsidR="003B4260" w:rsidRPr="00150384" w:rsidRDefault="003B4260" w:rsidP="007B7D1A">
      <w:pPr>
        <w:pStyle w:val="Textpoznpodarou"/>
        <w:jc w:val="both"/>
        <w:rPr>
          <w:sz w:val="16"/>
          <w:szCs w:val="16"/>
          <w:lang w:val="en-GB"/>
        </w:rPr>
      </w:pPr>
      <w:r w:rsidRPr="00150384">
        <w:rPr>
          <w:rStyle w:val="Znakapoznpodarou"/>
          <w:sz w:val="16"/>
          <w:szCs w:val="16"/>
          <w:lang w:val="en-GB"/>
        </w:rPr>
        <w:footnoteRef/>
      </w:r>
      <w:r w:rsidRPr="00150384">
        <w:rPr>
          <w:sz w:val="16"/>
          <w:szCs w:val="16"/>
          <w:lang w:val="en-GB"/>
        </w:rPr>
        <w:t xml:space="preserve"> </w:t>
      </w:r>
      <w:r w:rsidRPr="00FD125F">
        <w:rPr>
          <w:sz w:val="16"/>
          <w:szCs w:val="16"/>
          <w:lang w:val="en-GB"/>
        </w:rPr>
        <w:t>Converted into the real expression using the deflator of household consumption.</w:t>
      </w:r>
    </w:p>
  </w:footnote>
  <w:footnote w:id="5">
    <w:p w14:paraId="2F00293D" w14:textId="5B5F4BF0" w:rsidR="003B4260" w:rsidRPr="00150384" w:rsidRDefault="003B4260" w:rsidP="00294A56">
      <w:pPr>
        <w:pStyle w:val="Textpoznpodarou"/>
        <w:jc w:val="both"/>
        <w:rPr>
          <w:sz w:val="16"/>
          <w:szCs w:val="16"/>
          <w:lang w:val="en-GB"/>
        </w:rPr>
      </w:pPr>
      <w:r w:rsidRPr="00150384">
        <w:rPr>
          <w:rStyle w:val="Znakapoznpodarou"/>
          <w:sz w:val="16"/>
          <w:szCs w:val="16"/>
          <w:lang w:val="en-GB"/>
        </w:rPr>
        <w:footnoteRef/>
      </w:r>
      <w:r w:rsidRPr="00150384">
        <w:rPr>
          <w:sz w:val="16"/>
          <w:szCs w:val="16"/>
          <w:lang w:val="en-GB"/>
        </w:rPr>
        <w:t xml:space="preserve"> </w:t>
      </w:r>
      <w:r w:rsidRPr="00FD125F">
        <w:rPr>
          <w:sz w:val="16"/>
          <w:szCs w:val="16"/>
          <w:lang w:val="en-GB"/>
        </w:rPr>
        <w:t>T</w:t>
      </w:r>
      <w:r>
        <w:rPr>
          <w:sz w:val="16"/>
          <w:szCs w:val="16"/>
          <w:lang w:val="en-GB"/>
        </w:rPr>
        <w:t xml:space="preserve">his section includes activities of organisations uniting persons for the purpose of advancing their common interests, repairs of computers and personal and household goods and number of other personal services </w:t>
      </w:r>
      <w:r w:rsidRPr="00FD125F">
        <w:rPr>
          <w:sz w:val="16"/>
          <w:szCs w:val="16"/>
          <w:lang w:val="en-GB"/>
        </w:rPr>
        <w:t>(</w:t>
      </w:r>
      <w:r>
        <w:rPr>
          <w:sz w:val="16"/>
          <w:szCs w:val="16"/>
          <w:lang w:val="en-GB"/>
        </w:rPr>
        <w:t>hairdressing and other beauty treatment etc.</w:t>
      </w:r>
      <w:r w:rsidRPr="00FD125F">
        <w:rPr>
          <w:sz w:val="16"/>
          <w:szCs w:val="16"/>
          <w:lang w:val="en-GB"/>
        </w:rPr>
        <w:t>).</w:t>
      </w:r>
    </w:p>
  </w:footnote>
  <w:footnote w:id="6">
    <w:p w14:paraId="343AD942" w14:textId="41316E25" w:rsidR="003B4260" w:rsidRPr="006D49BA" w:rsidRDefault="003B4260" w:rsidP="006D49BA">
      <w:pPr>
        <w:pStyle w:val="Textpoznpodarou"/>
        <w:jc w:val="both"/>
        <w:rPr>
          <w:sz w:val="16"/>
          <w:szCs w:val="16"/>
          <w:lang w:val="en-GB"/>
        </w:rPr>
      </w:pPr>
      <w:r w:rsidRPr="00954992">
        <w:rPr>
          <w:rStyle w:val="Znakapoznpodarou"/>
          <w:sz w:val="16"/>
          <w:szCs w:val="16"/>
        </w:rPr>
        <w:footnoteRef/>
      </w:r>
      <w:r w:rsidRPr="00954992">
        <w:rPr>
          <w:sz w:val="16"/>
          <w:szCs w:val="16"/>
        </w:rPr>
        <w:t xml:space="preserve"> </w:t>
      </w:r>
      <w:r w:rsidRPr="006D49BA">
        <w:rPr>
          <w:sz w:val="16"/>
          <w:szCs w:val="16"/>
          <w:lang w:val="en-GB"/>
        </w:rPr>
        <w:t>Data regarding consumption based on durability are in domestic conception.</w:t>
      </w:r>
    </w:p>
  </w:footnote>
  <w:footnote w:id="7">
    <w:p w14:paraId="50AD997C" w14:textId="4734FFA3" w:rsidR="003B4260" w:rsidRPr="006D49BA" w:rsidRDefault="003B4260" w:rsidP="001500D8">
      <w:pPr>
        <w:pStyle w:val="Textpoznpodarou"/>
        <w:jc w:val="both"/>
        <w:rPr>
          <w:sz w:val="16"/>
          <w:szCs w:val="16"/>
          <w:lang w:val="en-GB"/>
        </w:rPr>
      </w:pPr>
      <w:r w:rsidRPr="006D49BA">
        <w:rPr>
          <w:rStyle w:val="Znakapoznpodarou"/>
          <w:sz w:val="16"/>
          <w:szCs w:val="16"/>
          <w:lang w:val="en-GB"/>
        </w:rPr>
        <w:footnoteRef/>
      </w:r>
      <w:r w:rsidRPr="006D49BA">
        <w:rPr>
          <w:sz w:val="16"/>
          <w:szCs w:val="16"/>
          <w:lang w:val="en-GB"/>
        </w:rPr>
        <w:t xml:space="preserve"> </w:t>
      </w:r>
      <w:r w:rsidRPr="000456B6">
        <w:rPr>
          <w:sz w:val="16"/>
          <w:szCs w:val="16"/>
          <w:lang w:val="en-GB"/>
        </w:rPr>
        <w:t xml:space="preserve">Change </w:t>
      </w:r>
      <w:r>
        <w:rPr>
          <w:sz w:val="16"/>
          <w:szCs w:val="16"/>
          <w:lang w:val="en-GB"/>
        </w:rPr>
        <w:t>in</w:t>
      </w:r>
      <w:r w:rsidRPr="000456B6">
        <w:rPr>
          <w:sz w:val="16"/>
          <w:szCs w:val="16"/>
          <w:lang w:val="en-GB"/>
        </w:rPr>
        <w:t xml:space="preserve"> inventories (in current prices and </w:t>
      </w:r>
      <w:r>
        <w:rPr>
          <w:sz w:val="16"/>
          <w:szCs w:val="16"/>
          <w:lang w:val="en-GB"/>
        </w:rPr>
        <w:t xml:space="preserve">not </w:t>
      </w:r>
      <w:r w:rsidRPr="000456B6">
        <w:rPr>
          <w:sz w:val="16"/>
          <w:szCs w:val="16"/>
          <w:lang w:val="en-GB"/>
        </w:rPr>
        <w:t xml:space="preserve">seasonally adjusted) attained </w:t>
      </w:r>
      <w:r>
        <w:rPr>
          <w:sz w:val="16"/>
          <w:szCs w:val="16"/>
          <w:lang w:val="en-GB"/>
        </w:rPr>
        <w:t>133</w:t>
      </w:r>
      <w:r w:rsidRPr="000456B6">
        <w:rPr>
          <w:sz w:val="16"/>
          <w:szCs w:val="16"/>
          <w:lang w:val="en-GB"/>
        </w:rPr>
        <w:t>.</w:t>
      </w:r>
      <w:r>
        <w:rPr>
          <w:sz w:val="16"/>
          <w:szCs w:val="16"/>
          <w:lang w:val="en-GB"/>
        </w:rPr>
        <w:t>9</w:t>
      </w:r>
      <w:r w:rsidRPr="000456B6">
        <w:rPr>
          <w:sz w:val="16"/>
          <w:szCs w:val="16"/>
          <w:lang w:val="en-GB"/>
        </w:rPr>
        <w:t xml:space="preserve"> </w:t>
      </w:r>
      <w:r>
        <w:rPr>
          <w:sz w:val="16"/>
          <w:szCs w:val="16"/>
          <w:lang w:val="en-GB"/>
        </w:rPr>
        <w:t>bn CZK</w:t>
      </w:r>
      <w:r w:rsidRPr="000456B6">
        <w:rPr>
          <w:sz w:val="16"/>
          <w:szCs w:val="16"/>
          <w:lang w:val="en-GB"/>
        </w:rPr>
        <w:t xml:space="preserve"> last year</w:t>
      </w:r>
      <w:r>
        <w:rPr>
          <w:sz w:val="16"/>
          <w:szCs w:val="16"/>
          <w:lang w:val="en-GB"/>
        </w:rPr>
        <w:t xml:space="preserve">, which it was 346.5 bn in year 2022. Change in inventories arrived at </w:t>
      </w:r>
      <w:r w:rsidRPr="006D49BA">
        <w:rPr>
          <w:sz w:val="16"/>
          <w:szCs w:val="16"/>
          <w:lang w:val="en-GB"/>
        </w:rPr>
        <w:t>−54</w:t>
      </w:r>
      <w:r>
        <w:rPr>
          <w:sz w:val="16"/>
          <w:szCs w:val="16"/>
          <w:lang w:val="en-GB"/>
        </w:rPr>
        <w:t>.</w:t>
      </w:r>
      <w:r w:rsidRPr="006D49BA">
        <w:rPr>
          <w:sz w:val="16"/>
          <w:szCs w:val="16"/>
          <w:lang w:val="en-GB"/>
        </w:rPr>
        <w:t>8</w:t>
      </w:r>
      <w:r>
        <w:rPr>
          <w:sz w:val="16"/>
          <w:szCs w:val="16"/>
          <w:lang w:val="en-GB"/>
        </w:rPr>
        <w:t xml:space="preserve"> bn CZK in Q4</w:t>
      </w:r>
      <w:r w:rsidRPr="006D49BA">
        <w:rPr>
          <w:sz w:val="16"/>
          <w:szCs w:val="16"/>
          <w:lang w:val="en-GB"/>
        </w:rPr>
        <w:t>.</w:t>
      </w:r>
    </w:p>
  </w:footnote>
  <w:footnote w:id="8">
    <w:p w14:paraId="2EE60217" w14:textId="3CDA4477" w:rsidR="003B4260" w:rsidRPr="00167B30" w:rsidRDefault="003B4260" w:rsidP="008E18EC">
      <w:pPr>
        <w:pStyle w:val="Textpoznpodarou"/>
        <w:rPr>
          <w:sz w:val="16"/>
          <w:szCs w:val="16"/>
        </w:rPr>
      </w:pPr>
      <w:r w:rsidRPr="00167B30">
        <w:rPr>
          <w:rStyle w:val="Znakapoznpodarou"/>
          <w:sz w:val="16"/>
          <w:szCs w:val="16"/>
        </w:rPr>
        <w:footnoteRef/>
      </w:r>
      <w:r w:rsidRPr="00167B30">
        <w:rPr>
          <w:sz w:val="16"/>
          <w:szCs w:val="16"/>
        </w:rPr>
        <w:t xml:space="preserve"> </w:t>
      </w:r>
      <w:r w:rsidRPr="00A00EFF">
        <w:rPr>
          <w:sz w:val="16"/>
          <w:szCs w:val="16"/>
          <w:lang w:val="en-GB"/>
        </w:rPr>
        <w:t>According to the methodology of quarterly national accounts (</w:t>
      </w:r>
      <w:r>
        <w:rPr>
          <w:sz w:val="16"/>
          <w:szCs w:val="16"/>
          <w:lang w:val="en-GB"/>
        </w:rPr>
        <w:t xml:space="preserve">export and import </w:t>
      </w:r>
      <w:r w:rsidRPr="00A00EFF">
        <w:rPr>
          <w:sz w:val="16"/>
          <w:szCs w:val="16"/>
          <w:lang w:val="en-GB"/>
        </w:rPr>
        <w:t>in FOB/FOB prices).</w:t>
      </w:r>
      <w:r>
        <w:rPr>
          <w:sz w:val="16"/>
          <w:szCs w:val="16"/>
          <w:lang w:val="en-GB"/>
        </w:rPr>
        <w:t xml:space="preserve"> International trade balance in current prices and after seasonal adjustment. </w:t>
      </w:r>
    </w:p>
  </w:footnote>
  <w:footnote w:id="9">
    <w:p w14:paraId="2960AC6D" w14:textId="77777777" w:rsidR="003B4260" w:rsidRPr="00306D98" w:rsidRDefault="003B4260" w:rsidP="00C250FA">
      <w:pPr>
        <w:pStyle w:val="Textpoznpodarou"/>
        <w:jc w:val="both"/>
        <w:rPr>
          <w:sz w:val="16"/>
          <w:szCs w:val="16"/>
          <w:lang w:val="en-GB"/>
        </w:rPr>
      </w:pPr>
      <w:r w:rsidRPr="00AC5E0A">
        <w:rPr>
          <w:rStyle w:val="Znakapoznpodarou"/>
          <w:sz w:val="16"/>
          <w:szCs w:val="16"/>
        </w:rPr>
        <w:footnoteRef/>
      </w:r>
      <w:r w:rsidRPr="00AC5E0A">
        <w:rPr>
          <w:sz w:val="16"/>
          <w:szCs w:val="16"/>
        </w:rPr>
        <w:t xml:space="preserve"> </w:t>
      </w:r>
      <w:r w:rsidRPr="00306D98">
        <w:rPr>
          <w:sz w:val="16"/>
          <w:szCs w:val="16"/>
          <w:lang w:val="en-GB"/>
        </w:rPr>
        <w:t>Huge gap between the GDP and GVA dynamics was caused by the effect of varying of GDP and GVA evaluation. Gross value added is appraised in basic prices, while the GDP is expressed in real prices. These differences reflected on one side the tax yields connected to the plummeting consumption. Subsidies capturing the electricity price caps were also a factor especially at the beginning of the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3CA608AA" w:rsidR="003B4260" w:rsidRDefault="003B4260" w:rsidP="00937AE2">
    <w:pPr>
      <w:pStyle w:val="Zhlav"/>
    </w:pPr>
    <w:r>
      <w:t>The Czech Economy Development</w:t>
    </w:r>
  </w:p>
  <w:p w14:paraId="3E881AB3" w14:textId="77777777" w:rsidR="003B4260" w:rsidRPr="006F5416" w:rsidRDefault="003B4260"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22785F80" w:rsidR="003B4260" w:rsidRDefault="003B4260" w:rsidP="00937AE2">
    <w:pPr>
      <w:pStyle w:val="Zhlav"/>
    </w:pPr>
    <w:r>
      <w:t>The Czech Economy Development</w:t>
    </w:r>
  </w:p>
  <w:p w14:paraId="57266714" w14:textId="77777777" w:rsidR="003B4260" w:rsidRPr="006F5416" w:rsidRDefault="003B4260"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1B2A5724"/>
    <w:multiLevelType w:val="hybridMultilevel"/>
    <w:tmpl w:val="0EA8A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5C59E0"/>
    <w:multiLevelType w:val="multilevel"/>
    <w:tmpl w:val="74A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AB4B86"/>
    <w:multiLevelType w:val="multilevel"/>
    <w:tmpl w:val="52D0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5280B15"/>
    <w:multiLevelType w:val="hybridMultilevel"/>
    <w:tmpl w:val="5156A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66C06F7"/>
    <w:multiLevelType w:val="multilevel"/>
    <w:tmpl w:val="AF4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841503"/>
    <w:multiLevelType w:val="hybridMultilevel"/>
    <w:tmpl w:val="322E8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D23EC3"/>
    <w:multiLevelType w:val="hybridMultilevel"/>
    <w:tmpl w:val="B65A48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95236EE"/>
    <w:multiLevelType w:val="hybridMultilevel"/>
    <w:tmpl w:val="CC2A1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3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9678F7"/>
    <w:multiLevelType w:val="hybridMultilevel"/>
    <w:tmpl w:val="A4DE7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4077D1"/>
    <w:multiLevelType w:val="multilevel"/>
    <w:tmpl w:val="B70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7"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8567A6"/>
    <w:multiLevelType w:val="hybridMultilevel"/>
    <w:tmpl w:val="50E0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69A0FF0"/>
    <w:multiLevelType w:val="hybridMultilevel"/>
    <w:tmpl w:val="3D88D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67F0B9"/>
    <w:multiLevelType w:val="hybridMultilevel"/>
    <w:tmpl w:val="9B0C99B6"/>
    <w:lvl w:ilvl="0" w:tplc="5FC8F242">
      <w:start w:val="1"/>
      <w:numFmt w:val="bullet"/>
      <w:lvlText w:val=""/>
      <w:lvlJc w:val="left"/>
      <w:pPr>
        <w:ind w:left="720" w:hanging="360"/>
      </w:pPr>
      <w:rPr>
        <w:rFonts w:ascii="Symbol" w:hAnsi="Symbol" w:hint="default"/>
      </w:rPr>
    </w:lvl>
    <w:lvl w:ilvl="1" w:tplc="5E7298D6">
      <w:start w:val="1"/>
      <w:numFmt w:val="bullet"/>
      <w:lvlText w:val="o"/>
      <w:lvlJc w:val="left"/>
      <w:pPr>
        <w:ind w:left="1440" w:hanging="360"/>
      </w:pPr>
      <w:rPr>
        <w:rFonts w:ascii="Courier New" w:hAnsi="Courier New" w:hint="default"/>
      </w:rPr>
    </w:lvl>
    <w:lvl w:ilvl="2" w:tplc="F418EABE">
      <w:start w:val="1"/>
      <w:numFmt w:val="bullet"/>
      <w:lvlText w:val=""/>
      <w:lvlJc w:val="left"/>
      <w:pPr>
        <w:ind w:left="2160" w:hanging="360"/>
      </w:pPr>
      <w:rPr>
        <w:rFonts w:ascii="Wingdings" w:hAnsi="Wingdings" w:hint="default"/>
      </w:rPr>
    </w:lvl>
    <w:lvl w:ilvl="3" w:tplc="0F78DB5E">
      <w:start w:val="1"/>
      <w:numFmt w:val="bullet"/>
      <w:lvlText w:val=""/>
      <w:lvlJc w:val="left"/>
      <w:pPr>
        <w:ind w:left="2880" w:hanging="360"/>
      </w:pPr>
      <w:rPr>
        <w:rFonts w:ascii="Symbol" w:hAnsi="Symbol" w:hint="default"/>
      </w:rPr>
    </w:lvl>
    <w:lvl w:ilvl="4" w:tplc="29062F28">
      <w:start w:val="1"/>
      <w:numFmt w:val="bullet"/>
      <w:lvlText w:val="o"/>
      <w:lvlJc w:val="left"/>
      <w:pPr>
        <w:ind w:left="3600" w:hanging="360"/>
      </w:pPr>
      <w:rPr>
        <w:rFonts w:ascii="Courier New" w:hAnsi="Courier New" w:hint="default"/>
      </w:rPr>
    </w:lvl>
    <w:lvl w:ilvl="5" w:tplc="A1920AAC">
      <w:start w:val="1"/>
      <w:numFmt w:val="bullet"/>
      <w:lvlText w:val=""/>
      <w:lvlJc w:val="left"/>
      <w:pPr>
        <w:ind w:left="4320" w:hanging="360"/>
      </w:pPr>
      <w:rPr>
        <w:rFonts w:ascii="Wingdings" w:hAnsi="Wingdings" w:hint="default"/>
      </w:rPr>
    </w:lvl>
    <w:lvl w:ilvl="6" w:tplc="E4A63608">
      <w:start w:val="1"/>
      <w:numFmt w:val="bullet"/>
      <w:lvlText w:val=""/>
      <w:lvlJc w:val="left"/>
      <w:pPr>
        <w:ind w:left="5040" w:hanging="360"/>
      </w:pPr>
      <w:rPr>
        <w:rFonts w:ascii="Symbol" w:hAnsi="Symbol" w:hint="default"/>
      </w:rPr>
    </w:lvl>
    <w:lvl w:ilvl="7" w:tplc="320420C0">
      <w:start w:val="1"/>
      <w:numFmt w:val="bullet"/>
      <w:lvlText w:val="o"/>
      <w:lvlJc w:val="left"/>
      <w:pPr>
        <w:ind w:left="5760" w:hanging="360"/>
      </w:pPr>
      <w:rPr>
        <w:rFonts w:ascii="Courier New" w:hAnsi="Courier New" w:hint="default"/>
      </w:rPr>
    </w:lvl>
    <w:lvl w:ilvl="8" w:tplc="F24CCE7A">
      <w:start w:val="1"/>
      <w:numFmt w:val="bullet"/>
      <w:lvlText w:val=""/>
      <w:lvlJc w:val="left"/>
      <w:pPr>
        <w:ind w:left="6480" w:hanging="360"/>
      </w:pPr>
      <w:rPr>
        <w:rFonts w:ascii="Wingdings" w:hAnsi="Wingdings" w:hint="default"/>
      </w:rPr>
    </w:lvl>
  </w:abstractNum>
  <w:abstractNum w:abstractNumId="43" w15:restartNumberingAfterBreak="0">
    <w:nsid w:val="71CC6022"/>
    <w:multiLevelType w:val="multilevel"/>
    <w:tmpl w:val="70CA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E819D0"/>
    <w:multiLevelType w:val="multilevel"/>
    <w:tmpl w:val="DBAA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37"/>
  </w:num>
  <w:num w:numId="14">
    <w:abstractNumId w:val="14"/>
  </w:num>
  <w:num w:numId="15">
    <w:abstractNumId w:val="23"/>
  </w:num>
  <w:num w:numId="16">
    <w:abstractNumId w:val="18"/>
  </w:num>
  <w:num w:numId="17">
    <w:abstractNumId w:val="38"/>
  </w:num>
  <w:num w:numId="18">
    <w:abstractNumId w:val="29"/>
  </w:num>
  <w:num w:numId="19">
    <w:abstractNumId w:val="41"/>
  </w:num>
  <w:num w:numId="20">
    <w:abstractNumId w:val="44"/>
  </w:num>
  <w:num w:numId="21">
    <w:abstractNumId w:val="36"/>
  </w:num>
  <w:num w:numId="22">
    <w:abstractNumId w:val="22"/>
  </w:num>
  <w:num w:numId="23">
    <w:abstractNumId w:val="19"/>
  </w:num>
  <w:num w:numId="24">
    <w:abstractNumId w:val="20"/>
  </w:num>
  <w:num w:numId="25">
    <w:abstractNumId w:val="13"/>
  </w:num>
  <w:num w:numId="26">
    <w:abstractNumId w:val="31"/>
  </w:num>
  <w:num w:numId="27">
    <w:abstractNumId w:val="30"/>
  </w:num>
  <w:num w:numId="28">
    <w:abstractNumId w:val="10"/>
  </w:num>
  <w:num w:numId="29">
    <w:abstractNumId w:val="44"/>
  </w:num>
  <w:num w:numId="30">
    <w:abstractNumId w:val="32"/>
  </w:num>
  <w:num w:numId="31">
    <w:abstractNumId w:val="12"/>
  </w:num>
  <w:num w:numId="32">
    <w:abstractNumId w:val="46"/>
  </w:num>
  <w:num w:numId="33">
    <w:abstractNumId w:val="44"/>
  </w:num>
  <w:num w:numId="34">
    <w:abstractNumId w:val="11"/>
  </w:num>
  <w:num w:numId="35">
    <w:abstractNumId w:val="39"/>
  </w:num>
  <w:num w:numId="36">
    <w:abstractNumId w:val="33"/>
  </w:num>
  <w:num w:numId="37">
    <w:abstractNumId w:val="24"/>
  </w:num>
  <w:num w:numId="38">
    <w:abstractNumId w:val="28"/>
  </w:num>
  <w:num w:numId="39">
    <w:abstractNumId w:val="15"/>
  </w:num>
  <w:num w:numId="40">
    <w:abstractNumId w:val="26"/>
  </w:num>
  <w:num w:numId="41">
    <w:abstractNumId w:val="27"/>
  </w:num>
  <w:num w:numId="42">
    <w:abstractNumId w:val="45"/>
  </w:num>
  <w:num w:numId="43">
    <w:abstractNumId w:val="25"/>
  </w:num>
  <w:num w:numId="44">
    <w:abstractNumId w:val="16"/>
  </w:num>
  <w:num w:numId="45">
    <w:abstractNumId w:val="21"/>
  </w:num>
  <w:num w:numId="46">
    <w:abstractNumId w:val="35"/>
  </w:num>
  <w:num w:numId="47">
    <w:abstractNumId w:val="43"/>
  </w:num>
  <w:num w:numId="48">
    <w:abstractNumId w:val="4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994"/>
    <w:rsid w:val="00000B55"/>
    <w:rsid w:val="00001295"/>
    <w:rsid w:val="0000209D"/>
    <w:rsid w:val="00002566"/>
    <w:rsid w:val="00002AE5"/>
    <w:rsid w:val="00002D0D"/>
    <w:rsid w:val="0000370A"/>
    <w:rsid w:val="00003849"/>
    <w:rsid w:val="00003AAE"/>
    <w:rsid w:val="00003F5C"/>
    <w:rsid w:val="00004D5A"/>
    <w:rsid w:val="00004EA4"/>
    <w:rsid w:val="00005219"/>
    <w:rsid w:val="000056D5"/>
    <w:rsid w:val="00005D9E"/>
    <w:rsid w:val="000063D5"/>
    <w:rsid w:val="00006625"/>
    <w:rsid w:val="00006ABD"/>
    <w:rsid w:val="00006B67"/>
    <w:rsid w:val="00006BF3"/>
    <w:rsid w:val="00006C0B"/>
    <w:rsid w:val="00006E5D"/>
    <w:rsid w:val="000073A0"/>
    <w:rsid w:val="00007656"/>
    <w:rsid w:val="0000767A"/>
    <w:rsid w:val="00007ABE"/>
    <w:rsid w:val="00007D73"/>
    <w:rsid w:val="00010107"/>
    <w:rsid w:val="00010256"/>
    <w:rsid w:val="00010702"/>
    <w:rsid w:val="00010A2C"/>
    <w:rsid w:val="0001128E"/>
    <w:rsid w:val="00011912"/>
    <w:rsid w:val="000122C2"/>
    <w:rsid w:val="000129B7"/>
    <w:rsid w:val="000137BD"/>
    <w:rsid w:val="0001387D"/>
    <w:rsid w:val="00014715"/>
    <w:rsid w:val="00014ED0"/>
    <w:rsid w:val="00016420"/>
    <w:rsid w:val="00016BDB"/>
    <w:rsid w:val="00017B01"/>
    <w:rsid w:val="000200BE"/>
    <w:rsid w:val="000205D1"/>
    <w:rsid w:val="000209A4"/>
    <w:rsid w:val="00020F22"/>
    <w:rsid w:val="000210C0"/>
    <w:rsid w:val="0002195D"/>
    <w:rsid w:val="00021B76"/>
    <w:rsid w:val="00021D2F"/>
    <w:rsid w:val="00021DD9"/>
    <w:rsid w:val="00021E39"/>
    <w:rsid w:val="00021F9B"/>
    <w:rsid w:val="0002248B"/>
    <w:rsid w:val="000228AE"/>
    <w:rsid w:val="000233D1"/>
    <w:rsid w:val="000234D6"/>
    <w:rsid w:val="00023D29"/>
    <w:rsid w:val="00024348"/>
    <w:rsid w:val="00024377"/>
    <w:rsid w:val="00025C85"/>
    <w:rsid w:val="00026109"/>
    <w:rsid w:val="0002622B"/>
    <w:rsid w:val="000262B5"/>
    <w:rsid w:val="00026389"/>
    <w:rsid w:val="0002669F"/>
    <w:rsid w:val="000279E5"/>
    <w:rsid w:val="000305E0"/>
    <w:rsid w:val="00031AE0"/>
    <w:rsid w:val="00031BB2"/>
    <w:rsid w:val="000322EF"/>
    <w:rsid w:val="00032C3C"/>
    <w:rsid w:val="00033FCD"/>
    <w:rsid w:val="000348AF"/>
    <w:rsid w:val="00034B70"/>
    <w:rsid w:val="00034DF7"/>
    <w:rsid w:val="00034E58"/>
    <w:rsid w:val="00034E68"/>
    <w:rsid w:val="000350C8"/>
    <w:rsid w:val="000351E0"/>
    <w:rsid w:val="00036195"/>
    <w:rsid w:val="000366CD"/>
    <w:rsid w:val="000374B2"/>
    <w:rsid w:val="000376C0"/>
    <w:rsid w:val="00037D64"/>
    <w:rsid w:val="000400BD"/>
    <w:rsid w:val="000403A7"/>
    <w:rsid w:val="00040632"/>
    <w:rsid w:val="00040D93"/>
    <w:rsid w:val="00040EE0"/>
    <w:rsid w:val="00040F4C"/>
    <w:rsid w:val="00041AFC"/>
    <w:rsid w:val="00041CEC"/>
    <w:rsid w:val="00041D02"/>
    <w:rsid w:val="0004219A"/>
    <w:rsid w:val="00042596"/>
    <w:rsid w:val="00042A4A"/>
    <w:rsid w:val="00043033"/>
    <w:rsid w:val="00044183"/>
    <w:rsid w:val="0004431D"/>
    <w:rsid w:val="00044906"/>
    <w:rsid w:val="00044AAC"/>
    <w:rsid w:val="00046514"/>
    <w:rsid w:val="0004694F"/>
    <w:rsid w:val="00046CFC"/>
    <w:rsid w:val="00046F12"/>
    <w:rsid w:val="00046F2F"/>
    <w:rsid w:val="000472CA"/>
    <w:rsid w:val="00047AD4"/>
    <w:rsid w:val="00047D54"/>
    <w:rsid w:val="0005033D"/>
    <w:rsid w:val="00050541"/>
    <w:rsid w:val="0005054A"/>
    <w:rsid w:val="0005087F"/>
    <w:rsid w:val="00050A87"/>
    <w:rsid w:val="00051506"/>
    <w:rsid w:val="00051810"/>
    <w:rsid w:val="000522E4"/>
    <w:rsid w:val="00053713"/>
    <w:rsid w:val="0005434E"/>
    <w:rsid w:val="00054793"/>
    <w:rsid w:val="00054ED8"/>
    <w:rsid w:val="00055CB6"/>
    <w:rsid w:val="00055E2F"/>
    <w:rsid w:val="0005691D"/>
    <w:rsid w:val="0005704A"/>
    <w:rsid w:val="000572DD"/>
    <w:rsid w:val="00057B1E"/>
    <w:rsid w:val="00057CBA"/>
    <w:rsid w:val="00057EC1"/>
    <w:rsid w:val="0006033F"/>
    <w:rsid w:val="00060382"/>
    <w:rsid w:val="000610E1"/>
    <w:rsid w:val="000616AD"/>
    <w:rsid w:val="000620AE"/>
    <w:rsid w:val="00062113"/>
    <w:rsid w:val="000622A6"/>
    <w:rsid w:val="00062405"/>
    <w:rsid w:val="00062A71"/>
    <w:rsid w:val="00062D70"/>
    <w:rsid w:val="00062EC5"/>
    <w:rsid w:val="00062F22"/>
    <w:rsid w:val="00063975"/>
    <w:rsid w:val="00063CEA"/>
    <w:rsid w:val="00064013"/>
    <w:rsid w:val="0006444D"/>
    <w:rsid w:val="000645FC"/>
    <w:rsid w:val="00065296"/>
    <w:rsid w:val="0006533F"/>
    <w:rsid w:val="00065348"/>
    <w:rsid w:val="00065423"/>
    <w:rsid w:val="0006551C"/>
    <w:rsid w:val="0006558D"/>
    <w:rsid w:val="00065A75"/>
    <w:rsid w:val="000663F0"/>
    <w:rsid w:val="00066558"/>
    <w:rsid w:val="000671DB"/>
    <w:rsid w:val="00067363"/>
    <w:rsid w:val="00067982"/>
    <w:rsid w:val="00070A87"/>
    <w:rsid w:val="000712B3"/>
    <w:rsid w:val="00071A7C"/>
    <w:rsid w:val="00071B5D"/>
    <w:rsid w:val="00071E38"/>
    <w:rsid w:val="00072FF5"/>
    <w:rsid w:val="00073A5A"/>
    <w:rsid w:val="00073B01"/>
    <w:rsid w:val="0007474E"/>
    <w:rsid w:val="00074988"/>
    <w:rsid w:val="00075068"/>
    <w:rsid w:val="0007512B"/>
    <w:rsid w:val="00075551"/>
    <w:rsid w:val="000758F0"/>
    <w:rsid w:val="000763A1"/>
    <w:rsid w:val="000767F5"/>
    <w:rsid w:val="00076D90"/>
    <w:rsid w:val="0007735D"/>
    <w:rsid w:val="00077714"/>
    <w:rsid w:val="00077BB3"/>
    <w:rsid w:val="00077FF0"/>
    <w:rsid w:val="00081A55"/>
    <w:rsid w:val="00081BB4"/>
    <w:rsid w:val="00081EBA"/>
    <w:rsid w:val="0008263E"/>
    <w:rsid w:val="00082C19"/>
    <w:rsid w:val="00082F89"/>
    <w:rsid w:val="00083457"/>
    <w:rsid w:val="000834ED"/>
    <w:rsid w:val="000837CD"/>
    <w:rsid w:val="00083B7F"/>
    <w:rsid w:val="000842DB"/>
    <w:rsid w:val="000845BB"/>
    <w:rsid w:val="00084BFF"/>
    <w:rsid w:val="000851A9"/>
    <w:rsid w:val="00085395"/>
    <w:rsid w:val="00086896"/>
    <w:rsid w:val="00086AC1"/>
    <w:rsid w:val="00086D19"/>
    <w:rsid w:val="00087634"/>
    <w:rsid w:val="00087F2B"/>
    <w:rsid w:val="00090694"/>
    <w:rsid w:val="0009098B"/>
    <w:rsid w:val="00090EE2"/>
    <w:rsid w:val="00090FC6"/>
    <w:rsid w:val="0009122C"/>
    <w:rsid w:val="000913B1"/>
    <w:rsid w:val="0009290F"/>
    <w:rsid w:val="00092F51"/>
    <w:rsid w:val="00093093"/>
    <w:rsid w:val="00093241"/>
    <w:rsid w:val="000934D5"/>
    <w:rsid w:val="00093868"/>
    <w:rsid w:val="0009445D"/>
    <w:rsid w:val="00094A84"/>
    <w:rsid w:val="00095025"/>
    <w:rsid w:val="00095135"/>
    <w:rsid w:val="00095152"/>
    <w:rsid w:val="00095A60"/>
    <w:rsid w:val="0009626E"/>
    <w:rsid w:val="0009644D"/>
    <w:rsid w:val="0009653A"/>
    <w:rsid w:val="0009704A"/>
    <w:rsid w:val="00097191"/>
    <w:rsid w:val="000974D1"/>
    <w:rsid w:val="00097784"/>
    <w:rsid w:val="0009799E"/>
    <w:rsid w:val="000A07CB"/>
    <w:rsid w:val="000A0BC0"/>
    <w:rsid w:val="000A0CD8"/>
    <w:rsid w:val="000A1183"/>
    <w:rsid w:val="000A12ED"/>
    <w:rsid w:val="000A1D49"/>
    <w:rsid w:val="000A212B"/>
    <w:rsid w:val="000A242D"/>
    <w:rsid w:val="000A256D"/>
    <w:rsid w:val="000A2643"/>
    <w:rsid w:val="000A2778"/>
    <w:rsid w:val="000A288C"/>
    <w:rsid w:val="000A2E5F"/>
    <w:rsid w:val="000A385C"/>
    <w:rsid w:val="000A3A2C"/>
    <w:rsid w:val="000A3D9E"/>
    <w:rsid w:val="000A3FD4"/>
    <w:rsid w:val="000A4A54"/>
    <w:rsid w:val="000A4ED9"/>
    <w:rsid w:val="000A55C4"/>
    <w:rsid w:val="000A5858"/>
    <w:rsid w:val="000A589E"/>
    <w:rsid w:val="000A5DB7"/>
    <w:rsid w:val="000A6254"/>
    <w:rsid w:val="000A629B"/>
    <w:rsid w:val="000A6753"/>
    <w:rsid w:val="000A6D94"/>
    <w:rsid w:val="000A72BC"/>
    <w:rsid w:val="000A7377"/>
    <w:rsid w:val="000A74A4"/>
    <w:rsid w:val="000A74BB"/>
    <w:rsid w:val="000A76E0"/>
    <w:rsid w:val="000A775A"/>
    <w:rsid w:val="000A79B3"/>
    <w:rsid w:val="000A7D63"/>
    <w:rsid w:val="000A7FF4"/>
    <w:rsid w:val="000B03CC"/>
    <w:rsid w:val="000B1A37"/>
    <w:rsid w:val="000B25DA"/>
    <w:rsid w:val="000B28BD"/>
    <w:rsid w:val="000B3D72"/>
    <w:rsid w:val="000B4212"/>
    <w:rsid w:val="000B4309"/>
    <w:rsid w:val="000B4461"/>
    <w:rsid w:val="000B51CC"/>
    <w:rsid w:val="000B52D8"/>
    <w:rsid w:val="000B67B7"/>
    <w:rsid w:val="000B6A0A"/>
    <w:rsid w:val="000B75A7"/>
    <w:rsid w:val="000C0127"/>
    <w:rsid w:val="000C0190"/>
    <w:rsid w:val="000C0CA6"/>
    <w:rsid w:val="000C0EA8"/>
    <w:rsid w:val="000C13A2"/>
    <w:rsid w:val="000C1BF6"/>
    <w:rsid w:val="000C21E7"/>
    <w:rsid w:val="000C23EC"/>
    <w:rsid w:val="000C26A2"/>
    <w:rsid w:val="000C290E"/>
    <w:rsid w:val="000C30C3"/>
    <w:rsid w:val="000C3330"/>
    <w:rsid w:val="000C3408"/>
    <w:rsid w:val="000C3422"/>
    <w:rsid w:val="000C35AB"/>
    <w:rsid w:val="000C3F7B"/>
    <w:rsid w:val="000C4769"/>
    <w:rsid w:val="000C4D56"/>
    <w:rsid w:val="000C52FC"/>
    <w:rsid w:val="000C5DFA"/>
    <w:rsid w:val="000C6AFD"/>
    <w:rsid w:val="000C6C90"/>
    <w:rsid w:val="000C72B7"/>
    <w:rsid w:val="000C735A"/>
    <w:rsid w:val="000C77CF"/>
    <w:rsid w:val="000C7A79"/>
    <w:rsid w:val="000D0A26"/>
    <w:rsid w:val="000D0D18"/>
    <w:rsid w:val="000D127B"/>
    <w:rsid w:val="000D13CB"/>
    <w:rsid w:val="000D2196"/>
    <w:rsid w:val="000D2C2E"/>
    <w:rsid w:val="000D3058"/>
    <w:rsid w:val="000D310A"/>
    <w:rsid w:val="000D3EF4"/>
    <w:rsid w:val="000D4497"/>
    <w:rsid w:val="000D4761"/>
    <w:rsid w:val="000D4DC0"/>
    <w:rsid w:val="000D4E8E"/>
    <w:rsid w:val="000D55BA"/>
    <w:rsid w:val="000D5637"/>
    <w:rsid w:val="000D585E"/>
    <w:rsid w:val="000D5A03"/>
    <w:rsid w:val="000D5ED3"/>
    <w:rsid w:val="000D6A2D"/>
    <w:rsid w:val="000D6F4E"/>
    <w:rsid w:val="000D6FDA"/>
    <w:rsid w:val="000D71A4"/>
    <w:rsid w:val="000D73BB"/>
    <w:rsid w:val="000D78F5"/>
    <w:rsid w:val="000D7AC7"/>
    <w:rsid w:val="000D7C6F"/>
    <w:rsid w:val="000E04FD"/>
    <w:rsid w:val="000E0E96"/>
    <w:rsid w:val="000E298B"/>
    <w:rsid w:val="000E2C7D"/>
    <w:rsid w:val="000E3E56"/>
    <w:rsid w:val="000E440D"/>
    <w:rsid w:val="000E4AC5"/>
    <w:rsid w:val="000E5B90"/>
    <w:rsid w:val="000E5DB7"/>
    <w:rsid w:val="000E6253"/>
    <w:rsid w:val="000E6AC4"/>
    <w:rsid w:val="000E6E4D"/>
    <w:rsid w:val="000E6FBD"/>
    <w:rsid w:val="000E6FCB"/>
    <w:rsid w:val="000F001C"/>
    <w:rsid w:val="000F00AA"/>
    <w:rsid w:val="000F0848"/>
    <w:rsid w:val="000F090B"/>
    <w:rsid w:val="000F0E42"/>
    <w:rsid w:val="000F15F7"/>
    <w:rsid w:val="000F1AA2"/>
    <w:rsid w:val="000F378E"/>
    <w:rsid w:val="000F3B71"/>
    <w:rsid w:val="000F3F3B"/>
    <w:rsid w:val="000F45A2"/>
    <w:rsid w:val="000F4721"/>
    <w:rsid w:val="000F47E8"/>
    <w:rsid w:val="000F4C6D"/>
    <w:rsid w:val="000F4E9C"/>
    <w:rsid w:val="000F60E1"/>
    <w:rsid w:val="000F70E4"/>
    <w:rsid w:val="000F7269"/>
    <w:rsid w:val="000F76EA"/>
    <w:rsid w:val="000F7C7E"/>
    <w:rsid w:val="001005BD"/>
    <w:rsid w:val="00100A8B"/>
    <w:rsid w:val="00100F5C"/>
    <w:rsid w:val="00101B15"/>
    <w:rsid w:val="00101BF3"/>
    <w:rsid w:val="00101CDA"/>
    <w:rsid w:val="00102037"/>
    <w:rsid w:val="0010228E"/>
    <w:rsid w:val="0010343F"/>
    <w:rsid w:val="00103DCB"/>
    <w:rsid w:val="00104C4C"/>
    <w:rsid w:val="00105015"/>
    <w:rsid w:val="001050E8"/>
    <w:rsid w:val="0010544F"/>
    <w:rsid w:val="001055D2"/>
    <w:rsid w:val="001057C2"/>
    <w:rsid w:val="00106BCC"/>
    <w:rsid w:val="00107124"/>
    <w:rsid w:val="001074C0"/>
    <w:rsid w:val="00107B0A"/>
    <w:rsid w:val="0011038E"/>
    <w:rsid w:val="0011055D"/>
    <w:rsid w:val="001112D2"/>
    <w:rsid w:val="001112DD"/>
    <w:rsid w:val="00111573"/>
    <w:rsid w:val="00112370"/>
    <w:rsid w:val="0011239B"/>
    <w:rsid w:val="001125EF"/>
    <w:rsid w:val="00112919"/>
    <w:rsid w:val="00112CAB"/>
    <w:rsid w:val="00112CEB"/>
    <w:rsid w:val="00113A77"/>
    <w:rsid w:val="0011440C"/>
    <w:rsid w:val="0011456E"/>
    <w:rsid w:val="00114C33"/>
    <w:rsid w:val="00114D5B"/>
    <w:rsid w:val="00114E3A"/>
    <w:rsid w:val="001150CE"/>
    <w:rsid w:val="001154D8"/>
    <w:rsid w:val="00115AA5"/>
    <w:rsid w:val="00115DD6"/>
    <w:rsid w:val="00116D3F"/>
    <w:rsid w:val="00117474"/>
    <w:rsid w:val="00117623"/>
    <w:rsid w:val="00117FEA"/>
    <w:rsid w:val="001200CF"/>
    <w:rsid w:val="001202B0"/>
    <w:rsid w:val="001208E3"/>
    <w:rsid w:val="001211F9"/>
    <w:rsid w:val="00121609"/>
    <w:rsid w:val="00121735"/>
    <w:rsid w:val="0012192F"/>
    <w:rsid w:val="001223CD"/>
    <w:rsid w:val="00122994"/>
    <w:rsid w:val="00123204"/>
    <w:rsid w:val="001238F5"/>
    <w:rsid w:val="00123C7D"/>
    <w:rsid w:val="00124B46"/>
    <w:rsid w:val="001257BE"/>
    <w:rsid w:val="001257E0"/>
    <w:rsid w:val="00125D69"/>
    <w:rsid w:val="00127263"/>
    <w:rsid w:val="0012799C"/>
    <w:rsid w:val="00127BC2"/>
    <w:rsid w:val="00127E15"/>
    <w:rsid w:val="00130654"/>
    <w:rsid w:val="001308F1"/>
    <w:rsid w:val="00130ACD"/>
    <w:rsid w:val="00130ADC"/>
    <w:rsid w:val="00130D9F"/>
    <w:rsid w:val="00132C4D"/>
    <w:rsid w:val="00133FC1"/>
    <w:rsid w:val="00134659"/>
    <w:rsid w:val="00135111"/>
    <w:rsid w:val="00135376"/>
    <w:rsid w:val="00136175"/>
    <w:rsid w:val="0013689F"/>
    <w:rsid w:val="00136A6F"/>
    <w:rsid w:val="00136C1A"/>
    <w:rsid w:val="001371E1"/>
    <w:rsid w:val="00137812"/>
    <w:rsid w:val="00137DE5"/>
    <w:rsid w:val="00137F06"/>
    <w:rsid w:val="001405FA"/>
    <w:rsid w:val="00140802"/>
    <w:rsid w:val="00140D1A"/>
    <w:rsid w:val="00141184"/>
    <w:rsid w:val="00141315"/>
    <w:rsid w:val="0014152B"/>
    <w:rsid w:val="00141740"/>
    <w:rsid w:val="00141AA0"/>
    <w:rsid w:val="00141AE4"/>
    <w:rsid w:val="001425C3"/>
    <w:rsid w:val="0014262D"/>
    <w:rsid w:val="00142B29"/>
    <w:rsid w:val="00143EED"/>
    <w:rsid w:val="00144108"/>
    <w:rsid w:val="00144440"/>
    <w:rsid w:val="00144588"/>
    <w:rsid w:val="001447DD"/>
    <w:rsid w:val="00145358"/>
    <w:rsid w:val="001459BC"/>
    <w:rsid w:val="00145B0F"/>
    <w:rsid w:val="00146B27"/>
    <w:rsid w:val="00146F76"/>
    <w:rsid w:val="0014779E"/>
    <w:rsid w:val="00147B13"/>
    <w:rsid w:val="001500D8"/>
    <w:rsid w:val="00150384"/>
    <w:rsid w:val="001504BA"/>
    <w:rsid w:val="00150860"/>
    <w:rsid w:val="001509D4"/>
    <w:rsid w:val="00150ECA"/>
    <w:rsid w:val="0015108F"/>
    <w:rsid w:val="00151707"/>
    <w:rsid w:val="0015218F"/>
    <w:rsid w:val="00152C86"/>
    <w:rsid w:val="00152EBC"/>
    <w:rsid w:val="00152F4F"/>
    <w:rsid w:val="00153264"/>
    <w:rsid w:val="0015329F"/>
    <w:rsid w:val="00154286"/>
    <w:rsid w:val="001544A1"/>
    <w:rsid w:val="00154CA1"/>
    <w:rsid w:val="001553B8"/>
    <w:rsid w:val="001554C2"/>
    <w:rsid w:val="00155571"/>
    <w:rsid w:val="00156D04"/>
    <w:rsid w:val="001571C0"/>
    <w:rsid w:val="001574FE"/>
    <w:rsid w:val="0015753D"/>
    <w:rsid w:val="00157984"/>
    <w:rsid w:val="00157CC9"/>
    <w:rsid w:val="001609AE"/>
    <w:rsid w:val="00160C21"/>
    <w:rsid w:val="001612DB"/>
    <w:rsid w:val="001612F4"/>
    <w:rsid w:val="00161553"/>
    <w:rsid w:val="0016216F"/>
    <w:rsid w:val="0016256B"/>
    <w:rsid w:val="00162F81"/>
    <w:rsid w:val="00163660"/>
    <w:rsid w:val="00163793"/>
    <w:rsid w:val="00163868"/>
    <w:rsid w:val="00164CA1"/>
    <w:rsid w:val="00165313"/>
    <w:rsid w:val="001659C3"/>
    <w:rsid w:val="00165DC6"/>
    <w:rsid w:val="00166593"/>
    <w:rsid w:val="001665AB"/>
    <w:rsid w:val="00166A55"/>
    <w:rsid w:val="00166D80"/>
    <w:rsid w:val="00167485"/>
    <w:rsid w:val="00167809"/>
    <w:rsid w:val="001679F5"/>
    <w:rsid w:val="00167B92"/>
    <w:rsid w:val="00167CB9"/>
    <w:rsid w:val="00167DD8"/>
    <w:rsid w:val="001705AD"/>
    <w:rsid w:val="001706D6"/>
    <w:rsid w:val="00170CFD"/>
    <w:rsid w:val="00170F1A"/>
    <w:rsid w:val="001714F2"/>
    <w:rsid w:val="00171FEA"/>
    <w:rsid w:val="00172F60"/>
    <w:rsid w:val="00173622"/>
    <w:rsid w:val="00173D32"/>
    <w:rsid w:val="0017448A"/>
    <w:rsid w:val="00174ED1"/>
    <w:rsid w:val="00175B9F"/>
    <w:rsid w:val="001762F4"/>
    <w:rsid w:val="001765D1"/>
    <w:rsid w:val="001777BA"/>
    <w:rsid w:val="00180DA4"/>
    <w:rsid w:val="00181029"/>
    <w:rsid w:val="00181276"/>
    <w:rsid w:val="00181BBC"/>
    <w:rsid w:val="00182D75"/>
    <w:rsid w:val="0018385F"/>
    <w:rsid w:val="00183BCF"/>
    <w:rsid w:val="00184017"/>
    <w:rsid w:val="001847BB"/>
    <w:rsid w:val="00184B08"/>
    <w:rsid w:val="00185010"/>
    <w:rsid w:val="001854F2"/>
    <w:rsid w:val="00185C22"/>
    <w:rsid w:val="00186A7F"/>
    <w:rsid w:val="00186BA9"/>
    <w:rsid w:val="00186FB2"/>
    <w:rsid w:val="00187D50"/>
    <w:rsid w:val="00190B4D"/>
    <w:rsid w:val="0019123D"/>
    <w:rsid w:val="0019196C"/>
    <w:rsid w:val="00191F6B"/>
    <w:rsid w:val="001926A9"/>
    <w:rsid w:val="00192BA8"/>
    <w:rsid w:val="00192F05"/>
    <w:rsid w:val="00194024"/>
    <w:rsid w:val="00194729"/>
    <w:rsid w:val="00194850"/>
    <w:rsid w:val="00195234"/>
    <w:rsid w:val="00195EA6"/>
    <w:rsid w:val="00196016"/>
    <w:rsid w:val="00196117"/>
    <w:rsid w:val="00197A70"/>
    <w:rsid w:val="00197A8B"/>
    <w:rsid w:val="00197C0F"/>
    <w:rsid w:val="00197D0E"/>
    <w:rsid w:val="001A0487"/>
    <w:rsid w:val="001A0675"/>
    <w:rsid w:val="001A0A37"/>
    <w:rsid w:val="001A164B"/>
    <w:rsid w:val="001A1F68"/>
    <w:rsid w:val="001A21FA"/>
    <w:rsid w:val="001A28C9"/>
    <w:rsid w:val="001A3474"/>
    <w:rsid w:val="001A422F"/>
    <w:rsid w:val="001A4A73"/>
    <w:rsid w:val="001A4D7C"/>
    <w:rsid w:val="001A4EF0"/>
    <w:rsid w:val="001A552F"/>
    <w:rsid w:val="001A5CB7"/>
    <w:rsid w:val="001A6042"/>
    <w:rsid w:val="001A6A14"/>
    <w:rsid w:val="001A6F58"/>
    <w:rsid w:val="001A70B1"/>
    <w:rsid w:val="001A7672"/>
    <w:rsid w:val="001B0738"/>
    <w:rsid w:val="001B1235"/>
    <w:rsid w:val="001B158D"/>
    <w:rsid w:val="001B1BBB"/>
    <w:rsid w:val="001B2CA9"/>
    <w:rsid w:val="001B3110"/>
    <w:rsid w:val="001B3328"/>
    <w:rsid w:val="001B37CA"/>
    <w:rsid w:val="001B3E38"/>
    <w:rsid w:val="001B40F5"/>
    <w:rsid w:val="001B4729"/>
    <w:rsid w:val="001B4DF6"/>
    <w:rsid w:val="001B4F0E"/>
    <w:rsid w:val="001B5292"/>
    <w:rsid w:val="001B5F40"/>
    <w:rsid w:val="001B6310"/>
    <w:rsid w:val="001B6C09"/>
    <w:rsid w:val="001B6E12"/>
    <w:rsid w:val="001B7A58"/>
    <w:rsid w:val="001B7E67"/>
    <w:rsid w:val="001B7FAD"/>
    <w:rsid w:val="001C05CD"/>
    <w:rsid w:val="001C082B"/>
    <w:rsid w:val="001C0F17"/>
    <w:rsid w:val="001C11A6"/>
    <w:rsid w:val="001C1B24"/>
    <w:rsid w:val="001C1B66"/>
    <w:rsid w:val="001C1BB5"/>
    <w:rsid w:val="001C1C72"/>
    <w:rsid w:val="001C24A7"/>
    <w:rsid w:val="001C24BB"/>
    <w:rsid w:val="001C2732"/>
    <w:rsid w:val="001C31A2"/>
    <w:rsid w:val="001C351D"/>
    <w:rsid w:val="001C3794"/>
    <w:rsid w:val="001C3855"/>
    <w:rsid w:val="001C41C1"/>
    <w:rsid w:val="001C4ABB"/>
    <w:rsid w:val="001C4B8F"/>
    <w:rsid w:val="001C4BB8"/>
    <w:rsid w:val="001C4D8C"/>
    <w:rsid w:val="001C4FD0"/>
    <w:rsid w:val="001C544D"/>
    <w:rsid w:val="001C5E46"/>
    <w:rsid w:val="001C6AB8"/>
    <w:rsid w:val="001C6B3B"/>
    <w:rsid w:val="001C7A26"/>
    <w:rsid w:val="001C7E3F"/>
    <w:rsid w:val="001D0EF1"/>
    <w:rsid w:val="001D0F32"/>
    <w:rsid w:val="001D16D0"/>
    <w:rsid w:val="001D1A44"/>
    <w:rsid w:val="001D1C56"/>
    <w:rsid w:val="001D1D2C"/>
    <w:rsid w:val="001D22C2"/>
    <w:rsid w:val="001D2C99"/>
    <w:rsid w:val="001D2FE3"/>
    <w:rsid w:val="001D3A7F"/>
    <w:rsid w:val="001D3B75"/>
    <w:rsid w:val="001D452E"/>
    <w:rsid w:val="001D54C1"/>
    <w:rsid w:val="001D556E"/>
    <w:rsid w:val="001D5DF2"/>
    <w:rsid w:val="001D6175"/>
    <w:rsid w:val="001D68B2"/>
    <w:rsid w:val="001D6B3F"/>
    <w:rsid w:val="001D6FE1"/>
    <w:rsid w:val="001D759D"/>
    <w:rsid w:val="001D7EFD"/>
    <w:rsid w:val="001D7F60"/>
    <w:rsid w:val="001E085B"/>
    <w:rsid w:val="001E0CAA"/>
    <w:rsid w:val="001E149B"/>
    <w:rsid w:val="001E155C"/>
    <w:rsid w:val="001E15CB"/>
    <w:rsid w:val="001E18A0"/>
    <w:rsid w:val="001E1AF1"/>
    <w:rsid w:val="001E297E"/>
    <w:rsid w:val="001E3306"/>
    <w:rsid w:val="001E34DC"/>
    <w:rsid w:val="001E3802"/>
    <w:rsid w:val="001E40B1"/>
    <w:rsid w:val="001E504C"/>
    <w:rsid w:val="001E52DE"/>
    <w:rsid w:val="001E56AC"/>
    <w:rsid w:val="001E5A17"/>
    <w:rsid w:val="001E6441"/>
    <w:rsid w:val="001E6B52"/>
    <w:rsid w:val="001E74C5"/>
    <w:rsid w:val="001F0A97"/>
    <w:rsid w:val="001F1236"/>
    <w:rsid w:val="001F18F2"/>
    <w:rsid w:val="001F2F90"/>
    <w:rsid w:val="001F3021"/>
    <w:rsid w:val="001F3C7C"/>
    <w:rsid w:val="001F4597"/>
    <w:rsid w:val="001F4826"/>
    <w:rsid w:val="001F4933"/>
    <w:rsid w:val="001F5918"/>
    <w:rsid w:val="001F59C8"/>
    <w:rsid w:val="001F5E33"/>
    <w:rsid w:val="001F6483"/>
    <w:rsid w:val="001F6CD3"/>
    <w:rsid w:val="001F75DA"/>
    <w:rsid w:val="001F7931"/>
    <w:rsid w:val="001F7CE0"/>
    <w:rsid w:val="00200085"/>
    <w:rsid w:val="002007D3"/>
    <w:rsid w:val="00201633"/>
    <w:rsid w:val="002019B5"/>
    <w:rsid w:val="00203332"/>
    <w:rsid w:val="002036E6"/>
    <w:rsid w:val="002038E8"/>
    <w:rsid w:val="00203CD5"/>
    <w:rsid w:val="00203D8F"/>
    <w:rsid w:val="00203DA4"/>
    <w:rsid w:val="0020460A"/>
    <w:rsid w:val="00204EA6"/>
    <w:rsid w:val="00205019"/>
    <w:rsid w:val="00205186"/>
    <w:rsid w:val="002062DE"/>
    <w:rsid w:val="00206516"/>
    <w:rsid w:val="00206598"/>
    <w:rsid w:val="002070CF"/>
    <w:rsid w:val="002071D5"/>
    <w:rsid w:val="002073FD"/>
    <w:rsid w:val="00207414"/>
    <w:rsid w:val="00207AB0"/>
    <w:rsid w:val="00207B33"/>
    <w:rsid w:val="00207E73"/>
    <w:rsid w:val="002102F8"/>
    <w:rsid w:val="002110EC"/>
    <w:rsid w:val="002111E5"/>
    <w:rsid w:val="0021149E"/>
    <w:rsid w:val="0021173B"/>
    <w:rsid w:val="002118B9"/>
    <w:rsid w:val="00211CFD"/>
    <w:rsid w:val="002125DC"/>
    <w:rsid w:val="00213691"/>
    <w:rsid w:val="002142C0"/>
    <w:rsid w:val="00214853"/>
    <w:rsid w:val="00215388"/>
    <w:rsid w:val="002165A2"/>
    <w:rsid w:val="00217993"/>
    <w:rsid w:val="00217BED"/>
    <w:rsid w:val="00217C5B"/>
    <w:rsid w:val="00217CC3"/>
    <w:rsid w:val="00220128"/>
    <w:rsid w:val="00220362"/>
    <w:rsid w:val="00220989"/>
    <w:rsid w:val="00220A43"/>
    <w:rsid w:val="0022139E"/>
    <w:rsid w:val="00222312"/>
    <w:rsid w:val="00222729"/>
    <w:rsid w:val="0022287B"/>
    <w:rsid w:val="002228DB"/>
    <w:rsid w:val="00223185"/>
    <w:rsid w:val="00223264"/>
    <w:rsid w:val="002233D6"/>
    <w:rsid w:val="00223E20"/>
    <w:rsid w:val="00224335"/>
    <w:rsid w:val="0022441D"/>
    <w:rsid w:val="00224574"/>
    <w:rsid w:val="00224BB6"/>
    <w:rsid w:val="00224E3F"/>
    <w:rsid w:val="00225000"/>
    <w:rsid w:val="0022521D"/>
    <w:rsid w:val="002252E0"/>
    <w:rsid w:val="00225396"/>
    <w:rsid w:val="002255F6"/>
    <w:rsid w:val="00225B43"/>
    <w:rsid w:val="00226032"/>
    <w:rsid w:val="002267F7"/>
    <w:rsid w:val="0022738D"/>
    <w:rsid w:val="00227605"/>
    <w:rsid w:val="00227850"/>
    <w:rsid w:val="00227A53"/>
    <w:rsid w:val="00227C6C"/>
    <w:rsid w:val="00227E2E"/>
    <w:rsid w:val="00227F36"/>
    <w:rsid w:val="00227F53"/>
    <w:rsid w:val="00230AFA"/>
    <w:rsid w:val="00230C6E"/>
    <w:rsid w:val="00230E21"/>
    <w:rsid w:val="00231066"/>
    <w:rsid w:val="002316A8"/>
    <w:rsid w:val="00231855"/>
    <w:rsid w:val="00231859"/>
    <w:rsid w:val="002320C9"/>
    <w:rsid w:val="0023288F"/>
    <w:rsid w:val="0023290A"/>
    <w:rsid w:val="00232B6D"/>
    <w:rsid w:val="0023359B"/>
    <w:rsid w:val="00233603"/>
    <w:rsid w:val="00233FE7"/>
    <w:rsid w:val="002340EF"/>
    <w:rsid w:val="00234B82"/>
    <w:rsid w:val="00236443"/>
    <w:rsid w:val="00236700"/>
    <w:rsid w:val="00236D2A"/>
    <w:rsid w:val="0023714F"/>
    <w:rsid w:val="00237C24"/>
    <w:rsid w:val="00237C8B"/>
    <w:rsid w:val="00240391"/>
    <w:rsid w:val="00240AF3"/>
    <w:rsid w:val="002418D5"/>
    <w:rsid w:val="00241A9F"/>
    <w:rsid w:val="00241B06"/>
    <w:rsid w:val="0024343A"/>
    <w:rsid w:val="002436BA"/>
    <w:rsid w:val="0024385F"/>
    <w:rsid w:val="002438DC"/>
    <w:rsid w:val="00244652"/>
    <w:rsid w:val="00244A15"/>
    <w:rsid w:val="00244BB9"/>
    <w:rsid w:val="002452D9"/>
    <w:rsid w:val="0024629B"/>
    <w:rsid w:val="0024649B"/>
    <w:rsid w:val="00246CAA"/>
    <w:rsid w:val="002470EB"/>
    <w:rsid w:val="00247319"/>
    <w:rsid w:val="0024799E"/>
    <w:rsid w:val="00247E60"/>
    <w:rsid w:val="00251001"/>
    <w:rsid w:val="002512B7"/>
    <w:rsid w:val="00251496"/>
    <w:rsid w:val="00251B08"/>
    <w:rsid w:val="00251C53"/>
    <w:rsid w:val="00251E6D"/>
    <w:rsid w:val="00252AB9"/>
    <w:rsid w:val="002532B1"/>
    <w:rsid w:val="00253952"/>
    <w:rsid w:val="00253C0F"/>
    <w:rsid w:val="00253F48"/>
    <w:rsid w:val="00254A01"/>
    <w:rsid w:val="00254FC3"/>
    <w:rsid w:val="00255452"/>
    <w:rsid w:val="002558C1"/>
    <w:rsid w:val="00256207"/>
    <w:rsid w:val="002565FC"/>
    <w:rsid w:val="002575F3"/>
    <w:rsid w:val="002601B4"/>
    <w:rsid w:val="00260374"/>
    <w:rsid w:val="002603E1"/>
    <w:rsid w:val="002605FE"/>
    <w:rsid w:val="0026120E"/>
    <w:rsid w:val="002617EE"/>
    <w:rsid w:val="00261DDB"/>
    <w:rsid w:val="00262582"/>
    <w:rsid w:val="0026291D"/>
    <w:rsid w:val="00262CF3"/>
    <w:rsid w:val="002632C6"/>
    <w:rsid w:val="002638DD"/>
    <w:rsid w:val="0026398B"/>
    <w:rsid w:val="00264309"/>
    <w:rsid w:val="00264992"/>
    <w:rsid w:val="00264B4F"/>
    <w:rsid w:val="00264B85"/>
    <w:rsid w:val="0026564B"/>
    <w:rsid w:val="00265C83"/>
    <w:rsid w:val="00265E85"/>
    <w:rsid w:val="00267B49"/>
    <w:rsid w:val="00267C51"/>
    <w:rsid w:val="002700D9"/>
    <w:rsid w:val="0027025F"/>
    <w:rsid w:val="002709CC"/>
    <w:rsid w:val="00270D25"/>
    <w:rsid w:val="00270D5D"/>
    <w:rsid w:val="00271022"/>
    <w:rsid w:val="00271389"/>
    <w:rsid w:val="00271465"/>
    <w:rsid w:val="00271A07"/>
    <w:rsid w:val="00271E47"/>
    <w:rsid w:val="00271E7B"/>
    <w:rsid w:val="002721F5"/>
    <w:rsid w:val="00272DF4"/>
    <w:rsid w:val="0027334D"/>
    <w:rsid w:val="002734AB"/>
    <w:rsid w:val="00273B51"/>
    <w:rsid w:val="00275062"/>
    <w:rsid w:val="002752AD"/>
    <w:rsid w:val="00275758"/>
    <w:rsid w:val="0027583D"/>
    <w:rsid w:val="002759C7"/>
    <w:rsid w:val="00275DEF"/>
    <w:rsid w:val="00275E0B"/>
    <w:rsid w:val="00275E43"/>
    <w:rsid w:val="0027609F"/>
    <w:rsid w:val="002763A2"/>
    <w:rsid w:val="002765D8"/>
    <w:rsid w:val="00276B33"/>
    <w:rsid w:val="00276FBB"/>
    <w:rsid w:val="002771D9"/>
    <w:rsid w:val="00277669"/>
    <w:rsid w:val="002778C8"/>
    <w:rsid w:val="002803A5"/>
    <w:rsid w:val="00280ACB"/>
    <w:rsid w:val="0028120B"/>
    <w:rsid w:val="002812E3"/>
    <w:rsid w:val="00281576"/>
    <w:rsid w:val="00282AD4"/>
    <w:rsid w:val="00282B3F"/>
    <w:rsid w:val="0028341F"/>
    <w:rsid w:val="002837AE"/>
    <w:rsid w:val="00283C13"/>
    <w:rsid w:val="00283F7B"/>
    <w:rsid w:val="0028405F"/>
    <w:rsid w:val="00284229"/>
    <w:rsid w:val="0028431A"/>
    <w:rsid w:val="002853FA"/>
    <w:rsid w:val="00285412"/>
    <w:rsid w:val="00286220"/>
    <w:rsid w:val="002868F0"/>
    <w:rsid w:val="00291043"/>
    <w:rsid w:val="0029110B"/>
    <w:rsid w:val="002915D0"/>
    <w:rsid w:val="00291640"/>
    <w:rsid w:val="0029237E"/>
    <w:rsid w:val="00292997"/>
    <w:rsid w:val="00292D82"/>
    <w:rsid w:val="00293D24"/>
    <w:rsid w:val="0029461A"/>
    <w:rsid w:val="00294977"/>
    <w:rsid w:val="00294A56"/>
    <w:rsid w:val="0029509B"/>
    <w:rsid w:val="00295369"/>
    <w:rsid w:val="0029588F"/>
    <w:rsid w:val="00295E96"/>
    <w:rsid w:val="00296878"/>
    <w:rsid w:val="00297256"/>
    <w:rsid w:val="00297560"/>
    <w:rsid w:val="00297A5C"/>
    <w:rsid w:val="00297D51"/>
    <w:rsid w:val="002A0044"/>
    <w:rsid w:val="002A0122"/>
    <w:rsid w:val="002A0132"/>
    <w:rsid w:val="002A016B"/>
    <w:rsid w:val="002A0D51"/>
    <w:rsid w:val="002A103E"/>
    <w:rsid w:val="002A16D4"/>
    <w:rsid w:val="002A1E4F"/>
    <w:rsid w:val="002A230C"/>
    <w:rsid w:val="002A2AF7"/>
    <w:rsid w:val="002A30ED"/>
    <w:rsid w:val="002A3209"/>
    <w:rsid w:val="002A34B5"/>
    <w:rsid w:val="002A38F3"/>
    <w:rsid w:val="002A3EA2"/>
    <w:rsid w:val="002A51AC"/>
    <w:rsid w:val="002A532A"/>
    <w:rsid w:val="002A5846"/>
    <w:rsid w:val="002A5D97"/>
    <w:rsid w:val="002A603E"/>
    <w:rsid w:val="002A63B9"/>
    <w:rsid w:val="002A6614"/>
    <w:rsid w:val="002A7089"/>
    <w:rsid w:val="002A70B9"/>
    <w:rsid w:val="002A7B05"/>
    <w:rsid w:val="002B060E"/>
    <w:rsid w:val="002B0692"/>
    <w:rsid w:val="002B1619"/>
    <w:rsid w:val="002B1AB8"/>
    <w:rsid w:val="002B3EF4"/>
    <w:rsid w:val="002B4845"/>
    <w:rsid w:val="002B5436"/>
    <w:rsid w:val="002B5567"/>
    <w:rsid w:val="002B5812"/>
    <w:rsid w:val="002B6D2D"/>
    <w:rsid w:val="002B72AA"/>
    <w:rsid w:val="002B75C0"/>
    <w:rsid w:val="002C0D7D"/>
    <w:rsid w:val="002C1110"/>
    <w:rsid w:val="002C1BC2"/>
    <w:rsid w:val="002C1F09"/>
    <w:rsid w:val="002C22A4"/>
    <w:rsid w:val="002C2551"/>
    <w:rsid w:val="002C260B"/>
    <w:rsid w:val="002C268F"/>
    <w:rsid w:val="002C27A6"/>
    <w:rsid w:val="002C31E4"/>
    <w:rsid w:val="002C398D"/>
    <w:rsid w:val="002C3B72"/>
    <w:rsid w:val="002C40D2"/>
    <w:rsid w:val="002C43BD"/>
    <w:rsid w:val="002C509F"/>
    <w:rsid w:val="002C5245"/>
    <w:rsid w:val="002C564A"/>
    <w:rsid w:val="002C59D8"/>
    <w:rsid w:val="002C5FEB"/>
    <w:rsid w:val="002C6494"/>
    <w:rsid w:val="002C64D1"/>
    <w:rsid w:val="002D05CB"/>
    <w:rsid w:val="002D0E59"/>
    <w:rsid w:val="002D191B"/>
    <w:rsid w:val="002D2380"/>
    <w:rsid w:val="002D25D3"/>
    <w:rsid w:val="002D26B8"/>
    <w:rsid w:val="002D2842"/>
    <w:rsid w:val="002D2C4F"/>
    <w:rsid w:val="002D2D0C"/>
    <w:rsid w:val="002D3A49"/>
    <w:rsid w:val="002D3EBB"/>
    <w:rsid w:val="002D40D0"/>
    <w:rsid w:val="002D4256"/>
    <w:rsid w:val="002D455C"/>
    <w:rsid w:val="002D495E"/>
    <w:rsid w:val="002D4AE8"/>
    <w:rsid w:val="002D6066"/>
    <w:rsid w:val="002D6A4C"/>
    <w:rsid w:val="002E02A1"/>
    <w:rsid w:val="002E1281"/>
    <w:rsid w:val="002E196A"/>
    <w:rsid w:val="002E1F8A"/>
    <w:rsid w:val="002E20C7"/>
    <w:rsid w:val="002E20CD"/>
    <w:rsid w:val="002E2137"/>
    <w:rsid w:val="002E222E"/>
    <w:rsid w:val="002E28D8"/>
    <w:rsid w:val="002E3080"/>
    <w:rsid w:val="002E3638"/>
    <w:rsid w:val="002E37D1"/>
    <w:rsid w:val="002E3BEE"/>
    <w:rsid w:val="002E4DCE"/>
    <w:rsid w:val="002E4E4C"/>
    <w:rsid w:val="002E4EA7"/>
    <w:rsid w:val="002E5846"/>
    <w:rsid w:val="002E631B"/>
    <w:rsid w:val="002E792B"/>
    <w:rsid w:val="002E7AEB"/>
    <w:rsid w:val="002E7B79"/>
    <w:rsid w:val="002E7C7A"/>
    <w:rsid w:val="002F044E"/>
    <w:rsid w:val="002F1B09"/>
    <w:rsid w:val="002F1D56"/>
    <w:rsid w:val="002F1DCB"/>
    <w:rsid w:val="002F1DE4"/>
    <w:rsid w:val="002F2D8A"/>
    <w:rsid w:val="002F333D"/>
    <w:rsid w:val="002F351A"/>
    <w:rsid w:val="002F357F"/>
    <w:rsid w:val="002F4027"/>
    <w:rsid w:val="002F46D6"/>
    <w:rsid w:val="002F498A"/>
    <w:rsid w:val="002F4AD8"/>
    <w:rsid w:val="002F5285"/>
    <w:rsid w:val="002F545A"/>
    <w:rsid w:val="002F5723"/>
    <w:rsid w:val="002F5820"/>
    <w:rsid w:val="002F64BB"/>
    <w:rsid w:val="002F7D9B"/>
    <w:rsid w:val="0030028C"/>
    <w:rsid w:val="00300AEB"/>
    <w:rsid w:val="00300C31"/>
    <w:rsid w:val="00300D42"/>
    <w:rsid w:val="00301294"/>
    <w:rsid w:val="003015C8"/>
    <w:rsid w:val="003017EC"/>
    <w:rsid w:val="00302165"/>
    <w:rsid w:val="00303AC8"/>
    <w:rsid w:val="00303BB4"/>
    <w:rsid w:val="00304439"/>
    <w:rsid w:val="00304771"/>
    <w:rsid w:val="00304D16"/>
    <w:rsid w:val="00304F9C"/>
    <w:rsid w:val="003052D4"/>
    <w:rsid w:val="00305863"/>
    <w:rsid w:val="003060D6"/>
    <w:rsid w:val="003060E9"/>
    <w:rsid w:val="00306147"/>
    <w:rsid w:val="0030617B"/>
    <w:rsid w:val="00306C5B"/>
    <w:rsid w:val="00306D98"/>
    <w:rsid w:val="003073BA"/>
    <w:rsid w:val="00307529"/>
    <w:rsid w:val="00307DB3"/>
    <w:rsid w:val="00307ED2"/>
    <w:rsid w:val="003106A6"/>
    <w:rsid w:val="0031076D"/>
    <w:rsid w:val="0031169A"/>
    <w:rsid w:val="00311AA6"/>
    <w:rsid w:val="00311C4D"/>
    <w:rsid w:val="00311D5F"/>
    <w:rsid w:val="003121AB"/>
    <w:rsid w:val="00312A85"/>
    <w:rsid w:val="00312F7E"/>
    <w:rsid w:val="003135C4"/>
    <w:rsid w:val="003144BC"/>
    <w:rsid w:val="00314879"/>
    <w:rsid w:val="00314D47"/>
    <w:rsid w:val="00315169"/>
    <w:rsid w:val="003153C8"/>
    <w:rsid w:val="00315524"/>
    <w:rsid w:val="00315561"/>
    <w:rsid w:val="00315D2C"/>
    <w:rsid w:val="00316A8B"/>
    <w:rsid w:val="00316B3D"/>
    <w:rsid w:val="00317660"/>
    <w:rsid w:val="00320336"/>
    <w:rsid w:val="0032058C"/>
    <w:rsid w:val="003208D0"/>
    <w:rsid w:val="003209D6"/>
    <w:rsid w:val="00320DB8"/>
    <w:rsid w:val="003217B9"/>
    <w:rsid w:val="003217DE"/>
    <w:rsid w:val="00321924"/>
    <w:rsid w:val="00321A92"/>
    <w:rsid w:val="00321AF1"/>
    <w:rsid w:val="00321EB6"/>
    <w:rsid w:val="00321ED1"/>
    <w:rsid w:val="003220A5"/>
    <w:rsid w:val="003221F0"/>
    <w:rsid w:val="0032331F"/>
    <w:rsid w:val="003238E0"/>
    <w:rsid w:val="00323A1C"/>
    <w:rsid w:val="00323A2F"/>
    <w:rsid w:val="00323A8E"/>
    <w:rsid w:val="00323EDA"/>
    <w:rsid w:val="003247E1"/>
    <w:rsid w:val="00324B59"/>
    <w:rsid w:val="0032525E"/>
    <w:rsid w:val="00325E46"/>
    <w:rsid w:val="00325EB7"/>
    <w:rsid w:val="0032656E"/>
    <w:rsid w:val="00326D81"/>
    <w:rsid w:val="0032788F"/>
    <w:rsid w:val="00327B15"/>
    <w:rsid w:val="003306F1"/>
    <w:rsid w:val="00332190"/>
    <w:rsid w:val="00332A98"/>
    <w:rsid w:val="003334BD"/>
    <w:rsid w:val="00333973"/>
    <w:rsid w:val="00333B99"/>
    <w:rsid w:val="00333CD0"/>
    <w:rsid w:val="0033448D"/>
    <w:rsid w:val="00334AD2"/>
    <w:rsid w:val="00334C7F"/>
    <w:rsid w:val="00334CB6"/>
    <w:rsid w:val="00334D87"/>
    <w:rsid w:val="00335CF6"/>
    <w:rsid w:val="0033709C"/>
    <w:rsid w:val="003370C5"/>
    <w:rsid w:val="00337224"/>
    <w:rsid w:val="003373C6"/>
    <w:rsid w:val="0033753A"/>
    <w:rsid w:val="003375E0"/>
    <w:rsid w:val="00337DD5"/>
    <w:rsid w:val="00340BF3"/>
    <w:rsid w:val="00341C6C"/>
    <w:rsid w:val="00341D26"/>
    <w:rsid w:val="00341EF0"/>
    <w:rsid w:val="00341F05"/>
    <w:rsid w:val="00342BA6"/>
    <w:rsid w:val="00342E43"/>
    <w:rsid w:val="0034335E"/>
    <w:rsid w:val="00343410"/>
    <w:rsid w:val="00343AA7"/>
    <w:rsid w:val="00343B41"/>
    <w:rsid w:val="00344668"/>
    <w:rsid w:val="00344940"/>
    <w:rsid w:val="0034506D"/>
    <w:rsid w:val="0034599A"/>
    <w:rsid w:val="00345F2D"/>
    <w:rsid w:val="00346234"/>
    <w:rsid w:val="003462D9"/>
    <w:rsid w:val="00346712"/>
    <w:rsid w:val="0034723F"/>
    <w:rsid w:val="00347247"/>
    <w:rsid w:val="0034741E"/>
    <w:rsid w:val="003474B6"/>
    <w:rsid w:val="0034770F"/>
    <w:rsid w:val="00347DD4"/>
    <w:rsid w:val="00350D81"/>
    <w:rsid w:val="00351894"/>
    <w:rsid w:val="00351DF5"/>
    <w:rsid w:val="003523A9"/>
    <w:rsid w:val="00352B43"/>
    <w:rsid w:val="00352C28"/>
    <w:rsid w:val="0035378B"/>
    <w:rsid w:val="0035383B"/>
    <w:rsid w:val="00353A78"/>
    <w:rsid w:val="00353B33"/>
    <w:rsid w:val="003541BB"/>
    <w:rsid w:val="00354502"/>
    <w:rsid w:val="00354931"/>
    <w:rsid w:val="00354B4A"/>
    <w:rsid w:val="00354F89"/>
    <w:rsid w:val="0035506D"/>
    <w:rsid w:val="003560FF"/>
    <w:rsid w:val="00356894"/>
    <w:rsid w:val="00356E17"/>
    <w:rsid w:val="003579A1"/>
    <w:rsid w:val="0036077F"/>
    <w:rsid w:val="00360A35"/>
    <w:rsid w:val="00360B1C"/>
    <w:rsid w:val="00360C86"/>
    <w:rsid w:val="00360F7A"/>
    <w:rsid w:val="00360FBC"/>
    <w:rsid w:val="00361537"/>
    <w:rsid w:val="00361B2D"/>
    <w:rsid w:val="00361FB7"/>
    <w:rsid w:val="0036242A"/>
    <w:rsid w:val="00362C23"/>
    <w:rsid w:val="00362DCA"/>
    <w:rsid w:val="00362E63"/>
    <w:rsid w:val="00362E90"/>
    <w:rsid w:val="00364F8B"/>
    <w:rsid w:val="00364FA0"/>
    <w:rsid w:val="003650A1"/>
    <w:rsid w:val="003657F3"/>
    <w:rsid w:val="00365844"/>
    <w:rsid w:val="00365F61"/>
    <w:rsid w:val="0036624C"/>
    <w:rsid w:val="003666F0"/>
    <w:rsid w:val="003672B6"/>
    <w:rsid w:val="00367B15"/>
    <w:rsid w:val="00367F84"/>
    <w:rsid w:val="00370384"/>
    <w:rsid w:val="0037039F"/>
    <w:rsid w:val="003712BC"/>
    <w:rsid w:val="003712D8"/>
    <w:rsid w:val="00372164"/>
    <w:rsid w:val="00372507"/>
    <w:rsid w:val="003738BD"/>
    <w:rsid w:val="00373FFC"/>
    <w:rsid w:val="00374263"/>
    <w:rsid w:val="003746F0"/>
    <w:rsid w:val="0037480D"/>
    <w:rsid w:val="00374A20"/>
    <w:rsid w:val="00374AB7"/>
    <w:rsid w:val="00374B96"/>
    <w:rsid w:val="00374E21"/>
    <w:rsid w:val="0037537A"/>
    <w:rsid w:val="0037708B"/>
    <w:rsid w:val="00377B2E"/>
    <w:rsid w:val="003805A3"/>
    <w:rsid w:val="00380C9B"/>
    <w:rsid w:val="003810F0"/>
    <w:rsid w:val="0038159D"/>
    <w:rsid w:val="003815D4"/>
    <w:rsid w:val="003818DC"/>
    <w:rsid w:val="00381A55"/>
    <w:rsid w:val="00382446"/>
    <w:rsid w:val="00382513"/>
    <w:rsid w:val="00383388"/>
    <w:rsid w:val="003834F8"/>
    <w:rsid w:val="003838D0"/>
    <w:rsid w:val="003840C2"/>
    <w:rsid w:val="00384327"/>
    <w:rsid w:val="00384A89"/>
    <w:rsid w:val="00384CB8"/>
    <w:rsid w:val="00385086"/>
    <w:rsid w:val="00385D98"/>
    <w:rsid w:val="0038744D"/>
    <w:rsid w:val="00387518"/>
    <w:rsid w:val="0038775D"/>
    <w:rsid w:val="00387EDC"/>
    <w:rsid w:val="00390306"/>
    <w:rsid w:val="003908A6"/>
    <w:rsid w:val="0039109D"/>
    <w:rsid w:val="003914C2"/>
    <w:rsid w:val="00391636"/>
    <w:rsid w:val="00391989"/>
    <w:rsid w:val="00391A6C"/>
    <w:rsid w:val="003927F6"/>
    <w:rsid w:val="0039398D"/>
    <w:rsid w:val="00393B3F"/>
    <w:rsid w:val="0039402D"/>
    <w:rsid w:val="003957FE"/>
    <w:rsid w:val="0039645E"/>
    <w:rsid w:val="00396739"/>
    <w:rsid w:val="003967D9"/>
    <w:rsid w:val="003970CA"/>
    <w:rsid w:val="003978B1"/>
    <w:rsid w:val="00397B61"/>
    <w:rsid w:val="003A04F6"/>
    <w:rsid w:val="003A0837"/>
    <w:rsid w:val="003A18CA"/>
    <w:rsid w:val="003A1A73"/>
    <w:rsid w:val="003A1FA7"/>
    <w:rsid w:val="003A2B4D"/>
    <w:rsid w:val="003A2BCE"/>
    <w:rsid w:val="003A2D12"/>
    <w:rsid w:val="003A2EBA"/>
    <w:rsid w:val="003A32DB"/>
    <w:rsid w:val="003A36FA"/>
    <w:rsid w:val="003A3D27"/>
    <w:rsid w:val="003A45E3"/>
    <w:rsid w:val="003A46B8"/>
    <w:rsid w:val="003A478C"/>
    <w:rsid w:val="003A4964"/>
    <w:rsid w:val="003A4A38"/>
    <w:rsid w:val="003A5295"/>
    <w:rsid w:val="003A5525"/>
    <w:rsid w:val="003A5889"/>
    <w:rsid w:val="003A5C8C"/>
    <w:rsid w:val="003A689E"/>
    <w:rsid w:val="003A6B38"/>
    <w:rsid w:val="003A6B83"/>
    <w:rsid w:val="003A6C97"/>
    <w:rsid w:val="003A722F"/>
    <w:rsid w:val="003A7373"/>
    <w:rsid w:val="003A7CF7"/>
    <w:rsid w:val="003A7D09"/>
    <w:rsid w:val="003B039F"/>
    <w:rsid w:val="003B0834"/>
    <w:rsid w:val="003B0DF4"/>
    <w:rsid w:val="003B1F9D"/>
    <w:rsid w:val="003B2504"/>
    <w:rsid w:val="003B2A8D"/>
    <w:rsid w:val="003B2AD1"/>
    <w:rsid w:val="003B2D2E"/>
    <w:rsid w:val="003B376A"/>
    <w:rsid w:val="003B4260"/>
    <w:rsid w:val="003B4538"/>
    <w:rsid w:val="003B461F"/>
    <w:rsid w:val="003B483F"/>
    <w:rsid w:val="003B4998"/>
    <w:rsid w:val="003B4A56"/>
    <w:rsid w:val="003B5A32"/>
    <w:rsid w:val="003B5B59"/>
    <w:rsid w:val="003B68C5"/>
    <w:rsid w:val="003B709D"/>
    <w:rsid w:val="003B7B50"/>
    <w:rsid w:val="003C0B07"/>
    <w:rsid w:val="003C160A"/>
    <w:rsid w:val="003C19B1"/>
    <w:rsid w:val="003C2034"/>
    <w:rsid w:val="003C23ED"/>
    <w:rsid w:val="003C2557"/>
    <w:rsid w:val="003C2CE7"/>
    <w:rsid w:val="003C2DB8"/>
    <w:rsid w:val="003C3490"/>
    <w:rsid w:val="003C3512"/>
    <w:rsid w:val="003C3608"/>
    <w:rsid w:val="003C3A87"/>
    <w:rsid w:val="003C3AE8"/>
    <w:rsid w:val="003C3D2C"/>
    <w:rsid w:val="003C4058"/>
    <w:rsid w:val="003C4E13"/>
    <w:rsid w:val="003C58A5"/>
    <w:rsid w:val="003C6221"/>
    <w:rsid w:val="003C63D7"/>
    <w:rsid w:val="003C68CC"/>
    <w:rsid w:val="003C74CD"/>
    <w:rsid w:val="003C7E62"/>
    <w:rsid w:val="003D12B9"/>
    <w:rsid w:val="003D147D"/>
    <w:rsid w:val="003D1E7A"/>
    <w:rsid w:val="003D242B"/>
    <w:rsid w:val="003D2492"/>
    <w:rsid w:val="003D28BE"/>
    <w:rsid w:val="003D29AA"/>
    <w:rsid w:val="003D2A99"/>
    <w:rsid w:val="003D3232"/>
    <w:rsid w:val="003D3B79"/>
    <w:rsid w:val="003D4AED"/>
    <w:rsid w:val="003D5C43"/>
    <w:rsid w:val="003D5EBF"/>
    <w:rsid w:val="003D5F28"/>
    <w:rsid w:val="003D60C1"/>
    <w:rsid w:val="003D6869"/>
    <w:rsid w:val="003D6920"/>
    <w:rsid w:val="003D6982"/>
    <w:rsid w:val="003D7B43"/>
    <w:rsid w:val="003E0249"/>
    <w:rsid w:val="003E08A4"/>
    <w:rsid w:val="003E105C"/>
    <w:rsid w:val="003E1EF8"/>
    <w:rsid w:val="003E2DFB"/>
    <w:rsid w:val="003E30FB"/>
    <w:rsid w:val="003E347A"/>
    <w:rsid w:val="003E4466"/>
    <w:rsid w:val="003E4C91"/>
    <w:rsid w:val="003E502A"/>
    <w:rsid w:val="003E52D8"/>
    <w:rsid w:val="003E62F1"/>
    <w:rsid w:val="003E6451"/>
    <w:rsid w:val="003E6597"/>
    <w:rsid w:val="003E6ED5"/>
    <w:rsid w:val="003E6F84"/>
    <w:rsid w:val="003F0148"/>
    <w:rsid w:val="003F07A8"/>
    <w:rsid w:val="003F1750"/>
    <w:rsid w:val="003F1E67"/>
    <w:rsid w:val="003F3051"/>
    <w:rsid w:val="003F313C"/>
    <w:rsid w:val="003F33B1"/>
    <w:rsid w:val="003F33B9"/>
    <w:rsid w:val="003F3583"/>
    <w:rsid w:val="003F37FC"/>
    <w:rsid w:val="003F3E76"/>
    <w:rsid w:val="003F4318"/>
    <w:rsid w:val="003F4B2C"/>
    <w:rsid w:val="003F4C00"/>
    <w:rsid w:val="003F54B4"/>
    <w:rsid w:val="003F54DF"/>
    <w:rsid w:val="003F551C"/>
    <w:rsid w:val="003F626D"/>
    <w:rsid w:val="003F72ED"/>
    <w:rsid w:val="003F7447"/>
    <w:rsid w:val="003F7D23"/>
    <w:rsid w:val="00400050"/>
    <w:rsid w:val="004002C8"/>
    <w:rsid w:val="00400468"/>
    <w:rsid w:val="0040099D"/>
    <w:rsid w:val="00400A68"/>
    <w:rsid w:val="004016CB"/>
    <w:rsid w:val="00401B23"/>
    <w:rsid w:val="00402222"/>
    <w:rsid w:val="00402689"/>
    <w:rsid w:val="00402ADB"/>
    <w:rsid w:val="0040368D"/>
    <w:rsid w:val="00403926"/>
    <w:rsid w:val="00403D1D"/>
    <w:rsid w:val="00403F57"/>
    <w:rsid w:val="0040444F"/>
    <w:rsid w:val="004046BD"/>
    <w:rsid w:val="00404BAB"/>
    <w:rsid w:val="00404D5C"/>
    <w:rsid w:val="00405318"/>
    <w:rsid w:val="004059D2"/>
    <w:rsid w:val="004060C9"/>
    <w:rsid w:val="004066D0"/>
    <w:rsid w:val="00406C2E"/>
    <w:rsid w:val="00406CDA"/>
    <w:rsid w:val="00406EB0"/>
    <w:rsid w:val="00406FBE"/>
    <w:rsid w:val="00407711"/>
    <w:rsid w:val="00407911"/>
    <w:rsid w:val="00407C13"/>
    <w:rsid w:val="0041018E"/>
    <w:rsid w:val="004103F6"/>
    <w:rsid w:val="00410638"/>
    <w:rsid w:val="00411826"/>
    <w:rsid w:val="00411F34"/>
    <w:rsid w:val="0041231B"/>
    <w:rsid w:val="00412511"/>
    <w:rsid w:val="004125C2"/>
    <w:rsid w:val="00412DFA"/>
    <w:rsid w:val="00413465"/>
    <w:rsid w:val="004135BB"/>
    <w:rsid w:val="004149AC"/>
    <w:rsid w:val="0041501E"/>
    <w:rsid w:val="00415452"/>
    <w:rsid w:val="004158D3"/>
    <w:rsid w:val="004158F7"/>
    <w:rsid w:val="004159C3"/>
    <w:rsid w:val="00415A57"/>
    <w:rsid w:val="00415E0D"/>
    <w:rsid w:val="00416097"/>
    <w:rsid w:val="0041650F"/>
    <w:rsid w:val="00416566"/>
    <w:rsid w:val="00416DAC"/>
    <w:rsid w:val="00416DDF"/>
    <w:rsid w:val="00416E9B"/>
    <w:rsid w:val="00417106"/>
    <w:rsid w:val="00417256"/>
    <w:rsid w:val="0041779F"/>
    <w:rsid w:val="00417DAE"/>
    <w:rsid w:val="00417DAF"/>
    <w:rsid w:val="00420880"/>
    <w:rsid w:val="00421179"/>
    <w:rsid w:val="00421DE7"/>
    <w:rsid w:val="004225D7"/>
    <w:rsid w:val="00423623"/>
    <w:rsid w:val="0042459A"/>
    <w:rsid w:val="0042470E"/>
    <w:rsid w:val="0042507B"/>
    <w:rsid w:val="00425352"/>
    <w:rsid w:val="00425381"/>
    <w:rsid w:val="00426BB5"/>
    <w:rsid w:val="00426C99"/>
    <w:rsid w:val="00426F72"/>
    <w:rsid w:val="004272BE"/>
    <w:rsid w:val="00427538"/>
    <w:rsid w:val="004306C2"/>
    <w:rsid w:val="00430939"/>
    <w:rsid w:val="00430C96"/>
    <w:rsid w:val="004310BA"/>
    <w:rsid w:val="0043174F"/>
    <w:rsid w:val="00431BFF"/>
    <w:rsid w:val="00432199"/>
    <w:rsid w:val="004322C4"/>
    <w:rsid w:val="00432337"/>
    <w:rsid w:val="004328F8"/>
    <w:rsid w:val="00432A58"/>
    <w:rsid w:val="00432FC7"/>
    <w:rsid w:val="004331C3"/>
    <w:rsid w:val="00433C17"/>
    <w:rsid w:val="00434617"/>
    <w:rsid w:val="00434BBB"/>
    <w:rsid w:val="00434DE9"/>
    <w:rsid w:val="00435051"/>
    <w:rsid w:val="00435C69"/>
    <w:rsid w:val="004360FB"/>
    <w:rsid w:val="004364BA"/>
    <w:rsid w:val="00436764"/>
    <w:rsid w:val="00437CED"/>
    <w:rsid w:val="004407BF"/>
    <w:rsid w:val="00440900"/>
    <w:rsid w:val="00440D2A"/>
    <w:rsid w:val="0044121D"/>
    <w:rsid w:val="00441822"/>
    <w:rsid w:val="00441BF6"/>
    <w:rsid w:val="00441C64"/>
    <w:rsid w:val="00441D2B"/>
    <w:rsid w:val="00441F8B"/>
    <w:rsid w:val="00442085"/>
    <w:rsid w:val="0044227A"/>
    <w:rsid w:val="0044279E"/>
    <w:rsid w:val="0044356B"/>
    <w:rsid w:val="004441A0"/>
    <w:rsid w:val="00445861"/>
    <w:rsid w:val="00445A8E"/>
    <w:rsid w:val="00446613"/>
    <w:rsid w:val="00446D44"/>
    <w:rsid w:val="004504E7"/>
    <w:rsid w:val="0045078A"/>
    <w:rsid w:val="0045086D"/>
    <w:rsid w:val="00450DAB"/>
    <w:rsid w:val="0045125B"/>
    <w:rsid w:val="00451794"/>
    <w:rsid w:val="004519E2"/>
    <w:rsid w:val="00451E25"/>
    <w:rsid w:val="00451EF1"/>
    <w:rsid w:val="0045220F"/>
    <w:rsid w:val="00452E60"/>
    <w:rsid w:val="0045321B"/>
    <w:rsid w:val="00454871"/>
    <w:rsid w:val="004548F7"/>
    <w:rsid w:val="00454D31"/>
    <w:rsid w:val="00454E5B"/>
    <w:rsid w:val="00455833"/>
    <w:rsid w:val="00455AE3"/>
    <w:rsid w:val="00456C88"/>
    <w:rsid w:val="00456FB5"/>
    <w:rsid w:val="00456FE5"/>
    <w:rsid w:val="00457490"/>
    <w:rsid w:val="0045778B"/>
    <w:rsid w:val="0045786C"/>
    <w:rsid w:val="00457953"/>
    <w:rsid w:val="00457AC5"/>
    <w:rsid w:val="004604D8"/>
    <w:rsid w:val="00460656"/>
    <w:rsid w:val="00460964"/>
    <w:rsid w:val="00460FB3"/>
    <w:rsid w:val="00462236"/>
    <w:rsid w:val="00463091"/>
    <w:rsid w:val="00463D3C"/>
    <w:rsid w:val="00464851"/>
    <w:rsid w:val="00464BF5"/>
    <w:rsid w:val="00464F2B"/>
    <w:rsid w:val="00465432"/>
    <w:rsid w:val="00465862"/>
    <w:rsid w:val="00466595"/>
    <w:rsid w:val="00466B3E"/>
    <w:rsid w:val="0046746A"/>
    <w:rsid w:val="004675AC"/>
    <w:rsid w:val="00467B14"/>
    <w:rsid w:val="004705FC"/>
    <w:rsid w:val="004707FE"/>
    <w:rsid w:val="00470EDC"/>
    <w:rsid w:val="00472418"/>
    <w:rsid w:val="0047276D"/>
    <w:rsid w:val="00472AF6"/>
    <w:rsid w:val="00473482"/>
    <w:rsid w:val="004740A0"/>
    <w:rsid w:val="00474646"/>
    <w:rsid w:val="00474A04"/>
    <w:rsid w:val="00476240"/>
    <w:rsid w:val="00476439"/>
    <w:rsid w:val="00476450"/>
    <w:rsid w:val="004769BF"/>
    <w:rsid w:val="004769E1"/>
    <w:rsid w:val="00476AEE"/>
    <w:rsid w:val="0047735C"/>
    <w:rsid w:val="0047766A"/>
    <w:rsid w:val="004776BC"/>
    <w:rsid w:val="00477820"/>
    <w:rsid w:val="00477B96"/>
    <w:rsid w:val="00480802"/>
    <w:rsid w:val="00480BAE"/>
    <w:rsid w:val="00480CAC"/>
    <w:rsid w:val="00480D7F"/>
    <w:rsid w:val="00480E30"/>
    <w:rsid w:val="0048139F"/>
    <w:rsid w:val="004819AD"/>
    <w:rsid w:val="00481E1D"/>
    <w:rsid w:val="00481E40"/>
    <w:rsid w:val="00482405"/>
    <w:rsid w:val="004826A7"/>
    <w:rsid w:val="004828DA"/>
    <w:rsid w:val="004830BB"/>
    <w:rsid w:val="00483359"/>
    <w:rsid w:val="0048368C"/>
    <w:rsid w:val="0048372F"/>
    <w:rsid w:val="0048399F"/>
    <w:rsid w:val="004839DD"/>
    <w:rsid w:val="00483A0C"/>
    <w:rsid w:val="004841CC"/>
    <w:rsid w:val="00484ECE"/>
    <w:rsid w:val="00485775"/>
    <w:rsid w:val="00485E82"/>
    <w:rsid w:val="00485F19"/>
    <w:rsid w:val="00486132"/>
    <w:rsid w:val="0048686D"/>
    <w:rsid w:val="00486A1C"/>
    <w:rsid w:val="00486A4D"/>
    <w:rsid w:val="004878F0"/>
    <w:rsid w:val="00487DBA"/>
    <w:rsid w:val="004915CB"/>
    <w:rsid w:val="00491A2B"/>
    <w:rsid w:val="004920FA"/>
    <w:rsid w:val="004924DC"/>
    <w:rsid w:val="00492580"/>
    <w:rsid w:val="00492879"/>
    <w:rsid w:val="00493CA0"/>
    <w:rsid w:val="00493D35"/>
    <w:rsid w:val="00493E85"/>
    <w:rsid w:val="00493E8B"/>
    <w:rsid w:val="004945C1"/>
    <w:rsid w:val="00494AA4"/>
    <w:rsid w:val="0049505A"/>
    <w:rsid w:val="00495145"/>
    <w:rsid w:val="0049531F"/>
    <w:rsid w:val="00495BE3"/>
    <w:rsid w:val="00495DA8"/>
    <w:rsid w:val="00496F61"/>
    <w:rsid w:val="004970F9"/>
    <w:rsid w:val="004979A5"/>
    <w:rsid w:val="004A0144"/>
    <w:rsid w:val="004A036E"/>
    <w:rsid w:val="004A0389"/>
    <w:rsid w:val="004A0498"/>
    <w:rsid w:val="004A06B0"/>
    <w:rsid w:val="004A0A22"/>
    <w:rsid w:val="004A0D0E"/>
    <w:rsid w:val="004A14E4"/>
    <w:rsid w:val="004A204E"/>
    <w:rsid w:val="004A26A5"/>
    <w:rsid w:val="004A27F0"/>
    <w:rsid w:val="004A310A"/>
    <w:rsid w:val="004A3212"/>
    <w:rsid w:val="004A3454"/>
    <w:rsid w:val="004A376B"/>
    <w:rsid w:val="004A37CD"/>
    <w:rsid w:val="004A3BE4"/>
    <w:rsid w:val="004A40D9"/>
    <w:rsid w:val="004A48CE"/>
    <w:rsid w:val="004A49A5"/>
    <w:rsid w:val="004A4D3C"/>
    <w:rsid w:val="004A4F8A"/>
    <w:rsid w:val="004A52AB"/>
    <w:rsid w:val="004A5494"/>
    <w:rsid w:val="004A5D4E"/>
    <w:rsid w:val="004A61C5"/>
    <w:rsid w:val="004A620D"/>
    <w:rsid w:val="004A62A0"/>
    <w:rsid w:val="004A71A4"/>
    <w:rsid w:val="004A7604"/>
    <w:rsid w:val="004A77DF"/>
    <w:rsid w:val="004A7DC0"/>
    <w:rsid w:val="004B0866"/>
    <w:rsid w:val="004B09C2"/>
    <w:rsid w:val="004B1417"/>
    <w:rsid w:val="004B1627"/>
    <w:rsid w:val="004B2249"/>
    <w:rsid w:val="004B305C"/>
    <w:rsid w:val="004B31B8"/>
    <w:rsid w:val="004B339A"/>
    <w:rsid w:val="004B37F2"/>
    <w:rsid w:val="004B4C83"/>
    <w:rsid w:val="004B4DA5"/>
    <w:rsid w:val="004B51F8"/>
    <w:rsid w:val="004B55B7"/>
    <w:rsid w:val="004B591D"/>
    <w:rsid w:val="004B599A"/>
    <w:rsid w:val="004B5BFA"/>
    <w:rsid w:val="004B619E"/>
    <w:rsid w:val="004B6468"/>
    <w:rsid w:val="004B6EF8"/>
    <w:rsid w:val="004B7125"/>
    <w:rsid w:val="004B7480"/>
    <w:rsid w:val="004B74DC"/>
    <w:rsid w:val="004B756A"/>
    <w:rsid w:val="004B7FB1"/>
    <w:rsid w:val="004C0970"/>
    <w:rsid w:val="004C0B3F"/>
    <w:rsid w:val="004C0F87"/>
    <w:rsid w:val="004C2346"/>
    <w:rsid w:val="004C25F9"/>
    <w:rsid w:val="004C2735"/>
    <w:rsid w:val="004C2794"/>
    <w:rsid w:val="004C29F0"/>
    <w:rsid w:val="004C2BB6"/>
    <w:rsid w:val="004C2BE7"/>
    <w:rsid w:val="004C2C2D"/>
    <w:rsid w:val="004C3027"/>
    <w:rsid w:val="004C3119"/>
    <w:rsid w:val="004C384C"/>
    <w:rsid w:val="004C3867"/>
    <w:rsid w:val="004C3CE4"/>
    <w:rsid w:val="004C3DB0"/>
    <w:rsid w:val="004C439A"/>
    <w:rsid w:val="004C43F9"/>
    <w:rsid w:val="004C4720"/>
    <w:rsid w:val="004C4CD0"/>
    <w:rsid w:val="004C5060"/>
    <w:rsid w:val="004C515E"/>
    <w:rsid w:val="004C5165"/>
    <w:rsid w:val="004C583F"/>
    <w:rsid w:val="004C589C"/>
    <w:rsid w:val="004C5A25"/>
    <w:rsid w:val="004C5AE8"/>
    <w:rsid w:val="004C5F7F"/>
    <w:rsid w:val="004C6E0E"/>
    <w:rsid w:val="004C70DC"/>
    <w:rsid w:val="004D0211"/>
    <w:rsid w:val="004D0794"/>
    <w:rsid w:val="004D0C17"/>
    <w:rsid w:val="004D1685"/>
    <w:rsid w:val="004D17A6"/>
    <w:rsid w:val="004D1A7B"/>
    <w:rsid w:val="004D2621"/>
    <w:rsid w:val="004D270A"/>
    <w:rsid w:val="004D2D31"/>
    <w:rsid w:val="004D2E03"/>
    <w:rsid w:val="004D3296"/>
    <w:rsid w:val="004D3EB3"/>
    <w:rsid w:val="004D3EC2"/>
    <w:rsid w:val="004D4056"/>
    <w:rsid w:val="004D4452"/>
    <w:rsid w:val="004D45B5"/>
    <w:rsid w:val="004D4CB0"/>
    <w:rsid w:val="004D58C0"/>
    <w:rsid w:val="004D5B0F"/>
    <w:rsid w:val="004D63BA"/>
    <w:rsid w:val="004D6B28"/>
    <w:rsid w:val="004D75BC"/>
    <w:rsid w:val="004D7626"/>
    <w:rsid w:val="004D76A4"/>
    <w:rsid w:val="004D7804"/>
    <w:rsid w:val="004E0434"/>
    <w:rsid w:val="004E085C"/>
    <w:rsid w:val="004E086D"/>
    <w:rsid w:val="004E12DF"/>
    <w:rsid w:val="004E186A"/>
    <w:rsid w:val="004E1A40"/>
    <w:rsid w:val="004E1C97"/>
    <w:rsid w:val="004E1DB2"/>
    <w:rsid w:val="004E200A"/>
    <w:rsid w:val="004E23FC"/>
    <w:rsid w:val="004E2409"/>
    <w:rsid w:val="004E261D"/>
    <w:rsid w:val="004E28B1"/>
    <w:rsid w:val="004E3927"/>
    <w:rsid w:val="004E3B7F"/>
    <w:rsid w:val="004E5342"/>
    <w:rsid w:val="004E563C"/>
    <w:rsid w:val="004E57BF"/>
    <w:rsid w:val="004E5C94"/>
    <w:rsid w:val="004E5F41"/>
    <w:rsid w:val="004E6011"/>
    <w:rsid w:val="004E6CEE"/>
    <w:rsid w:val="004E6DE6"/>
    <w:rsid w:val="004E70DD"/>
    <w:rsid w:val="004E765E"/>
    <w:rsid w:val="004E7815"/>
    <w:rsid w:val="004E7BF7"/>
    <w:rsid w:val="004F06F5"/>
    <w:rsid w:val="004F12A4"/>
    <w:rsid w:val="004F1456"/>
    <w:rsid w:val="004F1A07"/>
    <w:rsid w:val="004F253F"/>
    <w:rsid w:val="004F296F"/>
    <w:rsid w:val="004F33A0"/>
    <w:rsid w:val="004F36FA"/>
    <w:rsid w:val="004F3873"/>
    <w:rsid w:val="004F3A15"/>
    <w:rsid w:val="004F3BD2"/>
    <w:rsid w:val="004F46ED"/>
    <w:rsid w:val="004F4995"/>
    <w:rsid w:val="004F49A3"/>
    <w:rsid w:val="004F4C99"/>
    <w:rsid w:val="004F4F69"/>
    <w:rsid w:val="004F5358"/>
    <w:rsid w:val="004F601B"/>
    <w:rsid w:val="004F61D5"/>
    <w:rsid w:val="004F63C1"/>
    <w:rsid w:val="004F6484"/>
    <w:rsid w:val="004F6539"/>
    <w:rsid w:val="004F6A3E"/>
    <w:rsid w:val="00501188"/>
    <w:rsid w:val="00502372"/>
    <w:rsid w:val="00503D54"/>
    <w:rsid w:val="0050461B"/>
    <w:rsid w:val="005046CE"/>
    <w:rsid w:val="005048E2"/>
    <w:rsid w:val="00505FC8"/>
    <w:rsid w:val="00506603"/>
    <w:rsid w:val="0050682C"/>
    <w:rsid w:val="0050689D"/>
    <w:rsid w:val="00506ACA"/>
    <w:rsid w:val="00506F41"/>
    <w:rsid w:val="0050736A"/>
    <w:rsid w:val="0050753E"/>
    <w:rsid w:val="005077F5"/>
    <w:rsid w:val="005108C0"/>
    <w:rsid w:val="0051094F"/>
    <w:rsid w:val="00510BC5"/>
    <w:rsid w:val="00511217"/>
    <w:rsid w:val="00511873"/>
    <w:rsid w:val="00511BAF"/>
    <w:rsid w:val="00511E2E"/>
    <w:rsid w:val="00512461"/>
    <w:rsid w:val="00512585"/>
    <w:rsid w:val="00512749"/>
    <w:rsid w:val="00512A2F"/>
    <w:rsid w:val="00513B7E"/>
    <w:rsid w:val="00513E9D"/>
    <w:rsid w:val="005140CB"/>
    <w:rsid w:val="0051432A"/>
    <w:rsid w:val="0051475D"/>
    <w:rsid w:val="00514B11"/>
    <w:rsid w:val="00514DED"/>
    <w:rsid w:val="00515485"/>
    <w:rsid w:val="00515BD0"/>
    <w:rsid w:val="00515BE9"/>
    <w:rsid w:val="00515C74"/>
    <w:rsid w:val="00515CEB"/>
    <w:rsid w:val="0051630F"/>
    <w:rsid w:val="0051672B"/>
    <w:rsid w:val="00517113"/>
    <w:rsid w:val="0052007E"/>
    <w:rsid w:val="00520098"/>
    <w:rsid w:val="0052032E"/>
    <w:rsid w:val="0052185B"/>
    <w:rsid w:val="0052199F"/>
    <w:rsid w:val="00521CAD"/>
    <w:rsid w:val="0052200D"/>
    <w:rsid w:val="00522425"/>
    <w:rsid w:val="00522A1B"/>
    <w:rsid w:val="00522E01"/>
    <w:rsid w:val="0052337A"/>
    <w:rsid w:val="00523F39"/>
    <w:rsid w:val="00524385"/>
    <w:rsid w:val="005246BE"/>
    <w:rsid w:val="00525137"/>
    <w:rsid w:val="005251DD"/>
    <w:rsid w:val="00525AA7"/>
    <w:rsid w:val="00527510"/>
    <w:rsid w:val="0052762C"/>
    <w:rsid w:val="0052792D"/>
    <w:rsid w:val="0053012B"/>
    <w:rsid w:val="005301A6"/>
    <w:rsid w:val="00530A68"/>
    <w:rsid w:val="00530AD4"/>
    <w:rsid w:val="0053129F"/>
    <w:rsid w:val="00531C5A"/>
    <w:rsid w:val="00532C44"/>
    <w:rsid w:val="00532CE7"/>
    <w:rsid w:val="00532D8B"/>
    <w:rsid w:val="0053324C"/>
    <w:rsid w:val="00533A8D"/>
    <w:rsid w:val="00534068"/>
    <w:rsid w:val="0053417E"/>
    <w:rsid w:val="005344D9"/>
    <w:rsid w:val="00534A28"/>
    <w:rsid w:val="00535018"/>
    <w:rsid w:val="00535782"/>
    <w:rsid w:val="0053595E"/>
    <w:rsid w:val="00537389"/>
    <w:rsid w:val="00537571"/>
    <w:rsid w:val="00540056"/>
    <w:rsid w:val="00540313"/>
    <w:rsid w:val="005410E2"/>
    <w:rsid w:val="00541508"/>
    <w:rsid w:val="00541AE3"/>
    <w:rsid w:val="00543498"/>
    <w:rsid w:val="00544011"/>
    <w:rsid w:val="00544BE5"/>
    <w:rsid w:val="00544C1D"/>
    <w:rsid w:val="00544E6E"/>
    <w:rsid w:val="005453A3"/>
    <w:rsid w:val="005455D1"/>
    <w:rsid w:val="005455F6"/>
    <w:rsid w:val="0054582F"/>
    <w:rsid w:val="0054632B"/>
    <w:rsid w:val="00546F77"/>
    <w:rsid w:val="00546FC7"/>
    <w:rsid w:val="00547F9D"/>
    <w:rsid w:val="005500F9"/>
    <w:rsid w:val="00550160"/>
    <w:rsid w:val="00550249"/>
    <w:rsid w:val="00550540"/>
    <w:rsid w:val="00550544"/>
    <w:rsid w:val="005519E2"/>
    <w:rsid w:val="00551E16"/>
    <w:rsid w:val="005523A8"/>
    <w:rsid w:val="00552F2C"/>
    <w:rsid w:val="00553007"/>
    <w:rsid w:val="005536CA"/>
    <w:rsid w:val="00553A25"/>
    <w:rsid w:val="005547EB"/>
    <w:rsid w:val="00554863"/>
    <w:rsid w:val="00555122"/>
    <w:rsid w:val="005552A2"/>
    <w:rsid w:val="005555E0"/>
    <w:rsid w:val="0055599F"/>
    <w:rsid w:val="00556D68"/>
    <w:rsid w:val="0055707B"/>
    <w:rsid w:val="005570D6"/>
    <w:rsid w:val="00557245"/>
    <w:rsid w:val="00557D13"/>
    <w:rsid w:val="00557E0E"/>
    <w:rsid w:val="00557E45"/>
    <w:rsid w:val="005605F3"/>
    <w:rsid w:val="00560C41"/>
    <w:rsid w:val="00560C68"/>
    <w:rsid w:val="00560CAC"/>
    <w:rsid w:val="005610EA"/>
    <w:rsid w:val="00561D85"/>
    <w:rsid w:val="00561F44"/>
    <w:rsid w:val="00562B4D"/>
    <w:rsid w:val="00562DB1"/>
    <w:rsid w:val="0056347A"/>
    <w:rsid w:val="00563E41"/>
    <w:rsid w:val="00563EB8"/>
    <w:rsid w:val="005647BF"/>
    <w:rsid w:val="005648F8"/>
    <w:rsid w:val="00564AF1"/>
    <w:rsid w:val="00564D10"/>
    <w:rsid w:val="00564FA3"/>
    <w:rsid w:val="00565083"/>
    <w:rsid w:val="005650BF"/>
    <w:rsid w:val="005650DC"/>
    <w:rsid w:val="005655DB"/>
    <w:rsid w:val="00565A9E"/>
    <w:rsid w:val="00565E88"/>
    <w:rsid w:val="00567339"/>
    <w:rsid w:val="005678EE"/>
    <w:rsid w:val="00567910"/>
    <w:rsid w:val="00570270"/>
    <w:rsid w:val="00570464"/>
    <w:rsid w:val="00570601"/>
    <w:rsid w:val="00570BC3"/>
    <w:rsid w:val="00571766"/>
    <w:rsid w:val="0057182A"/>
    <w:rsid w:val="00571AF0"/>
    <w:rsid w:val="00571E59"/>
    <w:rsid w:val="00572079"/>
    <w:rsid w:val="00572900"/>
    <w:rsid w:val="00572FDF"/>
    <w:rsid w:val="00573602"/>
    <w:rsid w:val="0057364B"/>
    <w:rsid w:val="00573C67"/>
    <w:rsid w:val="00574773"/>
    <w:rsid w:val="005761EC"/>
    <w:rsid w:val="00576353"/>
    <w:rsid w:val="00576B08"/>
    <w:rsid w:val="00576E34"/>
    <w:rsid w:val="00577247"/>
    <w:rsid w:val="0057789F"/>
    <w:rsid w:val="00577C07"/>
    <w:rsid w:val="00577DB1"/>
    <w:rsid w:val="00577FEC"/>
    <w:rsid w:val="00580180"/>
    <w:rsid w:val="00580AD3"/>
    <w:rsid w:val="00580DE7"/>
    <w:rsid w:val="005810E1"/>
    <w:rsid w:val="00581B64"/>
    <w:rsid w:val="00581CF3"/>
    <w:rsid w:val="005820CD"/>
    <w:rsid w:val="00582A12"/>
    <w:rsid w:val="005830BB"/>
    <w:rsid w:val="005831AA"/>
    <w:rsid w:val="005832A1"/>
    <w:rsid w:val="00583BDD"/>
    <w:rsid w:val="00583E52"/>
    <w:rsid w:val="00583FFD"/>
    <w:rsid w:val="00584132"/>
    <w:rsid w:val="00584252"/>
    <w:rsid w:val="005848DD"/>
    <w:rsid w:val="0058519A"/>
    <w:rsid w:val="005855B4"/>
    <w:rsid w:val="005856BD"/>
    <w:rsid w:val="00585983"/>
    <w:rsid w:val="00585C85"/>
    <w:rsid w:val="005865AF"/>
    <w:rsid w:val="005868C6"/>
    <w:rsid w:val="00586BCA"/>
    <w:rsid w:val="00586DC4"/>
    <w:rsid w:val="00587038"/>
    <w:rsid w:val="00587319"/>
    <w:rsid w:val="00590218"/>
    <w:rsid w:val="00590608"/>
    <w:rsid w:val="00590B28"/>
    <w:rsid w:val="005911BE"/>
    <w:rsid w:val="00591273"/>
    <w:rsid w:val="00591E9E"/>
    <w:rsid w:val="005927A4"/>
    <w:rsid w:val="00593152"/>
    <w:rsid w:val="00593389"/>
    <w:rsid w:val="00593FE6"/>
    <w:rsid w:val="00594309"/>
    <w:rsid w:val="00594538"/>
    <w:rsid w:val="00594B24"/>
    <w:rsid w:val="005956A3"/>
    <w:rsid w:val="00595958"/>
    <w:rsid w:val="00595CAB"/>
    <w:rsid w:val="0059622E"/>
    <w:rsid w:val="0059684D"/>
    <w:rsid w:val="00597671"/>
    <w:rsid w:val="00597BBF"/>
    <w:rsid w:val="005A0280"/>
    <w:rsid w:val="005A040C"/>
    <w:rsid w:val="005A0463"/>
    <w:rsid w:val="005A046F"/>
    <w:rsid w:val="005A05DF"/>
    <w:rsid w:val="005A0948"/>
    <w:rsid w:val="005A0A03"/>
    <w:rsid w:val="005A0BB3"/>
    <w:rsid w:val="005A10F2"/>
    <w:rsid w:val="005A16C0"/>
    <w:rsid w:val="005A2156"/>
    <w:rsid w:val="005A21E0"/>
    <w:rsid w:val="005A2401"/>
    <w:rsid w:val="005A28FF"/>
    <w:rsid w:val="005A2C09"/>
    <w:rsid w:val="005A3778"/>
    <w:rsid w:val="005A37B0"/>
    <w:rsid w:val="005A3B90"/>
    <w:rsid w:val="005A3DF8"/>
    <w:rsid w:val="005A53E4"/>
    <w:rsid w:val="005A5549"/>
    <w:rsid w:val="005A566A"/>
    <w:rsid w:val="005A56E0"/>
    <w:rsid w:val="005A6E21"/>
    <w:rsid w:val="005A70CA"/>
    <w:rsid w:val="005A7ABD"/>
    <w:rsid w:val="005A7CF8"/>
    <w:rsid w:val="005A7E84"/>
    <w:rsid w:val="005B00FF"/>
    <w:rsid w:val="005B0B9B"/>
    <w:rsid w:val="005B0EDA"/>
    <w:rsid w:val="005B1042"/>
    <w:rsid w:val="005B121D"/>
    <w:rsid w:val="005B16AB"/>
    <w:rsid w:val="005B1705"/>
    <w:rsid w:val="005B1A0C"/>
    <w:rsid w:val="005B26B0"/>
    <w:rsid w:val="005B362D"/>
    <w:rsid w:val="005B41C9"/>
    <w:rsid w:val="005B4277"/>
    <w:rsid w:val="005B427B"/>
    <w:rsid w:val="005B44E6"/>
    <w:rsid w:val="005B4853"/>
    <w:rsid w:val="005B521C"/>
    <w:rsid w:val="005B591B"/>
    <w:rsid w:val="005B623D"/>
    <w:rsid w:val="005B6CA1"/>
    <w:rsid w:val="005B70EB"/>
    <w:rsid w:val="005B770C"/>
    <w:rsid w:val="005C02F0"/>
    <w:rsid w:val="005C06ED"/>
    <w:rsid w:val="005C0A57"/>
    <w:rsid w:val="005C0CE1"/>
    <w:rsid w:val="005C11B8"/>
    <w:rsid w:val="005C179F"/>
    <w:rsid w:val="005C1B24"/>
    <w:rsid w:val="005C216C"/>
    <w:rsid w:val="005C2609"/>
    <w:rsid w:val="005C2B30"/>
    <w:rsid w:val="005C38FB"/>
    <w:rsid w:val="005C412B"/>
    <w:rsid w:val="005C41AF"/>
    <w:rsid w:val="005C43EC"/>
    <w:rsid w:val="005C45DD"/>
    <w:rsid w:val="005C4620"/>
    <w:rsid w:val="005C4704"/>
    <w:rsid w:val="005C4CB1"/>
    <w:rsid w:val="005C61BE"/>
    <w:rsid w:val="005C63A5"/>
    <w:rsid w:val="005C64FD"/>
    <w:rsid w:val="005C6783"/>
    <w:rsid w:val="005C70AB"/>
    <w:rsid w:val="005C7C79"/>
    <w:rsid w:val="005C7CA0"/>
    <w:rsid w:val="005D015C"/>
    <w:rsid w:val="005D1472"/>
    <w:rsid w:val="005D1A8A"/>
    <w:rsid w:val="005D33A3"/>
    <w:rsid w:val="005D3F06"/>
    <w:rsid w:val="005D4608"/>
    <w:rsid w:val="005D48E0"/>
    <w:rsid w:val="005D4B73"/>
    <w:rsid w:val="005D533D"/>
    <w:rsid w:val="005D5645"/>
    <w:rsid w:val="005D5802"/>
    <w:rsid w:val="005D5AA9"/>
    <w:rsid w:val="005D5B60"/>
    <w:rsid w:val="005D66E6"/>
    <w:rsid w:val="005D7119"/>
    <w:rsid w:val="005D76C8"/>
    <w:rsid w:val="005D7833"/>
    <w:rsid w:val="005D7890"/>
    <w:rsid w:val="005D7AAF"/>
    <w:rsid w:val="005E0A95"/>
    <w:rsid w:val="005E0E74"/>
    <w:rsid w:val="005E19C1"/>
    <w:rsid w:val="005E2194"/>
    <w:rsid w:val="005E23A3"/>
    <w:rsid w:val="005E24F0"/>
    <w:rsid w:val="005E2542"/>
    <w:rsid w:val="005E3113"/>
    <w:rsid w:val="005E34D1"/>
    <w:rsid w:val="005E36FE"/>
    <w:rsid w:val="005E3F66"/>
    <w:rsid w:val="005E490F"/>
    <w:rsid w:val="005E4B04"/>
    <w:rsid w:val="005E4BC9"/>
    <w:rsid w:val="005E5314"/>
    <w:rsid w:val="005E53DC"/>
    <w:rsid w:val="005E6C6A"/>
    <w:rsid w:val="005E764D"/>
    <w:rsid w:val="005E7724"/>
    <w:rsid w:val="005E7BB3"/>
    <w:rsid w:val="005E7C78"/>
    <w:rsid w:val="005F04A7"/>
    <w:rsid w:val="005F0B43"/>
    <w:rsid w:val="005F10B3"/>
    <w:rsid w:val="005F114F"/>
    <w:rsid w:val="005F18C5"/>
    <w:rsid w:val="005F18E4"/>
    <w:rsid w:val="005F1CCA"/>
    <w:rsid w:val="005F247B"/>
    <w:rsid w:val="005F2A08"/>
    <w:rsid w:val="005F36CC"/>
    <w:rsid w:val="005F3A6F"/>
    <w:rsid w:val="005F3B48"/>
    <w:rsid w:val="005F3EB1"/>
    <w:rsid w:val="005F413E"/>
    <w:rsid w:val="005F466B"/>
    <w:rsid w:val="005F46D8"/>
    <w:rsid w:val="005F480F"/>
    <w:rsid w:val="005F5156"/>
    <w:rsid w:val="005F51D8"/>
    <w:rsid w:val="005F5271"/>
    <w:rsid w:val="005F5469"/>
    <w:rsid w:val="005F63F3"/>
    <w:rsid w:val="005F66F0"/>
    <w:rsid w:val="005F6A64"/>
    <w:rsid w:val="005F6D7F"/>
    <w:rsid w:val="005F6DFE"/>
    <w:rsid w:val="005F7174"/>
    <w:rsid w:val="005F7B79"/>
    <w:rsid w:val="00600D6E"/>
    <w:rsid w:val="0060120D"/>
    <w:rsid w:val="006017C1"/>
    <w:rsid w:val="00601818"/>
    <w:rsid w:val="00601ADE"/>
    <w:rsid w:val="00601EEF"/>
    <w:rsid w:val="0060255A"/>
    <w:rsid w:val="006027E2"/>
    <w:rsid w:val="00602998"/>
    <w:rsid w:val="00602D7F"/>
    <w:rsid w:val="00602EB3"/>
    <w:rsid w:val="0060342F"/>
    <w:rsid w:val="006035A1"/>
    <w:rsid w:val="0060364A"/>
    <w:rsid w:val="0060393D"/>
    <w:rsid w:val="00603BA8"/>
    <w:rsid w:val="00604307"/>
    <w:rsid w:val="0060487F"/>
    <w:rsid w:val="00604EAD"/>
    <w:rsid w:val="0060513F"/>
    <w:rsid w:val="006062DA"/>
    <w:rsid w:val="006065E2"/>
    <w:rsid w:val="00606635"/>
    <w:rsid w:val="0060694B"/>
    <w:rsid w:val="00607E1D"/>
    <w:rsid w:val="006104FB"/>
    <w:rsid w:val="00611092"/>
    <w:rsid w:val="006116FF"/>
    <w:rsid w:val="0061176D"/>
    <w:rsid w:val="00611EA8"/>
    <w:rsid w:val="0061200F"/>
    <w:rsid w:val="00612756"/>
    <w:rsid w:val="00612A2F"/>
    <w:rsid w:val="00612AAE"/>
    <w:rsid w:val="00612B07"/>
    <w:rsid w:val="00612FD9"/>
    <w:rsid w:val="006139E0"/>
    <w:rsid w:val="00613E1C"/>
    <w:rsid w:val="006146C5"/>
    <w:rsid w:val="00614D35"/>
    <w:rsid w:val="006156B4"/>
    <w:rsid w:val="00615ADD"/>
    <w:rsid w:val="00615DAF"/>
    <w:rsid w:val="00615EA5"/>
    <w:rsid w:val="00616254"/>
    <w:rsid w:val="0061672A"/>
    <w:rsid w:val="00616E05"/>
    <w:rsid w:val="00617985"/>
    <w:rsid w:val="00617C0F"/>
    <w:rsid w:val="00620641"/>
    <w:rsid w:val="00620B77"/>
    <w:rsid w:val="00621190"/>
    <w:rsid w:val="0062131B"/>
    <w:rsid w:val="00621435"/>
    <w:rsid w:val="00621E26"/>
    <w:rsid w:val="006224EA"/>
    <w:rsid w:val="0062263A"/>
    <w:rsid w:val="006227DF"/>
    <w:rsid w:val="00622EFA"/>
    <w:rsid w:val="0062326B"/>
    <w:rsid w:val="006234A0"/>
    <w:rsid w:val="006236C8"/>
    <w:rsid w:val="00624093"/>
    <w:rsid w:val="0062415E"/>
    <w:rsid w:val="00625370"/>
    <w:rsid w:val="00625A84"/>
    <w:rsid w:val="00626079"/>
    <w:rsid w:val="00626B3B"/>
    <w:rsid w:val="00626B8F"/>
    <w:rsid w:val="006275B5"/>
    <w:rsid w:val="006300DB"/>
    <w:rsid w:val="006309CF"/>
    <w:rsid w:val="00631198"/>
    <w:rsid w:val="00631698"/>
    <w:rsid w:val="00631B14"/>
    <w:rsid w:val="00631E44"/>
    <w:rsid w:val="0063373E"/>
    <w:rsid w:val="00634C57"/>
    <w:rsid w:val="00634CE7"/>
    <w:rsid w:val="00634F30"/>
    <w:rsid w:val="006350D5"/>
    <w:rsid w:val="00635AA6"/>
    <w:rsid w:val="00635EBE"/>
    <w:rsid w:val="0063642C"/>
    <w:rsid w:val="006376B3"/>
    <w:rsid w:val="00637858"/>
    <w:rsid w:val="006403E6"/>
    <w:rsid w:val="006404A7"/>
    <w:rsid w:val="00640A38"/>
    <w:rsid w:val="00640E6B"/>
    <w:rsid w:val="00641242"/>
    <w:rsid w:val="00641787"/>
    <w:rsid w:val="0064179B"/>
    <w:rsid w:val="00641E2C"/>
    <w:rsid w:val="00642338"/>
    <w:rsid w:val="00642489"/>
    <w:rsid w:val="006428D3"/>
    <w:rsid w:val="0064402D"/>
    <w:rsid w:val="00644055"/>
    <w:rsid w:val="00644137"/>
    <w:rsid w:val="006445BC"/>
    <w:rsid w:val="0064478C"/>
    <w:rsid w:val="00644938"/>
    <w:rsid w:val="00645160"/>
    <w:rsid w:val="006451E4"/>
    <w:rsid w:val="0064574B"/>
    <w:rsid w:val="00645B33"/>
    <w:rsid w:val="006475A3"/>
    <w:rsid w:val="00647D47"/>
    <w:rsid w:val="00647EDF"/>
    <w:rsid w:val="00650A4F"/>
    <w:rsid w:val="00650E38"/>
    <w:rsid w:val="00650FFC"/>
    <w:rsid w:val="0065153D"/>
    <w:rsid w:val="006516CB"/>
    <w:rsid w:val="006523F5"/>
    <w:rsid w:val="00652444"/>
    <w:rsid w:val="006529A6"/>
    <w:rsid w:val="00652E30"/>
    <w:rsid w:val="00653542"/>
    <w:rsid w:val="00653BD0"/>
    <w:rsid w:val="00654110"/>
    <w:rsid w:val="006545E7"/>
    <w:rsid w:val="00654659"/>
    <w:rsid w:val="006547CD"/>
    <w:rsid w:val="00654DCC"/>
    <w:rsid w:val="00655F54"/>
    <w:rsid w:val="00656C5D"/>
    <w:rsid w:val="00656CFB"/>
    <w:rsid w:val="00656D25"/>
    <w:rsid w:val="00657964"/>
    <w:rsid w:val="00657E87"/>
    <w:rsid w:val="0066063F"/>
    <w:rsid w:val="00660D2D"/>
    <w:rsid w:val="0066110B"/>
    <w:rsid w:val="00661C41"/>
    <w:rsid w:val="00661EC9"/>
    <w:rsid w:val="00662469"/>
    <w:rsid w:val="0066411C"/>
    <w:rsid w:val="00664205"/>
    <w:rsid w:val="00664647"/>
    <w:rsid w:val="00664803"/>
    <w:rsid w:val="00664B35"/>
    <w:rsid w:val="0066502F"/>
    <w:rsid w:val="006652B9"/>
    <w:rsid w:val="006653CC"/>
    <w:rsid w:val="00665501"/>
    <w:rsid w:val="00665982"/>
    <w:rsid w:val="00665AAC"/>
    <w:rsid w:val="00665BA4"/>
    <w:rsid w:val="00666BF3"/>
    <w:rsid w:val="00667748"/>
    <w:rsid w:val="00667856"/>
    <w:rsid w:val="006679A1"/>
    <w:rsid w:val="00667AF2"/>
    <w:rsid w:val="00670489"/>
    <w:rsid w:val="006710C9"/>
    <w:rsid w:val="00671CFE"/>
    <w:rsid w:val="00671D85"/>
    <w:rsid w:val="00672586"/>
    <w:rsid w:val="006727BC"/>
    <w:rsid w:val="00673006"/>
    <w:rsid w:val="00673392"/>
    <w:rsid w:val="0067404B"/>
    <w:rsid w:val="006741CD"/>
    <w:rsid w:val="006745DF"/>
    <w:rsid w:val="00674BAC"/>
    <w:rsid w:val="00674D89"/>
    <w:rsid w:val="00674DF4"/>
    <w:rsid w:val="0067514E"/>
    <w:rsid w:val="00675A15"/>
    <w:rsid w:val="00675E37"/>
    <w:rsid w:val="0067635D"/>
    <w:rsid w:val="00676736"/>
    <w:rsid w:val="006769A4"/>
    <w:rsid w:val="006769C6"/>
    <w:rsid w:val="00676D76"/>
    <w:rsid w:val="00676F9F"/>
    <w:rsid w:val="00677519"/>
    <w:rsid w:val="00677591"/>
    <w:rsid w:val="00677594"/>
    <w:rsid w:val="00677FA3"/>
    <w:rsid w:val="0068020C"/>
    <w:rsid w:val="0068032F"/>
    <w:rsid w:val="00680D37"/>
    <w:rsid w:val="0068174E"/>
    <w:rsid w:val="00681DCE"/>
    <w:rsid w:val="00682110"/>
    <w:rsid w:val="0068260E"/>
    <w:rsid w:val="006846B3"/>
    <w:rsid w:val="006849E7"/>
    <w:rsid w:val="006849F8"/>
    <w:rsid w:val="00684B9B"/>
    <w:rsid w:val="00684D59"/>
    <w:rsid w:val="00684E25"/>
    <w:rsid w:val="006858A4"/>
    <w:rsid w:val="00685C08"/>
    <w:rsid w:val="00685C8C"/>
    <w:rsid w:val="00686718"/>
    <w:rsid w:val="00686BFA"/>
    <w:rsid w:val="00686DED"/>
    <w:rsid w:val="00686FD2"/>
    <w:rsid w:val="0068706C"/>
    <w:rsid w:val="006875A0"/>
    <w:rsid w:val="006878C6"/>
    <w:rsid w:val="00687D27"/>
    <w:rsid w:val="00687E40"/>
    <w:rsid w:val="00691943"/>
    <w:rsid w:val="00693361"/>
    <w:rsid w:val="00693550"/>
    <w:rsid w:val="00694622"/>
    <w:rsid w:val="00695065"/>
    <w:rsid w:val="00695651"/>
    <w:rsid w:val="00695BEF"/>
    <w:rsid w:val="006961FC"/>
    <w:rsid w:val="00696251"/>
    <w:rsid w:val="006966C7"/>
    <w:rsid w:val="006968C1"/>
    <w:rsid w:val="006977F6"/>
    <w:rsid w:val="00697A13"/>
    <w:rsid w:val="00697FC2"/>
    <w:rsid w:val="006A0DD4"/>
    <w:rsid w:val="006A109C"/>
    <w:rsid w:val="006A3CAF"/>
    <w:rsid w:val="006A41B9"/>
    <w:rsid w:val="006A4E6C"/>
    <w:rsid w:val="006A4E91"/>
    <w:rsid w:val="006A521C"/>
    <w:rsid w:val="006A5C69"/>
    <w:rsid w:val="006A5F27"/>
    <w:rsid w:val="006A5F4B"/>
    <w:rsid w:val="006A6114"/>
    <w:rsid w:val="006A6565"/>
    <w:rsid w:val="006A6BE3"/>
    <w:rsid w:val="006A7665"/>
    <w:rsid w:val="006A7691"/>
    <w:rsid w:val="006A7EE2"/>
    <w:rsid w:val="006B0409"/>
    <w:rsid w:val="006B0514"/>
    <w:rsid w:val="006B0F92"/>
    <w:rsid w:val="006B13F2"/>
    <w:rsid w:val="006B2785"/>
    <w:rsid w:val="006B27C7"/>
    <w:rsid w:val="006B2A1F"/>
    <w:rsid w:val="006B340F"/>
    <w:rsid w:val="006B344A"/>
    <w:rsid w:val="006B39E1"/>
    <w:rsid w:val="006B55DF"/>
    <w:rsid w:val="006B58C9"/>
    <w:rsid w:val="006B5F9A"/>
    <w:rsid w:val="006B60ED"/>
    <w:rsid w:val="006B614C"/>
    <w:rsid w:val="006B6C82"/>
    <w:rsid w:val="006B6CC5"/>
    <w:rsid w:val="006B6CF6"/>
    <w:rsid w:val="006B74AC"/>
    <w:rsid w:val="006B757B"/>
    <w:rsid w:val="006B78D8"/>
    <w:rsid w:val="006B79EA"/>
    <w:rsid w:val="006B7EA8"/>
    <w:rsid w:val="006C0C5D"/>
    <w:rsid w:val="006C113F"/>
    <w:rsid w:val="006C123E"/>
    <w:rsid w:val="006C15A1"/>
    <w:rsid w:val="006C1752"/>
    <w:rsid w:val="006C1DDC"/>
    <w:rsid w:val="006C1F77"/>
    <w:rsid w:val="006C1F94"/>
    <w:rsid w:val="006C28CA"/>
    <w:rsid w:val="006C2A0B"/>
    <w:rsid w:val="006C2B31"/>
    <w:rsid w:val="006C2BBF"/>
    <w:rsid w:val="006C2FBD"/>
    <w:rsid w:val="006C3336"/>
    <w:rsid w:val="006C3495"/>
    <w:rsid w:val="006C3742"/>
    <w:rsid w:val="006C4355"/>
    <w:rsid w:val="006C4587"/>
    <w:rsid w:val="006C469D"/>
    <w:rsid w:val="006C46B5"/>
    <w:rsid w:val="006C484F"/>
    <w:rsid w:val="006C501A"/>
    <w:rsid w:val="006C52EC"/>
    <w:rsid w:val="006C5506"/>
    <w:rsid w:val="006C56D4"/>
    <w:rsid w:val="006C5C22"/>
    <w:rsid w:val="006C65FF"/>
    <w:rsid w:val="006C6681"/>
    <w:rsid w:val="006C683C"/>
    <w:rsid w:val="006C6924"/>
    <w:rsid w:val="006C6C1E"/>
    <w:rsid w:val="006C7076"/>
    <w:rsid w:val="006C7981"/>
    <w:rsid w:val="006C7AEC"/>
    <w:rsid w:val="006C7CA6"/>
    <w:rsid w:val="006D12FB"/>
    <w:rsid w:val="006D156E"/>
    <w:rsid w:val="006D15D3"/>
    <w:rsid w:val="006D18B3"/>
    <w:rsid w:val="006D1BA2"/>
    <w:rsid w:val="006D1E89"/>
    <w:rsid w:val="006D26CE"/>
    <w:rsid w:val="006D2CE1"/>
    <w:rsid w:val="006D3045"/>
    <w:rsid w:val="006D317E"/>
    <w:rsid w:val="006D3E8A"/>
    <w:rsid w:val="006D47D9"/>
    <w:rsid w:val="006D49BA"/>
    <w:rsid w:val="006D4BA3"/>
    <w:rsid w:val="006D4F1E"/>
    <w:rsid w:val="006D5C7F"/>
    <w:rsid w:val="006D61F6"/>
    <w:rsid w:val="006D66DD"/>
    <w:rsid w:val="006D766A"/>
    <w:rsid w:val="006D7F30"/>
    <w:rsid w:val="006E1081"/>
    <w:rsid w:val="006E1332"/>
    <w:rsid w:val="006E13F6"/>
    <w:rsid w:val="006E19CB"/>
    <w:rsid w:val="006E279A"/>
    <w:rsid w:val="006E313B"/>
    <w:rsid w:val="006E34B2"/>
    <w:rsid w:val="006E3553"/>
    <w:rsid w:val="006E3A45"/>
    <w:rsid w:val="006E4078"/>
    <w:rsid w:val="006E51C4"/>
    <w:rsid w:val="006E53AD"/>
    <w:rsid w:val="006E58CB"/>
    <w:rsid w:val="006E594C"/>
    <w:rsid w:val="006E6A93"/>
    <w:rsid w:val="006E7227"/>
    <w:rsid w:val="006E725C"/>
    <w:rsid w:val="006E761A"/>
    <w:rsid w:val="006F0646"/>
    <w:rsid w:val="006F0741"/>
    <w:rsid w:val="006F1C27"/>
    <w:rsid w:val="006F2575"/>
    <w:rsid w:val="006F29CB"/>
    <w:rsid w:val="006F2A65"/>
    <w:rsid w:val="006F3DD6"/>
    <w:rsid w:val="006F40DF"/>
    <w:rsid w:val="006F42BB"/>
    <w:rsid w:val="006F438E"/>
    <w:rsid w:val="006F440B"/>
    <w:rsid w:val="006F48A3"/>
    <w:rsid w:val="006F4DA4"/>
    <w:rsid w:val="006F5416"/>
    <w:rsid w:val="006F5CB9"/>
    <w:rsid w:val="006F60EE"/>
    <w:rsid w:val="006F61FB"/>
    <w:rsid w:val="006F624B"/>
    <w:rsid w:val="006F6D87"/>
    <w:rsid w:val="006F6FF2"/>
    <w:rsid w:val="006F79FB"/>
    <w:rsid w:val="007008A9"/>
    <w:rsid w:val="00700E8A"/>
    <w:rsid w:val="007018A4"/>
    <w:rsid w:val="0070284F"/>
    <w:rsid w:val="00702D15"/>
    <w:rsid w:val="0070398A"/>
    <w:rsid w:val="007039C4"/>
    <w:rsid w:val="007045FD"/>
    <w:rsid w:val="0070494B"/>
    <w:rsid w:val="00705242"/>
    <w:rsid w:val="0070540C"/>
    <w:rsid w:val="007055E0"/>
    <w:rsid w:val="007056ED"/>
    <w:rsid w:val="00705F4E"/>
    <w:rsid w:val="0070658E"/>
    <w:rsid w:val="007065C5"/>
    <w:rsid w:val="007068E1"/>
    <w:rsid w:val="00706AA0"/>
    <w:rsid w:val="00706AD4"/>
    <w:rsid w:val="00707150"/>
    <w:rsid w:val="007079E5"/>
    <w:rsid w:val="00707CA3"/>
    <w:rsid w:val="00707FD9"/>
    <w:rsid w:val="00710CE8"/>
    <w:rsid w:val="00711A9E"/>
    <w:rsid w:val="007124D7"/>
    <w:rsid w:val="00712C20"/>
    <w:rsid w:val="00712E1F"/>
    <w:rsid w:val="007132CA"/>
    <w:rsid w:val="0071333D"/>
    <w:rsid w:val="00713549"/>
    <w:rsid w:val="0071399A"/>
    <w:rsid w:val="007140BE"/>
    <w:rsid w:val="007147AB"/>
    <w:rsid w:val="00715231"/>
    <w:rsid w:val="00715502"/>
    <w:rsid w:val="00715D01"/>
    <w:rsid w:val="00715E4D"/>
    <w:rsid w:val="00715F12"/>
    <w:rsid w:val="0071677A"/>
    <w:rsid w:val="00716F48"/>
    <w:rsid w:val="007170FB"/>
    <w:rsid w:val="00717114"/>
    <w:rsid w:val="0071779F"/>
    <w:rsid w:val="007201A6"/>
    <w:rsid w:val="00720310"/>
    <w:rsid w:val="00720D7A"/>
    <w:rsid w:val="007211F5"/>
    <w:rsid w:val="007213C3"/>
    <w:rsid w:val="00721601"/>
    <w:rsid w:val="00721BC1"/>
    <w:rsid w:val="00721BE1"/>
    <w:rsid w:val="00722727"/>
    <w:rsid w:val="00722777"/>
    <w:rsid w:val="0072306E"/>
    <w:rsid w:val="00723401"/>
    <w:rsid w:val="00723435"/>
    <w:rsid w:val="00723436"/>
    <w:rsid w:val="0072396B"/>
    <w:rsid w:val="007240E2"/>
    <w:rsid w:val="0072454C"/>
    <w:rsid w:val="0072583E"/>
    <w:rsid w:val="0072594F"/>
    <w:rsid w:val="00725B5F"/>
    <w:rsid w:val="00725BB5"/>
    <w:rsid w:val="00726788"/>
    <w:rsid w:val="00727C02"/>
    <w:rsid w:val="00727EE2"/>
    <w:rsid w:val="0073008E"/>
    <w:rsid w:val="00730884"/>
    <w:rsid w:val="00730A8B"/>
    <w:rsid w:val="00730AE8"/>
    <w:rsid w:val="00730CB4"/>
    <w:rsid w:val="00730D59"/>
    <w:rsid w:val="00730F1B"/>
    <w:rsid w:val="0073186D"/>
    <w:rsid w:val="007324A6"/>
    <w:rsid w:val="0073261D"/>
    <w:rsid w:val="0073333D"/>
    <w:rsid w:val="007343D9"/>
    <w:rsid w:val="00734F71"/>
    <w:rsid w:val="00735448"/>
    <w:rsid w:val="00735749"/>
    <w:rsid w:val="00736F07"/>
    <w:rsid w:val="00737557"/>
    <w:rsid w:val="007377BD"/>
    <w:rsid w:val="00737DEC"/>
    <w:rsid w:val="0074004D"/>
    <w:rsid w:val="00741493"/>
    <w:rsid w:val="00741B6B"/>
    <w:rsid w:val="00741F2A"/>
    <w:rsid w:val="0074333D"/>
    <w:rsid w:val="007434E5"/>
    <w:rsid w:val="00743884"/>
    <w:rsid w:val="007446AB"/>
    <w:rsid w:val="0074499B"/>
    <w:rsid w:val="007449D6"/>
    <w:rsid w:val="00744FC1"/>
    <w:rsid w:val="0074501E"/>
    <w:rsid w:val="007450BF"/>
    <w:rsid w:val="0074518B"/>
    <w:rsid w:val="0074599A"/>
    <w:rsid w:val="00746EE5"/>
    <w:rsid w:val="00746F45"/>
    <w:rsid w:val="007471A1"/>
    <w:rsid w:val="007477BD"/>
    <w:rsid w:val="007477DA"/>
    <w:rsid w:val="007477ED"/>
    <w:rsid w:val="00747EE9"/>
    <w:rsid w:val="0075016F"/>
    <w:rsid w:val="007520B6"/>
    <w:rsid w:val="00752180"/>
    <w:rsid w:val="00752323"/>
    <w:rsid w:val="007532B7"/>
    <w:rsid w:val="00753CAB"/>
    <w:rsid w:val="00754A70"/>
    <w:rsid w:val="00754BC9"/>
    <w:rsid w:val="00754FB0"/>
    <w:rsid w:val="00755202"/>
    <w:rsid w:val="00755D3A"/>
    <w:rsid w:val="00757241"/>
    <w:rsid w:val="0075751D"/>
    <w:rsid w:val="0075763E"/>
    <w:rsid w:val="007578D3"/>
    <w:rsid w:val="00757D7C"/>
    <w:rsid w:val="007601AE"/>
    <w:rsid w:val="007601D2"/>
    <w:rsid w:val="007602CF"/>
    <w:rsid w:val="00760391"/>
    <w:rsid w:val="0076052B"/>
    <w:rsid w:val="007609C6"/>
    <w:rsid w:val="007615F3"/>
    <w:rsid w:val="00761625"/>
    <w:rsid w:val="0076175D"/>
    <w:rsid w:val="0076190A"/>
    <w:rsid w:val="00761A96"/>
    <w:rsid w:val="00761CB5"/>
    <w:rsid w:val="00761F7B"/>
    <w:rsid w:val="007629D5"/>
    <w:rsid w:val="007635F8"/>
    <w:rsid w:val="0076384E"/>
    <w:rsid w:val="00763A88"/>
    <w:rsid w:val="00763B23"/>
    <w:rsid w:val="00763B85"/>
    <w:rsid w:val="00763DAC"/>
    <w:rsid w:val="00764341"/>
    <w:rsid w:val="007644A2"/>
    <w:rsid w:val="00764974"/>
    <w:rsid w:val="00764D18"/>
    <w:rsid w:val="0076521E"/>
    <w:rsid w:val="0076579C"/>
    <w:rsid w:val="00765928"/>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5CC"/>
    <w:rsid w:val="00772DAB"/>
    <w:rsid w:val="00772FF9"/>
    <w:rsid w:val="0077348B"/>
    <w:rsid w:val="00773B76"/>
    <w:rsid w:val="00773BF4"/>
    <w:rsid w:val="00773F5D"/>
    <w:rsid w:val="00774269"/>
    <w:rsid w:val="007743DB"/>
    <w:rsid w:val="0077452E"/>
    <w:rsid w:val="00774D2C"/>
    <w:rsid w:val="00775E00"/>
    <w:rsid w:val="0077605B"/>
    <w:rsid w:val="00776169"/>
    <w:rsid w:val="00776527"/>
    <w:rsid w:val="00776783"/>
    <w:rsid w:val="00777040"/>
    <w:rsid w:val="00777CE6"/>
    <w:rsid w:val="00777D57"/>
    <w:rsid w:val="00780BF0"/>
    <w:rsid w:val="00780EF1"/>
    <w:rsid w:val="007819B2"/>
    <w:rsid w:val="00781A91"/>
    <w:rsid w:val="00781AD3"/>
    <w:rsid w:val="00781B70"/>
    <w:rsid w:val="00781F36"/>
    <w:rsid w:val="00782E4D"/>
    <w:rsid w:val="00783339"/>
    <w:rsid w:val="00783576"/>
    <w:rsid w:val="00783810"/>
    <w:rsid w:val="007838D8"/>
    <w:rsid w:val="00784276"/>
    <w:rsid w:val="0078440C"/>
    <w:rsid w:val="00784980"/>
    <w:rsid w:val="00784D45"/>
    <w:rsid w:val="007853FD"/>
    <w:rsid w:val="00785778"/>
    <w:rsid w:val="00786C87"/>
    <w:rsid w:val="00786CD1"/>
    <w:rsid w:val="007873BE"/>
    <w:rsid w:val="0078755E"/>
    <w:rsid w:val="007877C9"/>
    <w:rsid w:val="00790764"/>
    <w:rsid w:val="007907D5"/>
    <w:rsid w:val="0079085F"/>
    <w:rsid w:val="00790E96"/>
    <w:rsid w:val="00791005"/>
    <w:rsid w:val="0079139B"/>
    <w:rsid w:val="00793D78"/>
    <w:rsid w:val="007940EB"/>
    <w:rsid w:val="0079420B"/>
    <w:rsid w:val="0079453C"/>
    <w:rsid w:val="0079457A"/>
    <w:rsid w:val="00794677"/>
    <w:rsid w:val="00795367"/>
    <w:rsid w:val="00795759"/>
    <w:rsid w:val="00795788"/>
    <w:rsid w:val="00795B47"/>
    <w:rsid w:val="00797D3C"/>
    <w:rsid w:val="007A0B5E"/>
    <w:rsid w:val="007A0C93"/>
    <w:rsid w:val="007A147A"/>
    <w:rsid w:val="007A15BA"/>
    <w:rsid w:val="007A16E3"/>
    <w:rsid w:val="007A170B"/>
    <w:rsid w:val="007A20EB"/>
    <w:rsid w:val="007A236B"/>
    <w:rsid w:val="007A282C"/>
    <w:rsid w:val="007A293C"/>
    <w:rsid w:val="007A2A3A"/>
    <w:rsid w:val="007A33E2"/>
    <w:rsid w:val="007A3CAF"/>
    <w:rsid w:val="007A4551"/>
    <w:rsid w:val="007A4664"/>
    <w:rsid w:val="007A4782"/>
    <w:rsid w:val="007A516D"/>
    <w:rsid w:val="007A51C9"/>
    <w:rsid w:val="007A5E65"/>
    <w:rsid w:val="007A5FEE"/>
    <w:rsid w:val="007A65E1"/>
    <w:rsid w:val="007A6A6E"/>
    <w:rsid w:val="007A6AAA"/>
    <w:rsid w:val="007A6FF6"/>
    <w:rsid w:val="007A7033"/>
    <w:rsid w:val="007A775D"/>
    <w:rsid w:val="007B02AD"/>
    <w:rsid w:val="007B04B0"/>
    <w:rsid w:val="007B0834"/>
    <w:rsid w:val="007B0E83"/>
    <w:rsid w:val="007B112B"/>
    <w:rsid w:val="007B11FA"/>
    <w:rsid w:val="007B1396"/>
    <w:rsid w:val="007B16D6"/>
    <w:rsid w:val="007B1D1B"/>
    <w:rsid w:val="007B1E3F"/>
    <w:rsid w:val="007B2011"/>
    <w:rsid w:val="007B2221"/>
    <w:rsid w:val="007B23E7"/>
    <w:rsid w:val="007B2CFE"/>
    <w:rsid w:val="007B309B"/>
    <w:rsid w:val="007B37AB"/>
    <w:rsid w:val="007B3BB3"/>
    <w:rsid w:val="007B3D5E"/>
    <w:rsid w:val="007B3DCB"/>
    <w:rsid w:val="007B46BF"/>
    <w:rsid w:val="007B54AE"/>
    <w:rsid w:val="007B5725"/>
    <w:rsid w:val="007B5C1F"/>
    <w:rsid w:val="007B5D3E"/>
    <w:rsid w:val="007B5F59"/>
    <w:rsid w:val="007B6319"/>
    <w:rsid w:val="007B6689"/>
    <w:rsid w:val="007B6747"/>
    <w:rsid w:val="007B6F72"/>
    <w:rsid w:val="007B74AA"/>
    <w:rsid w:val="007B756F"/>
    <w:rsid w:val="007B7AD3"/>
    <w:rsid w:val="007B7D1A"/>
    <w:rsid w:val="007C0D78"/>
    <w:rsid w:val="007C10BD"/>
    <w:rsid w:val="007C162D"/>
    <w:rsid w:val="007C1A03"/>
    <w:rsid w:val="007C1A88"/>
    <w:rsid w:val="007C1DD4"/>
    <w:rsid w:val="007C1F0C"/>
    <w:rsid w:val="007C1FFB"/>
    <w:rsid w:val="007C2767"/>
    <w:rsid w:val="007C2D94"/>
    <w:rsid w:val="007C4A6B"/>
    <w:rsid w:val="007C5F92"/>
    <w:rsid w:val="007C6227"/>
    <w:rsid w:val="007C6319"/>
    <w:rsid w:val="007C634E"/>
    <w:rsid w:val="007C63DB"/>
    <w:rsid w:val="007C64F7"/>
    <w:rsid w:val="007C6970"/>
    <w:rsid w:val="007C6BBD"/>
    <w:rsid w:val="007C6D89"/>
    <w:rsid w:val="007C6F5E"/>
    <w:rsid w:val="007D0382"/>
    <w:rsid w:val="007D08F2"/>
    <w:rsid w:val="007D0F6B"/>
    <w:rsid w:val="007D14FE"/>
    <w:rsid w:val="007D1A1F"/>
    <w:rsid w:val="007D213B"/>
    <w:rsid w:val="007D2783"/>
    <w:rsid w:val="007D2E18"/>
    <w:rsid w:val="007D3A68"/>
    <w:rsid w:val="007D3EF3"/>
    <w:rsid w:val="007D40DF"/>
    <w:rsid w:val="007D42E5"/>
    <w:rsid w:val="007D4458"/>
    <w:rsid w:val="007D4FA5"/>
    <w:rsid w:val="007D579C"/>
    <w:rsid w:val="007D62F0"/>
    <w:rsid w:val="007D65C3"/>
    <w:rsid w:val="007D6AF9"/>
    <w:rsid w:val="007D7646"/>
    <w:rsid w:val="007D7763"/>
    <w:rsid w:val="007D7F4F"/>
    <w:rsid w:val="007E01E9"/>
    <w:rsid w:val="007E0535"/>
    <w:rsid w:val="007E07F2"/>
    <w:rsid w:val="007E0D4A"/>
    <w:rsid w:val="007E0E91"/>
    <w:rsid w:val="007E1788"/>
    <w:rsid w:val="007E1EE3"/>
    <w:rsid w:val="007E29B4"/>
    <w:rsid w:val="007E2C81"/>
    <w:rsid w:val="007E2DD4"/>
    <w:rsid w:val="007E2F12"/>
    <w:rsid w:val="007E32AE"/>
    <w:rsid w:val="007E354A"/>
    <w:rsid w:val="007E3627"/>
    <w:rsid w:val="007E413C"/>
    <w:rsid w:val="007E435A"/>
    <w:rsid w:val="007E445C"/>
    <w:rsid w:val="007E49F7"/>
    <w:rsid w:val="007E4C70"/>
    <w:rsid w:val="007E5149"/>
    <w:rsid w:val="007E532F"/>
    <w:rsid w:val="007E5759"/>
    <w:rsid w:val="007E585C"/>
    <w:rsid w:val="007E5B19"/>
    <w:rsid w:val="007E5B5F"/>
    <w:rsid w:val="007E69C6"/>
    <w:rsid w:val="007E78B6"/>
    <w:rsid w:val="007E7E61"/>
    <w:rsid w:val="007F0845"/>
    <w:rsid w:val="007F0873"/>
    <w:rsid w:val="007F20F3"/>
    <w:rsid w:val="007F2353"/>
    <w:rsid w:val="007F2390"/>
    <w:rsid w:val="007F2CAC"/>
    <w:rsid w:val="007F2DFD"/>
    <w:rsid w:val="007F3546"/>
    <w:rsid w:val="007F3CB6"/>
    <w:rsid w:val="007F4740"/>
    <w:rsid w:val="007F595A"/>
    <w:rsid w:val="007F5C38"/>
    <w:rsid w:val="007F708D"/>
    <w:rsid w:val="007F727E"/>
    <w:rsid w:val="007F72E3"/>
    <w:rsid w:val="007F7E3F"/>
    <w:rsid w:val="008006B3"/>
    <w:rsid w:val="00800B63"/>
    <w:rsid w:val="0080158A"/>
    <w:rsid w:val="00801BFE"/>
    <w:rsid w:val="00801E13"/>
    <w:rsid w:val="00802791"/>
    <w:rsid w:val="00802B5F"/>
    <w:rsid w:val="00803008"/>
    <w:rsid w:val="00803069"/>
    <w:rsid w:val="0080346B"/>
    <w:rsid w:val="00803E08"/>
    <w:rsid w:val="00804155"/>
    <w:rsid w:val="00804C40"/>
    <w:rsid w:val="00804C9F"/>
    <w:rsid w:val="008054A3"/>
    <w:rsid w:val="0080559E"/>
    <w:rsid w:val="00805AF3"/>
    <w:rsid w:val="0080621E"/>
    <w:rsid w:val="00806955"/>
    <w:rsid w:val="00806C9C"/>
    <w:rsid w:val="008071B1"/>
    <w:rsid w:val="0080734C"/>
    <w:rsid w:val="00807BC0"/>
    <w:rsid w:val="00807C82"/>
    <w:rsid w:val="008107EE"/>
    <w:rsid w:val="008117CC"/>
    <w:rsid w:val="00811FF8"/>
    <w:rsid w:val="0081249F"/>
    <w:rsid w:val="00812708"/>
    <w:rsid w:val="00813D58"/>
    <w:rsid w:val="00813DCA"/>
    <w:rsid w:val="008147B9"/>
    <w:rsid w:val="00814F45"/>
    <w:rsid w:val="00815B3A"/>
    <w:rsid w:val="00815EE3"/>
    <w:rsid w:val="008161A6"/>
    <w:rsid w:val="008165B8"/>
    <w:rsid w:val="00816905"/>
    <w:rsid w:val="00816D98"/>
    <w:rsid w:val="00816E42"/>
    <w:rsid w:val="00817040"/>
    <w:rsid w:val="00817A17"/>
    <w:rsid w:val="00817EC1"/>
    <w:rsid w:val="0082112D"/>
    <w:rsid w:val="00821624"/>
    <w:rsid w:val="008217C1"/>
    <w:rsid w:val="00821B4F"/>
    <w:rsid w:val="00821FF6"/>
    <w:rsid w:val="00822574"/>
    <w:rsid w:val="00822980"/>
    <w:rsid w:val="00822F08"/>
    <w:rsid w:val="00824BA6"/>
    <w:rsid w:val="00824BF4"/>
    <w:rsid w:val="00825007"/>
    <w:rsid w:val="00825120"/>
    <w:rsid w:val="0082528D"/>
    <w:rsid w:val="00825C4D"/>
    <w:rsid w:val="0082654E"/>
    <w:rsid w:val="00826A08"/>
    <w:rsid w:val="00826AC0"/>
    <w:rsid w:val="00826C77"/>
    <w:rsid w:val="00826D45"/>
    <w:rsid w:val="00827186"/>
    <w:rsid w:val="00827C8E"/>
    <w:rsid w:val="00830569"/>
    <w:rsid w:val="00830AEA"/>
    <w:rsid w:val="00830E86"/>
    <w:rsid w:val="0083143E"/>
    <w:rsid w:val="008315B8"/>
    <w:rsid w:val="008315D5"/>
    <w:rsid w:val="00831CDE"/>
    <w:rsid w:val="00831F2B"/>
    <w:rsid w:val="008320CF"/>
    <w:rsid w:val="0083245D"/>
    <w:rsid w:val="008324A3"/>
    <w:rsid w:val="00832A1C"/>
    <w:rsid w:val="00832F77"/>
    <w:rsid w:val="00834304"/>
    <w:rsid w:val="008343CE"/>
    <w:rsid w:val="0083471A"/>
    <w:rsid w:val="00834FAA"/>
    <w:rsid w:val="00835495"/>
    <w:rsid w:val="008354FB"/>
    <w:rsid w:val="008357DA"/>
    <w:rsid w:val="00835FF1"/>
    <w:rsid w:val="00836086"/>
    <w:rsid w:val="0083630F"/>
    <w:rsid w:val="00836A06"/>
    <w:rsid w:val="008374BC"/>
    <w:rsid w:val="008379D6"/>
    <w:rsid w:val="00837E48"/>
    <w:rsid w:val="00840293"/>
    <w:rsid w:val="008402AD"/>
    <w:rsid w:val="008408D4"/>
    <w:rsid w:val="00840C73"/>
    <w:rsid w:val="008414EE"/>
    <w:rsid w:val="008417B5"/>
    <w:rsid w:val="00841901"/>
    <w:rsid w:val="00842701"/>
    <w:rsid w:val="0084473C"/>
    <w:rsid w:val="00844998"/>
    <w:rsid w:val="008458A0"/>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294C"/>
    <w:rsid w:val="00852B1F"/>
    <w:rsid w:val="00853282"/>
    <w:rsid w:val="0085334C"/>
    <w:rsid w:val="00853CE7"/>
    <w:rsid w:val="00854291"/>
    <w:rsid w:val="00854806"/>
    <w:rsid w:val="00855408"/>
    <w:rsid w:val="00855D03"/>
    <w:rsid w:val="00856030"/>
    <w:rsid w:val="00856AA1"/>
    <w:rsid w:val="00856D65"/>
    <w:rsid w:val="00856FA4"/>
    <w:rsid w:val="008603CA"/>
    <w:rsid w:val="00860D79"/>
    <w:rsid w:val="00861B41"/>
    <w:rsid w:val="00861B9F"/>
    <w:rsid w:val="00861BE3"/>
    <w:rsid w:val="00861EB6"/>
    <w:rsid w:val="008620A3"/>
    <w:rsid w:val="008625D3"/>
    <w:rsid w:val="00862C0A"/>
    <w:rsid w:val="00862C86"/>
    <w:rsid w:val="00863434"/>
    <w:rsid w:val="0086344F"/>
    <w:rsid w:val="008641AC"/>
    <w:rsid w:val="0086484F"/>
    <w:rsid w:val="00865C4B"/>
    <w:rsid w:val="00865DDD"/>
    <w:rsid w:val="00865E4C"/>
    <w:rsid w:val="00865E80"/>
    <w:rsid w:val="00866074"/>
    <w:rsid w:val="00867546"/>
    <w:rsid w:val="0086796D"/>
    <w:rsid w:val="00867DAB"/>
    <w:rsid w:val="0087000B"/>
    <w:rsid w:val="008701E4"/>
    <w:rsid w:val="008704E9"/>
    <w:rsid w:val="008705FB"/>
    <w:rsid w:val="00870ECD"/>
    <w:rsid w:val="00871B86"/>
    <w:rsid w:val="0087347C"/>
    <w:rsid w:val="008734E7"/>
    <w:rsid w:val="0087368D"/>
    <w:rsid w:val="008740CC"/>
    <w:rsid w:val="0087442A"/>
    <w:rsid w:val="00874578"/>
    <w:rsid w:val="00874904"/>
    <w:rsid w:val="00874FE8"/>
    <w:rsid w:val="00875A32"/>
    <w:rsid w:val="00875CC1"/>
    <w:rsid w:val="00876086"/>
    <w:rsid w:val="00876651"/>
    <w:rsid w:val="00876E83"/>
    <w:rsid w:val="0087722C"/>
    <w:rsid w:val="008772BC"/>
    <w:rsid w:val="00877957"/>
    <w:rsid w:val="00880A0E"/>
    <w:rsid w:val="00880DD7"/>
    <w:rsid w:val="008817FE"/>
    <w:rsid w:val="008819EB"/>
    <w:rsid w:val="00881CD7"/>
    <w:rsid w:val="00881DFE"/>
    <w:rsid w:val="00882911"/>
    <w:rsid w:val="00882F6E"/>
    <w:rsid w:val="00883202"/>
    <w:rsid w:val="00884E02"/>
    <w:rsid w:val="0088502B"/>
    <w:rsid w:val="00885D40"/>
    <w:rsid w:val="0088657A"/>
    <w:rsid w:val="00886E94"/>
    <w:rsid w:val="008873D4"/>
    <w:rsid w:val="008902A5"/>
    <w:rsid w:val="00890CB1"/>
    <w:rsid w:val="00891EDF"/>
    <w:rsid w:val="00892872"/>
    <w:rsid w:val="0089296D"/>
    <w:rsid w:val="00893E85"/>
    <w:rsid w:val="00893EBE"/>
    <w:rsid w:val="00893F50"/>
    <w:rsid w:val="00894031"/>
    <w:rsid w:val="00894C5D"/>
    <w:rsid w:val="00895508"/>
    <w:rsid w:val="0089570B"/>
    <w:rsid w:val="00895797"/>
    <w:rsid w:val="008962CD"/>
    <w:rsid w:val="008967E9"/>
    <w:rsid w:val="00896A5C"/>
    <w:rsid w:val="00896DF6"/>
    <w:rsid w:val="00897155"/>
    <w:rsid w:val="008972D2"/>
    <w:rsid w:val="0089754C"/>
    <w:rsid w:val="00897CFA"/>
    <w:rsid w:val="008A0659"/>
    <w:rsid w:val="008A0ADD"/>
    <w:rsid w:val="008A0D27"/>
    <w:rsid w:val="008A1C59"/>
    <w:rsid w:val="008A2254"/>
    <w:rsid w:val="008A37E2"/>
    <w:rsid w:val="008A388E"/>
    <w:rsid w:val="008A394E"/>
    <w:rsid w:val="008A3C28"/>
    <w:rsid w:val="008A3CBA"/>
    <w:rsid w:val="008A3D90"/>
    <w:rsid w:val="008A4278"/>
    <w:rsid w:val="008A4B59"/>
    <w:rsid w:val="008A55F4"/>
    <w:rsid w:val="008A63E1"/>
    <w:rsid w:val="008A66B7"/>
    <w:rsid w:val="008A68BB"/>
    <w:rsid w:val="008A6AA5"/>
    <w:rsid w:val="008A7127"/>
    <w:rsid w:val="008B02E7"/>
    <w:rsid w:val="008B0472"/>
    <w:rsid w:val="008B0CBA"/>
    <w:rsid w:val="008B1850"/>
    <w:rsid w:val="008B1860"/>
    <w:rsid w:val="008B2639"/>
    <w:rsid w:val="008B3537"/>
    <w:rsid w:val="008B35C1"/>
    <w:rsid w:val="008B3690"/>
    <w:rsid w:val="008B3A80"/>
    <w:rsid w:val="008B3AEC"/>
    <w:rsid w:val="008B3C07"/>
    <w:rsid w:val="008B3C6E"/>
    <w:rsid w:val="008B3F7B"/>
    <w:rsid w:val="008B43CA"/>
    <w:rsid w:val="008B4575"/>
    <w:rsid w:val="008B4758"/>
    <w:rsid w:val="008B51B7"/>
    <w:rsid w:val="008B5324"/>
    <w:rsid w:val="008B5C99"/>
    <w:rsid w:val="008B6106"/>
    <w:rsid w:val="008B65A8"/>
    <w:rsid w:val="008B697D"/>
    <w:rsid w:val="008B7C02"/>
    <w:rsid w:val="008B7D2B"/>
    <w:rsid w:val="008B7EF9"/>
    <w:rsid w:val="008C0049"/>
    <w:rsid w:val="008C025A"/>
    <w:rsid w:val="008C0314"/>
    <w:rsid w:val="008C056C"/>
    <w:rsid w:val="008C0654"/>
    <w:rsid w:val="008C0680"/>
    <w:rsid w:val="008C0E88"/>
    <w:rsid w:val="008C0EBE"/>
    <w:rsid w:val="008C1717"/>
    <w:rsid w:val="008C17F0"/>
    <w:rsid w:val="008C1D26"/>
    <w:rsid w:val="008C301D"/>
    <w:rsid w:val="008C3A32"/>
    <w:rsid w:val="008C3B05"/>
    <w:rsid w:val="008C451F"/>
    <w:rsid w:val="008C471B"/>
    <w:rsid w:val="008C4B50"/>
    <w:rsid w:val="008C5A37"/>
    <w:rsid w:val="008C6CD6"/>
    <w:rsid w:val="008C7303"/>
    <w:rsid w:val="008C7569"/>
    <w:rsid w:val="008C79C3"/>
    <w:rsid w:val="008D006F"/>
    <w:rsid w:val="008D033D"/>
    <w:rsid w:val="008D06A2"/>
    <w:rsid w:val="008D0C2A"/>
    <w:rsid w:val="008D0DBD"/>
    <w:rsid w:val="008D117E"/>
    <w:rsid w:val="008D127E"/>
    <w:rsid w:val="008D1CA8"/>
    <w:rsid w:val="008D1E0A"/>
    <w:rsid w:val="008D1E6A"/>
    <w:rsid w:val="008D1FD3"/>
    <w:rsid w:val="008D2304"/>
    <w:rsid w:val="008D2407"/>
    <w:rsid w:val="008D2A16"/>
    <w:rsid w:val="008D2AAF"/>
    <w:rsid w:val="008D2ABB"/>
    <w:rsid w:val="008D2AEC"/>
    <w:rsid w:val="008D2CB5"/>
    <w:rsid w:val="008D3295"/>
    <w:rsid w:val="008D33F5"/>
    <w:rsid w:val="008D35E4"/>
    <w:rsid w:val="008D3ACD"/>
    <w:rsid w:val="008D3D21"/>
    <w:rsid w:val="008D3ECE"/>
    <w:rsid w:val="008D400B"/>
    <w:rsid w:val="008D50FA"/>
    <w:rsid w:val="008D6C3A"/>
    <w:rsid w:val="008D70E2"/>
    <w:rsid w:val="008D7F47"/>
    <w:rsid w:val="008D7FF4"/>
    <w:rsid w:val="008E0001"/>
    <w:rsid w:val="008E0243"/>
    <w:rsid w:val="008E039E"/>
    <w:rsid w:val="008E1697"/>
    <w:rsid w:val="008E18EC"/>
    <w:rsid w:val="008E292B"/>
    <w:rsid w:val="008E2C57"/>
    <w:rsid w:val="008E31FF"/>
    <w:rsid w:val="008E3287"/>
    <w:rsid w:val="008E38E4"/>
    <w:rsid w:val="008E3D0D"/>
    <w:rsid w:val="008E3DFA"/>
    <w:rsid w:val="008E419B"/>
    <w:rsid w:val="008E4566"/>
    <w:rsid w:val="008E487E"/>
    <w:rsid w:val="008E4C65"/>
    <w:rsid w:val="008E51EB"/>
    <w:rsid w:val="008E5274"/>
    <w:rsid w:val="008E5746"/>
    <w:rsid w:val="008E64D7"/>
    <w:rsid w:val="008E6DCB"/>
    <w:rsid w:val="008E6E5D"/>
    <w:rsid w:val="008E6F06"/>
    <w:rsid w:val="008E7000"/>
    <w:rsid w:val="008E7039"/>
    <w:rsid w:val="008E723E"/>
    <w:rsid w:val="008E7B8E"/>
    <w:rsid w:val="008E7FC9"/>
    <w:rsid w:val="008F0107"/>
    <w:rsid w:val="008F029B"/>
    <w:rsid w:val="008F0589"/>
    <w:rsid w:val="008F130B"/>
    <w:rsid w:val="008F26D4"/>
    <w:rsid w:val="008F2A5D"/>
    <w:rsid w:val="008F2BC7"/>
    <w:rsid w:val="008F2E83"/>
    <w:rsid w:val="008F3636"/>
    <w:rsid w:val="008F3E91"/>
    <w:rsid w:val="008F3FC9"/>
    <w:rsid w:val="008F418F"/>
    <w:rsid w:val="008F4D9C"/>
    <w:rsid w:val="008F509F"/>
    <w:rsid w:val="008F525A"/>
    <w:rsid w:val="008F5383"/>
    <w:rsid w:val="008F585B"/>
    <w:rsid w:val="008F631F"/>
    <w:rsid w:val="008F77CC"/>
    <w:rsid w:val="008F7FB0"/>
    <w:rsid w:val="009003A8"/>
    <w:rsid w:val="009005E4"/>
    <w:rsid w:val="00900977"/>
    <w:rsid w:val="0090165B"/>
    <w:rsid w:val="00901D43"/>
    <w:rsid w:val="00901F6D"/>
    <w:rsid w:val="009021DA"/>
    <w:rsid w:val="00902337"/>
    <w:rsid w:val="00902500"/>
    <w:rsid w:val="00902EFF"/>
    <w:rsid w:val="0090356D"/>
    <w:rsid w:val="00903A8E"/>
    <w:rsid w:val="0090432C"/>
    <w:rsid w:val="00904F96"/>
    <w:rsid w:val="009052A3"/>
    <w:rsid w:val="00905314"/>
    <w:rsid w:val="009056D7"/>
    <w:rsid w:val="00905B8D"/>
    <w:rsid w:val="00906401"/>
    <w:rsid w:val="009065CB"/>
    <w:rsid w:val="0090674A"/>
    <w:rsid w:val="009067EA"/>
    <w:rsid w:val="00906860"/>
    <w:rsid w:val="00906B79"/>
    <w:rsid w:val="0090786F"/>
    <w:rsid w:val="0091001E"/>
    <w:rsid w:val="009101D4"/>
    <w:rsid w:val="00910702"/>
    <w:rsid w:val="00910C18"/>
    <w:rsid w:val="009110F7"/>
    <w:rsid w:val="009112E3"/>
    <w:rsid w:val="0091155E"/>
    <w:rsid w:val="00912437"/>
    <w:rsid w:val="00912A92"/>
    <w:rsid w:val="00912AF9"/>
    <w:rsid w:val="00913237"/>
    <w:rsid w:val="00913B36"/>
    <w:rsid w:val="0091476D"/>
    <w:rsid w:val="00914DFA"/>
    <w:rsid w:val="009154EF"/>
    <w:rsid w:val="00915D07"/>
    <w:rsid w:val="009162AE"/>
    <w:rsid w:val="009165BB"/>
    <w:rsid w:val="00917154"/>
    <w:rsid w:val="00917251"/>
    <w:rsid w:val="0091728D"/>
    <w:rsid w:val="0092008B"/>
    <w:rsid w:val="0092036B"/>
    <w:rsid w:val="009203CC"/>
    <w:rsid w:val="00920EC4"/>
    <w:rsid w:val="0092180B"/>
    <w:rsid w:val="00921F14"/>
    <w:rsid w:val="0092292F"/>
    <w:rsid w:val="00922D28"/>
    <w:rsid w:val="00923322"/>
    <w:rsid w:val="009233B9"/>
    <w:rsid w:val="00923CB0"/>
    <w:rsid w:val="00923D8C"/>
    <w:rsid w:val="00924871"/>
    <w:rsid w:val="00924AC8"/>
    <w:rsid w:val="00925429"/>
    <w:rsid w:val="00925488"/>
    <w:rsid w:val="00925615"/>
    <w:rsid w:val="00925795"/>
    <w:rsid w:val="0092597A"/>
    <w:rsid w:val="00926520"/>
    <w:rsid w:val="0092691E"/>
    <w:rsid w:val="00926B2B"/>
    <w:rsid w:val="00926CF0"/>
    <w:rsid w:val="009273A9"/>
    <w:rsid w:val="00930251"/>
    <w:rsid w:val="0093033E"/>
    <w:rsid w:val="009305FC"/>
    <w:rsid w:val="00930FB1"/>
    <w:rsid w:val="0093104E"/>
    <w:rsid w:val="0093139F"/>
    <w:rsid w:val="00932117"/>
    <w:rsid w:val="00932239"/>
    <w:rsid w:val="00932443"/>
    <w:rsid w:val="00932A09"/>
    <w:rsid w:val="00932B32"/>
    <w:rsid w:val="00932E00"/>
    <w:rsid w:val="00932F66"/>
    <w:rsid w:val="0093305E"/>
    <w:rsid w:val="009332D2"/>
    <w:rsid w:val="00933959"/>
    <w:rsid w:val="00933E43"/>
    <w:rsid w:val="00933F4A"/>
    <w:rsid w:val="00933FEB"/>
    <w:rsid w:val="009341F1"/>
    <w:rsid w:val="00934897"/>
    <w:rsid w:val="00934B2A"/>
    <w:rsid w:val="00934C3C"/>
    <w:rsid w:val="00934FF2"/>
    <w:rsid w:val="00935448"/>
    <w:rsid w:val="00935524"/>
    <w:rsid w:val="009358D7"/>
    <w:rsid w:val="00935BD4"/>
    <w:rsid w:val="00935DFE"/>
    <w:rsid w:val="00935F70"/>
    <w:rsid w:val="009360FA"/>
    <w:rsid w:val="009361BA"/>
    <w:rsid w:val="0093648B"/>
    <w:rsid w:val="00937017"/>
    <w:rsid w:val="009373B2"/>
    <w:rsid w:val="00937AE2"/>
    <w:rsid w:val="00940207"/>
    <w:rsid w:val="0094061F"/>
    <w:rsid w:val="00940C37"/>
    <w:rsid w:val="00940F0F"/>
    <w:rsid w:val="00941912"/>
    <w:rsid w:val="00942A89"/>
    <w:rsid w:val="0094416B"/>
    <w:rsid w:val="0094427A"/>
    <w:rsid w:val="009449C6"/>
    <w:rsid w:val="00944C7C"/>
    <w:rsid w:val="00945245"/>
    <w:rsid w:val="0094537F"/>
    <w:rsid w:val="00945523"/>
    <w:rsid w:val="00946415"/>
    <w:rsid w:val="00946C43"/>
    <w:rsid w:val="00946FE0"/>
    <w:rsid w:val="009473BB"/>
    <w:rsid w:val="00947816"/>
    <w:rsid w:val="0094795E"/>
    <w:rsid w:val="00947C89"/>
    <w:rsid w:val="009507E6"/>
    <w:rsid w:val="00950921"/>
    <w:rsid w:val="00951D68"/>
    <w:rsid w:val="00951E5B"/>
    <w:rsid w:val="00952050"/>
    <w:rsid w:val="00952315"/>
    <w:rsid w:val="009523D9"/>
    <w:rsid w:val="00952B7B"/>
    <w:rsid w:val="00952BEF"/>
    <w:rsid w:val="0095357B"/>
    <w:rsid w:val="009538B3"/>
    <w:rsid w:val="0095408D"/>
    <w:rsid w:val="00954F39"/>
    <w:rsid w:val="00955554"/>
    <w:rsid w:val="009555FD"/>
    <w:rsid w:val="00955BAD"/>
    <w:rsid w:val="0095664B"/>
    <w:rsid w:val="009568DC"/>
    <w:rsid w:val="00956B8B"/>
    <w:rsid w:val="00956D75"/>
    <w:rsid w:val="00957140"/>
    <w:rsid w:val="00957445"/>
    <w:rsid w:val="0095759C"/>
    <w:rsid w:val="00960405"/>
    <w:rsid w:val="009618EE"/>
    <w:rsid w:val="0096195C"/>
    <w:rsid w:val="00961CB4"/>
    <w:rsid w:val="00961DDD"/>
    <w:rsid w:val="0096249D"/>
    <w:rsid w:val="009624D2"/>
    <w:rsid w:val="009628D9"/>
    <w:rsid w:val="00963171"/>
    <w:rsid w:val="009637AE"/>
    <w:rsid w:val="00963A06"/>
    <w:rsid w:val="00964068"/>
    <w:rsid w:val="009640F6"/>
    <w:rsid w:val="0096469D"/>
    <w:rsid w:val="00964776"/>
    <w:rsid w:val="00964A4E"/>
    <w:rsid w:val="00964B35"/>
    <w:rsid w:val="009651C7"/>
    <w:rsid w:val="00965797"/>
    <w:rsid w:val="00965A10"/>
    <w:rsid w:val="00965AD0"/>
    <w:rsid w:val="009664D8"/>
    <w:rsid w:val="009665AB"/>
    <w:rsid w:val="009670A3"/>
    <w:rsid w:val="009674BE"/>
    <w:rsid w:val="009678D1"/>
    <w:rsid w:val="00967E01"/>
    <w:rsid w:val="00970386"/>
    <w:rsid w:val="009709EE"/>
    <w:rsid w:val="00970FB5"/>
    <w:rsid w:val="00971195"/>
    <w:rsid w:val="00971710"/>
    <w:rsid w:val="00971B87"/>
    <w:rsid w:val="00971C77"/>
    <w:rsid w:val="0097203A"/>
    <w:rsid w:val="00972057"/>
    <w:rsid w:val="00972FCD"/>
    <w:rsid w:val="00973324"/>
    <w:rsid w:val="009736DF"/>
    <w:rsid w:val="009741AE"/>
    <w:rsid w:val="009741FC"/>
    <w:rsid w:val="00974520"/>
    <w:rsid w:val="0097452F"/>
    <w:rsid w:val="00974782"/>
    <w:rsid w:val="00974923"/>
    <w:rsid w:val="00974AA8"/>
    <w:rsid w:val="009753C9"/>
    <w:rsid w:val="009754D3"/>
    <w:rsid w:val="00975909"/>
    <w:rsid w:val="009763FC"/>
    <w:rsid w:val="0097768D"/>
    <w:rsid w:val="0097799F"/>
    <w:rsid w:val="00977C33"/>
    <w:rsid w:val="00977C3D"/>
    <w:rsid w:val="0098000C"/>
    <w:rsid w:val="00980D3D"/>
    <w:rsid w:val="00980F78"/>
    <w:rsid w:val="0098103E"/>
    <w:rsid w:val="0098157D"/>
    <w:rsid w:val="0098203B"/>
    <w:rsid w:val="009822D3"/>
    <w:rsid w:val="00983101"/>
    <w:rsid w:val="009834D2"/>
    <w:rsid w:val="0098371F"/>
    <w:rsid w:val="00983E41"/>
    <w:rsid w:val="0098417C"/>
    <w:rsid w:val="009845E1"/>
    <w:rsid w:val="00984600"/>
    <w:rsid w:val="009848D1"/>
    <w:rsid w:val="00984CE5"/>
    <w:rsid w:val="00984D1B"/>
    <w:rsid w:val="00984DF6"/>
    <w:rsid w:val="00986246"/>
    <w:rsid w:val="009864E3"/>
    <w:rsid w:val="009866EB"/>
    <w:rsid w:val="00987277"/>
    <w:rsid w:val="00987A30"/>
    <w:rsid w:val="00990197"/>
    <w:rsid w:val="00990312"/>
    <w:rsid w:val="009908AF"/>
    <w:rsid w:val="00990D4E"/>
    <w:rsid w:val="0099182E"/>
    <w:rsid w:val="00991D45"/>
    <w:rsid w:val="00992736"/>
    <w:rsid w:val="00992B49"/>
    <w:rsid w:val="00992BB3"/>
    <w:rsid w:val="00992CF3"/>
    <w:rsid w:val="00993194"/>
    <w:rsid w:val="0099321E"/>
    <w:rsid w:val="00993673"/>
    <w:rsid w:val="00993ECA"/>
    <w:rsid w:val="00994171"/>
    <w:rsid w:val="00994868"/>
    <w:rsid w:val="00994976"/>
    <w:rsid w:val="00994D28"/>
    <w:rsid w:val="00994F2C"/>
    <w:rsid w:val="00995720"/>
    <w:rsid w:val="009957CC"/>
    <w:rsid w:val="00995B3D"/>
    <w:rsid w:val="009968D6"/>
    <w:rsid w:val="00996D3F"/>
    <w:rsid w:val="009975A6"/>
    <w:rsid w:val="00997953"/>
    <w:rsid w:val="00997D55"/>
    <w:rsid w:val="009A049C"/>
    <w:rsid w:val="009A0BFF"/>
    <w:rsid w:val="009A10A0"/>
    <w:rsid w:val="009A12B7"/>
    <w:rsid w:val="009A1385"/>
    <w:rsid w:val="009A17FA"/>
    <w:rsid w:val="009A1CAB"/>
    <w:rsid w:val="009A1DA8"/>
    <w:rsid w:val="009A2188"/>
    <w:rsid w:val="009A2359"/>
    <w:rsid w:val="009A24F1"/>
    <w:rsid w:val="009A27E0"/>
    <w:rsid w:val="009A3126"/>
    <w:rsid w:val="009A3805"/>
    <w:rsid w:val="009A3E06"/>
    <w:rsid w:val="009A3E42"/>
    <w:rsid w:val="009A439F"/>
    <w:rsid w:val="009A4D57"/>
    <w:rsid w:val="009A51A5"/>
    <w:rsid w:val="009A5309"/>
    <w:rsid w:val="009A5759"/>
    <w:rsid w:val="009A5BA9"/>
    <w:rsid w:val="009A60D1"/>
    <w:rsid w:val="009A6225"/>
    <w:rsid w:val="009A64F5"/>
    <w:rsid w:val="009A6F53"/>
    <w:rsid w:val="009A7F8D"/>
    <w:rsid w:val="009B00D2"/>
    <w:rsid w:val="009B05B3"/>
    <w:rsid w:val="009B07C8"/>
    <w:rsid w:val="009B0CAF"/>
    <w:rsid w:val="009B1324"/>
    <w:rsid w:val="009B2558"/>
    <w:rsid w:val="009B284F"/>
    <w:rsid w:val="009B3742"/>
    <w:rsid w:val="009B3764"/>
    <w:rsid w:val="009B3840"/>
    <w:rsid w:val="009B39A8"/>
    <w:rsid w:val="009B4156"/>
    <w:rsid w:val="009B479C"/>
    <w:rsid w:val="009B52AC"/>
    <w:rsid w:val="009B553D"/>
    <w:rsid w:val="009B584D"/>
    <w:rsid w:val="009B59EA"/>
    <w:rsid w:val="009B5B6E"/>
    <w:rsid w:val="009B62A6"/>
    <w:rsid w:val="009B66CE"/>
    <w:rsid w:val="009B6F41"/>
    <w:rsid w:val="009B6FD3"/>
    <w:rsid w:val="009B72BE"/>
    <w:rsid w:val="009B78A4"/>
    <w:rsid w:val="009B7B0A"/>
    <w:rsid w:val="009B7DB2"/>
    <w:rsid w:val="009C0362"/>
    <w:rsid w:val="009C03DB"/>
    <w:rsid w:val="009C0832"/>
    <w:rsid w:val="009C13B7"/>
    <w:rsid w:val="009C1417"/>
    <w:rsid w:val="009C15AF"/>
    <w:rsid w:val="009C1750"/>
    <w:rsid w:val="009C175F"/>
    <w:rsid w:val="009C197C"/>
    <w:rsid w:val="009C29ED"/>
    <w:rsid w:val="009C2E29"/>
    <w:rsid w:val="009C3771"/>
    <w:rsid w:val="009C38F7"/>
    <w:rsid w:val="009C3E8F"/>
    <w:rsid w:val="009C4DBC"/>
    <w:rsid w:val="009C508E"/>
    <w:rsid w:val="009C554B"/>
    <w:rsid w:val="009C58B8"/>
    <w:rsid w:val="009C5E83"/>
    <w:rsid w:val="009C66F8"/>
    <w:rsid w:val="009C672B"/>
    <w:rsid w:val="009C67D7"/>
    <w:rsid w:val="009C7126"/>
    <w:rsid w:val="009C719E"/>
    <w:rsid w:val="009C7231"/>
    <w:rsid w:val="009C7782"/>
    <w:rsid w:val="009C7799"/>
    <w:rsid w:val="009D07A9"/>
    <w:rsid w:val="009D0AE2"/>
    <w:rsid w:val="009D0D9F"/>
    <w:rsid w:val="009D0EBB"/>
    <w:rsid w:val="009D10E7"/>
    <w:rsid w:val="009D1369"/>
    <w:rsid w:val="009D14D7"/>
    <w:rsid w:val="009D2C46"/>
    <w:rsid w:val="009D3ACD"/>
    <w:rsid w:val="009D4254"/>
    <w:rsid w:val="009D4F21"/>
    <w:rsid w:val="009D53AC"/>
    <w:rsid w:val="009D587D"/>
    <w:rsid w:val="009D6178"/>
    <w:rsid w:val="009D6EA6"/>
    <w:rsid w:val="009D7731"/>
    <w:rsid w:val="009D78C3"/>
    <w:rsid w:val="009E06B0"/>
    <w:rsid w:val="009E1120"/>
    <w:rsid w:val="009E1393"/>
    <w:rsid w:val="009E1922"/>
    <w:rsid w:val="009E1A3D"/>
    <w:rsid w:val="009E26A8"/>
    <w:rsid w:val="009E4715"/>
    <w:rsid w:val="009E4A35"/>
    <w:rsid w:val="009E4A58"/>
    <w:rsid w:val="009E5273"/>
    <w:rsid w:val="009E5685"/>
    <w:rsid w:val="009E57A8"/>
    <w:rsid w:val="009E5B85"/>
    <w:rsid w:val="009E5DDB"/>
    <w:rsid w:val="009E63CF"/>
    <w:rsid w:val="009E6FCB"/>
    <w:rsid w:val="009F032E"/>
    <w:rsid w:val="009F1CA6"/>
    <w:rsid w:val="009F1F17"/>
    <w:rsid w:val="009F2921"/>
    <w:rsid w:val="009F3063"/>
    <w:rsid w:val="009F324D"/>
    <w:rsid w:val="009F42CF"/>
    <w:rsid w:val="009F4982"/>
    <w:rsid w:val="009F4CA7"/>
    <w:rsid w:val="009F4F6A"/>
    <w:rsid w:val="009F55BA"/>
    <w:rsid w:val="009F5B8E"/>
    <w:rsid w:val="009F5F03"/>
    <w:rsid w:val="009F6AAF"/>
    <w:rsid w:val="009F6BF5"/>
    <w:rsid w:val="009F6CD1"/>
    <w:rsid w:val="009F7D36"/>
    <w:rsid w:val="009F7D61"/>
    <w:rsid w:val="00A00470"/>
    <w:rsid w:val="00A00E71"/>
    <w:rsid w:val="00A0187B"/>
    <w:rsid w:val="00A01F62"/>
    <w:rsid w:val="00A02317"/>
    <w:rsid w:val="00A02E8B"/>
    <w:rsid w:val="00A0306F"/>
    <w:rsid w:val="00A032CA"/>
    <w:rsid w:val="00A03306"/>
    <w:rsid w:val="00A03511"/>
    <w:rsid w:val="00A03B10"/>
    <w:rsid w:val="00A03E2E"/>
    <w:rsid w:val="00A04616"/>
    <w:rsid w:val="00A04717"/>
    <w:rsid w:val="00A05C51"/>
    <w:rsid w:val="00A05D8F"/>
    <w:rsid w:val="00A05EB1"/>
    <w:rsid w:val="00A05EE4"/>
    <w:rsid w:val="00A06E2D"/>
    <w:rsid w:val="00A06F99"/>
    <w:rsid w:val="00A102C3"/>
    <w:rsid w:val="00A1053B"/>
    <w:rsid w:val="00A10D66"/>
    <w:rsid w:val="00A113A4"/>
    <w:rsid w:val="00A124A0"/>
    <w:rsid w:val="00A12A8E"/>
    <w:rsid w:val="00A133F9"/>
    <w:rsid w:val="00A136B7"/>
    <w:rsid w:val="00A14114"/>
    <w:rsid w:val="00A141A7"/>
    <w:rsid w:val="00A141E8"/>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28B"/>
    <w:rsid w:val="00A207DE"/>
    <w:rsid w:val="00A20FE1"/>
    <w:rsid w:val="00A2102F"/>
    <w:rsid w:val="00A21B4D"/>
    <w:rsid w:val="00A22073"/>
    <w:rsid w:val="00A223E0"/>
    <w:rsid w:val="00A22959"/>
    <w:rsid w:val="00A23158"/>
    <w:rsid w:val="00A232D7"/>
    <w:rsid w:val="00A23775"/>
    <w:rsid w:val="00A23847"/>
    <w:rsid w:val="00A23E43"/>
    <w:rsid w:val="00A24726"/>
    <w:rsid w:val="00A24DEB"/>
    <w:rsid w:val="00A24ED9"/>
    <w:rsid w:val="00A251DB"/>
    <w:rsid w:val="00A25216"/>
    <w:rsid w:val="00A2556A"/>
    <w:rsid w:val="00A2597D"/>
    <w:rsid w:val="00A25FC3"/>
    <w:rsid w:val="00A2628E"/>
    <w:rsid w:val="00A266BF"/>
    <w:rsid w:val="00A26777"/>
    <w:rsid w:val="00A269AB"/>
    <w:rsid w:val="00A26B56"/>
    <w:rsid w:val="00A26F8F"/>
    <w:rsid w:val="00A2731E"/>
    <w:rsid w:val="00A276E9"/>
    <w:rsid w:val="00A309AC"/>
    <w:rsid w:val="00A30EA4"/>
    <w:rsid w:val="00A30F65"/>
    <w:rsid w:val="00A3147A"/>
    <w:rsid w:val="00A315D0"/>
    <w:rsid w:val="00A3279E"/>
    <w:rsid w:val="00A336D2"/>
    <w:rsid w:val="00A33DB1"/>
    <w:rsid w:val="00A33EEB"/>
    <w:rsid w:val="00A348A1"/>
    <w:rsid w:val="00A351C8"/>
    <w:rsid w:val="00A35900"/>
    <w:rsid w:val="00A35F33"/>
    <w:rsid w:val="00A362F9"/>
    <w:rsid w:val="00A37311"/>
    <w:rsid w:val="00A401A3"/>
    <w:rsid w:val="00A40EAC"/>
    <w:rsid w:val="00A418BC"/>
    <w:rsid w:val="00A419FF"/>
    <w:rsid w:val="00A41FCF"/>
    <w:rsid w:val="00A428BA"/>
    <w:rsid w:val="00A42936"/>
    <w:rsid w:val="00A43CF8"/>
    <w:rsid w:val="00A43DF2"/>
    <w:rsid w:val="00A445A8"/>
    <w:rsid w:val="00A44B0D"/>
    <w:rsid w:val="00A44CB6"/>
    <w:rsid w:val="00A44D21"/>
    <w:rsid w:val="00A45087"/>
    <w:rsid w:val="00A45489"/>
    <w:rsid w:val="00A456C5"/>
    <w:rsid w:val="00A45731"/>
    <w:rsid w:val="00A45858"/>
    <w:rsid w:val="00A45CED"/>
    <w:rsid w:val="00A460FC"/>
    <w:rsid w:val="00A465E9"/>
    <w:rsid w:val="00A468E7"/>
    <w:rsid w:val="00A46D6E"/>
    <w:rsid w:val="00A46DE0"/>
    <w:rsid w:val="00A47240"/>
    <w:rsid w:val="00A478BA"/>
    <w:rsid w:val="00A5057A"/>
    <w:rsid w:val="00A50D73"/>
    <w:rsid w:val="00A518BB"/>
    <w:rsid w:val="00A51A9B"/>
    <w:rsid w:val="00A52A88"/>
    <w:rsid w:val="00A52CAD"/>
    <w:rsid w:val="00A53340"/>
    <w:rsid w:val="00A53FC7"/>
    <w:rsid w:val="00A55569"/>
    <w:rsid w:val="00A55C36"/>
    <w:rsid w:val="00A5661B"/>
    <w:rsid w:val="00A566A0"/>
    <w:rsid w:val="00A60005"/>
    <w:rsid w:val="00A601E7"/>
    <w:rsid w:val="00A60AC1"/>
    <w:rsid w:val="00A61944"/>
    <w:rsid w:val="00A61E5C"/>
    <w:rsid w:val="00A62162"/>
    <w:rsid w:val="00A626FF"/>
    <w:rsid w:val="00A627D7"/>
    <w:rsid w:val="00A62C71"/>
    <w:rsid w:val="00A62CE1"/>
    <w:rsid w:val="00A6428C"/>
    <w:rsid w:val="00A65469"/>
    <w:rsid w:val="00A65528"/>
    <w:rsid w:val="00A655D3"/>
    <w:rsid w:val="00A662D9"/>
    <w:rsid w:val="00A6630C"/>
    <w:rsid w:val="00A66AF5"/>
    <w:rsid w:val="00A6741E"/>
    <w:rsid w:val="00A67722"/>
    <w:rsid w:val="00A67E29"/>
    <w:rsid w:val="00A7016A"/>
    <w:rsid w:val="00A7018D"/>
    <w:rsid w:val="00A71215"/>
    <w:rsid w:val="00A716AC"/>
    <w:rsid w:val="00A7191D"/>
    <w:rsid w:val="00A722F9"/>
    <w:rsid w:val="00A723E3"/>
    <w:rsid w:val="00A72D42"/>
    <w:rsid w:val="00A73D1E"/>
    <w:rsid w:val="00A73D95"/>
    <w:rsid w:val="00A74158"/>
    <w:rsid w:val="00A746C9"/>
    <w:rsid w:val="00A74C2A"/>
    <w:rsid w:val="00A75E40"/>
    <w:rsid w:val="00A76818"/>
    <w:rsid w:val="00A77557"/>
    <w:rsid w:val="00A77B7D"/>
    <w:rsid w:val="00A77D1D"/>
    <w:rsid w:val="00A77E6B"/>
    <w:rsid w:val="00A800D7"/>
    <w:rsid w:val="00A809AD"/>
    <w:rsid w:val="00A81652"/>
    <w:rsid w:val="00A81A67"/>
    <w:rsid w:val="00A82BF0"/>
    <w:rsid w:val="00A82C91"/>
    <w:rsid w:val="00A82F4D"/>
    <w:rsid w:val="00A83150"/>
    <w:rsid w:val="00A83398"/>
    <w:rsid w:val="00A83D6E"/>
    <w:rsid w:val="00A83FA9"/>
    <w:rsid w:val="00A83FD5"/>
    <w:rsid w:val="00A84AF4"/>
    <w:rsid w:val="00A85001"/>
    <w:rsid w:val="00A8521A"/>
    <w:rsid w:val="00A852A2"/>
    <w:rsid w:val="00A85348"/>
    <w:rsid w:val="00A857C0"/>
    <w:rsid w:val="00A85ACB"/>
    <w:rsid w:val="00A85FBA"/>
    <w:rsid w:val="00A86901"/>
    <w:rsid w:val="00A8707C"/>
    <w:rsid w:val="00A87DF8"/>
    <w:rsid w:val="00A9036F"/>
    <w:rsid w:val="00A9092B"/>
    <w:rsid w:val="00A90F2C"/>
    <w:rsid w:val="00A90FED"/>
    <w:rsid w:val="00A91482"/>
    <w:rsid w:val="00A9189D"/>
    <w:rsid w:val="00A91E71"/>
    <w:rsid w:val="00A91EAD"/>
    <w:rsid w:val="00A925B1"/>
    <w:rsid w:val="00A92A3E"/>
    <w:rsid w:val="00A934F9"/>
    <w:rsid w:val="00A940E3"/>
    <w:rsid w:val="00A94983"/>
    <w:rsid w:val="00A94E67"/>
    <w:rsid w:val="00A94F63"/>
    <w:rsid w:val="00A94F87"/>
    <w:rsid w:val="00A9532C"/>
    <w:rsid w:val="00A95B8A"/>
    <w:rsid w:val="00A95F1A"/>
    <w:rsid w:val="00A96116"/>
    <w:rsid w:val="00A9614E"/>
    <w:rsid w:val="00A96422"/>
    <w:rsid w:val="00A96C0F"/>
    <w:rsid w:val="00A97075"/>
    <w:rsid w:val="00A975D7"/>
    <w:rsid w:val="00A97C59"/>
    <w:rsid w:val="00AA0E80"/>
    <w:rsid w:val="00AA16F4"/>
    <w:rsid w:val="00AA17CD"/>
    <w:rsid w:val="00AA1AAE"/>
    <w:rsid w:val="00AA1D85"/>
    <w:rsid w:val="00AA212B"/>
    <w:rsid w:val="00AA212F"/>
    <w:rsid w:val="00AA26A9"/>
    <w:rsid w:val="00AA2996"/>
    <w:rsid w:val="00AA2AF4"/>
    <w:rsid w:val="00AA314A"/>
    <w:rsid w:val="00AA4282"/>
    <w:rsid w:val="00AA43F2"/>
    <w:rsid w:val="00AA4790"/>
    <w:rsid w:val="00AA49E1"/>
    <w:rsid w:val="00AA52BF"/>
    <w:rsid w:val="00AA559A"/>
    <w:rsid w:val="00AA5667"/>
    <w:rsid w:val="00AA6C31"/>
    <w:rsid w:val="00AA6F9E"/>
    <w:rsid w:val="00AA7752"/>
    <w:rsid w:val="00AA7CE8"/>
    <w:rsid w:val="00AA7E0C"/>
    <w:rsid w:val="00AB02BD"/>
    <w:rsid w:val="00AB0596"/>
    <w:rsid w:val="00AB0680"/>
    <w:rsid w:val="00AB1457"/>
    <w:rsid w:val="00AB1ACD"/>
    <w:rsid w:val="00AB2AF1"/>
    <w:rsid w:val="00AB2D0F"/>
    <w:rsid w:val="00AB2F73"/>
    <w:rsid w:val="00AB32CB"/>
    <w:rsid w:val="00AB3AD7"/>
    <w:rsid w:val="00AB3BA7"/>
    <w:rsid w:val="00AB3EC7"/>
    <w:rsid w:val="00AB467A"/>
    <w:rsid w:val="00AB5297"/>
    <w:rsid w:val="00AB56E2"/>
    <w:rsid w:val="00AB5A64"/>
    <w:rsid w:val="00AB5CA1"/>
    <w:rsid w:val="00AB6456"/>
    <w:rsid w:val="00AB69DD"/>
    <w:rsid w:val="00AB75C5"/>
    <w:rsid w:val="00AB776E"/>
    <w:rsid w:val="00AC044E"/>
    <w:rsid w:val="00AC04B1"/>
    <w:rsid w:val="00AC1143"/>
    <w:rsid w:val="00AC1B53"/>
    <w:rsid w:val="00AC2118"/>
    <w:rsid w:val="00AC2395"/>
    <w:rsid w:val="00AC2960"/>
    <w:rsid w:val="00AC2A32"/>
    <w:rsid w:val="00AC2AC4"/>
    <w:rsid w:val="00AC3891"/>
    <w:rsid w:val="00AC4284"/>
    <w:rsid w:val="00AC45BD"/>
    <w:rsid w:val="00AC50BB"/>
    <w:rsid w:val="00AC5256"/>
    <w:rsid w:val="00AC6D17"/>
    <w:rsid w:val="00AC78F1"/>
    <w:rsid w:val="00AC7B96"/>
    <w:rsid w:val="00AD0B22"/>
    <w:rsid w:val="00AD0EE7"/>
    <w:rsid w:val="00AD146B"/>
    <w:rsid w:val="00AD14D3"/>
    <w:rsid w:val="00AD168E"/>
    <w:rsid w:val="00AD2E25"/>
    <w:rsid w:val="00AD306C"/>
    <w:rsid w:val="00AD449D"/>
    <w:rsid w:val="00AD44CD"/>
    <w:rsid w:val="00AD47A7"/>
    <w:rsid w:val="00AD47C0"/>
    <w:rsid w:val="00AD543F"/>
    <w:rsid w:val="00AD5AD2"/>
    <w:rsid w:val="00AD6462"/>
    <w:rsid w:val="00AD6634"/>
    <w:rsid w:val="00AD66C5"/>
    <w:rsid w:val="00AD68C4"/>
    <w:rsid w:val="00AD71F9"/>
    <w:rsid w:val="00AE09B3"/>
    <w:rsid w:val="00AE1579"/>
    <w:rsid w:val="00AE1A83"/>
    <w:rsid w:val="00AE2A78"/>
    <w:rsid w:val="00AE30BE"/>
    <w:rsid w:val="00AE38DD"/>
    <w:rsid w:val="00AE3E6A"/>
    <w:rsid w:val="00AE417E"/>
    <w:rsid w:val="00AE47CA"/>
    <w:rsid w:val="00AE5672"/>
    <w:rsid w:val="00AE56EE"/>
    <w:rsid w:val="00AE6414"/>
    <w:rsid w:val="00AE7269"/>
    <w:rsid w:val="00AE797C"/>
    <w:rsid w:val="00AE7CE7"/>
    <w:rsid w:val="00AE7FAB"/>
    <w:rsid w:val="00AF0DE4"/>
    <w:rsid w:val="00AF12A0"/>
    <w:rsid w:val="00AF1E87"/>
    <w:rsid w:val="00AF1F16"/>
    <w:rsid w:val="00AF2C3E"/>
    <w:rsid w:val="00AF422A"/>
    <w:rsid w:val="00AF436B"/>
    <w:rsid w:val="00AF5179"/>
    <w:rsid w:val="00AF5C91"/>
    <w:rsid w:val="00AF5CC2"/>
    <w:rsid w:val="00AF5F65"/>
    <w:rsid w:val="00AF660D"/>
    <w:rsid w:val="00AF6776"/>
    <w:rsid w:val="00AF6DB5"/>
    <w:rsid w:val="00AF6F98"/>
    <w:rsid w:val="00AF7277"/>
    <w:rsid w:val="00B00550"/>
    <w:rsid w:val="00B00913"/>
    <w:rsid w:val="00B00D4D"/>
    <w:rsid w:val="00B01593"/>
    <w:rsid w:val="00B01D0F"/>
    <w:rsid w:val="00B01FF9"/>
    <w:rsid w:val="00B0236E"/>
    <w:rsid w:val="00B023F2"/>
    <w:rsid w:val="00B026FE"/>
    <w:rsid w:val="00B0271F"/>
    <w:rsid w:val="00B02E10"/>
    <w:rsid w:val="00B0313F"/>
    <w:rsid w:val="00B03448"/>
    <w:rsid w:val="00B038CA"/>
    <w:rsid w:val="00B03A4C"/>
    <w:rsid w:val="00B04F7D"/>
    <w:rsid w:val="00B05F00"/>
    <w:rsid w:val="00B06DB4"/>
    <w:rsid w:val="00B070FA"/>
    <w:rsid w:val="00B0750D"/>
    <w:rsid w:val="00B07850"/>
    <w:rsid w:val="00B0799C"/>
    <w:rsid w:val="00B102CE"/>
    <w:rsid w:val="00B10A4D"/>
    <w:rsid w:val="00B10A5C"/>
    <w:rsid w:val="00B10ADC"/>
    <w:rsid w:val="00B10C90"/>
    <w:rsid w:val="00B11002"/>
    <w:rsid w:val="00B11117"/>
    <w:rsid w:val="00B1114F"/>
    <w:rsid w:val="00B121B2"/>
    <w:rsid w:val="00B131B1"/>
    <w:rsid w:val="00B135D1"/>
    <w:rsid w:val="00B141B6"/>
    <w:rsid w:val="00B14BC1"/>
    <w:rsid w:val="00B154DE"/>
    <w:rsid w:val="00B15591"/>
    <w:rsid w:val="00B15CAD"/>
    <w:rsid w:val="00B162C3"/>
    <w:rsid w:val="00B16960"/>
    <w:rsid w:val="00B16DD1"/>
    <w:rsid w:val="00B16EB8"/>
    <w:rsid w:val="00B1700A"/>
    <w:rsid w:val="00B176ED"/>
    <w:rsid w:val="00B17ACD"/>
    <w:rsid w:val="00B17B22"/>
    <w:rsid w:val="00B17E71"/>
    <w:rsid w:val="00B17FDE"/>
    <w:rsid w:val="00B20632"/>
    <w:rsid w:val="00B20F9F"/>
    <w:rsid w:val="00B21DE7"/>
    <w:rsid w:val="00B230DD"/>
    <w:rsid w:val="00B2379C"/>
    <w:rsid w:val="00B23D5D"/>
    <w:rsid w:val="00B23E6E"/>
    <w:rsid w:val="00B2450C"/>
    <w:rsid w:val="00B2687D"/>
    <w:rsid w:val="00B27178"/>
    <w:rsid w:val="00B27613"/>
    <w:rsid w:val="00B27CFE"/>
    <w:rsid w:val="00B27EC6"/>
    <w:rsid w:val="00B27EC7"/>
    <w:rsid w:val="00B30287"/>
    <w:rsid w:val="00B30C6B"/>
    <w:rsid w:val="00B3108D"/>
    <w:rsid w:val="00B31D2C"/>
    <w:rsid w:val="00B32DDB"/>
    <w:rsid w:val="00B32F57"/>
    <w:rsid w:val="00B3345C"/>
    <w:rsid w:val="00B33776"/>
    <w:rsid w:val="00B33D14"/>
    <w:rsid w:val="00B343C4"/>
    <w:rsid w:val="00B34528"/>
    <w:rsid w:val="00B34750"/>
    <w:rsid w:val="00B34CC8"/>
    <w:rsid w:val="00B34CC9"/>
    <w:rsid w:val="00B34CDA"/>
    <w:rsid w:val="00B35160"/>
    <w:rsid w:val="00B3563B"/>
    <w:rsid w:val="00B357C2"/>
    <w:rsid w:val="00B36AEB"/>
    <w:rsid w:val="00B36BDC"/>
    <w:rsid w:val="00B3732D"/>
    <w:rsid w:val="00B37C63"/>
    <w:rsid w:val="00B37D3A"/>
    <w:rsid w:val="00B37D96"/>
    <w:rsid w:val="00B402FC"/>
    <w:rsid w:val="00B4037D"/>
    <w:rsid w:val="00B40B4C"/>
    <w:rsid w:val="00B411B8"/>
    <w:rsid w:val="00B42271"/>
    <w:rsid w:val="00B422E2"/>
    <w:rsid w:val="00B42517"/>
    <w:rsid w:val="00B425D5"/>
    <w:rsid w:val="00B42902"/>
    <w:rsid w:val="00B42D5F"/>
    <w:rsid w:val="00B43216"/>
    <w:rsid w:val="00B439DA"/>
    <w:rsid w:val="00B43B6C"/>
    <w:rsid w:val="00B4411A"/>
    <w:rsid w:val="00B4489D"/>
    <w:rsid w:val="00B4594C"/>
    <w:rsid w:val="00B45FE4"/>
    <w:rsid w:val="00B45FE8"/>
    <w:rsid w:val="00B46604"/>
    <w:rsid w:val="00B46674"/>
    <w:rsid w:val="00B46BE1"/>
    <w:rsid w:val="00B47089"/>
    <w:rsid w:val="00B474DB"/>
    <w:rsid w:val="00B47587"/>
    <w:rsid w:val="00B47DC0"/>
    <w:rsid w:val="00B506A4"/>
    <w:rsid w:val="00B51176"/>
    <w:rsid w:val="00B5150A"/>
    <w:rsid w:val="00B52151"/>
    <w:rsid w:val="00B524CB"/>
    <w:rsid w:val="00B52673"/>
    <w:rsid w:val="00B530CD"/>
    <w:rsid w:val="00B534CE"/>
    <w:rsid w:val="00B53639"/>
    <w:rsid w:val="00B53B66"/>
    <w:rsid w:val="00B53C7D"/>
    <w:rsid w:val="00B53E56"/>
    <w:rsid w:val="00B55311"/>
    <w:rsid w:val="00B55946"/>
    <w:rsid w:val="00B55A97"/>
    <w:rsid w:val="00B55F5E"/>
    <w:rsid w:val="00B5601B"/>
    <w:rsid w:val="00B5642C"/>
    <w:rsid w:val="00B5658D"/>
    <w:rsid w:val="00B56B6F"/>
    <w:rsid w:val="00B5752E"/>
    <w:rsid w:val="00B57ED2"/>
    <w:rsid w:val="00B60AC1"/>
    <w:rsid w:val="00B60AE2"/>
    <w:rsid w:val="00B60BBF"/>
    <w:rsid w:val="00B60FA7"/>
    <w:rsid w:val="00B61FF6"/>
    <w:rsid w:val="00B62316"/>
    <w:rsid w:val="00B6274C"/>
    <w:rsid w:val="00B63A11"/>
    <w:rsid w:val="00B64425"/>
    <w:rsid w:val="00B64585"/>
    <w:rsid w:val="00B646CA"/>
    <w:rsid w:val="00B64C24"/>
    <w:rsid w:val="00B64E72"/>
    <w:rsid w:val="00B654E3"/>
    <w:rsid w:val="00B65CEF"/>
    <w:rsid w:val="00B6608F"/>
    <w:rsid w:val="00B663A1"/>
    <w:rsid w:val="00B6718D"/>
    <w:rsid w:val="00B674C7"/>
    <w:rsid w:val="00B67749"/>
    <w:rsid w:val="00B679FB"/>
    <w:rsid w:val="00B71982"/>
    <w:rsid w:val="00B71A8D"/>
    <w:rsid w:val="00B71FBF"/>
    <w:rsid w:val="00B72DD9"/>
    <w:rsid w:val="00B734A0"/>
    <w:rsid w:val="00B73A14"/>
    <w:rsid w:val="00B73FE8"/>
    <w:rsid w:val="00B7463A"/>
    <w:rsid w:val="00B748BD"/>
    <w:rsid w:val="00B74964"/>
    <w:rsid w:val="00B7497E"/>
    <w:rsid w:val="00B74F38"/>
    <w:rsid w:val="00B756C5"/>
    <w:rsid w:val="00B76100"/>
    <w:rsid w:val="00B7680F"/>
    <w:rsid w:val="00B76A49"/>
    <w:rsid w:val="00B76B48"/>
    <w:rsid w:val="00B76D1E"/>
    <w:rsid w:val="00B77543"/>
    <w:rsid w:val="00B77584"/>
    <w:rsid w:val="00B77E34"/>
    <w:rsid w:val="00B77E52"/>
    <w:rsid w:val="00B77ED4"/>
    <w:rsid w:val="00B77F8B"/>
    <w:rsid w:val="00B80D44"/>
    <w:rsid w:val="00B80D89"/>
    <w:rsid w:val="00B80EC6"/>
    <w:rsid w:val="00B8104B"/>
    <w:rsid w:val="00B81288"/>
    <w:rsid w:val="00B81D70"/>
    <w:rsid w:val="00B82A5F"/>
    <w:rsid w:val="00B82C5E"/>
    <w:rsid w:val="00B833B9"/>
    <w:rsid w:val="00B83AAF"/>
    <w:rsid w:val="00B83BF4"/>
    <w:rsid w:val="00B83E07"/>
    <w:rsid w:val="00B84CF6"/>
    <w:rsid w:val="00B85016"/>
    <w:rsid w:val="00B8561A"/>
    <w:rsid w:val="00B862C3"/>
    <w:rsid w:val="00B86628"/>
    <w:rsid w:val="00B86643"/>
    <w:rsid w:val="00B868F7"/>
    <w:rsid w:val="00B86EB1"/>
    <w:rsid w:val="00B871A7"/>
    <w:rsid w:val="00B873ED"/>
    <w:rsid w:val="00B90131"/>
    <w:rsid w:val="00B90359"/>
    <w:rsid w:val="00B92200"/>
    <w:rsid w:val="00B92951"/>
    <w:rsid w:val="00B92D1D"/>
    <w:rsid w:val="00B92D7E"/>
    <w:rsid w:val="00B930CE"/>
    <w:rsid w:val="00B938C5"/>
    <w:rsid w:val="00B939CD"/>
    <w:rsid w:val="00B93FCD"/>
    <w:rsid w:val="00B940A8"/>
    <w:rsid w:val="00B94A14"/>
    <w:rsid w:val="00B94A46"/>
    <w:rsid w:val="00B9554A"/>
    <w:rsid w:val="00B95720"/>
    <w:rsid w:val="00B95940"/>
    <w:rsid w:val="00B95ACA"/>
    <w:rsid w:val="00B95C12"/>
    <w:rsid w:val="00B96D74"/>
    <w:rsid w:val="00B96EE5"/>
    <w:rsid w:val="00B9720E"/>
    <w:rsid w:val="00B973F1"/>
    <w:rsid w:val="00B97ACC"/>
    <w:rsid w:val="00B97F3A"/>
    <w:rsid w:val="00B97FE2"/>
    <w:rsid w:val="00BA0E0B"/>
    <w:rsid w:val="00BA15D7"/>
    <w:rsid w:val="00BA201A"/>
    <w:rsid w:val="00BA21DF"/>
    <w:rsid w:val="00BA29B7"/>
    <w:rsid w:val="00BA31CC"/>
    <w:rsid w:val="00BA361D"/>
    <w:rsid w:val="00BA3787"/>
    <w:rsid w:val="00BA403A"/>
    <w:rsid w:val="00BA46E8"/>
    <w:rsid w:val="00BA49DB"/>
    <w:rsid w:val="00BA4AE9"/>
    <w:rsid w:val="00BA4E19"/>
    <w:rsid w:val="00BA5125"/>
    <w:rsid w:val="00BA6436"/>
    <w:rsid w:val="00BA64F2"/>
    <w:rsid w:val="00BA684E"/>
    <w:rsid w:val="00BA6C2B"/>
    <w:rsid w:val="00BA7B64"/>
    <w:rsid w:val="00BB02A3"/>
    <w:rsid w:val="00BB0351"/>
    <w:rsid w:val="00BB15C3"/>
    <w:rsid w:val="00BB1AF4"/>
    <w:rsid w:val="00BB2202"/>
    <w:rsid w:val="00BB25E8"/>
    <w:rsid w:val="00BB286B"/>
    <w:rsid w:val="00BB2BA1"/>
    <w:rsid w:val="00BB3340"/>
    <w:rsid w:val="00BB3AA1"/>
    <w:rsid w:val="00BB3C6B"/>
    <w:rsid w:val="00BB3FD6"/>
    <w:rsid w:val="00BB453F"/>
    <w:rsid w:val="00BB46F3"/>
    <w:rsid w:val="00BB4A71"/>
    <w:rsid w:val="00BB4CB1"/>
    <w:rsid w:val="00BB4E47"/>
    <w:rsid w:val="00BB4F98"/>
    <w:rsid w:val="00BB50C0"/>
    <w:rsid w:val="00BB5AB2"/>
    <w:rsid w:val="00BB5ABF"/>
    <w:rsid w:val="00BB5F94"/>
    <w:rsid w:val="00BB61E1"/>
    <w:rsid w:val="00BB6EA2"/>
    <w:rsid w:val="00BB6EE5"/>
    <w:rsid w:val="00BB7142"/>
    <w:rsid w:val="00BB76F3"/>
    <w:rsid w:val="00BB7B5B"/>
    <w:rsid w:val="00BB7EB1"/>
    <w:rsid w:val="00BC003F"/>
    <w:rsid w:val="00BC06AA"/>
    <w:rsid w:val="00BC0930"/>
    <w:rsid w:val="00BC0B14"/>
    <w:rsid w:val="00BC1119"/>
    <w:rsid w:val="00BC1293"/>
    <w:rsid w:val="00BC1C44"/>
    <w:rsid w:val="00BC223A"/>
    <w:rsid w:val="00BC3204"/>
    <w:rsid w:val="00BC327F"/>
    <w:rsid w:val="00BC3512"/>
    <w:rsid w:val="00BC4B35"/>
    <w:rsid w:val="00BC4C38"/>
    <w:rsid w:val="00BC4D3E"/>
    <w:rsid w:val="00BC50BE"/>
    <w:rsid w:val="00BC5332"/>
    <w:rsid w:val="00BC5715"/>
    <w:rsid w:val="00BC5AC1"/>
    <w:rsid w:val="00BC5B14"/>
    <w:rsid w:val="00BC5C12"/>
    <w:rsid w:val="00BC641B"/>
    <w:rsid w:val="00BC69EE"/>
    <w:rsid w:val="00BC7154"/>
    <w:rsid w:val="00BC731E"/>
    <w:rsid w:val="00BC7614"/>
    <w:rsid w:val="00BC7941"/>
    <w:rsid w:val="00BC7EFA"/>
    <w:rsid w:val="00BD041B"/>
    <w:rsid w:val="00BD163B"/>
    <w:rsid w:val="00BD25BB"/>
    <w:rsid w:val="00BD2AF8"/>
    <w:rsid w:val="00BD366B"/>
    <w:rsid w:val="00BD3C09"/>
    <w:rsid w:val="00BD410B"/>
    <w:rsid w:val="00BD49B1"/>
    <w:rsid w:val="00BD4A73"/>
    <w:rsid w:val="00BD4EDD"/>
    <w:rsid w:val="00BD4EF4"/>
    <w:rsid w:val="00BD505B"/>
    <w:rsid w:val="00BD6659"/>
    <w:rsid w:val="00BD6C75"/>
    <w:rsid w:val="00BD6D50"/>
    <w:rsid w:val="00BD7105"/>
    <w:rsid w:val="00BD73D2"/>
    <w:rsid w:val="00BE08AB"/>
    <w:rsid w:val="00BE0AD1"/>
    <w:rsid w:val="00BE0DDA"/>
    <w:rsid w:val="00BE0EF9"/>
    <w:rsid w:val="00BE10A1"/>
    <w:rsid w:val="00BE18B9"/>
    <w:rsid w:val="00BE190A"/>
    <w:rsid w:val="00BE23BE"/>
    <w:rsid w:val="00BE2495"/>
    <w:rsid w:val="00BE24DD"/>
    <w:rsid w:val="00BE34BB"/>
    <w:rsid w:val="00BE386D"/>
    <w:rsid w:val="00BE425E"/>
    <w:rsid w:val="00BE4DA9"/>
    <w:rsid w:val="00BE4E2F"/>
    <w:rsid w:val="00BE54BF"/>
    <w:rsid w:val="00BE557B"/>
    <w:rsid w:val="00BE55EF"/>
    <w:rsid w:val="00BE652B"/>
    <w:rsid w:val="00BE7F5F"/>
    <w:rsid w:val="00BF02C8"/>
    <w:rsid w:val="00BF1578"/>
    <w:rsid w:val="00BF15CA"/>
    <w:rsid w:val="00BF1D12"/>
    <w:rsid w:val="00BF1D3A"/>
    <w:rsid w:val="00BF2B5B"/>
    <w:rsid w:val="00BF2D41"/>
    <w:rsid w:val="00BF3274"/>
    <w:rsid w:val="00BF32DC"/>
    <w:rsid w:val="00BF35C9"/>
    <w:rsid w:val="00BF4329"/>
    <w:rsid w:val="00BF4E43"/>
    <w:rsid w:val="00BF5759"/>
    <w:rsid w:val="00BF5C4C"/>
    <w:rsid w:val="00BF63D6"/>
    <w:rsid w:val="00BF6E0F"/>
    <w:rsid w:val="00BF765C"/>
    <w:rsid w:val="00BF77FC"/>
    <w:rsid w:val="00BF7BA0"/>
    <w:rsid w:val="00C006D6"/>
    <w:rsid w:val="00C00BD7"/>
    <w:rsid w:val="00C01410"/>
    <w:rsid w:val="00C024BB"/>
    <w:rsid w:val="00C02B1B"/>
    <w:rsid w:val="00C02D23"/>
    <w:rsid w:val="00C03D4D"/>
    <w:rsid w:val="00C04293"/>
    <w:rsid w:val="00C044F4"/>
    <w:rsid w:val="00C04B78"/>
    <w:rsid w:val="00C04DD9"/>
    <w:rsid w:val="00C052AA"/>
    <w:rsid w:val="00C05F0A"/>
    <w:rsid w:val="00C06EE3"/>
    <w:rsid w:val="00C07279"/>
    <w:rsid w:val="00C07321"/>
    <w:rsid w:val="00C07749"/>
    <w:rsid w:val="00C07C2F"/>
    <w:rsid w:val="00C07C67"/>
    <w:rsid w:val="00C10805"/>
    <w:rsid w:val="00C10D44"/>
    <w:rsid w:val="00C11244"/>
    <w:rsid w:val="00C118A9"/>
    <w:rsid w:val="00C11D48"/>
    <w:rsid w:val="00C11DB5"/>
    <w:rsid w:val="00C12304"/>
    <w:rsid w:val="00C12316"/>
    <w:rsid w:val="00C1246C"/>
    <w:rsid w:val="00C128D4"/>
    <w:rsid w:val="00C129BB"/>
    <w:rsid w:val="00C13870"/>
    <w:rsid w:val="00C13D5D"/>
    <w:rsid w:val="00C1493E"/>
    <w:rsid w:val="00C15537"/>
    <w:rsid w:val="00C15DBD"/>
    <w:rsid w:val="00C161C5"/>
    <w:rsid w:val="00C172F7"/>
    <w:rsid w:val="00C2010D"/>
    <w:rsid w:val="00C20366"/>
    <w:rsid w:val="00C20CB5"/>
    <w:rsid w:val="00C21430"/>
    <w:rsid w:val="00C216DF"/>
    <w:rsid w:val="00C21E61"/>
    <w:rsid w:val="00C21F94"/>
    <w:rsid w:val="00C224BD"/>
    <w:rsid w:val="00C22576"/>
    <w:rsid w:val="00C2272B"/>
    <w:rsid w:val="00C234DB"/>
    <w:rsid w:val="00C23C5C"/>
    <w:rsid w:val="00C2479A"/>
    <w:rsid w:val="00C24903"/>
    <w:rsid w:val="00C25026"/>
    <w:rsid w:val="00C25099"/>
    <w:rsid w:val="00C250FA"/>
    <w:rsid w:val="00C255FB"/>
    <w:rsid w:val="00C2590D"/>
    <w:rsid w:val="00C25D9C"/>
    <w:rsid w:val="00C26086"/>
    <w:rsid w:val="00C268A9"/>
    <w:rsid w:val="00C27197"/>
    <w:rsid w:val="00C27913"/>
    <w:rsid w:val="00C27E64"/>
    <w:rsid w:val="00C27FA7"/>
    <w:rsid w:val="00C300E2"/>
    <w:rsid w:val="00C31010"/>
    <w:rsid w:val="00C313BF"/>
    <w:rsid w:val="00C31B80"/>
    <w:rsid w:val="00C31F21"/>
    <w:rsid w:val="00C32498"/>
    <w:rsid w:val="00C32631"/>
    <w:rsid w:val="00C327D8"/>
    <w:rsid w:val="00C32807"/>
    <w:rsid w:val="00C33301"/>
    <w:rsid w:val="00C33311"/>
    <w:rsid w:val="00C33B68"/>
    <w:rsid w:val="00C34AD4"/>
    <w:rsid w:val="00C34F2F"/>
    <w:rsid w:val="00C353AF"/>
    <w:rsid w:val="00C35570"/>
    <w:rsid w:val="00C3579B"/>
    <w:rsid w:val="00C35A2A"/>
    <w:rsid w:val="00C36A79"/>
    <w:rsid w:val="00C3707B"/>
    <w:rsid w:val="00C3788D"/>
    <w:rsid w:val="00C401A9"/>
    <w:rsid w:val="00C401D2"/>
    <w:rsid w:val="00C4031A"/>
    <w:rsid w:val="00C405D4"/>
    <w:rsid w:val="00C40996"/>
    <w:rsid w:val="00C419D5"/>
    <w:rsid w:val="00C41D54"/>
    <w:rsid w:val="00C42129"/>
    <w:rsid w:val="00C42766"/>
    <w:rsid w:val="00C42812"/>
    <w:rsid w:val="00C42EBB"/>
    <w:rsid w:val="00C435E8"/>
    <w:rsid w:val="00C43891"/>
    <w:rsid w:val="00C446AC"/>
    <w:rsid w:val="00C44DB6"/>
    <w:rsid w:val="00C4513B"/>
    <w:rsid w:val="00C46417"/>
    <w:rsid w:val="00C475E8"/>
    <w:rsid w:val="00C50ACF"/>
    <w:rsid w:val="00C50B94"/>
    <w:rsid w:val="00C50E79"/>
    <w:rsid w:val="00C514D1"/>
    <w:rsid w:val="00C5197D"/>
    <w:rsid w:val="00C521F5"/>
    <w:rsid w:val="00C525FB"/>
    <w:rsid w:val="00C527AD"/>
    <w:rsid w:val="00C5390B"/>
    <w:rsid w:val="00C53E3B"/>
    <w:rsid w:val="00C540D3"/>
    <w:rsid w:val="00C54257"/>
    <w:rsid w:val="00C54549"/>
    <w:rsid w:val="00C5459D"/>
    <w:rsid w:val="00C54697"/>
    <w:rsid w:val="00C550CE"/>
    <w:rsid w:val="00C553A5"/>
    <w:rsid w:val="00C55402"/>
    <w:rsid w:val="00C5603B"/>
    <w:rsid w:val="00C56423"/>
    <w:rsid w:val="00C56E94"/>
    <w:rsid w:val="00C56F92"/>
    <w:rsid w:val="00C571EE"/>
    <w:rsid w:val="00C57EC0"/>
    <w:rsid w:val="00C6020C"/>
    <w:rsid w:val="00C60AE3"/>
    <w:rsid w:val="00C617B8"/>
    <w:rsid w:val="00C61F47"/>
    <w:rsid w:val="00C6270E"/>
    <w:rsid w:val="00C62828"/>
    <w:rsid w:val="00C62B91"/>
    <w:rsid w:val="00C63132"/>
    <w:rsid w:val="00C647D0"/>
    <w:rsid w:val="00C653D5"/>
    <w:rsid w:val="00C654A5"/>
    <w:rsid w:val="00C655DA"/>
    <w:rsid w:val="00C6689D"/>
    <w:rsid w:val="00C672C1"/>
    <w:rsid w:val="00C67519"/>
    <w:rsid w:val="00C676BD"/>
    <w:rsid w:val="00C67C7F"/>
    <w:rsid w:val="00C706D2"/>
    <w:rsid w:val="00C715CC"/>
    <w:rsid w:val="00C719A3"/>
    <w:rsid w:val="00C71D2F"/>
    <w:rsid w:val="00C7245F"/>
    <w:rsid w:val="00C72984"/>
    <w:rsid w:val="00C72BC7"/>
    <w:rsid w:val="00C733B3"/>
    <w:rsid w:val="00C737F1"/>
    <w:rsid w:val="00C73885"/>
    <w:rsid w:val="00C73C93"/>
    <w:rsid w:val="00C73F7B"/>
    <w:rsid w:val="00C7435A"/>
    <w:rsid w:val="00C747B1"/>
    <w:rsid w:val="00C74F69"/>
    <w:rsid w:val="00C750B9"/>
    <w:rsid w:val="00C75510"/>
    <w:rsid w:val="00C755F9"/>
    <w:rsid w:val="00C75752"/>
    <w:rsid w:val="00C75B60"/>
    <w:rsid w:val="00C76025"/>
    <w:rsid w:val="00C761EC"/>
    <w:rsid w:val="00C76249"/>
    <w:rsid w:val="00C76323"/>
    <w:rsid w:val="00C770C9"/>
    <w:rsid w:val="00C8019E"/>
    <w:rsid w:val="00C80E36"/>
    <w:rsid w:val="00C81070"/>
    <w:rsid w:val="00C8174E"/>
    <w:rsid w:val="00C82191"/>
    <w:rsid w:val="00C82FBE"/>
    <w:rsid w:val="00C83134"/>
    <w:rsid w:val="00C831E7"/>
    <w:rsid w:val="00C83205"/>
    <w:rsid w:val="00C832F3"/>
    <w:rsid w:val="00C84307"/>
    <w:rsid w:val="00C845A4"/>
    <w:rsid w:val="00C84D26"/>
    <w:rsid w:val="00C8504C"/>
    <w:rsid w:val="00C85127"/>
    <w:rsid w:val="00C85545"/>
    <w:rsid w:val="00C855B5"/>
    <w:rsid w:val="00C85F0E"/>
    <w:rsid w:val="00C8602D"/>
    <w:rsid w:val="00C862C1"/>
    <w:rsid w:val="00C864E9"/>
    <w:rsid w:val="00C867F9"/>
    <w:rsid w:val="00C872AA"/>
    <w:rsid w:val="00C87C6B"/>
    <w:rsid w:val="00C90357"/>
    <w:rsid w:val="00C9079E"/>
    <w:rsid w:val="00C90CF4"/>
    <w:rsid w:val="00C90F18"/>
    <w:rsid w:val="00C910F8"/>
    <w:rsid w:val="00C91C20"/>
    <w:rsid w:val="00C922DE"/>
    <w:rsid w:val="00C92843"/>
    <w:rsid w:val="00C929FE"/>
    <w:rsid w:val="00C92EB6"/>
    <w:rsid w:val="00C93389"/>
    <w:rsid w:val="00C94607"/>
    <w:rsid w:val="00C948E6"/>
    <w:rsid w:val="00C94CDD"/>
    <w:rsid w:val="00C95123"/>
    <w:rsid w:val="00C97588"/>
    <w:rsid w:val="00CA0346"/>
    <w:rsid w:val="00CA0649"/>
    <w:rsid w:val="00CA0BD5"/>
    <w:rsid w:val="00CA0DA1"/>
    <w:rsid w:val="00CA10A4"/>
    <w:rsid w:val="00CA1BD6"/>
    <w:rsid w:val="00CA2D95"/>
    <w:rsid w:val="00CA37FF"/>
    <w:rsid w:val="00CA423A"/>
    <w:rsid w:val="00CA47BC"/>
    <w:rsid w:val="00CA48CF"/>
    <w:rsid w:val="00CA4D2D"/>
    <w:rsid w:val="00CA5580"/>
    <w:rsid w:val="00CA5CB3"/>
    <w:rsid w:val="00CA5EAD"/>
    <w:rsid w:val="00CA61CF"/>
    <w:rsid w:val="00CA620E"/>
    <w:rsid w:val="00CA66FE"/>
    <w:rsid w:val="00CA6AB4"/>
    <w:rsid w:val="00CA7255"/>
    <w:rsid w:val="00CA79E2"/>
    <w:rsid w:val="00CA7E12"/>
    <w:rsid w:val="00CB01F1"/>
    <w:rsid w:val="00CB0E44"/>
    <w:rsid w:val="00CB111E"/>
    <w:rsid w:val="00CB183C"/>
    <w:rsid w:val="00CB18B2"/>
    <w:rsid w:val="00CB1BEE"/>
    <w:rsid w:val="00CB2351"/>
    <w:rsid w:val="00CB2BF7"/>
    <w:rsid w:val="00CB3210"/>
    <w:rsid w:val="00CB3605"/>
    <w:rsid w:val="00CB4022"/>
    <w:rsid w:val="00CB404F"/>
    <w:rsid w:val="00CB4257"/>
    <w:rsid w:val="00CB4930"/>
    <w:rsid w:val="00CB4BA9"/>
    <w:rsid w:val="00CB4C48"/>
    <w:rsid w:val="00CB4C63"/>
    <w:rsid w:val="00CB4F93"/>
    <w:rsid w:val="00CB55F7"/>
    <w:rsid w:val="00CB5A48"/>
    <w:rsid w:val="00CB5E10"/>
    <w:rsid w:val="00CB613B"/>
    <w:rsid w:val="00CB6152"/>
    <w:rsid w:val="00CB64E1"/>
    <w:rsid w:val="00CB6C6F"/>
    <w:rsid w:val="00CB6E4D"/>
    <w:rsid w:val="00CB70E1"/>
    <w:rsid w:val="00CC009B"/>
    <w:rsid w:val="00CC0834"/>
    <w:rsid w:val="00CC0AEA"/>
    <w:rsid w:val="00CC0B00"/>
    <w:rsid w:val="00CC0E6A"/>
    <w:rsid w:val="00CC20FE"/>
    <w:rsid w:val="00CC210D"/>
    <w:rsid w:val="00CC225C"/>
    <w:rsid w:val="00CC2E7D"/>
    <w:rsid w:val="00CC4029"/>
    <w:rsid w:val="00CC425E"/>
    <w:rsid w:val="00CC44A3"/>
    <w:rsid w:val="00CC469E"/>
    <w:rsid w:val="00CC58E9"/>
    <w:rsid w:val="00CC5A69"/>
    <w:rsid w:val="00CC5BE8"/>
    <w:rsid w:val="00CC612B"/>
    <w:rsid w:val="00CC655F"/>
    <w:rsid w:val="00CC66F9"/>
    <w:rsid w:val="00CC6C2A"/>
    <w:rsid w:val="00CC6FE5"/>
    <w:rsid w:val="00CC7458"/>
    <w:rsid w:val="00CC76BD"/>
    <w:rsid w:val="00CC7866"/>
    <w:rsid w:val="00CC7A87"/>
    <w:rsid w:val="00CD0373"/>
    <w:rsid w:val="00CD08BF"/>
    <w:rsid w:val="00CD0B7E"/>
    <w:rsid w:val="00CD0D6B"/>
    <w:rsid w:val="00CD0F56"/>
    <w:rsid w:val="00CD1060"/>
    <w:rsid w:val="00CD10A5"/>
    <w:rsid w:val="00CD1129"/>
    <w:rsid w:val="00CD1A80"/>
    <w:rsid w:val="00CD1CB5"/>
    <w:rsid w:val="00CD1F87"/>
    <w:rsid w:val="00CD2076"/>
    <w:rsid w:val="00CD2197"/>
    <w:rsid w:val="00CD24CE"/>
    <w:rsid w:val="00CD255B"/>
    <w:rsid w:val="00CD284C"/>
    <w:rsid w:val="00CD29B5"/>
    <w:rsid w:val="00CD2B78"/>
    <w:rsid w:val="00CD3866"/>
    <w:rsid w:val="00CD3909"/>
    <w:rsid w:val="00CD3D33"/>
    <w:rsid w:val="00CD3FAB"/>
    <w:rsid w:val="00CD5456"/>
    <w:rsid w:val="00CD5C3E"/>
    <w:rsid w:val="00CD5C57"/>
    <w:rsid w:val="00CD5EE0"/>
    <w:rsid w:val="00CD6331"/>
    <w:rsid w:val="00CD6EB2"/>
    <w:rsid w:val="00CD7783"/>
    <w:rsid w:val="00CD7E9E"/>
    <w:rsid w:val="00CE01DC"/>
    <w:rsid w:val="00CE0CB0"/>
    <w:rsid w:val="00CE12FB"/>
    <w:rsid w:val="00CE14BE"/>
    <w:rsid w:val="00CE17A4"/>
    <w:rsid w:val="00CE1BA9"/>
    <w:rsid w:val="00CE2D8F"/>
    <w:rsid w:val="00CE2DC6"/>
    <w:rsid w:val="00CE30D0"/>
    <w:rsid w:val="00CE3532"/>
    <w:rsid w:val="00CE35A8"/>
    <w:rsid w:val="00CE3770"/>
    <w:rsid w:val="00CE3E48"/>
    <w:rsid w:val="00CE46C0"/>
    <w:rsid w:val="00CE47B8"/>
    <w:rsid w:val="00CE54FD"/>
    <w:rsid w:val="00CE5C3F"/>
    <w:rsid w:val="00CE5C92"/>
    <w:rsid w:val="00CE5E12"/>
    <w:rsid w:val="00CE6065"/>
    <w:rsid w:val="00CE60F1"/>
    <w:rsid w:val="00CE62FA"/>
    <w:rsid w:val="00CE670B"/>
    <w:rsid w:val="00CE6833"/>
    <w:rsid w:val="00CE6992"/>
    <w:rsid w:val="00CE6D92"/>
    <w:rsid w:val="00CE7562"/>
    <w:rsid w:val="00CE75F3"/>
    <w:rsid w:val="00CF020B"/>
    <w:rsid w:val="00CF0E03"/>
    <w:rsid w:val="00CF1184"/>
    <w:rsid w:val="00CF15BF"/>
    <w:rsid w:val="00CF192F"/>
    <w:rsid w:val="00CF2A1B"/>
    <w:rsid w:val="00CF2E4D"/>
    <w:rsid w:val="00CF2EFC"/>
    <w:rsid w:val="00CF3486"/>
    <w:rsid w:val="00CF34C9"/>
    <w:rsid w:val="00CF35A7"/>
    <w:rsid w:val="00CF4205"/>
    <w:rsid w:val="00CF4211"/>
    <w:rsid w:val="00CF4908"/>
    <w:rsid w:val="00CF51EC"/>
    <w:rsid w:val="00CF545D"/>
    <w:rsid w:val="00CF5873"/>
    <w:rsid w:val="00CF620C"/>
    <w:rsid w:val="00CF6AB7"/>
    <w:rsid w:val="00CF6F88"/>
    <w:rsid w:val="00CF73AE"/>
    <w:rsid w:val="00CF7777"/>
    <w:rsid w:val="00D00054"/>
    <w:rsid w:val="00D0085A"/>
    <w:rsid w:val="00D0197F"/>
    <w:rsid w:val="00D01B31"/>
    <w:rsid w:val="00D0242D"/>
    <w:rsid w:val="00D02716"/>
    <w:rsid w:val="00D0302F"/>
    <w:rsid w:val="00D033B7"/>
    <w:rsid w:val="00D037A1"/>
    <w:rsid w:val="00D03842"/>
    <w:rsid w:val="00D03A72"/>
    <w:rsid w:val="00D040DD"/>
    <w:rsid w:val="00D04134"/>
    <w:rsid w:val="00D047B9"/>
    <w:rsid w:val="00D05995"/>
    <w:rsid w:val="00D05C65"/>
    <w:rsid w:val="00D068A0"/>
    <w:rsid w:val="00D06B56"/>
    <w:rsid w:val="00D06D52"/>
    <w:rsid w:val="00D06D68"/>
    <w:rsid w:val="00D06DEF"/>
    <w:rsid w:val="00D07266"/>
    <w:rsid w:val="00D075BE"/>
    <w:rsid w:val="00D07AFF"/>
    <w:rsid w:val="00D07CC2"/>
    <w:rsid w:val="00D1007E"/>
    <w:rsid w:val="00D10C15"/>
    <w:rsid w:val="00D11011"/>
    <w:rsid w:val="00D11476"/>
    <w:rsid w:val="00D12C25"/>
    <w:rsid w:val="00D13284"/>
    <w:rsid w:val="00D133B4"/>
    <w:rsid w:val="00D13986"/>
    <w:rsid w:val="00D13F3E"/>
    <w:rsid w:val="00D14680"/>
    <w:rsid w:val="00D147C5"/>
    <w:rsid w:val="00D14B3C"/>
    <w:rsid w:val="00D14C5B"/>
    <w:rsid w:val="00D15334"/>
    <w:rsid w:val="00D1565A"/>
    <w:rsid w:val="00D15CF4"/>
    <w:rsid w:val="00D15D3A"/>
    <w:rsid w:val="00D15FED"/>
    <w:rsid w:val="00D16712"/>
    <w:rsid w:val="00D174E0"/>
    <w:rsid w:val="00D214EF"/>
    <w:rsid w:val="00D215B0"/>
    <w:rsid w:val="00D21B36"/>
    <w:rsid w:val="00D21D6D"/>
    <w:rsid w:val="00D21D83"/>
    <w:rsid w:val="00D22517"/>
    <w:rsid w:val="00D22A47"/>
    <w:rsid w:val="00D23456"/>
    <w:rsid w:val="00D235B7"/>
    <w:rsid w:val="00D23A99"/>
    <w:rsid w:val="00D23FAE"/>
    <w:rsid w:val="00D25F28"/>
    <w:rsid w:val="00D26071"/>
    <w:rsid w:val="00D260C7"/>
    <w:rsid w:val="00D26133"/>
    <w:rsid w:val="00D26758"/>
    <w:rsid w:val="00D269B9"/>
    <w:rsid w:val="00D26E6B"/>
    <w:rsid w:val="00D274B3"/>
    <w:rsid w:val="00D2780D"/>
    <w:rsid w:val="00D27973"/>
    <w:rsid w:val="00D27995"/>
    <w:rsid w:val="00D27C9D"/>
    <w:rsid w:val="00D27E3E"/>
    <w:rsid w:val="00D27F07"/>
    <w:rsid w:val="00D27F3A"/>
    <w:rsid w:val="00D30003"/>
    <w:rsid w:val="00D31537"/>
    <w:rsid w:val="00D3185C"/>
    <w:rsid w:val="00D319F6"/>
    <w:rsid w:val="00D31E1E"/>
    <w:rsid w:val="00D322A0"/>
    <w:rsid w:val="00D32824"/>
    <w:rsid w:val="00D33297"/>
    <w:rsid w:val="00D334E2"/>
    <w:rsid w:val="00D335E5"/>
    <w:rsid w:val="00D34E1C"/>
    <w:rsid w:val="00D350B1"/>
    <w:rsid w:val="00D352C1"/>
    <w:rsid w:val="00D35AD6"/>
    <w:rsid w:val="00D35BBB"/>
    <w:rsid w:val="00D35E1A"/>
    <w:rsid w:val="00D3681D"/>
    <w:rsid w:val="00D36B0A"/>
    <w:rsid w:val="00D36DFB"/>
    <w:rsid w:val="00D36E1C"/>
    <w:rsid w:val="00D373AF"/>
    <w:rsid w:val="00D37646"/>
    <w:rsid w:val="00D40556"/>
    <w:rsid w:val="00D418E9"/>
    <w:rsid w:val="00D41F74"/>
    <w:rsid w:val="00D428C8"/>
    <w:rsid w:val="00D43034"/>
    <w:rsid w:val="00D43230"/>
    <w:rsid w:val="00D43ED2"/>
    <w:rsid w:val="00D4575A"/>
    <w:rsid w:val="00D46A31"/>
    <w:rsid w:val="00D46D53"/>
    <w:rsid w:val="00D47573"/>
    <w:rsid w:val="00D47B3B"/>
    <w:rsid w:val="00D50F46"/>
    <w:rsid w:val="00D51BC9"/>
    <w:rsid w:val="00D5302A"/>
    <w:rsid w:val="00D533C4"/>
    <w:rsid w:val="00D5384E"/>
    <w:rsid w:val="00D544E7"/>
    <w:rsid w:val="00D5499F"/>
    <w:rsid w:val="00D5560A"/>
    <w:rsid w:val="00D55E68"/>
    <w:rsid w:val="00D560DC"/>
    <w:rsid w:val="00D56FBF"/>
    <w:rsid w:val="00D57677"/>
    <w:rsid w:val="00D5781F"/>
    <w:rsid w:val="00D60415"/>
    <w:rsid w:val="00D60892"/>
    <w:rsid w:val="00D60DAE"/>
    <w:rsid w:val="00D60E3C"/>
    <w:rsid w:val="00D60FA7"/>
    <w:rsid w:val="00D61917"/>
    <w:rsid w:val="00D61E7D"/>
    <w:rsid w:val="00D61FAB"/>
    <w:rsid w:val="00D62C4E"/>
    <w:rsid w:val="00D62FB5"/>
    <w:rsid w:val="00D63BE5"/>
    <w:rsid w:val="00D63FCF"/>
    <w:rsid w:val="00D6475F"/>
    <w:rsid w:val="00D652EB"/>
    <w:rsid w:val="00D65580"/>
    <w:rsid w:val="00D655D4"/>
    <w:rsid w:val="00D66223"/>
    <w:rsid w:val="00D667B8"/>
    <w:rsid w:val="00D66C85"/>
    <w:rsid w:val="00D6707B"/>
    <w:rsid w:val="00D67369"/>
    <w:rsid w:val="00D67D55"/>
    <w:rsid w:val="00D70289"/>
    <w:rsid w:val="00D7041F"/>
    <w:rsid w:val="00D70822"/>
    <w:rsid w:val="00D70C5A"/>
    <w:rsid w:val="00D72076"/>
    <w:rsid w:val="00D721B4"/>
    <w:rsid w:val="00D726A9"/>
    <w:rsid w:val="00D72DBA"/>
    <w:rsid w:val="00D73012"/>
    <w:rsid w:val="00D743E0"/>
    <w:rsid w:val="00D7469D"/>
    <w:rsid w:val="00D746BE"/>
    <w:rsid w:val="00D746CF"/>
    <w:rsid w:val="00D74794"/>
    <w:rsid w:val="00D7490C"/>
    <w:rsid w:val="00D7497E"/>
    <w:rsid w:val="00D74DBC"/>
    <w:rsid w:val="00D75AC1"/>
    <w:rsid w:val="00D75E71"/>
    <w:rsid w:val="00D75FB7"/>
    <w:rsid w:val="00D763AD"/>
    <w:rsid w:val="00D767D5"/>
    <w:rsid w:val="00D77252"/>
    <w:rsid w:val="00D8084C"/>
    <w:rsid w:val="00D81809"/>
    <w:rsid w:val="00D8188C"/>
    <w:rsid w:val="00D82EF1"/>
    <w:rsid w:val="00D839E9"/>
    <w:rsid w:val="00D84060"/>
    <w:rsid w:val="00D84CC9"/>
    <w:rsid w:val="00D84F43"/>
    <w:rsid w:val="00D85114"/>
    <w:rsid w:val="00D85821"/>
    <w:rsid w:val="00D8598C"/>
    <w:rsid w:val="00D85DD8"/>
    <w:rsid w:val="00D861A7"/>
    <w:rsid w:val="00D8710D"/>
    <w:rsid w:val="00D87C06"/>
    <w:rsid w:val="00D90E41"/>
    <w:rsid w:val="00D9113A"/>
    <w:rsid w:val="00D915EA"/>
    <w:rsid w:val="00D91819"/>
    <w:rsid w:val="00D919ED"/>
    <w:rsid w:val="00D922A1"/>
    <w:rsid w:val="00D9288A"/>
    <w:rsid w:val="00D928BE"/>
    <w:rsid w:val="00D92CD7"/>
    <w:rsid w:val="00D92FC2"/>
    <w:rsid w:val="00D92FFF"/>
    <w:rsid w:val="00D932B8"/>
    <w:rsid w:val="00D932F0"/>
    <w:rsid w:val="00D951DF"/>
    <w:rsid w:val="00D95302"/>
    <w:rsid w:val="00D95889"/>
    <w:rsid w:val="00D95C5D"/>
    <w:rsid w:val="00D95CBE"/>
    <w:rsid w:val="00D95E7F"/>
    <w:rsid w:val="00D97483"/>
    <w:rsid w:val="00D97D00"/>
    <w:rsid w:val="00DA0121"/>
    <w:rsid w:val="00DA096C"/>
    <w:rsid w:val="00DA107E"/>
    <w:rsid w:val="00DA114D"/>
    <w:rsid w:val="00DA1AB6"/>
    <w:rsid w:val="00DA214B"/>
    <w:rsid w:val="00DA2E65"/>
    <w:rsid w:val="00DA308B"/>
    <w:rsid w:val="00DA37DE"/>
    <w:rsid w:val="00DA3ADF"/>
    <w:rsid w:val="00DA4174"/>
    <w:rsid w:val="00DA544C"/>
    <w:rsid w:val="00DA5ED5"/>
    <w:rsid w:val="00DA5F8E"/>
    <w:rsid w:val="00DA6364"/>
    <w:rsid w:val="00DA6F31"/>
    <w:rsid w:val="00DA7114"/>
    <w:rsid w:val="00DA7C0C"/>
    <w:rsid w:val="00DA7E2F"/>
    <w:rsid w:val="00DA7F73"/>
    <w:rsid w:val="00DB03DD"/>
    <w:rsid w:val="00DB08A9"/>
    <w:rsid w:val="00DB0B33"/>
    <w:rsid w:val="00DB0EBF"/>
    <w:rsid w:val="00DB0FD9"/>
    <w:rsid w:val="00DB13EF"/>
    <w:rsid w:val="00DB1CD3"/>
    <w:rsid w:val="00DB1D89"/>
    <w:rsid w:val="00DB1ECC"/>
    <w:rsid w:val="00DB2495"/>
    <w:rsid w:val="00DB28CB"/>
    <w:rsid w:val="00DB2DFA"/>
    <w:rsid w:val="00DB2EC8"/>
    <w:rsid w:val="00DB321D"/>
    <w:rsid w:val="00DB459B"/>
    <w:rsid w:val="00DB47FD"/>
    <w:rsid w:val="00DB4BF1"/>
    <w:rsid w:val="00DB4FF3"/>
    <w:rsid w:val="00DB5E3A"/>
    <w:rsid w:val="00DB5E9A"/>
    <w:rsid w:val="00DB613B"/>
    <w:rsid w:val="00DB657E"/>
    <w:rsid w:val="00DB6811"/>
    <w:rsid w:val="00DB7342"/>
    <w:rsid w:val="00DB7489"/>
    <w:rsid w:val="00DB7BD5"/>
    <w:rsid w:val="00DC0B4A"/>
    <w:rsid w:val="00DC0B4D"/>
    <w:rsid w:val="00DC0CBB"/>
    <w:rsid w:val="00DC0E33"/>
    <w:rsid w:val="00DC17D0"/>
    <w:rsid w:val="00DC1E5D"/>
    <w:rsid w:val="00DC2B41"/>
    <w:rsid w:val="00DC2EA7"/>
    <w:rsid w:val="00DC3128"/>
    <w:rsid w:val="00DC31B2"/>
    <w:rsid w:val="00DC435B"/>
    <w:rsid w:val="00DC4AC4"/>
    <w:rsid w:val="00DC506E"/>
    <w:rsid w:val="00DC53D8"/>
    <w:rsid w:val="00DC56FE"/>
    <w:rsid w:val="00DC5B3B"/>
    <w:rsid w:val="00DC5F11"/>
    <w:rsid w:val="00DC6C2D"/>
    <w:rsid w:val="00DC6CFA"/>
    <w:rsid w:val="00DC7B1A"/>
    <w:rsid w:val="00DD04B0"/>
    <w:rsid w:val="00DD0771"/>
    <w:rsid w:val="00DD0B84"/>
    <w:rsid w:val="00DD129F"/>
    <w:rsid w:val="00DD13FC"/>
    <w:rsid w:val="00DD1A3F"/>
    <w:rsid w:val="00DD29B5"/>
    <w:rsid w:val="00DD32DD"/>
    <w:rsid w:val="00DD33E8"/>
    <w:rsid w:val="00DD468D"/>
    <w:rsid w:val="00DD4BB7"/>
    <w:rsid w:val="00DD5287"/>
    <w:rsid w:val="00DD5B36"/>
    <w:rsid w:val="00DD68B6"/>
    <w:rsid w:val="00DD7849"/>
    <w:rsid w:val="00DD7900"/>
    <w:rsid w:val="00DE03DE"/>
    <w:rsid w:val="00DE08BF"/>
    <w:rsid w:val="00DE0D8B"/>
    <w:rsid w:val="00DE1237"/>
    <w:rsid w:val="00DE125C"/>
    <w:rsid w:val="00DE140F"/>
    <w:rsid w:val="00DE17E9"/>
    <w:rsid w:val="00DE1CE1"/>
    <w:rsid w:val="00DE2491"/>
    <w:rsid w:val="00DE273F"/>
    <w:rsid w:val="00DE27CD"/>
    <w:rsid w:val="00DE2982"/>
    <w:rsid w:val="00DE2B97"/>
    <w:rsid w:val="00DE3231"/>
    <w:rsid w:val="00DE3E22"/>
    <w:rsid w:val="00DE3E5D"/>
    <w:rsid w:val="00DE450F"/>
    <w:rsid w:val="00DE4865"/>
    <w:rsid w:val="00DE59CA"/>
    <w:rsid w:val="00DE5BED"/>
    <w:rsid w:val="00DE5CA6"/>
    <w:rsid w:val="00DE5E55"/>
    <w:rsid w:val="00DE601B"/>
    <w:rsid w:val="00DE6209"/>
    <w:rsid w:val="00DE63AE"/>
    <w:rsid w:val="00DE7156"/>
    <w:rsid w:val="00DE761A"/>
    <w:rsid w:val="00DE794E"/>
    <w:rsid w:val="00DE7AC8"/>
    <w:rsid w:val="00DF0830"/>
    <w:rsid w:val="00DF1D57"/>
    <w:rsid w:val="00DF2C5D"/>
    <w:rsid w:val="00DF2CD3"/>
    <w:rsid w:val="00DF3509"/>
    <w:rsid w:val="00DF3643"/>
    <w:rsid w:val="00DF3F5C"/>
    <w:rsid w:val="00DF42FF"/>
    <w:rsid w:val="00DF4369"/>
    <w:rsid w:val="00DF4423"/>
    <w:rsid w:val="00DF4ADF"/>
    <w:rsid w:val="00DF4D59"/>
    <w:rsid w:val="00DF57D6"/>
    <w:rsid w:val="00DF589A"/>
    <w:rsid w:val="00DF5912"/>
    <w:rsid w:val="00DF5D1E"/>
    <w:rsid w:val="00DF6DDE"/>
    <w:rsid w:val="00DF70DA"/>
    <w:rsid w:val="00DF77E4"/>
    <w:rsid w:val="00DF7F88"/>
    <w:rsid w:val="00E00B88"/>
    <w:rsid w:val="00E01C0E"/>
    <w:rsid w:val="00E034A1"/>
    <w:rsid w:val="00E0368F"/>
    <w:rsid w:val="00E03D73"/>
    <w:rsid w:val="00E03F9A"/>
    <w:rsid w:val="00E040DA"/>
    <w:rsid w:val="00E041A3"/>
    <w:rsid w:val="00E04694"/>
    <w:rsid w:val="00E05333"/>
    <w:rsid w:val="00E059E1"/>
    <w:rsid w:val="00E06436"/>
    <w:rsid w:val="00E07458"/>
    <w:rsid w:val="00E1168B"/>
    <w:rsid w:val="00E12191"/>
    <w:rsid w:val="00E129E7"/>
    <w:rsid w:val="00E12ABE"/>
    <w:rsid w:val="00E12B1E"/>
    <w:rsid w:val="00E135EB"/>
    <w:rsid w:val="00E13995"/>
    <w:rsid w:val="00E139EC"/>
    <w:rsid w:val="00E13C59"/>
    <w:rsid w:val="00E1444C"/>
    <w:rsid w:val="00E149CC"/>
    <w:rsid w:val="00E14F1C"/>
    <w:rsid w:val="00E1509D"/>
    <w:rsid w:val="00E15863"/>
    <w:rsid w:val="00E159C6"/>
    <w:rsid w:val="00E1672D"/>
    <w:rsid w:val="00E17262"/>
    <w:rsid w:val="00E17F36"/>
    <w:rsid w:val="00E20016"/>
    <w:rsid w:val="00E2009B"/>
    <w:rsid w:val="00E20733"/>
    <w:rsid w:val="00E20918"/>
    <w:rsid w:val="00E20BB9"/>
    <w:rsid w:val="00E20BCC"/>
    <w:rsid w:val="00E2251C"/>
    <w:rsid w:val="00E2363D"/>
    <w:rsid w:val="00E23C6A"/>
    <w:rsid w:val="00E2449B"/>
    <w:rsid w:val="00E2484B"/>
    <w:rsid w:val="00E24995"/>
    <w:rsid w:val="00E25038"/>
    <w:rsid w:val="00E253A2"/>
    <w:rsid w:val="00E25A96"/>
    <w:rsid w:val="00E2602F"/>
    <w:rsid w:val="00E260F6"/>
    <w:rsid w:val="00E26F37"/>
    <w:rsid w:val="00E27127"/>
    <w:rsid w:val="00E27233"/>
    <w:rsid w:val="00E274BB"/>
    <w:rsid w:val="00E27B5F"/>
    <w:rsid w:val="00E30F15"/>
    <w:rsid w:val="00E31771"/>
    <w:rsid w:val="00E3186D"/>
    <w:rsid w:val="00E31A3E"/>
    <w:rsid w:val="00E32080"/>
    <w:rsid w:val="00E32778"/>
    <w:rsid w:val="00E3309D"/>
    <w:rsid w:val="00E34E3F"/>
    <w:rsid w:val="00E350B1"/>
    <w:rsid w:val="00E3512B"/>
    <w:rsid w:val="00E35439"/>
    <w:rsid w:val="00E3575B"/>
    <w:rsid w:val="00E35A16"/>
    <w:rsid w:val="00E35A53"/>
    <w:rsid w:val="00E3634A"/>
    <w:rsid w:val="00E3656B"/>
    <w:rsid w:val="00E36767"/>
    <w:rsid w:val="00E3712B"/>
    <w:rsid w:val="00E3724A"/>
    <w:rsid w:val="00E378B1"/>
    <w:rsid w:val="00E37BDD"/>
    <w:rsid w:val="00E40295"/>
    <w:rsid w:val="00E41131"/>
    <w:rsid w:val="00E41179"/>
    <w:rsid w:val="00E41634"/>
    <w:rsid w:val="00E417BE"/>
    <w:rsid w:val="00E41CD5"/>
    <w:rsid w:val="00E41E5D"/>
    <w:rsid w:val="00E42054"/>
    <w:rsid w:val="00E42326"/>
    <w:rsid w:val="00E428A7"/>
    <w:rsid w:val="00E4372D"/>
    <w:rsid w:val="00E43A9E"/>
    <w:rsid w:val="00E43E1A"/>
    <w:rsid w:val="00E43E2E"/>
    <w:rsid w:val="00E43E77"/>
    <w:rsid w:val="00E44243"/>
    <w:rsid w:val="00E4529D"/>
    <w:rsid w:val="00E4539A"/>
    <w:rsid w:val="00E453F9"/>
    <w:rsid w:val="00E45D7D"/>
    <w:rsid w:val="00E4623F"/>
    <w:rsid w:val="00E4665D"/>
    <w:rsid w:val="00E47394"/>
    <w:rsid w:val="00E47854"/>
    <w:rsid w:val="00E478E2"/>
    <w:rsid w:val="00E47A9B"/>
    <w:rsid w:val="00E47B61"/>
    <w:rsid w:val="00E47C5D"/>
    <w:rsid w:val="00E47EBA"/>
    <w:rsid w:val="00E50156"/>
    <w:rsid w:val="00E504EB"/>
    <w:rsid w:val="00E5076C"/>
    <w:rsid w:val="00E50D2E"/>
    <w:rsid w:val="00E50D7D"/>
    <w:rsid w:val="00E51DE0"/>
    <w:rsid w:val="00E51EF0"/>
    <w:rsid w:val="00E529B1"/>
    <w:rsid w:val="00E53470"/>
    <w:rsid w:val="00E5368D"/>
    <w:rsid w:val="00E539F6"/>
    <w:rsid w:val="00E53B5B"/>
    <w:rsid w:val="00E54698"/>
    <w:rsid w:val="00E54BE9"/>
    <w:rsid w:val="00E54D22"/>
    <w:rsid w:val="00E54FB4"/>
    <w:rsid w:val="00E5539A"/>
    <w:rsid w:val="00E55791"/>
    <w:rsid w:val="00E55E1A"/>
    <w:rsid w:val="00E56BA4"/>
    <w:rsid w:val="00E578A2"/>
    <w:rsid w:val="00E579ED"/>
    <w:rsid w:val="00E60043"/>
    <w:rsid w:val="00E61740"/>
    <w:rsid w:val="00E61CD0"/>
    <w:rsid w:val="00E61EB5"/>
    <w:rsid w:val="00E6324D"/>
    <w:rsid w:val="00E63BAE"/>
    <w:rsid w:val="00E6423D"/>
    <w:rsid w:val="00E647C1"/>
    <w:rsid w:val="00E64CDB"/>
    <w:rsid w:val="00E65084"/>
    <w:rsid w:val="00E6519D"/>
    <w:rsid w:val="00E66062"/>
    <w:rsid w:val="00E660B1"/>
    <w:rsid w:val="00E6660E"/>
    <w:rsid w:val="00E66768"/>
    <w:rsid w:val="00E67305"/>
    <w:rsid w:val="00E67696"/>
    <w:rsid w:val="00E677DB"/>
    <w:rsid w:val="00E67A58"/>
    <w:rsid w:val="00E709AF"/>
    <w:rsid w:val="00E70B51"/>
    <w:rsid w:val="00E70C5F"/>
    <w:rsid w:val="00E70C94"/>
    <w:rsid w:val="00E71A58"/>
    <w:rsid w:val="00E7263B"/>
    <w:rsid w:val="00E728D7"/>
    <w:rsid w:val="00E72A26"/>
    <w:rsid w:val="00E72A7A"/>
    <w:rsid w:val="00E730ED"/>
    <w:rsid w:val="00E7335A"/>
    <w:rsid w:val="00E73986"/>
    <w:rsid w:val="00E73BA7"/>
    <w:rsid w:val="00E7467D"/>
    <w:rsid w:val="00E747DC"/>
    <w:rsid w:val="00E749D9"/>
    <w:rsid w:val="00E74A2D"/>
    <w:rsid w:val="00E75C94"/>
    <w:rsid w:val="00E76A08"/>
    <w:rsid w:val="00E76B9B"/>
    <w:rsid w:val="00E76E61"/>
    <w:rsid w:val="00E76EE4"/>
    <w:rsid w:val="00E77CC0"/>
    <w:rsid w:val="00E80393"/>
    <w:rsid w:val="00E80735"/>
    <w:rsid w:val="00E80B3D"/>
    <w:rsid w:val="00E80CA3"/>
    <w:rsid w:val="00E81AAA"/>
    <w:rsid w:val="00E821ED"/>
    <w:rsid w:val="00E82473"/>
    <w:rsid w:val="00E82618"/>
    <w:rsid w:val="00E82A42"/>
    <w:rsid w:val="00E82AB6"/>
    <w:rsid w:val="00E82D9B"/>
    <w:rsid w:val="00E83881"/>
    <w:rsid w:val="00E84295"/>
    <w:rsid w:val="00E8431C"/>
    <w:rsid w:val="00E84E09"/>
    <w:rsid w:val="00E864A9"/>
    <w:rsid w:val="00E8755C"/>
    <w:rsid w:val="00E87CE2"/>
    <w:rsid w:val="00E87D5B"/>
    <w:rsid w:val="00E90CA8"/>
    <w:rsid w:val="00E911C6"/>
    <w:rsid w:val="00E9180C"/>
    <w:rsid w:val="00E920DE"/>
    <w:rsid w:val="00E929F7"/>
    <w:rsid w:val="00E930A1"/>
    <w:rsid w:val="00E93820"/>
    <w:rsid w:val="00E93FD5"/>
    <w:rsid w:val="00E94A86"/>
    <w:rsid w:val="00E94D29"/>
    <w:rsid w:val="00E950EC"/>
    <w:rsid w:val="00E951AB"/>
    <w:rsid w:val="00E953F6"/>
    <w:rsid w:val="00E95AD1"/>
    <w:rsid w:val="00E96143"/>
    <w:rsid w:val="00E96833"/>
    <w:rsid w:val="00E973A5"/>
    <w:rsid w:val="00E97506"/>
    <w:rsid w:val="00E97BB5"/>
    <w:rsid w:val="00E97D5B"/>
    <w:rsid w:val="00E97F14"/>
    <w:rsid w:val="00EA0B1A"/>
    <w:rsid w:val="00EA0C68"/>
    <w:rsid w:val="00EA0E39"/>
    <w:rsid w:val="00EA1C07"/>
    <w:rsid w:val="00EA1D0E"/>
    <w:rsid w:val="00EA1EBB"/>
    <w:rsid w:val="00EA2072"/>
    <w:rsid w:val="00EA2275"/>
    <w:rsid w:val="00EA242A"/>
    <w:rsid w:val="00EA2841"/>
    <w:rsid w:val="00EA32BC"/>
    <w:rsid w:val="00EA35A7"/>
    <w:rsid w:val="00EA3B32"/>
    <w:rsid w:val="00EA3CEB"/>
    <w:rsid w:val="00EA3D05"/>
    <w:rsid w:val="00EA4222"/>
    <w:rsid w:val="00EA4402"/>
    <w:rsid w:val="00EA4B8D"/>
    <w:rsid w:val="00EA513E"/>
    <w:rsid w:val="00EA5892"/>
    <w:rsid w:val="00EA5895"/>
    <w:rsid w:val="00EA7419"/>
    <w:rsid w:val="00EA74B6"/>
    <w:rsid w:val="00EA7B22"/>
    <w:rsid w:val="00EA7E4F"/>
    <w:rsid w:val="00EB0E32"/>
    <w:rsid w:val="00EB13FC"/>
    <w:rsid w:val="00EB1C78"/>
    <w:rsid w:val="00EB1CDC"/>
    <w:rsid w:val="00EB1D89"/>
    <w:rsid w:val="00EB3137"/>
    <w:rsid w:val="00EB3E60"/>
    <w:rsid w:val="00EB4511"/>
    <w:rsid w:val="00EB48D7"/>
    <w:rsid w:val="00EB49F1"/>
    <w:rsid w:val="00EB4A8E"/>
    <w:rsid w:val="00EB4BC5"/>
    <w:rsid w:val="00EB5BF7"/>
    <w:rsid w:val="00EB5E79"/>
    <w:rsid w:val="00EB62E0"/>
    <w:rsid w:val="00EB6473"/>
    <w:rsid w:val="00EB6B48"/>
    <w:rsid w:val="00EB6DA6"/>
    <w:rsid w:val="00EB6FAC"/>
    <w:rsid w:val="00EB7749"/>
    <w:rsid w:val="00EB7BAC"/>
    <w:rsid w:val="00EB7CC9"/>
    <w:rsid w:val="00EB7D07"/>
    <w:rsid w:val="00EC03D7"/>
    <w:rsid w:val="00EC05F2"/>
    <w:rsid w:val="00EC13A7"/>
    <w:rsid w:val="00EC181D"/>
    <w:rsid w:val="00EC189D"/>
    <w:rsid w:val="00EC1C50"/>
    <w:rsid w:val="00EC2EB6"/>
    <w:rsid w:val="00EC37E0"/>
    <w:rsid w:val="00EC4FFF"/>
    <w:rsid w:val="00EC5517"/>
    <w:rsid w:val="00EC5A1E"/>
    <w:rsid w:val="00EC5B0A"/>
    <w:rsid w:val="00EC6E8C"/>
    <w:rsid w:val="00EC73EF"/>
    <w:rsid w:val="00EC7BAA"/>
    <w:rsid w:val="00ED0962"/>
    <w:rsid w:val="00ED0B84"/>
    <w:rsid w:val="00ED0ED8"/>
    <w:rsid w:val="00ED0EF0"/>
    <w:rsid w:val="00ED0F73"/>
    <w:rsid w:val="00ED12B9"/>
    <w:rsid w:val="00ED16B8"/>
    <w:rsid w:val="00ED1959"/>
    <w:rsid w:val="00ED1A00"/>
    <w:rsid w:val="00ED1DF0"/>
    <w:rsid w:val="00ED2386"/>
    <w:rsid w:val="00ED2525"/>
    <w:rsid w:val="00ED2C87"/>
    <w:rsid w:val="00ED2E2F"/>
    <w:rsid w:val="00ED2EA1"/>
    <w:rsid w:val="00ED3851"/>
    <w:rsid w:val="00ED3B10"/>
    <w:rsid w:val="00ED3E51"/>
    <w:rsid w:val="00ED3F10"/>
    <w:rsid w:val="00ED3F9B"/>
    <w:rsid w:val="00ED3FB3"/>
    <w:rsid w:val="00ED4D04"/>
    <w:rsid w:val="00ED566D"/>
    <w:rsid w:val="00ED5907"/>
    <w:rsid w:val="00ED5F5B"/>
    <w:rsid w:val="00ED602C"/>
    <w:rsid w:val="00ED62C6"/>
    <w:rsid w:val="00ED64C1"/>
    <w:rsid w:val="00ED6559"/>
    <w:rsid w:val="00ED6A2D"/>
    <w:rsid w:val="00ED6DC9"/>
    <w:rsid w:val="00ED781F"/>
    <w:rsid w:val="00EE0E7E"/>
    <w:rsid w:val="00EE106A"/>
    <w:rsid w:val="00EE1291"/>
    <w:rsid w:val="00EE249F"/>
    <w:rsid w:val="00EE291D"/>
    <w:rsid w:val="00EE2EB4"/>
    <w:rsid w:val="00EE32FA"/>
    <w:rsid w:val="00EE3446"/>
    <w:rsid w:val="00EE3E78"/>
    <w:rsid w:val="00EE41FD"/>
    <w:rsid w:val="00EE460E"/>
    <w:rsid w:val="00EE4B1B"/>
    <w:rsid w:val="00EE5D5C"/>
    <w:rsid w:val="00EE5FBA"/>
    <w:rsid w:val="00EE601C"/>
    <w:rsid w:val="00EE6A09"/>
    <w:rsid w:val="00EE6E06"/>
    <w:rsid w:val="00EE7179"/>
    <w:rsid w:val="00EE7570"/>
    <w:rsid w:val="00EF041F"/>
    <w:rsid w:val="00EF068B"/>
    <w:rsid w:val="00EF0B04"/>
    <w:rsid w:val="00EF0D90"/>
    <w:rsid w:val="00EF1067"/>
    <w:rsid w:val="00EF150D"/>
    <w:rsid w:val="00EF179E"/>
    <w:rsid w:val="00EF1967"/>
    <w:rsid w:val="00EF1F5A"/>
    <w:rsid w:val="00EF23B5"/>
    <w:rsid w:val="00EF326A"/>
    <w:rsid w:val="00EF3898"/>
    <w:rsid w:val="00EF40C5"/>
    <w:rsid w:val="00EF433F"/>
    <w:rsid w:val="00EF47BF"/>
    <w:rsid w:val="00EF52F7"/>
    <w:rsid w:val="00EF54CF"/>
    <w:rsid w:val="00EF59B1"/>
    <w:rsid w:val="00EF5A13"/>
    <w:rsid w:val="00EF5E81"/>
    <w:rsid w:val="00EF5FF9"/>
    <w:rsid w:val="00EF77D4"/>
    <w:rsid w:val="00EF7CC7"/>
    <w:rsid w:val="00EF7FFC"/>
    <w:rsid w:val="00F00535"/>
    <w:rsid w:val="00F00853"/>
    <w:rsid w:val="00F00866"/>
    <w:rsid w:val="00F00EC8"/>
    <w:rsid w:val="00F013DB"/>
    <w:rsid w:val="00F0160B"/>
    <w:rsid w:val="00F0193E"/>
    <w:rsid w:val="00F01EA8"/>
    <w:rsid w:val="00F036B0"/>
    <w:rsid w:val="00F03E2F"/>
    <w:rsid w:val="00F03F50"/>
    <w:rsid w:val="00F03F8D"/>
    <w:rsid w:val="00F0408A"/>
    <w:rsid w:val="00F04811"/>
    <w:rsid w:val="00F0488C"/>
    <w:rsid w:val="00F04955"/>
    <w:rsid w:val="00F04E85"/>
    <w:rsid w:val="00F052CC"/>
    <w:rsid w:val="00F052D2"/>
    <w:rsid w:val="00F0566C"/>
    <w:rsid w:val="00F06002"/>
    <w:rsid w:val="00F067B8"/>
    <w:rsid w:val="00F0730A"/>
    <w:rsid w:val="00F073ED"/>
    <w:rsid w:val="00F07C4C"/>
    <w:rsid w:val="00F07E45"/>
    <w:rsid w:val="00F10F11"/>
    <w:rsid w:val="00F11159"/>
    <w:rsid w:val="00F1152E"/>
    <w:rsid w:val="00F115E4"/>
    <w:rsid w:val="00F11AC4"/>
    <w:rsid w:val="00F11FDC"/>
    <w:rsid w:val="00F120A5"/>
    <w:rsid w:val="00F1243F"/>
    <w:rsid w:val="00F12CFB"/>
    <w:rsid w:val="00F13E60"/>
    <w:rsid w:val="00F13FDB"/>
    <w:rsid w:val="00F14AC8"/>
    <w:rsid w:val="00F157DD"/>
    <w:rsid w:val="00F15AAA"/>
    <w:rsid w:val="00F15BEF"/>
    <w:rsid w:val="00F1770C"/>
    <w:rsid w:val="00F17898"/>
    <w:rsid w:val="00F204BF"/>
    <w:rsid w:val="00F207C2"/>
    <w:rsid w:val="00F211FC"/>
    <w:rsid w:val="00F21337"/>
    <w:rsid w:val="00F219A1"/>
    <w:rsid w:val="00F2232C"/>
    <w:rsid w:val="00F2334D"/>
    <w:rsid w:val="00F2338A"/>
    <w:rsid w:val="00F23927"/>
    <w:rsid w:val="00F23E20"/>
    <w:rsid w:val="00F24407"/>
    <w:rsid w:val="00F249CE"/>
    <w:rsid w:val="00F24FAA"/>
    <w:rsid w:val="00F25040"/>
    <w:rsid w:val="00F269D7"/>
    <w:rsid w:val="00F26B48"/>
    <w:rsid w:val="00F26FB5"/>
    <w:rsid w:val="00F27071"/>
    <w:rsid w:val="00F27331"/>
    <w:rsid w:val="00F276D3"/>
    <w:rsid w:val="00F27E47"/>
    <w:rsid w:val="00F27E57"/>
    <w:rsid w:val="00F27EE5"/>
    <w:rsid w:val="00F27FB1"/>
    <w:rsid w:val="00F27FD6"/>
    <w:rsid w:val="00F307CB"/>
    <w:rsid w:val="00F307D7"/>
    <w:rsid w:val="00F30C0C"/>
    <w:rsid w:val="00F30C65"/>
    <w:rsid w:val="00F31475"/>
    <w:rsid w:val="00F321D2"/>
    <w:rsid w:val="00F32649"/>
    <w:rsid w:val="00F3288B"/>
    <w:rsid w:val="00F32921"/>
    <w:rsid w:val="00F33523"/>
    <w:rsid w:val="00F3364D"/>
    <w:rsid w:val="00F33914"/>
    <w:rsid w:val="00F349BF"/>
    <w:rsid w:val="00F34AAD"/>
    <w:rsid w:val="00F34DDC"/>
    <w:rsid w:val="00F350EC"/>
    <w:rsid w:val="00F35EE5"/>
    <w:rsid w:val="00F36191"/>
    <w:rsid w:val="00F3629F"/>
    <w:rsid w:val="00F36DBB"/>
    <w:rsid w:val="00F36DF3"/>
    <w:rsid w:val="00F36E9A"/>
    <w:rsid w:val="00F37362"/>
    <w:rsid w:val="00F37638"/>
    <w:rsid w:val="00F37EDC"/>
    <w:rsid w:val="00F41B52"/>
    <w:rsid w:val="00F422EF"/>
    <w:rsid w:val="00F42F1C"/>
    <w:rsid w:val="00F437CC"/>
    <w:rsid w:val="00F442E7"/>
    <w:rsid w:val="00F44537"/>
    <w:rsid w:val="00F44943"/>
    <w:rsid w:val="00F450B7"/>
    <w:rsid w:val="00F4544B"/>
    <w:rsid w:val="00F46185"/>
    <w:rsid w:val="00F46423"/>
    <w:rsid w:val="00F4696A"/>
    <w:rsid w:val="00F47067"/>
    <w:rsid w:val="00F47234"/>
    <w:rsid w:val="00F4729B"/>
    <w:rsid w:val="00F51ADD"/>
    <w:rsid w:val="00F525AB"/>
    <w:rsid w:val="00F525EB"/>
    <w:rsid w:val="00F52CB5"/>
    <w:rsid w:val="00F53378"/>
    <w:rsid w:val="00F53721"/>
    <w:rsid w:val="00F537D9"/>
    <w:rsid w:val="00F53917"/>
    <w:rsid w:val="00F539B0"/>
    <w:rsid w:val="00F53A68"/>
    <w:rsid w:val="00F5402A"/>
    <w:rsid w:val="00F544A4"/>
    <w:rsid w:val="00F54934"/>
    <w:rsid w:val="00F550DA"/>
    <w:rsid w:val="00F55A92"/>
    <w:rsid w:val="00F5615B"/>
    <w:rsid w:val="00F564D1"/>
    <w:rsid w:val="00F5661A"/>
    <w:rsid w:val="00F56D87"/>
    <w:rsid w:val="00F56FFB"/>
    <w:rsid w:val="00F575D3"/>
    <w:rsid w:val="00F577D1"/>
    <w:rsid w:val="00F57983"/>
    <w:rsid w:val="00F57A76"/>
    <w:rsid w:val="00F57D57"/>
    <w:rsid w:val="00F61288"/>
    <w:rsid w:val="00F6178B"/>
    <w:rsid w:val="00F627E5"/>
    <w:rsid w:val="00F62BFF"/>
    <w:rsid w:val="00F62CCE"/>
    <w:rsid w:val="00F63092"/>
    <w:rsid w:val="00F632ED"/>
    <w:rsid w:val="00F63AAE"/>
    <w:rsid w:val="00F63DDE"/>
    <w:rsid w:val="00F63FB7"/>
    <w:rsid w:val="00F6421B"/>
    <w:rsid w:val="00F647F1"/>
    <w:rsid w:val="00F649D2"/>
    <w:rsid w:val="00F64B8F"/>
    <w:rsid w:val="00F64D5A"/>
    <w:rsid w:val="00F6556B"/>
    <w:rsid w:val="00F6602B"/>
    <w:rsid w:val="00F663B7"/>
    <w:rsid w:val="00F6799D"/>
    <w:rsid w:val="00F679DA"/>
    <w:rsid w:val="00F71047"/>
    <w:rsid w:val="00F7150B"/>
    <w:rsid w:val="00F717E4"/>
    <w:rsid w:val="00F71A42"/>
    <w:rsid w:val="00F71A9A"/>
    <w:rsid w:val="00F71DE6"/>
    <w:rsid w:val="00F72D71"/>
    <w:rsid w:val="00F7381C"/>
    <w:rsid w:val="00F73A0C"/>
    <w:rsid w:val="00F752DC"/>
    <w:rsid w:val="00F7549F"/>
    <w:rsid w:val="00F756DB"/>
    <w:rsid w:val="00F766BE"/>
    <w:rsid w:val="00F767A8"/>
    <w:rsid w:val="00F76F3A"/>
    <w:rsid w:val="00F770F5"/>
    <w:rsid w:val="00F77590"/>
    <w:rsid w:val="00F77A50"/>
    <w:rsid w:val="00F81DE1"/>
    <w:rsid w:val="00F82D02"/>
    <w:rsid w:val="00F82D14"/>
    <w:rsid w:val="00F840A3"/>
    <w:rsid w:val="00F84BBE"/>
    <w:rsid w:val="00F84E7D"/>
    <w:rsid w:val="00F85066"/>
    <w:rsid w:val="00F85894"/>
    <w:rsid w:val="00F874F8"/>
    <w:rsid w:val="00F87A4D"/>
    <w:rsid w:val="00F87ACD"/>
    <w:rsid w:val="00F90C4F"/>
    <w:rsid w:val="00F90D5C"/>
    <w:rsid w:val="00F90EEB"/>
    <w:rsid w:val="00F9135C"/>
    <w:rsid w:val="00F91B66"/>
    <w:rsid w:val="00F91C9B"/>
    <w:rsid w:val="00F9236F"/>
    <w:rsid w:val="00F9354A"/>
    <w:rsid w:val="00F93688"/>
    <w:rsid w:val="00F939F3"/>
    <w:rsid w:val="00F93C6E"/>
    <w:rsid w:val="00F93F2C"/>
    <w:rsid w:val="00F93FFB"/>
    <w:rsid w:val="00F94437"/>
    <w:rsid w:val="00F947E9"/>
    <w:rsid w:val="00F94E7B"/>
    <w:rsid w:val="00F95408"/>
    <w:rsid w:val="00F962AD"/>
    <w:rsid w:val="00F9644E"/>
    <w:rsid w:val="00F9745B"/>
    <w:rsid w:val="00F978D1"/>
    <w:rsid w:val="00FA0105"/>
    <w:rsid w:val="00FA05A0"/>
    <w:rsid w:val="00FA0AEF"/>
    <w:rsid w:val="00FA101C"/>
    <w:rsid w:val="00FA17CC"/>
    <w:rsid w:val="00FA1CFE"/>
    <w:rsid w:val="00FA1EE7"/>
    <w:rsid w:val="00FA1F01"/>
    <w:rsid w:val="00FA26DF"/>
    <w:rsid w:val="00FA2C07"/>
    <w:rsid w:val="00FA2FEC"/>
    <w:rsid w:val="00FA32BC"/>
    <w:rsid w:val="00FA3AE5"/>
    <w:rsid w:val="00FA3FA8"/>
    <w:rsid w:val="00FA4059"/>
    <w:rsid w:val="00FA4574"/>
    <w:rsid w:val="00FA48A4"/>
    <w:rsid w:val="00FA4CB7"/>
    <w:rsid w:val="00FA5112"/>
    <w:rsid w:val="00FA5526"/>
    <w:rsid w:val="00FA5D4D"/>
    <w:rsid w:val="00FA6CB6"/>
    <w:rsid w:val="00FA70D3"/>
    <w:rsid w:val="00FA71B2"/>
    <w:rsid w:val="00FA7999"/>
    <w:rsid w:val="00FA7AEC"/>
    <w:rsid w:val="00FA7BCA"/>
    <w:rsid w:val="00FB0AEA"/>
    <w:rsid w:val="00FB0EE2"/>
    <w:rsid w:val="00FB1408"/>
    <w:rsid w:val="00FB1469"/>
    <w:rsid w:val="00FB1A79"/>
    <w:rsid w:val="00FB1BA4"/>
    <w:rsid w:val="00FB208B"/>
    <w:rsid w:val="00FB2A1A"/>
    <w:rsid w:val="00FB2B2D"/>
    <w:rsid w:val="00FB4A8C"/>
    <w:rsid w:val="00FB4B0D"/>
    <w:rsid w:val="00FB542E"/>
    <w:rsid w:val="00FB5580"/>
    <w:rsid w:val="00FB564F"/>
    <w:rsid w:val="00FB5D36"/>
    <w:rsid w:val="00FB668E"/>
    <w:rsid w:val="00FB68E7"/>
    <w:rsid w:val="00FB6B4D"/>
    <w:rsid w:val="00FB7DBB"/>
    <w:rsid w:val="00FC05F8"/>
    <w:rsid w:val="00FC077B"/>
    <w:rsid w:val="00FC0E5F"/>
    <w:rsid w:val="00FC1070"/>
    <w:rsid w:val="00FC1266"/>
    <w:rsid w:val="00FC1A95"/>
    <w:rsid w:val="00FC1BFA"/>
    <w:rsid w:val="00FC1ED4"/>
    <w:rsid w:val="00FC2374"/>
    <w:rsid w:val="00FC283B"/>
    <w:rsid w:val="00FC3123"/>
    <w:rsid w:val="00FC3BEC"/>
    <w:rsid w:val="00FC42C5"/>
    <w:rsid w:val="00FC440B"/>
    <w:rsid w:val="00FC4F31"/>
    <w:rsid w:val="00FC56DE"/>
    <w:rsid w:val="00FC5F81"/>
    <w:rsid w:val="00FC60A5"/>
    <w:rsid w:val="00FC63D9"/>
    <w:rsid w:val="00FC64DE"/>
    <w:rsid w:val="00FC6785"/>
    <w:rsid w:val="00FC684B"/>
    <w:rsid w:val="00FC6D6A"/>
    <w:rsid w:val="00FC6DDC"/>
    <w:rsid w:val="00FC770C"/>
    <w:rsid w:val="00FC7945"/>
    <w:rsid w:val="00FC7D98"/>
    <w:rsid w:val="00FD1135"/>
    <w:rsid w:val="00FD2A9F"/>
    <w:rsid w:val="00FD3265"/>
    <w:rsid w:val="00FD3CF7"/>
    <w:rsid w:val="00FD40CC"/>
    <w:rsid w:val="00FD4124"/>
    <w:rsid w:val="00FD4372"/>
    <w:rsid w:val="00FD4916"/>
    <w:rsid w:val="00FD4C86"/>
    <w:rsid w:val="00FD4D12"/>
    <w:rsid w:val="00FD4F73"/>
    <w:rsid w:val="00FD5056"/>
    <w:rsid w:val="00FD595E"/>
    <w:rsid w:val="00FD5E19"/>
    <w:rsid w:val="00FD6667"/>
    <w:rsid w:val="00FD6D33"/>
    <w:rsid w:val="00FD7802"/>
    <w:rsid w:val="00FD78C3"/>
    <w:rsid w:val="00FD7D3B"/>
    <w:rsid w:val="00FD7FBE"/>
    <w:rsid w:val="00FE0712"/>
    <w:rsid w:val="00FE0C26"/>
    <w:rsid w:val="00FE0FF0"/>
    <w:rsid w:val="00FE18A8"/>
    <w:rsid w:val="00FE1DA9"/>
    <w:rsid w:val="00FE2357"/>
    <w:rsid w:val="00FE27C7"/>
    <w:rsid w:val="00FE2C7E"/>
    <w:rsid w:val="00FE2F78"/>
    <w:rsid w:val="00FE3137"/>
    <w:rsid w:val="00FE346B"/>
    <w:rsid w:val="00FE346F"/>
    <w:rsid w:val="00FE3A8C"/>
    <w:rsid w:val="00FE431E"/>
    <w:rsid w:val="00FE460E"/>
    <w:rsid w:val="00FE4879"/>
    <w:rsid w:val="00FE48E4"/>
    <w:rsid w:val="00FE4E8C"/>
    <w:rsid w:val="00FE4EBA"/>
    <w:rsid w:val="00FE5466"/>
    <w:rsid w:val="00FE634C"/>
    <w:rsid w:val="00FE635F"/>
    <w:rsid w:val="00FE6E69"/>
    <w:rsid w:val="00FE6F59"/>
    <w:rsid w:val="00FE7A6A"/>
    <w:rsid w:val="00FF01B6"/>
    <w:rsid w:val="00FF0942"/>
    <w:rsid w:val="00FF0989"/>
    <w:rsid w:val="00FF0F79"/>
    <w:rsid w:val="00FF0FB0"/>
    <w:rsid w:val="00FF1136"/>
    <w:rsid w:val="00FF1814"/>
    <w:rsid w:val="00FF27E2"/>
    <w:rsid w:val="00FF2C97"/>
    <w:rsid w:val="00FF3D76"/>
    <w:rsid w:val="00FF4667"/>
    <w:rsid w:val="00FF5053"/>
    <w:rsid w:val="00FF556A"/>
    <w:rsid w:val="00FF5B8C"/>
    <w:rsid w:val="00FF63E6"/>
    <w:rsid w:val="00FF72DC"/>
    <w:rsid w:val="00FF7B96"/>
    <w:rsid w:val="019CB78C"/>
    <w:rsid w:val="0241D284"/>
    <w:rsid w:val="04BD1937"/>
    <w:rsid w:val="0523CDF2"/>
    <w:rsid w:val="06B1A837"/>
    <w:rsid w:val="07FB41B9"/>
    <w:rsid w:val="08A648BF"/>
    <w:rsid w:val="08AB0269"/>
    <w:rsid w:val="0A844D4D"/>
    <w:rsid w:val="0BCD71E1"/>
    <w:rsid w:val="0EBE9DEC"/>
    <w:rsid w:val="0FBB85B6"/>
    <w:rsid w:val="12650F4E"/>
    <w:rsid w:val="1371242A"/>
    <w:rsid w:val="1394E51D"/>
    <w:rsid w:val="14DB2A87"/>
    <w:rsid w:val="15DD577B"/>
    <w:rsid w:val="16EC38E2"/>
    <w:rsid w:val="17178072"/>
    <w:rsid w:val="173F358F"/>
    <w:rsid w:val="17513AF8"/>
    <w:rsid w:val="1812CB49"/>
    <w:rsid w:val="1B53A8C8"/>
    <w:rsid w:val="1BEE6986"/>
    <w:rsid w:val="20D21749"/>
    <w:rsid w:val="2111A021"/>
    <w:rsid w:val="21BE069A"/>
    <w:rsid w:val="224238BC"/>
    <w:rsid w:val="224482AD"/>
    <w:rsid w:val="23E0530E"/>
    <w:rsid w:val="24FC0D77"/>
    <w:rsid w:val="2A0E9F3A"/>
    <w:rsid w:val="2A2A6298"/>
    <w:rsid w:val="2F72CB2D"/>
    <w:rsid w:val="3204B56C"/>
    <w:rsid w:val="36A6CB7D"/>
    <w:rsid w:val="37D604A5"/>
    <w:rsid w:val="38C72AFC"/>
    <w:rsid w:val="3A31F626"/>
    <w:rsid w:val="3AA0BED0"/>
    <w:rsid w:val="3C7646FC"/>
    <w:rsid w:val="3E4A9713"/>
    <w:rsid w:val="3E77F3B4"/>
    <w:rsid w:val="40C3BF09"/>
    <w:rsid w:val="47207A7B"/>
    <w:rsid w:val="48038D4B"/>
    <w:rsid w:val="49E8263C"/>
    <w:rsid w:val="4A567F3C"/>
    <w:rsid w:val="50A35788"/>
    <w:rsid w:val="52944939"/>
    <w:rsid w:val="53942896"/>
    <w:rsid w:val="5536E42E"/>
    <w:rsid w:val="55914544"/>
    <w:rsid w:val="581B14F9"/>
    <w:rsid w:val="58FD3BB8"/>
    <w:rsid w:val="5B145290"/>
    <w:rsid w:val="5CF587E8"/>
    <w:rsid w:val="5DD689BF"/>
    <w:rsid w:val="5E8D8646"/>
    <w:rsid w:val="60B2C930"/>
    <w:rsid w:val="64244C5C"/>
    <w:rsid w:val="64B5C10F"/>
    <w:rsid w:val="661E5011"/>
    <w:rsid w:val="67F8BB57"/>
    <w:rsid w:val="6AEA4E8B"/>
    <w:rsid w:val="6AEC8A78"/>
    <w:rsid w:val="6D951AA9"/>
    <w:rsid w:val="7059F910"/>
    <w:rsid w:val="74248E8F"/>
    <w:rsid w:val="74EA3077"/>
    <w:rsid w:val="754BB0AE"/>
    <w:rsid w:val="75B5B795"/>
    <w:rsid w:val="76D4E0D9"/>
    <w:rsid w:val="78058569"/>
    <w:rsid w:val="785B85D1"/>
    <w:rsid w:val="78E73CD1"/>
    <w:rsid w:val="78EC659F"/>
    <w:rsid w:val="7C941E33"/>
    <w:rsid w:val="7E2BC7B5"/>
    <w:rsid w:val="7F50878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56910147-D8D0-4759-AD79-65565E20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link w:val="OdstavecseseznamemChar"/>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npsmoodstavce"/>
    <w:rsid w:val="006A3CAF"/>
  </w:style>
  <w:style w:type="paragraph" w:customStyle="1" w:styleId="paragraph">
    <w:name w:val="paragraph"/>
    <w:basedOn w:val="Normln"/>
    <w:rsid w:val="006A3CA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784980"/>
  </w:style>
  <w:style w:type="character" w:customStyle="1" w:styleId="scxw9398236">
    <w:name w:val="scxw9398236"/>
    <w:basedOn w:val="Standardnpsmoodstavce"/>
    <w:rsid w:val="000D7C6F"/>
  </w:style>
  <w:style w:type="character" w:customStyle="1" w:styleId="superscript">
    <w:name w:val="superscript"/>
    <w:basedOn w:val="Standardnpsmoodstavce"/>
    <w:rsid w:val="000D7C6F"/>
  </w:style>
  <w:style w:type="character" w:customStyle="1" w:styleId="OdstavecseseznamemChar">
    <w:name w:val="Odstavec se seznamem Char"/>
    <w:basedOn w:val="Standardnpsmoodstavce"/>
    <w:link w:val="Odstavecseseznamem"/>
    <w:uiPriority w:val="34"/>
    <w:rsid w:val="00A51A9B"/>
    <w:rPr>
      <w:rFonts w:ascii="Arial" w:eastAsia="Times New Roman" w:hAnsi="Arial"/>
      <w:szCs w:val="24"/>
      <w:lang w:eastAsia="cs-CZ"/>
    </w:rPr>
  </w:style>
  <w:style w:type="character" w:styleId="Sledovanodkaz">
    <w:name w:val="FollowedHyperlink"/>
    <w:basedOn w:val="Standardnpsmoodstavce"/>
    <w:uiPriority w:val="99"/>
    <w:semiHidden/>
    <w:unhideWhenUsed/>
    <w:rsid w:val="006D12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768357224">
      <w:bodyDiv w:val="1"/>
      <w:marLeft w:val="0"/>
      <w:marRight w:val="0"/>
      <w:marTop w:val="0"/>
      <w:marBottom w:val="0"/>
      <w:divBdr>
        <w:top w:val="none" w:sz="0" w:space="0" w:color="auto"/>
        <w:left w:val="none" w:sz="0" w:space="0" w:color="auto"/>
        <w:bottom w:val="none" w:sz="0" w:space="0" w:color="auto"/>
        <w:right w:val="none" w:sz="0" w:space="0" w:color="auto"/>
      </w:divBdr>
      <w:divsChild>
        <w:div w:id="1344359446">
          <w:marLeft w:val="0"/>
          <w:marRight w:val="0"/>
          <w:marTop w:val="0"/>
          <w:marBottom w:val="0"/>
          <w:divBdr>
            <w:top w:val="none" w:sz="0" w:space="0" w:color="auto"/>
            <w:left w:val="none" w:sz="0" w:space="0" w:color="auto"/>
            <w:bottom w:val="none" w:sz="0" w:space="0" w:color="auto"/>
            <w:right w:val="none" w:sz="0" w:space="0" w:color="auto"/>
          </w:divBdr>
        </w:div>
        <w:div w:id="1716659461">
          <w:marLeft w:val="0"/>
          <w:marRight w:val="0"/>
          <w:marTop w:val="0"/>
          <w:marBottom w:val="0"/>
          <w:divBdr>
            <w:top w:val="none" w:sz="0" w:space="0" w:color="auto"/>
            <w:left w:val="none" w:sz="0" w:space="0" w:color="auto"/>
            <w:bottom w:val="none" w:sz="0" w:space="0" w:color="auto"/>
            <w:right w:val="none" w:sz="0" w:space="0" w:color="auto"/>
          </w:divBdr>
          <w:divsChild>
            <w:div w:id="908930234">
              <w:marLeft w:val="-75"/>
              <w:marRight w:val="0"/>
              <w:marTop w:val="30"/>
              <w:marBottom w:val="30"/>
              <w:divBdr>
                <w:top w:val="none" w:sz="0" w:space="0" w:color="auto"/>
                <w:left w:val="none" w:sz="0" w:space="0" w:color="auto"/>
                <w:bottom w:val="none" w:sz="0" w:space="0" w:color="auto"/>
                <w:right w:val="none" w:sz="0" w:space="0" w:color="auto"/>
              </w:divBdr>
              <w:divsChild>
                <w:div w:id="189690384">
                  <w:marLeft w:val="0"/>
                  <w:marRight w:val="0"/>
                  <w:marTop w:val="0"/>
                  <w:marBottom w:val="0"/>
                  <w:divBdr>
                    <w:top w:val="none" w:sz="0" w:space="0" w:color="auto"/>
                    <w:left w:val="none" w:sz="0" w:space="0" w:color="auto"/>
                    <w:bottom w:val="none" w:sz="0" w:space="0" w:color="auto"/>
                    <w:right w:val="none" w:sz="0" w:space="0" w:color="auto"/>
                  </w:divBdr>
                  <w:divsChild>
                    <w:div w:id="345450649">
                      <w:marLeft w:val="0"/>
                      <w:marRight w:val="0"/>
                      <w:marTop w:val="0"/>
                      <w:marBottom w:val="0"/>
                      <w:divBdr>
                        <w:top w:val="none" w:sz="0" w:space="0" w:color="auto"/>
                        <w:left w:val="none" w:sz="0" w:space="0" w:color="auto"/>
                        <w:bottom w:val="none" w:sz="0" w:space="0" w:color="auto"/>
                        <w:right w:val="none" w:sz="0" w:space="0" w:color="auto"/>
                      </w:divBdr>
                    </w:div>
                  </w:divsChild>
                </w:div>
                <w:div w:id="2130083414">
                  <w:marLeft w:val="0"/>
                  <w:marRight w:val="0"/>
                  <w:marTop w:val="0"/>
                  <w:marBottom w:val="0"/>
                  <w:divBdr>
                    <w:top w:val="none" w:sz="0" w:space="0" w:color="auto"/>
                    <w:left w:val="none" w:sz="0" w:space="0" w:color="auto"/>
                    <w:bottom w:val="none" w:sz="0" w:space="0" w:color="auto"/>
                    <w:right w:val="none" w:sz="0" w:space="0" w:color="auto"/>
                  </w:divBdr>
                  <w:divsChild>
                    <w:div w:id="1847819293">
                      <w:marLeft w:val="0"/>
                      <w:marRight w:val="0"/>
                      <w:marTop w:val="0"/>
                      <w:marBottom w:val="0"/>
                      <w:divBdr>
                        <w:top w:val="none" w:sz="0" w:space="0" w:color="auto"/>
                        <w:left w:val="none" w:sz="0" w:space="0" w:color="auto"/>
                        <w:bottom w:val="none" w:sz="0" w:space="0" w:color="auto"/>
                        <w:right w:val="none" w:sz="0" w:space="0" w:color="auto"/>
                      </w:divBdr>
                    </w:div>
                  </w:divsChild>
                </w:div>
                <w:div w:id="141698433">
                  <w:marLeft w:val="0"/>
                  <w:marRight w:val="0"/>
                  <w:marTop w:val="0"/>
                  <w:marBottom w:val="0"/>
                  <w:divBdr>
                    <w:top w:val="none" w:sz="0" w:space="0" w:color="auto"/>
                    <w:left w:val="none" w:sz="0" w:space="0" w:color="auto"/>
                    <w:bottom w:val="none" w:sz="0" w:space="0" w:color="auto"/>
                    <w:right w:val="none" w:sz="0" w:space="0" w:color="auto"/>
                  </w:divBdr>
                  <w:divsChild>
                    <w:div w:id="1561865753">
                      <w:marLeft w:val="0"/>
                      <w:marRight w:val="0"/>
                      <w:marTop w:val="0"/>
                      <w:marBottom w:val="0"/>
                      <w:divBdr>
                        <w:top w:val="none" w:sz="0" w:space="0" w:color="auto"/>
                        <w:left w:val="none" w:sz="0" w:space="0" w:color="auto"/>
                        <w:bottom w:val="none" w:sz="0" w:space="0" w:color="auto"/>
                        <w:right w:val="none" w:sz="0" w:space="0" w:color="auto"/>
                      </w:divBdr>
                    </w:div>
                  </w:divsChild>
                </w:div>
                <w:div w:id="1168449760">
                  <w:marLeft w:val="0"/>
                  <w:marRight w:val="0"/>
                  <w:marTop w:val="0"/>
                  <w:marBottom w:val="0"/>
                  <w:divBdr>
                    <w:top w:val="none" w:sz="0" w:space="0" w:color="auto"/>
                    <w:left w:val="none" w:sz="0" w:space="0" w:color="auto"/>
                    <w:bottom w:val="none" w:sz="0" w:space="0" w:color="auto"/>
                    <w:right w:val="none" w:sz="0" w:space="0" w:color="auto"/>
                  </w:divBdr>
                  <w:divsChild>
                    <w:div w:id="1407143116">
                      <w:marLeft w:val="0"/>
                      <w:marRight w:val="0"/>
                      <w:marTop w:val="0"/>
                      <w:marBottom w:val="0"/>
                      <w:divBdr>
                        <w:top w:val="none" w:sz="0" w:space="0" w:color="auto"/>
                        <w:left w:val="none" w:sz="0" w:space="0" w:color="auto"/>
                        <w:bottom w:val="none" w:sz="0" w:space="0" w:color="auto"/>
                        <w:right w:val="none" w:sz="0" w:space="0" w:color="auto"/>
                      </w:divBdr>
                    </w:div>
                  </w:divsChild>
                </w:div>
                <w:div w:id="2124761785">
                  <w:marLeft w:val="0"/>
                  <w:marRight w:val="0"/>
                  <w:marTop w:val="0"/>
                  <w:marBottom w:val="0"/>
                  <w:divBdr>
                    <w:top w:val="none" w:sz="0" w:space="0" w:color="auto"/>
                    <w:left w:val="none" w:sz="0" w:space="0" w:color="auto"/>
                    <w:bottom w:val="none" w:sz="0" w:space="0" w:color="auto"/>
                    <w:right w:val="none" w:sz="0" w:space="0" w:color="auto"/>
                  </w:divBdr>
                  <w:divsChild>
                    <w:div w:id="1111317610">
                      <w:marLeft w:val="0"/>
                      <w:marRight w:val="0"/>
                      <w:marTop w:val="0"/>
                      <w:marBottom w:val="0"/>
                      <w:divBdr>
                        <w:top w:val="none" w:sz="0" w:space="0" w:color="auto"/>
                        <w:left w:val="none" w:sz="0" w:space="0" w:color="auto"/>
                        <w:bottom w:val="none" w:sz="0" w:space="0" w:color="auto"/>
                        <w:right w:val="none" w:sz="0" w:space="0" w:color="auto"/>
                      </w:divBdr>
                    </w:div>
                  </w:divsChild>
                </w:div>
                <w:div w:id="1016151455">
                  <w:marLeft w:val="0"/>
                  <w:marRight w:val="0"/>
                  <w:marTop w:val="0"/>
                  <w:marBottom w:val="0"/>
                  <w:divBdr>
                    <w:top w:val="none" w:sz="0" w:space="0" w:color="auto"/>
                    <w:left w:val="none" w:sz="0" w:space="0" w:color="auto"/>
                    <w:bottom w:val="none" w:sz="0" w:space="0" w:color="auto"/>
                    <w:right w:val="none" w:sz="0" w:space="0" w:color="auto"/>
                  </w:divBdr>
                  <w:divsChild>
                    <w:div w:id="1179079040">
                      <w:marLeft w:val="0"/>
                      <w:marRight w:val="0"/>
                      <w:marTop w:val="0"/>
                      <w:marBottom w:val="0"/>
                      <w:divBdr>
                        <w:top w:val="none" w:sz="0" w:space="0" w:color="auto"/>
                        <w:left w:val="none" w:sz="0" w:space="0" w:color="auto"/>
                        <w:bottom w:val="none" w:sz="0" w:space="0" w:color="auto"/>
                        <w:right w:val="none" w:sz="0" w:space="0" w:color="auto"/>
                      </w:divBdr>
                    </w:div>
                  </w:divsChild>
                </w:div>
                <w:div w:id="953753815">
                  <w:marLeft w:val="0"/>
                  <w:marRight w:val="0"/>
                  <w:marTop w:val="0"/>
                  <w:marBottom w:val="0"/>
                  <w:divBdr>
                    <w:top w:val="none" w:sz="0" w:space="0" w:color="auto"/>
                    <w:left w:val="none" w:sz="0" w:space="0" w:color="auto"/>
                    <w:bottom w:val="none" w:sz="0" w:space="0" w:color="auto"/>
                    <w:right w:val="none" w:sz="0" w:space="0" w:color="auto"/>
                  </w:divBdr>
                  <w:divsChild>
                    <w:div w:id="126052794">
                      <w:marLeft w:val="0"/>
                      <w:marRight w:val="0"/>
                      <w:marTop w:val="0"/>
                      <w:marBottom w:val="0"/>
                      <w:divBdr>
                        <w:top w:val="none" w:sz="0" w:space="0" w:color="auto"/>
                        <w:left w:val="none" w:sz="0" w:space="0" w:color="auto"/>
                        <w:bottom w:val="none" w:sz="0" w:space="0" w:color="auto"/>
                        <w:right w:val="none" w:sz="0" w:space="0" w:color="auto"/>
                      </w:divBdr>
                    </w:div>
                  </w:divsChild>
                </w:div>
                <w:div w:id="864711492">
                  <w:marLeft w:val="0"/>
                  <w:marRight w:val="0"/>
                  <w:marTop w:val="0"/>
                  <w:marBottom w:val="0"/>
                  <w:divBdr>
                    <w:top w:val="none" w:sz="0" w:space="0" w:color="auto"/>
                    <w:left w:val="none" w:sz="0" w:space="0" w:color="auto"/>
                    <w:bottom w:val="none" w:sz="0" w:space="0" w:color="auto"/>
                    <w:right w:val="none" w:sz="0" w:space="0" w:color="auto"/>
                  </w:divBdr>
                  <w:divsChild>
                    <w:div w:id="1959221365">
                      <w:marLeft w:val="0"/>
                      <w:marRight w:val="0"/>
                      <w:marTop w:val="0"/>
                      <w:marBottom w:val="0"/>
                      <w:divBdr>
                        <w:top w:val="none" w:sz="0" w:space="0" w:color="auto"/>
                        <w:left w:val="none" w:sz="0" w:space="0" w:color="auto"/>
                        <w:bottom w:val="none" w:sz="0" w:space="0" w:color="auto"/>
                        <w:right w:val="none" w:sz="0" w:space="0" w:color="auto"/>
                      </w:divBdr>
                    </w:div>
                  </w:divsChild>
                </w:div>
                <w:div w:id="708652465">
                  <w:marLeft w:val="0"/>
                  <w:marRight w:val="0"/>
                  <w:marTop w:val="0"/>
                  <w:marBottom w:val="0"/>
                  <w:divBdr>
                    <w:top w:val="none" w:sz="0" w:space="0" w:color="auto"/>
                    <w:left w:val="none" w:sz="0" w:space="0" w:color="auto"/>
                    <w:bottom w:val="none" w:sz="0" w:space="0" w:color="auto"/>
                    <w:right w:val="none" w:sz="0" w:space="0" w:color="auto"/>
                  </w:divBdr>
                  <w:divsChild>
                    <w:div w:id="587033635">
                      <w:marLeft w:val="0"/>
                      <w:marRight w:val="0"/>
                      <w:marTop w:val="0"/>
                      <w:marBottom w:val="0"/>
                      <w:divBdr>
                        <w:top w:val="none" w:sz="0" w:space="0" w:color="auto"/>
                        <w:left w:val="none" w:sz="0" w:space="0" w:color="auto"/>
                        <w:bottom w:val="none" w:sz="0" w:space="0" w:color="auto"/>
                        <w:right w:val="none" w:sz="0" w:space="0" w:color="auto"/>
                      </w:divBdr>
                    </w:div>
                  </w:divsChild>
                </w:div>
                <w:div w:id="970284968">
                  <w:marLeft w:val="0"/>
                  <w:marRight w:val="0"/>
                  <w:marTop w:val="0"/>
                  <w:marBottom w:val="0"/>
                  <w:divBdr>
                    <w:top w:val="none" w:sz="0" w:space="0" w:color="auto"/>
                    <w:left w:val="none" w:sz="0" w:space="0" w:color="auto"/>
                    <w:bottom w:val="none" w:sz="0" w:space="0" w:color="auto"/>
                    <w:right w:val="none" w:sz="0" w:space="0" w:color="auto"/>
                  </w:divBdr>
                  <w:divsChild>
                    <w:div w:id="1759984152">
                      <w:marLeft w:val="0"/>
                      <w:marRight w:val="0"/>
                      <w:marTop w:val="0"/>
                      <w:marBottom w:val="0"/>
                      <w:divBdr>
                        <w:top w:val="none" w:sz="0" w:space="0" w:color="auto"/>
                        <w:left w:val="none" w:sz="0" w:space="0" w:color="auto"/>
                        <w:bottom w:val="none" w:sz="0" w:space="0" w:color="auto"/>
                        <w:right w:val="none" w:sz="0" w:space="0" w:color="auto"/>
                      </w:divBdr>
                    </w:div>
                  </w:divsChild>
                </w:div>
                <w:div w:id="1041595004">
                  <w:marLeft w:val="0"/>
                  <w:marRight w:val="0"/>
                  <w:marTop w:val="0"/>
                  <w:marBottom w:val="0"/>
                  <w:divBdr>
                    <w:top w:val="none" w:sz="0" w:space="0" w:color="auto"/>
                    <w:left w:val="none" w:sz="0" w:space="0" w:color="auto"/>
                    <w:bottom w:val="none" w:sz="0" w:space="0" w:color="auto"/>
                    <w:right w:val="none" w:sz="0" w:space="0" w:color="auto"/>
                  </w:divBdr>
                  <w:divsChild>
                    <w:div w:id="1259410822">
                      <w:marLeft w:val="0"/>
                      <w:marRight w:val="0"/>
                      <w:marTop w:val="0"/>
                      <w:marBottom w:val="0"/>
                      <w:divBdr>
                        <w:top w:val="none" w:sz="0" w:space="0" w:color="auto"/>
                        <w:left w:val="none" w:sz="0" w:space="0" w:color="auto"/>
                        <w:bottom w:val="none" w:sz="0" w:space="0" w:color="auto"/>
                        <w:right w:val="none" w:sz="0" w:space="0" w:color="auto"/>
                      </w:divBdr>
                    </w:div>
                  </w:divsChild>
                </w:div>
                <w:div w:id="1384409651">
                  <w:marLeft w:val="0"/>
                  <w:marRight w:val="0"/>
                  <w:marTop w:val="0"/>
                  <w:marBottom w:val="0"/>
                  <w:divBdr>
                    <w:top w:val="none" w:sz="0" w:space="0" w:color="auto"/>
                    <w:left w:val="none" w:sz="0" w:space="0" w:color="auto"/>
                    <w:bottom w:val="none" w:sz="0" w:space="0" w:color="auto"/>
                    <w:right w:val="none" w:sz="0" w:space="0" w:color="auto"/>
                  </w:divBdr>
                  <w:divsChild>
                    <w:div w:id="73013662">
                      <w:marLeft w:val="0"/>
                      <w:marRight w:val="0"/>
                      <w:marTop w:val="0"/>
                      <w:marBottom w:val="0"/>
                      <w:divBdr>
                        <w:top w:val="none" w:sz="0" w:space="0" w:color="auto"/>
                        <w:left w:val="none" w:sz="0" w:space="0" w:color="auto"/>
                        <w:bottom w:val="none" w:sz="0" w:space="0" w:color="auto"/>
                        <w:right w:val="none" w:sz="0" w:space="0" w:color="auto"/>
                      </w:divBdr>
                    </w:div>
                  </w:divsChild>
                </w:div>
                <w:div w:id="1396856273">
                  <w:marLeft w:val="0"/>
                  <w:marRight w:val="0"/>
                  <w:marTop w:val="0"/>
                  <w:marBottom w:val="0"/>
                  <w:divBdr>
                    <w:top w:val="none" w:sz="0" w:space="0" w:color="auto"/>
                    <w:left w:val="none" w:sz="0" w:space="0" w:color="auto"/>
                    <w:bottom w:val="none" w:sz="0" w:space="0" w:color="auto"/>
                    <w:right w:val="none" w:sz="0" w:space="0" w:color="auto"/>
                  </w:divBdr>
                  <w:divsChild>
                    <w:div w:id="1129475919">
                      <w:marLeft w:val="0"/>
                      <w:marRight w:val="0"/>
                      <w:marTop w:val="0"/>
                      <w:marBottom w:val="0"/>
                      <w:divBdr>
                        <w:top w:val="none" w:sz="0" w:space="0" w:color="auto"/>
                        <w:left w:val="none" w:sz="0" w:space="0" w:color="auto"/>
                        <w:bottom w:val="none" w:sz="0" w:space="0" w:color="auto"/>
                        <w:right w:val="none" w:sz="0" w:space="0" w:color="auto"/>
                      </w:divBdr>
                    </w:div>
                  </w:divsChild>
                </w:div>
                <w:div w:id="241991679">
                  <w:marLeft w:val="0"/>
                  <w:marRight w:val="0"/>
                  <w:marTop w:val="0"/>
                  <w:marBottom w:val="0"/>
                  <w:divBdr>
                    <w:top w:val="none" w:sz="0" w:space="0" w:color="auto"/>
                    <w:left w:val="none" w:sz="0" w:space="0" w:color="auto"/>
                    <w:bottom w:val="none" w:sz="0" w:space="0" w:color="auto"/>
                    <w:right w:val="none" w:sz="0" w:space="0" w:color="auto"/>
                  </w:divBdr>
                  <w:divsChild>
                    <w:div w:id="1142037930">
                      <w:marLeft w:val="0"/>
                      <w:marRight w:val="0"/>
                      <w:marTop w:val="0"/>
                      <w:marBottom w:val="0"/>
                      <w:divBdr>
                        <w:top w:val="none" w:sz="0" w:space="0" w:color="auto"/>
                        <w:left w:val="none" w:sz="0" w:space="0" w:color="auto"/>
                        <w:bottom w:val="none" w:sz="0" w:space="0" w:color="auto"/>
                        <w:right w:val="none" w:sz="0" w:space="0" w:color="auto"/>
                      </w:divBdr>
                    </w:div>
                  </w:divsChild>
                </w:div>
                <w:div w:id="87964264">
                  <w:marLeft w:val="0"/>
                  <w:marRight w:val="0"/>
                  <w:marTop w:val="0"/>
                  <w:marBottom w:val="0"/>
                  <w:divBdr>
                    <w:top w:val="none" w:sz="0" w:space="0" w:color="auto"/>
                    <w:left w:val="none" w:sz="0" w:space="0" w:color="auto"/>
                    <w:bottom w:val="none" w:sz="0" w:space="0" w:color="auto"/>
                    <w:right w:val="none" w:sz="0" w:space="0" w:color="auto"/>
                  </w:divBdr>
                  <w:divsChild>
                    <w:div w:id="297150500">
                      <w:marLeft w:val="0"/>
                      <w:marRight w:val="0"/>
                      <w:marTop w:val="0"/>
                      <w:marBottom w:val="0"/>
                      <w:divBdr>
                        <w:top w:val="none" w:sz="0" w:space="0" w:color="auto"/>
                        <w:left w:val="none" w:sz="0" w:space="0" w:color="auto"/>
                        <w:bottom w:val="none" w:sz="0" w:space="0" w:color="auto"/>
                        <w:right w:val="none" w:sz="0" w:space="0" w:color="auto"/>
                      </w:divBdr>
                    </w:div>
                  </w:divsChild>
                </w:div>
                <w:div w:id="368145167">
                  <w:marLeft w:val="0"/>
                  <w:marRight w:val="0"/>
                  <w:marTop w:val="0"/>
                  <w:marBottom w:val="0"/>
                  <w:divBdr>
                    <w:top w:val="none" w:sz="0" w:space="0" w:color="auto"/>
                    <w:left w:val="none" w:sz="0" w:space="0" w:color="auto"/>
                    <w:bottom w:val="none" w:sz="0" w:space="0" w:color="auto"/>
                    <w:right w:val="none" w:sz="0" w:space="0" w:color="auto"/>
                  </w:divBdr>
                  <w:divsChild>
                    <w:div w:id="1170104264">
                      <w:marLeft w:val="0"/>
                      <w:marRight w:val="0"/>
                      <w:marTop w:val="0"/>
                      <w:marBottom w:val="0"/>
                      <w:divBdr>
                        <w:top w:val="none" w:sz="0" w:space="0" w:color="auto"/>
                        <w:left w:val="none" w:sz="0" w:space="0" w:color="auto"/>
                        <w:bottom w:val="none" w:sz="0" w:space="0" w:color="auto"/>
                        <w:right w:val="none" w:sz="0" w:space="0" w:color="auto"/>
                      </w:divBdr>
                    </w:div>
                  </w:divsChild>
                </w:div>
                <w:div w:id="542448709">
                  <w:marLeft w:val="0"/>
                  <w:marRight w:val="0"/>
                  <w:marTop w:val="0"/>
                  <w:marBottom w:val="0"/>
                  <w:divBdr>
                    <w:top w:val="none" w:sz="0" w:space="0" w:color="auto"/>
                    <w:left w:val="none" w:sz="0" w:space="0" w:color="auto"/>
                    <w:bottom w:val="none" w:sz="0" w:space="0" w:color="auto"/>
                    <w:right w:val="none" w:sz="0" w:space="0" w:color="auto"/>
                  </w:divBdr>
                  <w:divsChild>
                    <w:div w:id="811479007">
                      <w:marLeft w:val="0"/>
                      <w:marRight w:val="0"/>
                      <w:marTop w:val="0"/>
                      <w:marBottom w:val="0"/>
                      <w:divBdr>
                        <w:top w:val="none" w:sz="0" w:space="0" w:color="auto"/>
                        <w:left w:val="none" w:sz="0" w:space="0" w:color="auto"/>
                        <w:bottom w:val="none" w:sz="0" w:space="0" w:color="auto"/>
                        <w:right w:val="none" w:sz="0" w:space="0" w:color="auto"/>
                      </w:divBdr>
                    </w:div>
                  </w:divsChild>
                </w:div>
                <w:div w:id="218828323">
                  <w:marLeft w:val="0"/>
                  <w:marRight w:val="0"/>
                  <w:marTop w:val="0"/>
                  <w:marBottom w:val="0"/>
                  <w:divBdr>
                    <w:top w:val="none" w:sz="0" w:space="0" w:color="auto"/>
                    <w:left w:val="none" w:sz="0" w:space="0" w:color="auto"/>
                    <w:bottom w:val="none" w:sz="0" w:space="0" w:color="auto"/>
                    <w:right w:val="none" w:sz="0" w:space="0" w:color="auto"/>
                  </w:divBdr>
                  <w:divsChild>
                    <w:div w:id="521748238">
                      <w:marLeft w:val="0"/>
                      <w:marRight w:val="0"/>
                      <w:marTop w:val="0"/>
                      <w:marBottom w:val="0"/>
                      <w:divBdr>
                        <w:top w:val="none" w:sz="0" w:space="0" w:color="auto"/>
                        <w:left w:val="none" w:sz="0" w:space="0" w:color="auto"/>
                        <w:bottom w:val="none" w:sz="0" w:space="0" w:color="auto"/>
                        <w:right w:val="none" w:sz="0" w:space="0" w:color="auto"/>
                      </w:divBdr>
                    </w:div>
                  </w:divsChild>
                </w:div>
                <w:div w:id="929586458">
                  <w:marLeft w:val="0"/>
                  <w:marRight w:val="0"/>
                  <w:marTop w:val="0"/>
                  <w:marBottom w:val="0"/>
                  <w:divBdr>
                    <w:top w:val="none" w:sz="0" w:space="0" w:color="auto"/>
                    <w:left w:val="none" w:sz="0" w:space="0" w:color="auto"/>
                    <w:bottom w:val="none" w:sz="0" w:space="0" w:color="auto"/>
                    <w:right w:val="none" w:sz="0" w:space="0" w:color="auto"/>
                  </w:divBdr>
                  <w:divsChild>
                    <w:div w:id="1428455051">
                      <w:marLeft w:val="0"/>
                      <w:marRight w:val="0"/>
                      <w:marTop w:val="0"/>
                      <w:marBottom w:val="0"/>
                      <w:divBdr>
                        <w:top w:val="none" w:sz="0" w:space="0" w:color="auto"/>
                        <w:left w:val="none" w:sz="0" w:space="0" w:color="auto"/>
                        <w:bottom w:val="none" w:sz="0" w:space="0" w:color="auto"/>
                        <w:right w:val="none" w:sz="0" w:space="0" w:color="auto"/>
                      </w:divBdr>
                    </w:div>
                  </w:divsChild>
                </w:div>
                <w:div w:id="118381659">
                  <w:marLeft w:val="0"/>
                  <w:marRight w:val="0"/>
                  <w:marTop w:val="0"/>
                  <w:marBottom w:val="0"/>
                  <w:divBdr>
                    <w:top w:val="none" w:sz="0" w:space="0" w:color="auto"/>
                    <w:left w:val="none" w:sz="0" w:space="0" w:color="auto"/>
                    <w:bottom w:val="none" w:sz="0" w:space="0" w:color="auto"/>
                    <w:right w:val="none" w:sz="0" w:space="0" w:color="auto"/>
                  </w:divBdr>
                  <w:divsChild>
                    <w:div w:id="1199583312">
                      <w:marLeft w:val="0"/>
                      <w:marRight w:val="0"/>
                      <w:marTop w:val="0"/>
                      <w:marBottom w:val="0"/>
                      <w:divBdr>
                        <w:top w:val="none" w:sz="0" w:space="0" w:color="auto"/>
                        <w:left w:val="none" w:sz="0" w:space="0" w:color="auto"/>
                        <w:bottom w:val="none" w:sz="0" w:space="0" w:color="auto"/>
                        <w:right w:val="none" w:sz="0" w:space="0" w:color="auto"/>
                      </w:divBdr>
                    </w:div>
                  </w:divsChild>
                </w:div>
                <w:div w:id="427849766">
                  <w:marLeft w:val="0"/>
                  <w:marRight w:val="0"/>
                  <w:marTop w:val="0"/>
                  <w:marBottom w:val="0"/>
                  <w:divBdr>
                    <w:top w:val="none" w:sz="0" w:space="0" w:color="auto"/>
                    <w:left w:val="none" w:sz="0" w:space="0" w:color="auto"/>
                    <w:bottom w:val="none" w:sz="0" w:space="0" w:color="auto"/>
                    <w:right w:val="none" w:sz="0" w:space="0" w:color="auto"/>
                  </w:divBdr>
                  <w:divsChild>
                    <w:div w:id="975451761">
                      <w:marLeft w:val="0"/>
                      <w:marRight w:val="0"/>
                      <w:marTop w:val="0"/>
                      <w:marBottom w:val="0"/>
                      <w:divBdr>
                        <w:top w:val="none" w:sz="0" w:space="0" w:color="auto"/>
                        <w:left w:val="none" w:sz="0" w:space="0" w:color="auto"/>
                        <w:bottom w:val="none" w:sz="0" w:space="0" w:color="auto"/>
                        <w:right w:val="none" w:sz="0" w:space="0" w:color="auto"/>
                      </w:divBdr>
                    </w:div>
                  </w:divsChild>
                </w:div>
                <w:div w:id="1316687618">
                  <w:marLeft w:val="0"/>
                  <w:marRight w:val="0"/>
                  <w:marTop w:val="0"/>
                  <w:marBottom w:val="0"/>
                  <w:divBdr>
                    <w:top w:val="none" w:sz="0" w:space="0" w:color="auto"/>
                    <w:left w:val="none" w:sz="0" w:space="0" w:color="auto"/>
                    <w:bottom w:val="none" w:sz="0" w:space="0" w:color="auto"/>
                    <w:right w:val="none" w:sz="0" w:space="0" w:color="auto"/>
                  </w:divBdr>
                  <w:divsChild>
                    <w:div w:id="1760709789">
                      <w:marLeft w:val="0"/>
                      <w:marRight w:val="0"/>
                      <w:marTop w:val="0"/>
                      <w:marBottom w:val="0"/>
                      <w:divBdr>
                        <w:top w:val="none" w:sz="0" w:space="0" w:color="auto"/>
                        <w:left w:val="none" w:sz="0" w:space="0" w:color="auto"/>
                        <w:bottom w:val="none" w:sz="0" w:space="0" w:color="auto"/>
                        <w:right w:val="none" w:sz="0" w:space="0" w:color="auto"/>
                      </w:divBdr>
                    </w:div>
                  </w:divsChild>
                </w:div>
                <w:div w:id="91436658">
                  <w:marLeft w:val="0"/>
                  <w:marRight w:val="0"/>
                  <w:marTop w:val="0"/>
                  <w:marBottom w:val="0"/>
                  <w:divBdr>
                    <w:top w:val="none" w:sz="0" w:space="0" w:color="auto"/>
                    <w:left w:val="none" w:sz="0" w:space="0" w:color="auto"/>
                    <w:bottom w:val="none" w:sz="0" w:space="0" w:color="auto"/>
                    <w:right w:val="none" w:sz="0" w:space="0" w:color="auto"/>
                  </w:divBdr>
                  <w:divsChild>
                    <w:div w:id="1271090708">
                      <w:marLeft w:val="0"/>
                      <w:marRight w:val="0"/>
                      <w:marTop w:val="0"/>
                      <w:marBottom w:val="0"/>
                      <w:divBdr>
                        <w:top w:val="none" w:sz="0" w:space="0" w:color="auto"/>
                        <w:left w:val="none" w:sz="0" w:space="0" w:color="auto"/>
                        <w:bottom w:val="none" w:sz="0" w:space="0" w:color="auto"/>
                        <w:right w:val="none" w:sz="0" w:space="0" w:color="auto"/>
                      </w:divBdr>
                    </w:div>
                  </w:divsChild>
                </w:div>
                <w:div w:id="251159376">
                  <w:marLeft w:val="0"/>
                  <w:marRight w:val="0"/>
                  <w:marTop w:val="0"/>
                  <w:marBottom w:val="0"/>
                  <w:divBdr>
                    <w:top w:val="none" w:sz="0" w:space="0" w:color="auto"/>
                    <w:left w:val="none" w:sz="0" w:space="0" w:color="auto"/>
                    <w:bottom w:val="none" w:sz="0" w:space="0" w:color="auto"/>
                    <w:right w:val="none" w:sz="0" w:space="0" w:color="auto"/>
                  </w:divBdr>
                  <w:divsChild>
                    <w:div w:id="1281374192">
                      <w:marLeft w:val="0"/>
                      <w:marRight w:val="0"/>
                      <w:marTop w:val="0"/>
                      <w:marBottom w:val="0"/>
                      <w:divBdr>
                        <w:top w:val="none" w:sz="0" w:space="0" w:color="auto"/>
                        <w:left w:val="none" w:sz="0" w:space="0" w:color="auto"/>
                        <w:bottom w:val="none" w:sz="0" w:space="0" w:color="auto"/>
                        <w:right w:val="none" w:sz="0" w:space="0" w:color="auto"/>
                      </w:divBdr>
                    </w:div>
                  </w:divsChild>
                </w:div>
                <w:div w:id="1298798031">
                  <w:marLeft w:val="0"/>
                  <w:marRight w:val="0"/>
                  <w:marTop w:val="0"/>
                  <w:marBottom w:val="0"/>
                  <w:divBdr>
                    <w:top w:val="none" w:sz="0" w:space="0" w:color="auto"/>
                    <w:left w:val="none" w:sz="0" w:space="0" w:color="auto"/>
                    <w:bottom w:val="none" w:sz="0" w:space="0" w:color="auto"/>
                    <w:right w:val="none" w:sz="0" w:space="0" w:color="auto"/>
                  </w:divBdr>
                  <w:divsChild>
                    <w:div w:id="739056931">
                      <w:marLeft w:val="0"/>
                      <w:marRight w:val="0"/>
                      <w:marTop w:val="0"/>
                      <w:marBottom w:val="0"/>
                      <w:divBdr>
                        <w:top w:val="none" w:sz="0" w:space="0" w:color="auto"/>
                        <w:left w:val="none" w:sz="0" w:space="0" w:color="auto"/>
                        <w:bottom w:val="none" w:sz="0" w:space="0" w:color="auto"/>
                        <w:right w:val="none" w:sz="0" w:space="0" w:color="auto"/>
                      </w:divBdr>
                    </w:div>
                  </w:divsChild>
                </w:div>
                <w:div w:id="1063525951">
                  <w:marLeft w:val="0"/>
                  <w:marRight w:val="0"/>
                  <w:marTop w:val="0"/>
                  <w:marBottom w:val="0"/>
                  <w:divBdr>
                    <w:top w:val="none" w:sz="0" w:space="0" w:color="auto"/>
                    <w:left w:val="none" w:sz="0" w:space="0" w:color="auto"/>
                    <w:bottom w:val="none" w:sz="0" w:space="0" w:color="auto"/>
                    <w:right w:val="none" w:sz="0" w:space="0" w:color="auto"/>
                  </w:divBdr>
                  <w:divsChild>
                    <w:div w:id="11733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08559">
          <w:marLeft w:val="0"/>
          <w:marRight w:val="0"/>
          <w:marTop w:val="0"/>
          <w:marBottom w:val="0"/>
          <w:divBdr>
            <w:top w:val="none" w:sz="0" w:space="0" w:color="auto"/>
            <w:left w:val="none" w:sz="0" w:space="0" w:color="auto"/>
            <w:bottom w:val="none" w:sz="0" w:space="0" w:color="auto"/>
            <w:right w:val="none" w:sz="0" w:space="0" w:color="auto"/>
          </w:divBdr>
        </w:div>
        <w:div w:id="1058825861">
          <w:marLeft w:val="0"/>
          <w:marRight w:val="0"/>
          <w:marTop w:val="0"/>
          <w:marBottom w:val="0"/>
          <w:divBdr>
            <w:top w:val="none" w:sz="0" w:space="0" w:color="auto"/>
            <w:left w:val="none" w:sz="0" w:space="0" w:color="auto"/>
            <w:bottom w:val="none" w:sz="0" w:space="0" w:color="auto"/>
            <w:right w:val="none" w:sz="0" w:space="0" w:color="auto"/>
          </w:divBdr>
        </w:div>
        <w:div w:id="485049849">
          <w:marLeft w:val="0"/>
          <w:marRight w:val="0"/>
          <w:marTop w:val="0"/>
          <w:marBottom w:val="0"/>
          <w:divBdr>
            <w:top w:val="none" w:sz="0" w:space="0" w:color="auto"/>
            <w:left w:val="none" w:sz="0" w:space="0" w:color="auto"/>
            <w:bottom w:val="none" w:sz="0" w:space="0" w:color="auto"/>
            <w:right w:val="none" w:sz="0" w:space="0" w:color="auto"/>
          </w:divBdr>
        </w:div>
        <w:div w:id="1856000505">
          <w:marLeft w:val="0"/>
          <w:marRight w:val="0"/>
          <w:marTop w:val="0"/>
          <w:marBottom w:val="0"/>
          <w:divBdr>
            <w:top w:val="none" w:sz="0" w:space="0" w:color="auto"/>
            <w:left w:val="none" w:sz="0" w:space="0" w:color="auto"/>
            <w:bottom w:val="none" w:sz="0" w:space="0" w:color="auto"/>
            <w:right w:val="none" w:sz="0" w:space="0" w:color="auto"/>
          </w:divBdr>
        </w:div>
        <w:div w:id="1800152014">
          <w:marLeft w:val="0"/>
          <w:marRight w:val="0"/>
          <w:marTop w:val="0"/>
          <w:marBottom w:val="0"/>
          <w:divBdr>
            <w:top w:val="none" w:sz="0" w:space="0" w:color="auto"/>
            <w:left w:val="none" w:sz="0" w:space="0" w:color="auto"/>
            <w:bottom w:val="none" w:sz="0" w:space="0" w:color="auto"/>
            <w:right w:val="none" w:sz="0" w:space="0" w:color="auto"/>
          </w:divBdr>
        </w:div>
      </w:divsChild>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6517156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6651344">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3Q4/eng/Makroanal&#253;za%20grafy_e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3Q4/eng/Makroanal&#253;za%20grafy_e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3Q4/eng/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240163796014418E-2"/>
          <c:y val="2.3046636085626952E-2"/>
          <c:w val="0.93617042384329663"/>
          <c:h val="0.74192840256670856"/>
        </c:manualLayout>
      </c:layout>
      <c:barChart>
        <c:barDir val="col"/>
        <c:grouping val="clustered"/>
        <c:varyColors val="0"/>
        <c:ser>
          <c:idx val="0"/>
          <c:order val="0"/>
          <c:tx>
            <c:strRef>
              <c:f>'souhrnná výkonnost 1'!$C$4</c:f>
              <c:strCache>
                <c:ptCount val="1"/>
                <c:pt idx="0">
                  <c:v>CR year-on-year change</c:v>
                </c:pt>
              </c:strCache>
            </c:strRef>
          </c:tx>
          <c:spPr>
            <a:solidFill>
              <a:schemeClr val="bg1">
                <a:lumMod val="65000"/>
              </a:schemeClr>
            </a:solidFill>
            <a:ln>
              <a:noFill/>
            </a:ln>
          </c:spPr>
          <c:invertIfNegative val="0"/>
          <c:cat>
            <c:multiLvlStrRef>
              <c:f>'souhrnná výkonnost 1'!$A$5:$B$28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1'!$C$5:$C$28</c:f>
              <c:numCache>
                <c:formatCode>0.0</c:formatCode>
                <c:ptCount val="24"/>
                <c:pt idx="0">
                  <c:v>4.7409690869492067</c:v>
                </c:pt>
                <c:pt idx="1">
                  <c:v>2.8084745992628513</c:v>
                </c:pt>
                <c:pt idx="2">
                  <c:v>2.6946757492296172</c:v>
                </c:pt>
                <c:pt idx="3">
                  <c:v>2.6327282626460686</c:v>
                </c:pt>
                <c:pt idx="4">
                  <c:v>2.9925598229108203</c:v>
                </c:pt>
                <c:pt idx="5">
                  <c:v>3.0577797411869341</c:v>
                </c:pt>
                <c:pt idx="6">
                  <c:v>3.022282133028483</c:v>
                </c:pt>
                <c:pt idx="7">
                  <c:v>2.7919398416799623</c:v>
                </c:pt>
                <c:pt idx="8">
                  <c:v>-1.4737630559722419</c:v>
                </c:pt>
                <c:pt idx="9">
                  <c:v>-10.802828827516109</c:v>
                </c:pt>
                <c:pt idx="10">
                  <c:v>-5.2166971565464166</c:v>
                </c:pt>
                <c:pt idx="11">
                  <c:v>-4.5664791785978451</c:v>
                </c:pt>
                <c:pt idx="12">
                  <c:v>-1.9186413648622107</c:v>
                </c:pt>
                <c:pt idx="13">
                  <c:v>9.1792884100474765</c:v>
                </c:pt>
                <c:pt idx="14">
                  <c:v>3.8208995035486311</c:v>
                </c:pt>
                <c:pt idx="15">
                  <c:v>3.4133294018282072</c:v>
                </c:pt>
                <c:pt idx="16">
                  <c:v>4.6716662414814749</c:v>
                </c:pt>
                <c:pt idx="17">
                  <c:v>3.3523436073729584</c:v>
                </c:pt>
                <c:pt idx="18">
                  <c:v>1.3389936645339446</c:v>
                </c:pt>
                <c:pt idx="19">
                  <c:v>0.14557645670561215</c:v>
                </c:pt>
                <c:pt idx="20">
                  <c:v>-0.31742254829522665</c:v>
                </c:pt>
                <c:pt idx="21">
                  <c:v>-0.23214678944495404</c:v>
                </c:pt>
                <c:pt idx="22" formatCode="General">
                  <c:v>-0.80311139413963417</c:v>
                </c:pt>
                <c:pt idx="23" formatCode="General">
                  <c:v>-0.21139694650983643</c:v>
                </c:pt>
              </c:numCache>
            </c:numRef>
          </c:val>
          <c:extLst>
            <c:ext xmlns:c16="http://schemas.microsoft.com/office/drawing/2014/chart" uri="{C3380CC4-5D6E-409C-BE32-E72D297353CC}">
              <c16:uniqueId val="{00000000-B0F6-46E8-8C66-A5E5CAFB58F3}"/>
            </c:ext>
          </c:extLst>
        </c:ser>
        <c:ser>
          <c:idx val="1"/>
          <c:order val="1"/>
          <c:tx>
            <c:strRef>
              <c:f>'souhrnná výkonnost 1'!$D$4</c:f>
              <c:strCache>
                <c:ptCount val="1"/>
                <c:pt idx="0">
                  <c:v>EU28 year-on-year change</c:v>
                </c:pt>
              </c:strCache>
            </c:strRef>
          </c:tx>
          <c:spPr>
            <a:solidFill>
              <a:schemeClr val="bg1">
                <a:lumMod val="50000"/>
              </a:schemeClr>
            </a:solidFill>
            <a:ln>
              <a:noFill/>
            </a:ln>
          </c:spPr>
          <c:invertIfNegative val="0"/>
          <c:cat>
            <c:multiLvlStrRef>
              <c:f>'souhrnná výkonnost 1'!$A$5:$B$28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1'!$D$5:$D$28</c:f>
              <c:numCache>
                <c:formatCode>#\ ##0.##########</c:formatCode>
                <c:ptCount val="24"/>
                <c:pt idx="0">
                  <c:v>2.6</c:v>
                </c:pt>
                <c:pt idx="1">
                  <c:v>2.4</c:v>
                </c:pt>
                <c:pt idx="2">
                  <c:v>1.7</c:v>
                </c:pt>
                <c:pt idx="3">
                  <c:v>1.6</c:v>
                </c:pt>
                <c:pt idx="4">
                  <c:v>2.1</c:v>
                </c:pt>
                <c:pt idx="5">
                  <c:v>1.9</c:v>
                </c:pt>
                <c:pt idx="6" formatCode="#\ ##0.0">
                  <c:v>2</c:v>
                </c:pt>
                <c:pt idx="7">
                  <c:v>1.4</c:v>
                </c:pt>
                <c:pt idx="8">
                  <c:v>-2.2999999999999998</c:v>
                </c:pt>
                <c:pt idx="9">
                  <c:v>-13.3</c:v>
                </c:pt>
                <c:pt idx="10">
                  <c:v>-3.8</c:v>
                </c:pt>
                <c:pt idx="11">
                  <c:v>-3.7</c:v>
                </c:pt>
                <c:pt idx="12">
                  <c:v>-0.1</c:v>
                </c:pt>
                <c:pt idx="13">
                  <c:v>14.4</c:v>
                </c:pt>
                <c:pt idx="14">
                  <c:v>4.9000000000000004</c:v>
                </c:pt>
                <c:pt idx="15">
                  <c:v>5.5</c:v>
                </c:pt>
                <c:pt idx="16">
                  <c:v>5.6</c:v>
                </c:pt>
                <c:pt idx="17">
                  <c:v>4.2</c:v>
                </c:pt>
                <c:pt idx="18">
                  <c:v>2.6</c:v>
                </c:pt>
                <c:pt idx="19">
                  <c:v>1.7</c:v>
                </c:pt>
                <c:pt idx="20">
                  <c:v>1.2</c:v>
                </c:pt>
                <c:pt idx="21">
                  <c:v>0.6</c:v>
                </c:pt>
                <c:pt idx="22">
                  <c:v>0.1</c:v>
                </c:pt>
                <c:pt idx="23" formatCode="General">
                  <c:v>0.2</c:v>
                </c:pt>
              </c:numCache>
            </c:numRef>
          </c:val>
          <c:extLst>
            <c:ext xmlns:c16="http://schemas.microsoft.com/office/drawing/2014/chart" uri="{C3380CC4-5D6E-409C-BE32-E72D297353CC}">
              <c16:uniqueId val="{00000001-B0F6-46E8-8C66-A5E5CAFB58F3}"/>
            </c:ext>
          </c:extLst>
        </c:ser>
        <c:dLbls>
          <c:showLegendKey val="0"/>
          <c:showVal val="0"/>
          <c:showCatName val="0"/>
          <c:showSerName val="0"/>
          <c:showPercent val="0"/>
          <c:showBubbleSize val="0"/>
        </c:dLbls>
        <c:gapWidth val="100"/>
        <c:axId val="115054080"/>
        <c:axId val="115056000"/>
      </c:barChart>
      <c:lineChart>
        <c:grouping val="standard"/>
        <c:varyColors val="0"/>
        <c:ser>
          <c:idx val="2"/>
          <c:order val="2"/>
          <c:tx>
            <c:strRef>
              <c:f>'souhrnná výkonnost 1'!$E$4</c:f>
              <c:strCache>
                <c:ptCount val="1"/>
                <c:pt idx="0">
                  <c:v>ČR quarter-on-quarter change</c:v>
                </c:pt>
              </c:strCache>
            </c:strRef>
          </c:tx>
          <c:spPr>
            <a:ln w="19050">
              <a:noFill/>
            </a:ln>
          </c:spPr>
          <c:marker>
            <c:symbol val="dash"/>
            <c:size val="8"/>
            <c:spPr>
              <a:solidFill>
                <a:schemeClr val="accent1"/>
              </a:solidFill>
              <a:ln>
                <a:noFill/>
              </a:ln>
            </c:spPr>
          </c:marker>
          <c:cat>
            <c:multiLvlStrRef>
              <c:f>'souhrnná výkonnost 1'!$A$5:$B$28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1'!$E$5:$E$28</c:f>
              <c:numCache>
                <c:formatCode>0.0</c:formatCode>
                <c:ptCount val="24"/>
                <c:pt idx="0">
                  <c:v>0.51859772519729574</c:v>
                </c:pt>
                <c:pt idx="1">
                  <c:v>0.5912374750303826</c:v>
                </c:pt>
                <c:pt idx="2">
                  <c:v>0.73257343037091971</c:v>
                </c:pt>
                <c:pt idx="3">
                  <c:v>0.76492186562109055</c:v>
                </c:pt>
                <c:pt idx="4">
                  <c:v>0.87101711877043897</c:v>
                </c:pt>
                <c:pt idx="5">
                  <c:v>0.65493675873298685</c:v>
                </c:pt>
                <c:pt idx="6">
                  <c:v>0.69787672499455766</c:v>
                </c:pt>
                <c:pt idx="7">
                  <c:v>0.53962669151388809</c:v>
                </c:pt>
                <c:pt idx="8">
                  <c:v>-3.3149705245738517</c:v>
                </c:pt>
                <c:pt idx="9">
                  <c:v>-8.8756873103285301</c:v>
                </c:pt>
                <c:pt idx="10">
                  <c:v>7.0042605595799046</c:v>
                </c:pt>
                <c:pt idx="11">
                  <c:v>1.2293333255930037</c:v>
                </c:pt>
                <c:pt idx="12">
                  <c:v>-0.63240914714887708</c:v>
                </c:pt>
                <c:pt idx="13">
                  <c:v>1.4350510102822795</c:v>
                </c:pt>
                <c:pt idx="14">
                  <c:v>1.7526194188431674</c:v>
                </c:pt>
                <c:pt idx="15">
                  <c:v>0.83193694511574279</c:v>
                </c:pt>
                <c:pt idx="16">
                  <c:v>0.57669901096760157</c:v>
                </c:pt>
                <c:pt idx="17">
                  <c:v>0.15652394087383925</c:v>
                </c:pt>
                <c:pt idx="18">
                  <c:v>-0.2295671803200463</c:v>
                </c:pt>
                <c:pt idx="19">
                  <c:v>-0.35550891651683969</c:v>
                </c:pt>
                <c:pt idx="20">
                  <c:v>0.11170681444774289</c:v>
                </c:pt>
                <c:pt idx="21">
                  <c:v>0.24220514817412209</c:v>
                </c:pt>
                <c:pt idx="22" formatCode="General">
                  <c:v>-0.80054654794142266</c:v>
                </c:pt>
                <c:pt idx="23" formatCode="General">
                  <c:v>0.23887550248531397</c:v>
                </c:pt>
              </c:numCache>
            </c:numRef>
          </c:val>
          <c:smooth val="0"/>
          <c:extLst>
            <c:ext xmlns:c16="http://schemas.microsoft.com/office/drawing/2014/chart" uri="{C3380CC4-5D6E-409C-BE32-E72D297353CC}">
              <c16:uniqueId val="{00000002-B0F6-46E8-8C66-A5E5CAFB58F3}"/>
            </c:ext>
          </c:extLst>
        </c:ser>
        <c:ser>
          <c:idx val="3"/>
          <c:order val="3"/>
          <c:tx>
            <c:strRef>
              <c:f>'souhrnná výkonnost 1'!$F$4</c:f>
              <c:strCache>
                <c:ptCount val="1"/>
                <c:pt idx="0">
                  <c:v>EU28 quarter-on-quarter change</c:v>
                </c:pt>
              </c:strCache>
            </c:strRef>
          </c:tx>
          <c:spPr>
            <a:ln w="19050">
              <a:noFill/>
            </a:ln>
          </c:spPr>
          <c:marker>
            <c:symbol val="dash"/>
            <c:size val="8"/>
            <c:spPr>
              <a:solidFill>
                <a:schemeClr val="accent2"/>
              </a:solidFill>
              <a:ln>
                <a:noFill/>
              </a:ln>
            </c:spPr>
          </c:marker>
          <c:cat>
            <c:multiLvlStrRef>
              <c:f>'souhrnná výkonnost 1'!$A$5:$B$28</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1'!$F$5:$F$28</c:f>
              <c:numCache>
                <c:formatCode>#\ ##0.##########</c:formatCode>
                <c:ptCount val="24"/>
                <c:pt idx="0">
                  <c:v>0.1</c:v>
                </c:pt>
                <c:pt idx="1">
                  <c:v>0.6</c:v>
                </c:pt>
                <c:pt idx="2">
                  <c:v>0.1</c:v>
                </c:pt>
                <c:pt idx="3">
                  <c:v>0.7</c:v>
                </c:pt>
                <c:pt idx="4">
                  <c:v>0.6</c:v>
                </c:pt>
                <c:pt idx="5">
                  <c:v>0.4</c:v>
                </c:pt>
                <c:pt idx="6">
                  <c:v>0.2</c:v>
                </c:pt>
                <c:pt idx="7">
                  <c:v>0.1</c:v>
                </c:pt>
                <c:pt idx="8" formatCode="#\ ##0.0">
                  <c:v>-3</c:v>
                </c:pt>
                <c:pt idx="9">
                  <c:v>-10.9</c:v>
                </c:pt>
                <c:pt idx="10">
                  <c:v>11.3</c:v>
                </c:pt>
                <c:pt idx="11">
                  <c:v>0.1</c:v>
                </c:pt>
                <c:pt idx="12">
                  <c:v>0.5</c:v>
                </c:pt>
                <c:pt idx="13">
                  <c:v>2.1</c:v>
                </c:pt>
                <c:pt idx="14" formatCode="#\ ##0.0">
                  <c:v>2</c:v>
                </c:pt>
                <c:pt idx="15">
                  <c:v>0.7</c:v>
                </c:pt>
                <c:pt idx="16">
                  <c:v>0.7</c:v>
                </c:pt>
                <c:pt idx="17">
                  <c:v>0.7</c:v>
                </c:pt>
                <c:pt idx="18">
                  <c:v>0.4</c:v>
                </c:pt>
                <c:pt idx="19">
                  <c:v>-0.1</c:v>
                </c:pt>
                <c:pt idx="20">
                  <c:v>0.1</c:v>
                </c:pt>
                <c:pt idx="21" formatCode="#\ ##0.0">
                  <c:v>0.1</c:v>
                </c:pt>
                <c:pt idx="22" formatCode="#\ ##0.0">
                  <c:v>0</c:v>
                </c:pt>
                <c:pt idx="23" formatCode="General">
                  <c:v>0</c:v>
                </c:pt>
              </c:numCache>
            </c:numRef>
          </c:val>
          <c:smooth val="0"/>
          <c:extLst>
            <c:ext xmlns:c16="http://schemas.microsoft.com/office/drawing/2014/chart" uri="{C3380CC4-5D6E-409C-BE32-E72D297353CC}">
              <c16:uniqueId val="{00000003-B0F6-46E8-8C66-A5E5CAFB58F3}"/>
            </c:ext>
          </c:extLst>
        </c:ser>
        <c:dLbls>
          <c:showLegendKey val="0"/>
          <c:showVal val="0"/>
          <c:showCatName val="0"/>
          <c:showSerName val="0"/>
          <c:showPercent val="0"/>
          <c:showBubbleSize val="0"/>
        </c:dLbls>
        <c:marker val="1"/>
        <c:smooth val="0"/>
        <c:axId val="115054080"/>
        <c:axId val="115056000"/>
      </c:lineChart>
      <c:catAx>
        <c:axId val="11505408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5056000"/>
        <c:crosses val="autoZero"/>
        <c:auto val="1"/>
        <c:lblAlgn val="ctr"/>
        <c:lblOffset val="100"/>
        <c:noMultiLvlLbl val="0"/>
      </c:catAx>
      <c:valAx>
        <c:axId val="115056000"/>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054080"/>
        <c:crosses val="autoZero"/>
        <c:crossBetween val="between"/>
        <c:majorUnit val="3"/>
      </c:valAx>
      <c:spPr>
        <a:ln>
          <a:solidFill>
            <a:schemeClr val="tx1"/>
          </a:solidFill>
        </a:ln>
      </c:spPr>
    </c:plotArea>
    <c:legend>
      <c:legendPos val="b"/>
      <c:layout>
        <c:manualLayout>
          <c:xMode val="edge"/>
          <c:yMode val="edge"/>
          <c:x val="5.0375530939407026E-2"/>
          <c:y val="0.89437255125717996"/>
          <c:w val="0.92644083516900477"/>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948352704928246E-2"/>
          <c:y val="2.8458510079622041E-2"/>
          <c:w val="0.93956464282120367"/>
          <c:h val="0.6497469886299676"/>
        </c:manualLayout>
      </c:layout>
      <c:barChart>
        <c:barDir val="col"/>
        <c:grouping val="stacked"/>
        <c:varyColors val="0"/>
        <c:ser>
          <c:idx val="1"/>
          <c:order val="0"/>
          <c:tx>
            <c:strRef>
              <c:f>'souhrnná výkonnost 3'!$F$5</c:f>
              <c:strCache>
                <c:ptCount val="1"/>
                <c:pt idx="0">
                  <c:v>Foreign trade balance</c:v>
                </c:pt>
              </c:strCache>
            </c:strRef>
          </c:tx>
          <c:spPr>
            <a:solidFill>
              <a:srgbClr val="7DBB2D"/>
            </a:solidFill>
            <a:ln>
              <a:noFill/>
            </a:ln>
          </c:spPr>
          <c:invertIfNegative val="0"/>
          <c:cat>
            <c:multiLvlStrRef>
              <c:f>'souhrnná výkonnost 3'!$A$6:$B$29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3'!$F$6:$F$29</c:f>
              <c:numCache>
                <c:formatCode>#\ ##0.0</c:formatCode>
                <c:ptCount val="24"/>
                <c:pt idx="0">
                  <c:v>-0.45416719953824236</c:v>
                </c:pt>
                <c:pt idx="1">
                  <c:v>-0.74378891592524266</c:v>
                </c:pt>
                <c:pt idx="2">
                  <c:v>-1.1266373010786319</c:v>
                </c:pt>
                <c:pt idx="3">
                  <c:v>0.26399371013949136</c:v>
                </c:pt>
                <c:pt idx="4">
                  <c:v>-0.10063574701283917</c:v>
                </c:pt>
                <c:pt idx="5">
                  <c:v>1.3529610725744319</c:v>
                </c:pt>
                <c:pt idx="6">
                  <c:v>1.4268251487477541</c:v>
                </c:pt>
                <c:pt idx="7">
                  <c:v>-1.1473798908006601</c:v>
                </c:pt>
                <c:pt idx="8">
                  <c:v>-2.0624772509655713</c:v>
                </c:pt>
                <c:pt idx="9">
                  <c:v>-9.0642749602481363</c:v>
                </c:pt>
                <c:pt idx="10">
                  <c:v>-1.0204260219992571</c:v>
                </c:pt>
                <c:pt idx="11">
                  <c:v>2.0095740720498343</c:v>
                </c:pt>
                <c:pt idx="12">
                  <c:v>-0.28507028363562315</c:v>
                </c:pt>
                <c:pt idx="13">
                  <c:v>4.4273326570028857</c:v>
                </c:pt>
                <c:pt idx="14">
                  <c:v>-5.8942461279131582</c:v>
                </c:pt>
                <c:pt idx="15">
                  <c:v>-6.4422946124320752</c:v>
                </c:pt>
                <c:pt idx="16">
                  <c:v>-1.8223902794079425</c:v>
                </c:pt>
                <c:pt idx="17">
                  <c:v>0.41945594502810524</c:v>
                </c:pt>
                <c:pt idx="18">
                  <c:v>4.1644433977782347</c:v>
                </c:pt>
                <c:pt idx="19">
                  <c:v>2.8946322892501071</c:v>
                </c:pt>
                <c:pt idx="20">
                  <c:v>2.9791398368073936</c:v>
                </c:pt>
                <c:pt idx="21">
                  <c:v>2.3889917211540079</c:v>
                </c:pt>
                <c:pt idx="22">
                  <c:v>0.26756439074575267</c:v>
                </c:pt>
                <c:pt idx="23" formatCode="General">
                  <c:v>3.2571788461106363</c:v>
                </c:pt>
              </c:numCache>
            </c:numRef>
          </c:val>
          <c:extLst>
            <c:ext xmlns:c16="http://schemas.microsoft.com/office/drawing/2014/chart" uri="{C3380CC4-5D6E-409C-BE32-E72D297353CC}">
              <c16:uniqueId val="{00000000-6B64-4629-BB04-C1CF71B5A8EC}"/>
            </c:ext>
          </c:extLst>
        </c:ser>
        <c:ser>
          <c:idx val="2"/>
          <c:order val="1"/>
          <c:tx>
            <c:strRef>
              <c:f>'souhrnná výkonnost 3'!$H$5</c:f>
              <c:strCache>
                <c:ptCount val="1"/>
                <c:pt idx="0">
                  <c:v>Change in inventories</c:v>
                </c:pt>
              </c:strCache>
            </c:strRef>
          </c:tx>
          <c:spPr>
            <a:solidFill>
              <a:srgbClr val="E8AFB2"/>
            </a:solidFill>
            <a:ln>
              <a:noFill/>
            </a:ln>
          </c:spPr>
          <c:invertIfNegative val="0"/>
          <c:cat>
            <c:multiLvlStrRef>
              <c:f>'souhrnná výkonnost 3'!$A$6:$B$29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3'!$H$6:$H$29</c:f>
              <c:numCache>
                <c:formatCode>#\ ##0.0</c:formatCode>
                <c:ptCount val="24"/>
                <c:pt idx="0">
                  <c:v>1.0524813582033086</c:v>
                </c:pt>
                <c:pt idx="1">
                  <c:v>-0.477776065152271</c:v>
                </c:pt>
                <c:pt idx="2">
                  <c:v>-0.35555734821242624</c:v>
                </c:pt>
                <c:pt idx="3">
                  <c:v>-1.4481535119733118</c:v>
                </c:pt>
                <c:pt idx="4">
                  <c:v>2.9922981882277922E-2</c:v>
                </c:pt>
                <c:pt idx="5">
                  <c:v>-1.2537553229299498</c:v>
                </c:pt>
                <c:pt idx="6">
                  <c:v>-0.57463433558824872</c:v>
                </c:pt>
                <c:pt idx="7">
                  <c:v>1.8085807340728093</c:v>
                </c:pt>
                <c:pt idx="8">
                  <c:v>0.91584880445412875</c:v>
                </c:pt>
                <c:pt idx="9">
                  <c:v>0.66860369572466505</c:v>
                </c:pt>
                <c:pt idx="10">
                  <c:v>-1.5736478906912497</c:v>
                </c:pt>
                <c:pt idx="11">
                  <c:v>-2.0771500306216089</c:v>
                </c:pt>
                <c:pt idx="12">
                  <c:v>2.4159623458993353</c:v>
                </c:pt>
                <c:pt idx="13">
                  <c:v>4.4035123965182708</c:v>
                </c:pt>
                <c:pt idx="14">
                  <c:v>6.5480200971506584</c:v>
                </c:pt>
                <c:pt idx="15">
                  <c:v>5.6378094597142576</c:v>
                </c:pt>
                <c:pt idx="16">
                  <c:v>1.66367360988091</c:v>
                </c:pt>
                <c:pt idx="17">
                  <c:v>1.6515628174459906</c:v>
                </c:pt>
                <c:pt idx="18">
                  <c:v>-5.5502917501831062E-2</c:v>
                </c:pt>
                <c:pt idx="19">
                  <c:v>6.5762458860385592E-2</c:v>
                </c:pt>
                <c:pt idx="20">
                  <c:v>-1.1910787418086073</c:v>
                </c:pt>
                <c:pt idx="21">
                  <c:v>-2.7456046373375251</c:v>
                </c:pt>
                <c:pt idx="22">
                  <c:v>-2.5844585559091171</c:v>
                </c:pt>
                <c:pt idx="23" formatCode="General">
                  <c:v>-6.0262131805352563</c:v>
                </c:pt>
              </c:numCache>
            </c:numRef>
          </c:val>
          <c:extLst>
            <c:ext xmlns:c16="http://schemas.microsoft.com/office/drawing/2014/chart" uri="{C3380CC4-5D6E-409C-BE32-E72D297353CC}">
              <c16:uniqueId val="{00000001-6B64-4629-BB04-C1CF71B5A8EC}"/>
            </c:ext>
          </c:extLst>
        </c:ser>
        <c:ser>
          <c:idx val="3"/>
          <c:order val="2"/>
          <c:tx>
            <c:strRef>
              <c:f>'souhrnná výkonnost 3'!$G$5</c:f>
              <c:strCache>
                <c:ptCount val="1"/>
                <c:pt idx="0">
                  <c:v>Gross fixed capital formation</c:v>
                </c:pt>
              </c:strCache>
            </c:strRef>
          </c:tx>
          <c:spPr>
            <a:solidFill>
              <a:srgbClr val="BD1B21"/>
            </a:solidFill>
            <a:ln>
              <a:noFill/>
            </a:ln>
          </c:spPr>
          <c:invertIfNegative val="0"/>
          <c:cat>
            <c:multiLvlStrRef>
              <c:f>'souhrnná výkonnost 3'!$A$6:$B$29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3'!$G$6:$G$29</c:f>
              <c:numCache>
                <c:formatCode>#\ ##0.0</c:formatCode>
                <c:ptCount val="24"/>
                <c:pt idx="0">
                  <c:v>1.8848546995699593</c:v>
                </c:pt>
                <c:pt idx="1">
                  <c:v>2.053547364624257</c:v>
                </c:pt>
                <c:pt idx="2">
                  <c:v>2.2324390876929536</c:v>
                </c:pt>
                <c:pt idx="3">
                  <c:v>1.9592291913679716</c:v>
                </c:pt>
                <c:pt idx="4">
                  <c:v>1.6664742572861317</c:v>
                </c:pt>
                <c:pt idx="5">
                  <c:v>1.1031620490038367</c:v>
                </c:pt>
                <c:pt idx="6">
                  <c:v>0.60351051109238796</c:v>
                </c:pt>
                <c:pt idx="7">
                  <c:v>0.61015699901503462</c:v>
                </c:pt>
                <c:pt idx="8">
                  <c:v>-0.18505385313730383</c:v>
                </c:pt>
                <c:pt idx="9">
                  <c:v>0.26545371936590545</c:v>
                </c:pt>
                <c:pt idx="10">
                  <c:v>-1.1365453004257853</c:v>
                </c:pt>
                <c:pt idx="11">
                  <c:v>-1.5484962788918575</c:v>
                </c:pt>
                <c:pt idx="12">
                  <c:v>-1.1386301164844839</c:v>
                </c:pt>
                <c:pt idx="13">
                  <c:v>-1.6478950671691959</c:v>
                </c:pt>
                <c:pt idx="14">
                  <c:v>0.35561087195381563</c:v>
                </c:pt>
                <c:pt idx="15">
                  <c:v>0.78646457641002898</c:v>
                </c:pt>
                <c:pt idx="16">
                  <c:v>1.2338325442745059</c:v>
                </c:pt>
                <c:pt idx="17">
                  <c:v>0.96635851731017108</c:v>
                </c:pt>
                <c:pt idx="18">
                  <c:v>8.5689625638113137E-2</c:v>
                </c:pt>
                <c:pt idx="19">
                  <c:v>5.5976859249671725E-2</c:v>
                </c:pt>
                <c:pt idx="20">
                  <c:v>-4.8316401269760022E-2</c:v>
                </c:pt>
                <c:pt idx="21">
                  <c:v>1.1862547304765798</c:v>
                </c:pt>
                <c:pt idx="22">
                  <c:v>1.4676525069754345</c:v>
                </c:pt>
                <c:pt idx="23" formatCode="General">
                  <c:v>1.7741359074582286</c:v>
                </c:pt>
              </c:numCache>
            </c:numRef>
          </c:val>
          <c:extLst>
            <c:ext xmlns:c16="http://schemas.microsoft.com/office/drawing/2014/chart" uri="{C3380CC4-5D6E-409C-BE32-E72D297353CC}">
              <c16:uniqueId val="{00000002-6B64-4629-BB04-C1CF71B5A8EC}"/>
            </c:ext>
          </c:extLst>
        </c:ser>
        <c:ser>
          <c:idx val="5"/>
          <c:order val="4"/>
          <c:tx>
            <c:strRef>
              <c:f>'souhrnná výkonnost 3'!$D$5</c:f>
              <c:strCache>
                <c:ptCount val="1"/>
                <c:pt idx="0">
                  <c:v>Final consumption expenditure of households (inc. non-profit inst.)</c:v>
                </c:pt>
              </c:strCache>
            </c:strRef>
          </c:tx>
          <c:spPr>
            <a:solidFill>
              <a:srgbClr val="0071BC"/>
            </a:solidFill>
            <a:ln>
              <a:noFill/>
            </a:ln>
          </c:spPr>
          <c:invertIfNegative val="0"/>
          <c:cat>
            <c:multiLvlStrRef>
              <c:f>'souhrnná výkonnost 3'!$A$6:$B$29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3'!$D$6:$D$29</c:f>
              <c:numCache>
                <c:formatCode>#\ ##0.0</c:formatCode>
                <c:ptCount val="24"/>
                <c:pt idx="0">
                  <c:v>1.540080312662943</c:v>
                </c:pt>
                <c:pt idx="1">
                  <c:v>1.2364606818393475</c:v>
                </c:pt>
                <c:pt idx="2">
                  <c:v>0.93963380194395907</c:v>
                </c:pt>
                <c:pt idx="3">
                  <c:v>0.9479187361797875</c:v>
                </c:pt>
                <c:pt idx="4">
                  <c:v>0.89975778114159266</c:v>
                </c:pt>
                <c:pt idx="5">
                  <c:v>1.2410325032352092</c:v>
                </c:pt>
                <c:pt idx="6">
                  <c:v>0.94788645941574889</c:v>
                </c:pt>
                <c:pt idx="7">
                  <c:v>1.3125840520821437</c:v>
                </c:pt>
                <c:pt idx="8">
                  <c:v>-1.0446704916645397</c:v>
                </c:pt>
                <c:pt idx="9">
                  <c:v>-3.3401453756905828</c:v>
                </c:pt>
                <c:pt idx="10">
                  <c:v>-1.8238505965980329</c:v>
                </c:pt>
                <c:pt idx="11">
                  <c:v>-4.3451439574225992</c:v>
                </c:pt>
                <c:pt idx="12">
                  <c:v>-2.8838668819945754</c:v>
                </c:pt>
                <c:pt idx="13">
                  <c:v>1.9930858902923905</c:v>
                </c:pt>
                <c:pt idx="14">
                  <c:v>1.7335129439561134</c:v>
                </c:pt>
                <c:pt idx="15">
                  <c:v>3.2860285615183655</c:v>
                </c:pt>
                <c:pt idx="16">
                  <c:v>3.1431953453358576</c:v>
                </c:pt>
                <c:pt idx="17">
                  <c:v>-0.17331027307381178</c:v>
                </c:pt>
                <c:pt idx="18">
                  <c:v>-2.5959848207229479</c:v>
                </c:pt>
                <c:pt idx="19">
                  <c:v>-2.8794774139667463</c:v>
                </c:pt>
                <c:pt idx="20">
                  <c:v>-2.6465481494204957</c:v>
                </c:pt>
                <c:pt idx="21">
                  <c:v>-1.7383037878570804</c:v>
                </c:pt>
                <c:pt idx="22">
                  <c:v>-0.68758235748240304</c:v>
                </c:pt>
                <c:pt idx="23" formatCode="General">
                  <c:v>0.35524375304012096</c:v>
                </c:pt>
              </c:numCache>
            </c:numRef>
          </c:val>
          <c:extLst>
            <c:ext xmlns:c16="http://schemas.microsoft.com/office/drawing/2014/chart" uri="{C3380CC4-5D6E-409C-BE32-E72D297353CC}">
              <c16:uniqueId val="{00000003-6B64-4629-BB04-C1CF71B5A8EC}"/>
            </c:ext>
          </c:extLst>
        </c:ser>
        <c:ser>
          <c:idx val="4"/>
          <c:order val="5"/>
          <c:tx>
            <c:strRef>
              <c:f>'souhrnná výkonnost 3'!$E$5</c:f>
              <c:strCache>
                <c:ptCount val="1"/>
                <c:pt idx="0">
                  <c:v>Final consumption expenditure of government institutions</c:v>
                </c:pt>
              </c:strCache>
            </c:strRef>
          </c:tx>
          <c:spPr>
            <a:solidFill>
              <a:srgbClr val="A6CDE8"/>
            </a:solidFill>
            <a:ln>
              <a:noFill/>
            </a:ln>
          </c:spPr>
          <c:invertIfNegative val="0"/>
          <c:cat>
            <c:multiLvlStrRef>
              <c:f>'souhrnná výkonnost 3'!$A$6:$B$29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3'!$E$6:$E$29</c:f>
              <c:numCache>
                <c:formatCode>#\ ##0.0</c:formatCode>
                <c:ptCount val="24"/>
                <c:pt idx="0">
                  <c:v>0.59778499254771711</c:v>
                </c:pt>
                <c:pt idx="1">
                  <c:v>0.60746684411638396</c:v>
                </c:pt>
                <c:pt idx="2">
                  <c:v>0.87114555902277002</c:v>
                </c:pt>
                <c:pt idx="3">
                  <c:v>0.78687144586984825</c:v>
                </c:pt>
                <c:pt idx="4">
                  <c:v>0.42281243223978293</c:v>
                </c:pt>
                <c:pt idx="5">
                  <c:v>0.54406400829840962</c:v>
                </c:pt>
                <c:pt idx="6">
                  <c:v>0.56781285164264705</c:v>
                </c:pt>
                <c:pt idx="7">
                  <c:v>0.1803919620253871</c:v>
                </c:pt>
                <c:pt idx="8">
                  <c:v>0.86345208967516862</c:v>
                </c:pt>
                <c:pt idx="9">
                  <c:v>0.6351806117242722</c:v>
                </c:pt>
                <c:pt idx="10">
                  <c:v>0.3094590878382506</c:v>
                </c:pt>
                <c:pt idx="11">
                  <c:v>1.3407546216216208</c:v>
                </c:pt>
                <c:pt idx="12">
                  <c:v>-8.5095004004240429E-2</c:v>
                </c:pt>
                <c:pt idx="13">
                  <c:v>-5.328072108904397E-2</c:v>
                </c:pt>
                <c:pt idx="14">
                  <c:v>0.99915273207784439</c:v>
                </c:pt>
                <c:pt idx="15">
                  <c:v>6.8585362783250697E-2</c:v>
                </c:pt>
                <c:pt idx="16">
                  <c:v>0.33474456586805557</c:v>
                </c:pt>
                <c:pt idx="17">
                  <c:v>0.33166297678408857</c:v>
                </c:pt>
                <c:pt idx="18">
                  <c:v>-0.39641144969663539</c:v>
                </c:pt>
                <c:pt idx="19">
                  <c:v>-0.10453692828037311</c:v>
                </c:pt>
                <c:pt idx="20">
                  <c:v>0.57275590302009649</c:v>
                </c:pt>
                <c:pt idx="21">
                  <c:v>0.70015282474112506</c:v>
                </c:pt>
                <c:pt idx="22">
                  <c:v>0.76409093068949752</c:v>
                </c:pt>
                <c:pt idx="23" formatCode="General">
                  <c:v>0.40579761524153968</c:v>
                </c:pt>
              </c:numCache>
            </c:numRef>
          </c:val>
          <c:extLst>
            <c:ext xmlns:c16="http://schemas.microsoft.com/office/drawing/2014/chart" uri="{C3380CC4-5D6E-409C-BE32-E72D297353CC}">
              <c16:uniqueId val="{00000004-6B64-4629-BB04-C1CF71B5A8EC}"/>
            </c:ext>
          </c:extLst>
        </c:ser>
        <c:dLbls>
          <c:showLegendKey val="0"/>
          <c:showVal val="0"/>
          <c:showCatName val="0"/>
          <c:showSerName val="0"/>
          <c:showPercent val="0"/>
          <c:showBubbleSize val="0"/>
        </c:dLbls>
        <c:gapWidth val="90"/>
        <c:overlap val="100"/>
        <c:axId val="115206784"/>
        <c:axId val="115286400"/>
      </c:barChart>
      <c:lineChart>
        <c:grouping val="standard"/>
        <c:varyColors val="0"/>
        <c:ser>
          <c:idx val="0"/>
          <c:order val="3"/>
          <c:tx>
            <c:strRef>
              <c:f>'souhrnná výkonnost 3'!$C$5</c:f>
              <c:strCache>
                <c:ptCount val="1"/>
                <c:pt idx="0">
                  <c:v>GDP</c:v>
                </c:pt>
              </c:strCache>
            </c:strRef>
          </c:tx>
          <c:spPr>
            <a:ln>
              <a:solidFill>
                <a:prstClr val="black"/>
              </a:solidFill>
            </a:ln>
          </c:spPr>
          <c:marker>
            <c:symbol val="none"/>
          </c:marker>
          <c:cat>
            <c:multiLvlStrRef>
              <c:f>'souhrnná výkonnost 3'!$A$6:$B$29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3'!$C$6:$C$29</c:f>
              <c:numCache>
                <c:formatCode>#\ ##0.0</c:formatCode>
                <c:ptCount val="24"/>
                <c:pt idx="0">
                  <c:v>4.7410158709829062</c:v>
                </c:pt>
                <c:pt idx="1">
                  <c:v>2.8085121382809888</c:v>
                </c:pt>
                <c:pt idx="2">
                  <c:v>2.6946747602240038</c:v>
                </c:pt>
                <c:pt idx="3">
                  <c:v>2.632738011287671</c:v>
                </c:pt>
                <c:pt idx="4">
                  <c:v>2.9925808638806188</c:v>
                </c:pt>
                <c:pt idx="5">
                  <c:v>3.0577465249692608</c:v>
                </c:pt>
                <c:pt idx="6">
                  <c:v>3.0222812889930282</c:v>
                </c:pt>
                <c:pt idx="7">
                  <c:v>2.7919056462255583</c:v>
                </c:pt>
                <c:pt idx="8">
                  <c:v>-1.4738194413261567</c:v>
                </c:pt>
                <c:pt idx="9">
                  <c:v>-10.802865399708736</c:v>
                </c:pt>
                <c:pt idx="10">
                  <c:v>-5.2167494638705847</c:v>
                </c:pt>
                <c:pt idx="11">
                  <c:v>-4.5664750245340713</c:v>
                </c:pt>
                <c:pt idx="12">
                  <c:v>-1.9186323159540564</c:v>
                </c:pt>
                <c:pt idx="13">
                  <c:v>9.1792931219514742</c:v>
                </c:pt>
                <c:pt idx="14">
                  <c:v>3.8209037046074172</c:v>
                </c:pt>
                <c:pt idx="15">
                  <c:v>3.4133373401856772</c:v>
                </c:pt>
                <c:pt idx="16">
                  <c:v>4.6717018578752914</c:v>
                </c:pt>
                <c:pt idx="17">
                  <c:v>3.3523790889560274</c:v>
                </c:pt>
                <c:pt idx="18">
                  <c:v>1.3390063821799458</c:v>
                </c:pt>
                <c:pt idx="19">
                  <c:v>0.14560017314614981</c:v>
                </c:pt>
                <c:pt idx="20">
                  <c:v>-0.31744526909487547</c:v>
                </c:pt>
                <c:pt idx="21">
                  <c:v>-0.23213394955256206</c:v>
                </c:pt>
                <c:pt idx="22">
                  <c:v>-0.80311910800017472</c:v>
                </c:pt>
                <c:pt idx="23" formatCode="General">
                  <c:v>-0.21143294560552306</c:v>
                </c:pt>
              </c:numCache>
            </c:numRef>
          </c:val>
          <c:smooth val="0"/>
          <c:extLst>
            <c:ext xmlns:c16="http://schemas.microsoft.com/office/drawing/2014/chart" uri="{C3380CC4-5D6E-409C-BE32-E72D297353CC}">
              <c16:uniqueId val="{00000005-6B64-4629-BB04-C1CF71B5A8EC}"/>
            </c:ext>
          </c:extLst>
        </c:ser>
        <c:dLbls>
          <c:showLegendKey val="0"/>
          <c:showVal val="0"/>
          <c:showCatName val="0"/>
          <c:showSerName val="0"/>
          <c:showPercent val="0"/>
          <c:showBubbleSize val="0"/>
        </c:dLbls>
        <c:marker val="1"/>
        <c:smooth val="0"/>
        <c:axId val="115206784"/>
        <c:axId val="115286400"/>
      </c:lineChart>
      <c:catAx>
        <c:axId val="115206784"/>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15286400"/>
        <c:crosses val="autoZero"/>
        <c:auto val="1"/>
        <c:lblAlgn val="ctr"/>
        <c:lblOffset val="100"/>
        <c:noMultiLvlLbl val="0"/>
      </c:catAx>
      <c:valAx>
        <c:axId val="115286400"/>
        <c:scaling>
          <c:orientation val="minMax"/>
          <c:max val="12"/>
          <c:min val="-14"/>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206784"/>
        <c:crosses val="autoZero"/>
        <c:crossBetween val="between"/>
        <c:majorUnit val="2"/>
      </c:valAx>
      <c:spPr>
        <a:ln>
          <a:solidFill>
            <a:schemeClr val="tx1"/>
          </a:solidFill>
        </a:ln>
      </c:spPr>
    </c:plotArea>
    <c:legend>
      <c:legendPos val="b"/>
      <c:layout>
        <c:manualLayout>
          <c:xMode val="edge"/>
          <c:yMode val="edge"/>
          <c:x val="5.2922564529558701E-2"/>
          <c:y val="0.79687874638673362"/>
          <c:w val="0.93952929520758033"/>
          <c:h val="0.20312125361326638"/>
        </c:manualLayout>
      </c:layout>
      <c:overlay val="0"/>
      <c:spPr>
        <a:ln w="6350">
          <a:no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404035346808687E-2"/>
          <c:y val="3.7154479717354444E-2"/>
          <c:w val="0.93674937195830332"/>
          <c:h val="0.63445260610154264"/>
        </c:manualLayout>
      </c:layout>
      <c:barChart>
        <c:barDir val="col"/>
        <c:grouping val="stacked"/>
        <c:varyColors val="0"/>
        <c:ser>
          <c:idx val="4"/>
          <c:order val="0"/>
          <c:tx>
            <c:strRef>
              <c:f>'souhrnná výkonnost 4'!$C$5</c:f>
              <c:strCache>
                <c:ptCount val="1"/>
                <c:pt idx="0">
                  <c:v>Agriculture, forestry and fishing</c:v>
                </c:pt>
              </c:strCache>
            </c:strRef>
          </c:tx>
          <c:spPr>
            <a:solidFill>
              <a:srgbClr val="7DBB2D"/>
            </a:solidFill>
            <a:ln>
              <a:noFill/>
            </a:ln>
          </c:spPr>
          <c:invertIfNegative val="0"/>
          <c:cat>
            <c:multiLvlStrRef>
              <c:f>'souhrnná výkonnost 4'!$A$6:$B$29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4'!$C$6:$C$29</c:f>
              <c:numCache>
                <c:formatCode>#\ ##0.0</c:formatCode>
                <c:ptCount val="24"/>
                <c:pt idx="0">
                  <c:v>3.2678809349882987E-2</c:v>
                </c:pt>
                <c:pt idx="1">
                  <c:v>7.1043352951455641E-2</c:v>
                </c:pt>
                <c:pt idx="2">
                  <c:v>0.13147416955081714</c:v>
                </c:pt>
                <c:pt idx="3">
                  <c:v>0.13557508385890887</c:v>
                </c:pt>
                <c:pt idx="4">
                  <c:v>7.3815312527439711E-2</c:v>
                </c:pt>
                <c:pt idx="5">
                  <c:v>8.6198359198018493E-2</c:v>
                </c:pt>
                <c:pt idx="6">
                  <c:v>0.109327705348608</c:v>
                </c:pt>
                <c:pt idx="7">
                  <c:v>0.13255154938774674</c:v>
                </c:pt>
                <c:pt idx="8">
                  <c:v>0.21545052259669253</c:v>
                </c:pt>
                <c:pt idx="9">
                  <c:v>0.2361993862853973</c:v>
                </c:pt>
                <c:pt idx="10">
                  <c:v>0.24181149955858286</c:v>
                </c:pt>
                <c:pt idx="11">
                  <c:v>0.21681429221385648</c:v>
                </c:pt>
                <c:pt idx="12">
                  <c:v>-0.19657363835640351</c:v>
                </c:pt>
                <c:pt idx="13">
                  <c:v>-0.34178536991297287</c:v>
                </c:pt>
                <c:pt idx="14">
                  <c:v>-0.37570182006417729</c:v>
                </c:pt>
                <c:pt idx="15">
                  <c:v>-0.37221295215760819</c:v>
                </c:pt>
                <c:pt idx="16">
                  <c:v>-0.16024994199083398</c:v>
                </c:pt>
                <c:pt idx="17">
                  <c:v>-0.13488950074865155</c:v>
                </c:pt>
                <c:pt idx="18">
                  <c:v>-0.14283428657456565</c:v>
                </c:pt>
                <c:pt idx="19">
                  <c:v>-0.2320169144567657</c:v>
                </c:pt>
                <c:pt idx="20">
                  <c:v>-4.7535272447193494E-2</c:v>
                </c:pt>
                <c:pt idx="21">
                  <c:v>2.6736410503076973E-3</c:v>
                </c:pt>
                <c:pt idx="22">
                  <c:v>4.766673056405552E-3</c:v>
                </c:pt>
                <c:pt idx="23">
                  <c:v>6.1068438580424433E-2</c:v>
                </c:pt>
              </c:numCache>
            </c:numRef>
          </c:val>
          <c:extLst>
            <c:ext xmlns:c16="http://schemas.microsoft.com/office/drawing/2014/chart" uri="{C3380CC4-5D6E-409C-BE32-E72D297353CC}">
              <c16:uniqueId val="{00000000-692C-4032-A385-C77A72855C7B}"/>
            </c:ext>
          </c:extLst>
        </c:ser>
        <c:ser>
          <c:idx val="1"/>
          <c:order val="1"/>
          <c:tx>
            <c:strRef>
              <c:f>'souhrnná výkonnost 4'!$F$5</c:f>
              <c:strCache>
                <c:ptCount val="1"/>
                <c:pt idx="0">
                  <c:v>Construction</c:v>
                </c:pt>
              </c:strCache>
            </c:strRef>
          </c:tx>
          <c:spPr>
            <a:solidFill>
              <a:srgbClr val="7030A0"/>
            </a:solidFill>
            <a:ln>
              <a:noFill/>
            </a:ln>
          </c:spPr>
          <c:invertIfNegative val="0"/>
          <c:cat>
            <c:multiLvlStrRef>
              <c:f>'souhrnná výkonnost 4'!$A$6:$B$29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4'!$F$6:$F$29</c:f>
              <c:numCache>
                <c:formatCode>#\ ##0.0</c:formatCode>
                <c:ptCount val="24"/>
                <c:pt idx="0">
                  <c:v>0.12203771789133691</c:v>
                </c:pt>
                <c:pt idx="1">
                  <c:v>2.721405326342801E-3</c:v>
                </c:pt>
                <c:pt idx="2">
                  <c:v>-1.6093365386526861E-2</c:v>
                </c:pt>
                <c:pt idx="3">
                  <c:v>-0.11938213609361673</c:v>
                </c:pt>
                <c:pt idx="4">
                  <c:v>-0.15414075128507621</c:v>
                </c:pt>
                <c:pt idx="5">
                  <c:v>-4.3532590886408484E-2</c:v>
                </c:pt>
                <c:pt idx="6">
                  <c:v>-0.10941238277351638</c:v>
                </c:pt>
                <c:pt idx="7">
                  <c:v>-9.85982071809543E-2</c:v>
                </c:pt>
                <c:pt idx="8">
                  <c:v>-0.33875372028708339</c:v>
                </c:pt>
                <c:pt idx="9">
                  <c:v>-0.70304287917967079</c:v>
                </c:pt>
                <c:pt idx="10">
                  <c:v>-0.63194153032185696</c:v>
                </c:pt>
                <c:pt idx="11">
                  <c:v>-0.61557506939559159</c:v>
                </c:pt>
                <c:pt idx="12">
                  <c:v>-0.50618553672420052</c:v>
                </c:pt>
                <c:pt idx="13">
                  <c:v>-8.0324212744330617E-2</c:v>
                </c:pt>
                <c:pt idx="14">
                  <c:v>-5.5314929764280841E-3</c:v>
                </c:pt>
                <c:pt idx="15">
                  <c:v>-4.514788295389504E-2</c:v>
                </c:pt>
                <c:pt idx="16">
                  <c:v>-7.8468253982660843E-2</c:v>
                </c:pt>
                <c:pt idx="17">
                  <c:v>-0.27249270071163328</c:v>
                </c:pt>
                <c:pt idx="18">
                  <c:v>-0.49796681118305852</c:v>
                </c:pt>
                <c:pt idx="19">
                  <c:v>-0.50184742807966842</c:v>
                </c:pt>
                <c:pt idx="20">
                  <c:v>-0.1996610584499125</c:v>
                </c:pt>
                <c:pt idx="21">
                  <c:v>-8.2050273610213525E-2</c:v>
                </c:pt>
                <c:pt idx="22">
                  <c:v>4.8713560031534153E-2</c:v>
                </c:pt>
                <c:pt idx="23">
                  <c:v>-3.7533850928960229E-2</c:v>
                </c:pt>
              </c:numCache>
            </c:numRef>
          </c:val>
          <c:extLst>
            <c:ext xmlns:c16="http://schemas.microsoft.com/office/drawing/2014/chart" uri="{C3380CC4-5D6E-409C-BE32-E72D297353CC}">
              <c16:uniqueId val="{00000001-692C-4032-A385-C77A72855C7B}"/>
            </c:ext>
          </c:extLst>
        </c:ser>
        <c:ser>
          <c:idx val="2"/>
          <c:order val="2"/>
          <c:tx>
            <c:strRef>
              <c:f>'souhrnná výkonnost 4'!$E$5</c:f>
              <c:strCache>
                <c:ptCount val="1"/>
                <c:pt idx="0">
                  <c:v>Other industrial branches (CZ-NACE B,D,E)</c:v>
                </c:pt>
              </c:strCache>
            </c:strRef>
          </c:tx>
          <c:spPr>
            <a:solidFill>
              <a:srgbClr val="A6CDE8"/>
            </a:solidFill>
            <a:ln>
              <a:noFill/>
            </a:ln>
          </c:spPr>
          <c:invertIfNegative val="0"/>
          <c:cat>
            <c:multiLvlStrRef>
              <c:f>'souhrnná výkonnost 4'!$A$6:$B$29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4'!$E$6:$E$29</c:f>
              <c:numCache>
                <c:formatCode>#\ ##0.0</c:formatCode>
                <c:ptCount val="24"/>
                <c:pt idx="0">
                  <c:v>-8.4827402194146195E-2</c:v>
                </c:pt>
                <c:pt idx="1">
                  <c:v>-2.6313910996506873E-3</c:v>
                </c:pt>
                <c:pt idx="2" formatCode="General">
                  <c:v>9.1594113054016615E-2</c:v>
                </c:pt>
                <c:pt idx="3" formatCode="General">
                  <c:v>-2.353224484028299E-2</c:v>
                </c:pt>
                <c:pt idx="4" formatCode="General">
                  <c:v>-0.22319978862492373</c:v>
                </c:pt>
                <c:pt idx="5" formatCode="General">
                  <c:v>-0.42608130827198054</c:v>
                </c:pt>
                <c:pt idx="6" formatCode="General">
                  <c:v>-0.63322416622310096</c:v>
                </c:pt>
                <c:pt idx="7" formatCode="General">
                  <c:v>-0.47005936665406045</c:v>
                </c:pt>
                <c:pt idx="8" formatCode="General">
                  <c:v>-0.39879519059346102</c:v>
                </c:pt>
                <c:pt idx="9" formatCode="General">
                  <c:v>-0.29594961815162701</c:v>
                </c:pt>
                <c:pt idx="10" formatCode="General">
                  <c:v>3.655842710272017E-2</c:v>
                </c:pt>
                <c:pt idx="11" formatCode="General">
                  <c:v>0.49474509851361503</c:v>
                </c:pt>
                <c:pt idx="12" formatCode="General">
                  <c:v>0.10268524637411161</c:v>
                </c:pt>
                <c:pt idx="13" formatCode="General">
                  <c:v>0.15208374901925303</c:v>
                </c:pt>
                <c:pt idx="14" formatCode="General">
                  <c:v>-8.3157118283756201E-2</c:v>
                </c:pt>
                <c:pt idx="15" formatCode="General">
                  <c:v>-0.23038326613496624</c:v>
                </c:pt>
                <c:pt idx="16" formatCode="General">
                  <c:v>-1.0092291186249671</c:v>
                </c:pt>
                <c:pt idx="17" formatCode="General">
                  <c:v>-1.0706066690469216</c:v>
                </c:pt>
                <c:pt idx="18" formatCode="General">
                  <c:v>-1.1188599277095888</c:v>
                </c:pt>
                <c:pt idx="19" formatCode="General">
                  <c:v>-1.7296091090525771</c:v>
                </c:pt>
                <c:pt idx="20" formatCode="General">
                  <c:v>-0.44312109974277392</c:v>
                </c:pt>
                <c:pt idx="21" formatCode="General">
                  <c:v>-0.48372943512078975</c:v>
                </c:pt>
                <c:pt idx="22" formatCode="General">
                  <c:v>-0.31616125985508281</c:v>
                </c:pt>
                <c:pt idx="23" formatCode="General">
                  <c:v>-0.24766280159442744</c:v>
                </c:pt>
              </c:numCache>
            </c:numRef>
          </c:val>
          <c:extLst>
            <c:ext xmlns:c16="http://schemas.microsoft.com/office/drawing/2014/chart" uri="{C3380CC4-5D6E-409C-BE32-E72D297353CC}">
              <c16:uniqueId val="{00000002-692C-4032-A385-C77A72855C7B}"/>
            </c:ext>
          </c:extLst>
        </c:ser>
        <c:ser>
          <c:idx val="3"/>
          <c:order val="3"/>
          <c:tx>
            <c:strRef>
              <c:f>'souhrnná výkonnost 4'!$D$5</c:f>
              <c:strCache>
                <c:ptCount val="1"/>
                <c:pt idx="0">
                  <c:v>Manufacturing (CZ-NACE C)</c:v>
                </c:pt>
              </c:strCache>
            </c:strRef>
          </c:tx>
          <c:spPr>
            <a:solidFill>
              <a:srgbClr val="0071BC"/>
            </a:solidFill>
            <a:ln>
              <a:noFill/>
            </a:ln>
          </c:spPr>
          <c:invertIfNegative val="0"/>
          <c:cat>
            <c:multiLvlStrRef>
              <c:f>'souhrnná výkonnost 4'!$A$6:$B$29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4'!$D$6:$D$29</c:f>
              <c:numCache>
                <c:formatCode>#\ ##0.0</c:formatCode>
                <c:ptCount val="24"/>
                <c:pt idx="0">
                  <c:v>1.4910459148201696</c:v>
                </c:pt>
                <c:pt idx="1">
                  <c:v>0.13833830178262252</c:v>
                </c:pt>
                <c:pt idx="2">
                  <c:v>1.1371114606629321E-2</c:v>
                </c:pt>
                <c:pt idx="3">
                  <c:v>0.33553515446267096</c:v>
                </c:pt>
                <c:pt idx="4">
                  <c:v>0.79394406110374971</c:v>
                </c:pt>
                <c:pt idx="5">
                  <c:v>1.3559231668786855</c:v>
                </c:pt>
                <c:pt idx="6">
                  <c:v>1.3631060989469754</c:v>
                </c:pt>
                <c:pt idx="7">
                  <c:v>0.99560862159706953</c:v>
                </c:pt>
                <c:pt idx="8">
                  <c:v>-1.1680575231725137</c:v>
                </c:pt>
                <c:pt idx="9">
                  <c:v>-5.889668293777361</c:v>
                </c:pt>
                <c:pt idx="10">
                  <c:v>-2.5137505183360016</c:v>
                </c:pt>
                <c:pt idx="11">
                  <c:v>-1.8978845716379917</c:v>
                </c:pt>
                <c:pt idx="12">
                  <c:v>0.17537901886028953</c:v>
                </c:pt>
                <c:pt idx="13">
                  <c:v>4.9740222929440279</c:v>
                </c:pt>
                <c:pt idx="14">
                  <c:v>0.20509799209873469</c:v>
                </c:pt>
                <c:pt idx="15">
                  <c:v>-0.48173040936348782</c:v>
                </c:pt>
                <c:pt idx="16">
                  <c:v>0.85159758765533644</c:v>
                </c:pt>
                <c:pt idx="17">
                  <c:v>1.2307885998185144</c:v>
                </c:pt>
                <c:pt idx="18">
                  <c:v>2.146115045836114</c:v>
                </c:pt>
                <c:pt idx="19">
                  <c:v>2.7410411788756215</c:v>
                </c:pt>
                <c:pt idx="20">
                  <c:v>0.9854665195773491</c:v>
                </c:pt>
                <c:pt idx="21">
                  <c:v>0.69537044230434542</c:v>
                </c:pt>
                <c:pt idx="22">
                  <c:v>3.1987585277426449E-2</c:v>
                </c:pt>
                <c:pt idx="23">
                  <c:v>0.36464642555031457</c:v>
                </c:pt>
              </c:numCache>
            </c:numRef>
          </c:val>
          <c:extLst>
            <c:ext xmlns:c16="http://schemas.microsoft.com/office/drawing/2014/chart" uri="{C3380CC4-5D6E-409C-BE32-E72D297353CC}">
              <c16:uniqueId val="{00000003-692C-4032-A385-C77A72855C7B}"/>
            </c:ext>
          </c:extLst>
        </c:ser>
        <c:ser>
          <c:idx val="0"/>
          <c:order val="4"/>
          <c:tx>
            <c:strRef>
              <c:f>'souhrnná výkonnost 4'!$G$5</c:f>
              <c:strCache>
                <c:ptCount val="1"/>
                <c:pt idx="0">
                  <c:v>Services (CZ-NACE G to U)</c:v>
                </c:pt>
              </c:strCache>
            </c:strRef>
          </c:tx>
          <c:spPr>
            <a:solidFill>
              <a:srgbClr val="BD1B21"/>
            </a:solidFill>
            <a:ln>
              <a:noFill/>
            </a:ln>
          </c:spPr>
          <c:invertIfNegative val="0"/>
          <c:cat>
            <c:multiLvlStrRef>
              <c:f>'souhrnná výkonnost 4'!$A$6:$B$29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4'!$G$6:$G$29</c:f>
              <c:numCache>
                <c:formatCode>#\ ##0.0</c:formatCode>
                <c:ptCount val="24"/>
                <c:pt idx="0">
                  <c:v>3.1237068943138615</c:v>
                </c:pt>
                <c:pt idx="1">
                  <c:v>2.7517321166092374</c:v>
                </c:pt>
                <c:pt idx="2" formatCode="General">
                  <c:v>2.7131816334348327</c:v>
                </c:pt>
                <c:pt idx="3" formatCode="General">
                  <c:v>2.6018048024583837</c:v>
                </c:pt>
                <c:pt idx="4" formatCode="General">
                  <c:v>2.4822220084523599</c:v>
                </c:pt>
                <c:pt idx="5" formatCode="General">
                  <c:v>2.1921234953504332</c:v>
                </c:pt>
                <c:pt idx="6" formatCode="General">
                  <c:v>2.1636986023312024</c:v>
                </c:pt>
                <c:pt idx="7" formatCode="General">
                  <c:v>2.1557420268059597</c:v>
                </c:pt>
                <c:pt idx="8" formatCode="General">
                  <c:v>0.58107492482466572</c:v>
                </c:pt>
                <c:pt idx="9" formatCode="General">
                  <c:v>-4.3400754756564188</c:v>
                </c:pt>
                <c:pt idx="10" formatCode="General">
                  <c:v>-1.9966606979356536</c:v>
                </c:pt>
                <c:pt idx="11" formatCode="General">
                  <c:v>-2.3417286799070345</c:v>
                </c:pt>
                <c:pt idx="12" formatCode="General">
                  <c:v>-1.4413683522936231</c:v>
                </c:pt>
                <c:pt idx="13" formatCode="General">
                  <c:v>4.6756952859719902</c:v>
                </c:pt>
                <c:pt idx="14" formatCode="General">
                  <c:v>3.758749287293734</c:v>
                </c:pt>
                <c:pt idx="15" formatCode="General">
                  <c:v>4.1104404660252252</c:v>
                </c:pt>
                <c:pt idx="16" formatCode="General">
                  <c:v>4.4139152173834866</c:v>
                </c:pt>
                <c:pt idx="17" formatCode="General">
                  <c:v>3.4505548666596657</c:v>
                </c:pt>
                <c:pt idx="18" formatCode="General">
                  <c:v>1.0064324877757442</c:v>
                </c:pt>
                <c:pt idx="19" formatCode="General">
                  <c:v>0.54868681977957823</c:v>
                </c:pt>
                <c:pt idx="20" formatCode="General">
                  <c:v>0.71240256464408669</c:v>
                </c:pt>
                <c:pt idx="21" formatCode="General">
                  <c:v>0.37418685602660673</c:v>
                </c:pt>
                <c:pt idx="22" formatCode="General">
                  <c:v>0.21754836413795914</c:v>
                </c:pt>
                <c:pt idx="23" formatCode="General">
                  <c:v>0.20071240166449481</c:v>
                </c:pt>
              </c:numCache>
            </c:numRef>
          </c:val>
          <c:extLst>
            <c:ext xmlns:c16="http://schemas.microsoft.com/office/drawing/2014/chart" uri="{C3380CC4-5D6E-409C-BE32-E72D297353CC}">
              <c16:uniqueId val="{00000004-692C-4032-A385-C77A72855C7B}"/>
            </c:ext>
          </c:extLst>
        </c:ser>
        <c:dLbls>
          <c:showLegendKey val="0"/>
          <c:showVal val="0"/>
          <c:showCatName val="0"/>
          <c:showSerName val="0"/>
          <c:showPercent val="0"/>
          <c:showBubbleSize val="0"/>
        </c:dLbls>
        <c:gapWidth val="70"/>
        <c:overlap val="100"/>
        <c:axId val="115446144"/>
        <c:axId val="115447680"/>
      </c:barChart>
      <c:lineChart>
        <c:grouping val="standard"/>
        <c:varyColors val="0"/>
        <c:ser>
          <c:idx val="5"/>
          <c:order val="5"/>
          <c:tx>
            <c:strRef>
              <c:f>'souhrnná výkonnost 4'!$H$5</c:f>
              <c:strCache>
                <c:ptCount val="1"/>
                <c:pt idx="0">
                  <c:v>Total gross value added</c:v>
                </c:pt>
              </c:strCache>
            </c:strRef>
          </c:tx>
          <c:spPr>
            <a:ln w="19050">
              <a:solidFill>
                <a:prstClr val="black"/>
              </a:solidFill>
            </a:ln>
          </c:spPr>
          <c:marker>
            <c:symbol val="none"/>
          </c:marker>
          <c:cat>
            <c:multiLvlStrRef>
              <c:f>'souhrnná výkonnost 4'!$A$6:$B$29</c:f>
              <c:multiLvlStrCache>
                <c:ptCount val="2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lvl>
                <c:lvl>
                  <c:pt idx="0">
                    <c:v>2018</c:v>
                  </c:pt>
                  <c:pt idx="4">
                    <c:v>2019</c:v>
                  </c:pt>
                  <c:pt idx="8">
                    <c:v>2020</c:v>
                  </c:pt>
                  <c:pt idx="12">
                    <c:v>2021</c:v>
                  </c:pt>
                  <c:pt idx="16">
                    <c:v>2022</c:v>
                  </c:pt>
                  <c:pt idx="20">
                    <c:v>2023</c:v>
                  </c:pt>
                </c:lvl>
              </c:multiLvlStrCache>
            </c:multiLvlStrRef>
          </c:cat>
          <c:val>
            <c:numRef>
              <c:f>'souhrnná výkonnost 4'!$H$6:$H$29</c:f>
              <c:numCache>
                <c:formatCode>#\ ##0.0</c:formatCode>
                <c:ptCount val="24"/>
                <c:pt idx="0">
                  <c:v>4.7958884315215471</c:v>
                </c:pt>
                <c:pt idx="1">
                  <c:v>2.9611349370848927</c:v>
                </c:pt>
                <c:pt idx="2">
                  <c:v>2.9313757908427505</c:v>
                </c:pt>
                <c:pt idx="3">
                  <c:v>2.9300970074841501</c:v>
                </c:pt>
                <c:pt idx="4">
                  <c:v>2.9726357886500523</c:v>
                </c:pt>
                <c:pt idx="5">
                  <c:v>3.1648414337946065</c:v>
                </c:pt>
                <c:pt idx="6">
                  <c:v>2.8935535187896448</c:v>
                </c:pt>
                <c:pt idx="7">
                  <c:v>2.7150260301270777</c:v>
                </c:pt>
                <c:pt idx="8">
                  <c:v>-1.1091532796304051</c:v>
                </c:pt>
                <c:pt idx="9">
                  <c:v>-10.992463627261643</c:v>
                </c:pt>
                <c:pt idx="10">
                  <c:v>-4.8638909795719911</c:v>
                </c:pt>
                <c:pt idx="11">
                  <c:v>-4.1436644792680113</c:v>
                </c:pt>
                <c:pt idx="12">
                  <c:v>-1.8659927600573809</c:v>
                </c:pt>
                <c:pt idx="13">
                  <c:v>9.3795330142279596</c:v>
                </c:pt>
                <c:pt idx="14">
                  <c:v>3.4995046714904277</c:v>
                </c:pt>
                <c:pt idx="15">
                  <c:v>2.9809101848340589</c:v>
                </c:pt>
                <c:pt idx="16">
                  <c:v>4.0174034994919054</c:v>
                </c:pt>
                <c:pt idx="17">
                  <c:v>3.2033033043370409</c:v>
                </c:pt>
                <c:pt idx="18">
                  <c:v>1.3928723627336268</c:v>
                </c:pt>
                <c:pt idx="19">
                  <c:v>0.82683172544186334</c:v>
                </c:pt>
                <c:pt idx="20">
                  <c:v>1.007777678339167</c:v>
                </c:pt>
                <c:pt idx="21">
                  <c:v>0.50658350080470882</c:v>
                </c:pt>
                <c:pt idx="22">
                  <c:v>-1.3009355895107433E-2</c:v>
                </c:pt>
                <c:pt idx="23">
                  <c:v>0.34051637357133302</c:v>
                </c:pt>
              </c:numCache>
            </c:numRef>
          </c:val>
          <c:smooth val="0"/>
          <c:extLst>
            <c:ext xmlns:c16="http://schemas.microsoft.com/office/drawing/2014/chart" uri="{C3380CC4-5D6E-409C-BE32-E72D297353CC}">
              <c16:uniqueId val="{00000005-692C-4032-A385-C77A72855C7B}"/>
            </c:ext>
          </c:extLst>
        </c:ser>
        <c:dLbls>
          <c:showLegendKey val="0"/>
          <c:showVal val="0"/>
          <c:showCatName val="0"/>
          <c:showSerName val="0"/>
          <c:showPercent val="0"/>
          <c:showBubbleSize val="0"/>
        </c:dLbls>
        <c:marker val="1"/>
        <c:smooth val="0"/>
        <c:axId val="115446144"/>
        <c:axId val="115447680"/>
      </c:lineChart>
      <c:catAx>
        <c:axId val="115446144"/>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15447680"/>
        <c:crosses val="autoZero"/>
        <c:auto val="1"/>
        <c:lblAlgn val="ctr"/>
        <c:lblOffset val="100"/>
        <c:noMultiLvlLbl val="0"/>
      </c:catAx>
      <c:valAx>
        <c:axId val="115447680"/>
        <c:scaling>
          <c:orientation val="minMax"/>
          <c:max val="12"/>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5446144"/>
        <c:crosses val="autoZero"/>
        <c:crossBetween val="between"/>
        <c:majorUnit val="4"/>
      </c:valAx>
      <c:spPr>
        <a:ln>
          <a:solidFill>
            <a:schemeClr val="tx1"/>
          </a:solidFill>
        </a:ln>
      </c:spPr>
    </c:plotArea>
    <c:legend>
      <c:legendPos val="b"/>
      <c:layout>
        <c:manualLayout>
          <c:xMode val="edge"/>
          <c:yMode val="edge"/>
          <c:x val="4.8782884397989404E-2"/>
          <c:y val="0.79016604750647301"/>
          <c:w val="0.92922619274506457"/>
          <c:h val="0.1946248452099505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9a58d24f60b264923fe9c7150327a53c">
  <xsd:schema xmlns:xsd="http://www.w3.org/2001/XMLSchema" xmlns:xs="http://www.w3.org/2001/XMLSchema" xmlns:p="http://schemas.microsoft.com/office/2006/metadata/properties" xmlns:ns3="b8c0c86d-151e-4fca-b0d5-747e6692fa1d" targetNamespace="http://schemas.microsoft.com/office/2006/metadata/properties" ma:root="true" ma:fieldsID="91c8efd7c542b57fe84d8bfb95d003d1"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8702-393C-4E0B-95FC-639749005827}">
  <ds:schemaRef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b8c0c86d-151e-4fca-b0d5-747e6692fa1d"/>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3.xml><?xml version="1.0" encoding="utf-8"?>
<ds:datastoreItem xmlns:ds="http://schemas.openxmlformats.org/officeDocument/2006/customXml" ds:itemID="{E5E561CC-7D6C-40EF-AB10-C45997A72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180C9-C71E-42AF-A0AF-89E7DCA27069}">
  <ds:schemaRefs>
    <ds:schemaRef ds:uri="http://schemas.openxmlformats.org/officeDocument/2006/bibliography"/>
  </ds:schemaRefs>
</ds:datastoreItem>
</file>

<file path=customXml/itemProps5.xml><?xml version="1.0" encoding="utf-8"?>
<ds:datastoreItem xmlns:ds="http://schemas.openxmlformats.org/officeDocument/2006/customXml" ds:itemID="{9FF236E4-7923-4A3E-B9D7-67E0FC08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5</Pages>
  <Words>2104</Words>
  <Characters>12415</Characters>
  <Application>Microsoft Office Word</Application>
  <DocSecurity>0</DocSecurity>
  <Lines>103</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Karolína Súkupová</dc:creator>
  <cp:keywords/>
  <dc:description/>
  <cp:lastModifiedBy>Zábojníková Karolína</cp:lastModifiedBy>
  <cp:revision>3</cp:revision>
  <cp:lastPrinted>2023-06-09T17:23:00Z</cp:lastPrinted>
  <dcterms:created xsi:type="dcterms:W3CDTF">2024-04-22T10:42:00Z</dcterms:created>
  <dcterms:modified xsi:type="dcterms:W3CDTF">2024-04-22T10:46:00Z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y fmtid="{D5CDD505-2E9C-101B-9397-08002B2CF9AE}" pid="3" name="MSIP_Label_29db9e61-aac5-4f6e-805d-ceb8cb9983a1_Enabled">
    <vt:lpwstr>true</vt:lpwstr>
  </property>
  <property fmtid="{D5CDD505-2E9C-101B-9397-08002B2CF9AE}" pid="4" name="MSIP_Label_29db9e61-aac5-4f6e-805d-ceb8cb9983a1_SetDate">
    <vt:lpwstr>2024-03-22T14:14:48Z</vt:lpwstr>
  </property>
  <property fmtid="{D5CDD505-2E9C-101B-9397-08002B2CF9AE}" pid="5" name="MSIP_Label_29db9e61-aac5-4f6e-805d-ceb8cb9983a1_Method">
    <vt:lpwstr>Standard</vt:lpwstr>
  </property>
  <property fmtid="{D5CDD505-2E9C-101B-9397-08002B2CF9AE}" pid="6" name="MSIP_Label_29db9e61-aac5-4f6e-805d-ceb8cb9983a1_Name">
    <vt:lpwstr>UniCredit - Internal Use Only - no visual markings</vt:lpwstr>
  </property>
  <property fmtid="{D5CDD505-2E9C-101B-9397-08002B2CF9AE}" pid="7" name="MSIP_Label_29db9e61-aac5-4f6e-805d-ceb8cb9983a1_SiteId">
    <vt:lpwstr>2cc49ce9-66a1-41ac-a96b-bdc54247696a</vt:lpwstr>
  </property>
  <property fmtid="{D5CDD505-2E9C-101B-9397-08002B2CF9AE}" pid="8" name="MSIP_Label_29db9e61-aac5-4f6e-805d-ceb8cb9983a1_ActionId">
    <vt:lpwstr>eaf1372b-ac54-42e1-a5b2-08a13702404b</vt:lpwstr>
  </property>
  <property fmtid="{D5CDD505-2E9C-101B-9397-08002B2CF9AE}" pid="9" name="MSIP_Label_29db9e61-aac5-4f6e-805d-ceb8cb9983a1_ContentBits">
    <vt:lpwstr>0</vt:lpwstr>
  </property>
</Properties>
</file>