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7775"/>
        <w:gridCol w:w="720"/>
      </w:tblGrid>
      <w:tr w:rsidR="00AF177F">
        <w:trPr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 w:val="24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</w:rPr>
              <w:t>O b s a h :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 w:val="22"/>
                <w:szCs w:val="22"/>
              </w:rPr>
            </w:pPr>
            <w:r>
              <w:rPr>
                <w:rFonts w:hint="eastAsia"/>
                <w:i/>
                <w:iCs/>
                <w:sz w:val="22"/>
                <w:szCs w:val="22"/>
              </w:rPr>
              <w:t>strana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>Metodické vysvětlivky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i/>
                <w:iCs/>
                <w:szCs w:val="20"/>
              </w:rPr>
            </w:pPr>
            <w:proofErr w:type="spellStart"/>
            <w:r>
              <w:rPr>
                <w:rFonts w:hint="eastAsia"/>
                <w:i/>
                <w:iCs/>
                <w:szCs w:val="20"/>
              </w:rPr>
              <w:t>Method</w:t>
            </w:r>
            <w:r w:rsidR="004D759B">
              <w:rPr>
                <w:i/>
                <w:iCs/>
                <w:szCs w:val="20"/>
              </w:rPr>
              <w:t>olog</w:t>
            </w:r>
            <w:r>
              <w:rPr>
                <w:rFonts w:hint="eastAsia"/>
                <w:i/>
                <w:iCs/>
                <w:szCs w:val="20"/>
              </w:rPr>
              <w:t>ical</w:t>
            </w:r>
            <w:proofErr w:type="spellEnd"/>
            <w:r>
              <w:rPr>
                <w:rFonts w:hint="eastAsia"/>
                <w:i/>
                <w:iCs/>
                <w:szCs w:val="20"/>
              </w:rPr>
              <w:t xml:space="preserve"> notes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4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>Stručný komentář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7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i/>
                <w:iCs/>
                <w:szCs w:val="20"/>
              </w:rPr>
            </w:pPr>
            <w:proofErr w:type="spellStart"/>
            <w:r>
              <w:rPr>
                <w:rFonts w:hint="eastAsia"/>
                <w:i/>
                <w:iCs/>
                <w:szCs w:val="20"/>
              </w:rPr>
              <w:t>Short</w:t>
            </w:r>
            <w:proofErr w:type="spellEnd"/>
            <w:r>
              <w:rPr>
                <w:rFonts w:hint="eastAsi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i/>
                <w:iCs/>
                <w:szCs w:val="20"/>
              </w:rPr>
              <w:t>commentary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9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Cs w:val="20"/>
                <w:u w:val="single"/>
              </w:rPr>
            </w:pPr>
            <w:r>
              <w:rPr>
                <w:rFonts w:hint="eastAsia"/>
                <w:b/>
                <w:bCs/>
                <w:szCs w:val="20"/>
                <w:u w:val="single"/>
              </w:rPr>
              <w:t xml:space="preserve">Tabulky -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  <w:u w:val="single"/>
              </w:rPr>
              <w:t>Tables</w:t>
            </w:r>
            <w:proofErr w:type="spellEnd"/>
            <w:r>
              <w:rPr>
                <w:rFonts w:cs="Arial"/>
                <w:b/>
                <w:bCs/>
                <w:szCs w:val="20"/>
                <w:u w:val="single"/>
              </w:rPr>
              <w:t xml:space="preserve">  1 - 14: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 Index spotřebitelských cen (12 </w:t>
            </w:r>
            <w:r>
              <w:rPr>
                <w:szCs w:val="20"/>
              </w:rPr>
              <w:t>oddílů</w:t>
            </w:r>
            <w:r>
              <w:rPr>
                <w:rFonts w:hint="eastAsia"/>
                <w:szCs w:val="20"/>
              </w:rPr>
              <w:t>) /</w:t>
            </w:r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Consumer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price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index (12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division</w:t>
            </w:r>
            <w:proofErr w:type="spellEnd"/>
            <w:r>
              <w:rPr>
                <w:rFonts w:cs="Arial"/>
                <w:i/>
                <w:iCs/>
                <w:szCs w:val="20"/>
              </w:rPr>
              <w:t>)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11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2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szCs w:val="20"/>
              </w:rPr>
              <w:t>Rozklad  přírůstku</w:t>
            </w:r>
            <w:proofErr w:type="gramEnd"/>
            <w:r>
              <w:rPr>
                <w:rFonts w:hint="eastAsia"/>
                <w:szCs w:val="20"/>
              </w:rPr>
              <w:t xml:space="preserve"> indexu  spotřebitelských cen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Breakdown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consumer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price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index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11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total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 xml:space="preserve"> Index spotřebitelských cen podle klasifikace COICOP - podrobné členění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Consumer</w:t>
            </w:r>
            <w:proofErr w:type="spellEnd"/>
            <w:r>
              <w:rPr>
                <w:rFonts w:cs="Arial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price</w:t>
            </w:r>
            <w:proofErr w:type="spellEnd"/>
            <w:r>
              <w:rPr>
                <w:rFonts w:cs="Arial"/>
                <w:b/>
                <w:bCs/>
                <w:i/>
                <w:iCs/>
                <w:szCs w:val="20"/>
              </w:rPr>
              <w:t xml:space="preserve"> index by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classification</w:t>
            </w:r>
            <w:proofErr w:type="spellEnd"/>
            <w:r>
              <w:rPr>
                <w:rFonts w:cs="Arial"/>
                <w:b/>
                <w:bCs/>
                <w:i/>
                <w:iCs/>
                <w:szCs w:val="20"/>
              </w:rPr>
              <w:t xml:space="preserve"> COICOP -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detailed</w:t>
            </w:r>
            <w:proofErr w:type="spellEnd"/>
            <w:r>
              <w:rPr>
                <w:rFonts w:cs="Arial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i/>
                <w:iCs/>
                <w:szCs w:val="20"/>
              </w:rPr>
              <w:t>information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3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total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12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Předchozí měsíc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Previous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month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4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total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14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Stejné období předchozího roku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Corresponding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period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the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last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year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5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total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16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Průměr roku 2005 = </w:t>
            </w:r>
            <w:proofErr w:type="gramStart"/>
            <w:r>
              <w:rPr>
                <w:rFonts w:hint="eastAsia"/>
                <w:szCs w:val="20"/>
              </w:rPr>
              <w:t xml:space="preserve">100  / 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Average</w:t>
            </w:r>
            <w:proofErr w:type="spellEnd"/>
            <w:proofErr w:type="gramEnd"/>
            <w:r>
              <w:rPr>
                <w:rFonts w:cs="Arial"/>
                <w:i/>
                <w:iCs/>
                <w:szCs w:val="20"/>
              </w:rPr>
              <w:t xml:space="preserve"> 2005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6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total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18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 w:rsidP="001A2719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>Prosinec 20</w:t>
            </w:r>
            <w:r w:rsidR="00880564">
              <w:rPr>
                <w:szCs w:val="20"/>
              </w:rPr>
              <w:t>1</w:t>
            </w:r>
            <w:r w:rsidR="001A2719">
              <w:rPr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December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20</w:t>
            </w:r>
            <w:r w:rsidR="00880564">
              <w:rPr>
                <w:rFonts w:cs="Arial"/>
                <w:i/>
                <w:iCs/>
                <w:szCs w:val="20"/>
              </w:rPr>
              <w:t>1</w:t>
            </w:r>
            <w:r w:rsidR="001A2719">
              <w:rPr>
                <w:rFonts w:cs="Arial"/>
                <w:i/>
                <w:iCs/>
                <w:szCs w:val="20"/>
              </w:rPr>
              <w:t>5</w:t>
            </w:r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7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 w:rsidP="00E679A0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Důchodci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pensioners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20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Předchozí měsíc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Previous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month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8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 w:rsidP="00E679A0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Důchodci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pensioners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22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Stejné období předchozího roku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Corresponding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period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the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last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year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9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 w:rsidP="00E679A0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Důchodci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pensioners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24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Průměr roku 2005 = </w:t>
            </w:r>
            <w:proofErr w:type="gramStart"/>
            <w:r>
              <w:rPr>
                <w:rFonts w:hint="eastAsia"/>
                <w:szCs w:val="20"/>
              </w:rPr>
              <w:t xml:space="preserve">100  / 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Average</w:t>
            </w:r>
            <w:proofErr w:type="spellEnd"/>
            <w:proofErr w:type="gramEnd"/>
            <w:r>
              <w:rPr>
                <w:rFonts w:cs="Arial"/>
                <w:i/>
                <w:iCs/>
                <w:szCs w:val="20"/>
              </w:rPr>
              <w:t xml:space="preserve"> 2005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10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 w:rsidP="00E679A0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Důchodci celkem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pensioners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26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880564" w:rsidP="001A2719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>Prosinec 20</w:t>
            </w:r>
            <w:r>
              <w:rPr>
                <w:szCs w:val="20"/>
              </w:rPr>
              <w:t>1</w:t>
            </w:r>
            <w:r w:rsidR="001A2719">
              <w:rPr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December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201</w:t>
            </w:r>
            <w:r w:rsidR="001A2719">
              <w:rPr>
                <w:rFonts w:cs="Arial"/>
                <w:i/>
                <w:iCs/>
                <w:szCs w:val="20"/>
              </w:rPr>
              <w:t>5</w:t>
            </w:r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11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v hl. městě Praze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living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Prague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28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Předchozí měsíc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Previous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month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12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v hl. městě Praze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living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Prague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30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Stejné období předchozího roku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Corresponding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period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of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the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last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year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13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v hl. městě Praze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living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Prague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32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Průměr roku 2005 = </w:t>
            </w:r>
            <w:proofErr w:type="gramStart"/>
            <w:r>
              <w:rPr>
                <w:rFonts w:hint="eastAsia"/>
                <w:szCs w:val="20"/>
              </w:rPr>
              <w:t xml:space="preserve">100  / 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Average</w:t>
            </w:r>
            <w:proofErr w:type="spellEnd"/>
            <w:proofErr w:type="gramEnd"/>
            <w:r>
              <w:rPr>
                <w:rFonts w:cs="Arial"/>
                <w:i/>
                <w:iCs/>
                <w:szCs w:val="20"/>
              </w:rPr>
              <w:t xml:space="preserve"> 2005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14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 xml:space="preserve">Domácnosti v hl. městě Praze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Households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living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in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Prague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34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880564" w:rsidP="001A2719">
            <w:pPr>
              <w:rPr>
                <w:rFonts w:eastAsia="Arial Unicode MS" w:cs="Arial Unicode MS"/>
                <w:szCs w:val="20"/>
              </w:rPr>
            </w:pPr>
            <w:r>
              <w:rPr>
                <w:rFonts w:hint="eastAsia"/>
                <w:szCs w:val="20"/>
              </w:rPr>
              <w:t>Prosinec 20</w:t>
            </w:r>
            <w:r>
              <w:rPr>
                <w:szCs w:val="20"/>
              </w:rPr>
              <w:t>1</w:t>
            </w:r>
            <w:r w:rsidR="001A2719">
              <w:rPr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 = 100 / </w:t>
            </w:r>
            <w:proofErr w:type="spellStart"/>
            <w:r>
              <w:rPr>
                <w:rFonts w:cs="Arial"/>
                <w:i/>
                <w:iCs/>
                <w:szCs w:val="20"/>
              </w:rPr>
              <w:t>December</w:t>
            </w:r>
            <w:proofErr w:type="spellEnd"/>
            <w:r>
              <w:rPr>
                <w:rFonts w:cs="Arial"/>
                <w:i/>
                <w:iCs/>
                <w:szCs w:val="20"/>
              </w:rPr>
              <w:t xml:space="preserve"> 201</w:t>
            </w:r>
            <w:r w:rsidR="001A2719">
              <w:rPr>
                <w:rFonts w:cs="Arial"/>
                <w:i/>
                <w:iCs/>
                <w:szCs w:val="20"/>
              </w:rPr>
              <w:t>5</w:t>
            </w:r>
            <w:r>
              <w:rPr>
                <w:rFonts w:cs="Arial"/>
                <w:i/>
                <w:iCs/>
                <w:szCs w:val="20"/>
              </w:rPr>
              <w:t xml:space="preserve"> = 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HICP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Harmonizovaný index spotřebitelských cen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36</w:t>
            </w:r>
          </w:p>
        </w:tc>
      </w:tr>
      <w:tr w:rsidR="00AF177F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HICP</w:t>
            </w:r>
          </w:p>
        </w:tc>
        <w:tc>
          <w:tcPr>
            <w:tcW w:w="7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rPr>
                <w:rFonts w:eastAsia="Arial Unicode MS" w:cs="Arial Unicode MS"/>
                <w:b/>
                <w:bCs/>
                <w:szCs w:val="20"/>
              </w:rPr>
            </w:pPr>
            <w:proofErr w:type="spellStart"/>
            <w:r>
              <w:rPr>
                <w:rFonts w:hint="eastAsia"/>
                <w:b/>
                <w:bCs/>
                <w:szCs w:val="20"/>
              </w:rPr>
              <w:t>Harmonised</w:t>
            </w:r>
            <w:proofErr w:type="spellEnd"/>
            <w:r>
              <w:rPr>
                <w:rFonts w:hint="eastAsia"/>
                <w:b/>
                <w:bCs/>
                <w:szCs w:val="20"/>
              </w:rPr>
              <w:t xml:space="preserve"> index </w:t>
            </w:r>
            <w:proofErr w:type="spellStart"/>
            <w:r>
              <w:rPr>
                <w:rFonts w:hint="eastAsia"/>
                <w:b/>
                <w:bCs/>
                <w:szCs w:val="20"/>
              </w:rPr>
              <w:t>of</w:t>
            </w:r>
            <w:proofErr w:type="spellEnd"/>
            <w:r>
              <w:rPr>
                <w:rFonts w:hint="eastAsia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b/>
                <w:bCs/>
                <w:szCs w:val="20"/>
              </w:rPr>
              <w:t>consumer</w:t>
            </w:r>
            <w:proofErr w:type="spellEnd"/>
            <w:r>
              <w:rPr>
                <w:rFonts w:hint="eastAsia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b/>
                <w:bCs/>
                <w:szCs w:val="20"/>
              </w:rPr>
              <w:t>prices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177F" w:rsidRDefault="00AF177F">
            <w:pPr>
              <w:jc w:val="center"/>
              <w:rPr>
                <w:rFonts w:eastAsia="Arial Unicode MS" w:cs="Arial Unicode MS"/>
                <w:i/>
                <w:iCs/>
                <w:szCs w:val="20"/>
              </w:rPr>
            </w:pPr>
            <w:r>
              <w:rPr>
                <w:rFonts w:hint="eastAsia"/>
                <w:i/>
                <w:iCs/>
                <w:szCs w:val="20"/>
              </w:rPr>
              <w:t>37</w:t>
            </w:r>
          </w:p>
        </w:tc>
      </w:tr>
    </w:tbl>
    <w:p w:rsidR="00AF177F" w:rsidRDefault="00AF177F"/>
    <w:sectPr w:rsidR="00AF177F" w:rsidSect="002972D4">
      <w:footerReference w:type="even" r:id="rId7"/>
      <w:pgSz w:w="11906" w:h="16838"/>
      <w:pgMar w:top="1258" w:right="1418" w:bottom="1079" w:left="1418" w:header="1134" w:footer="6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031" w:rsidRDefault="00A30031">
      <w:r>
        <w:separator/>
      </w:r>
    </w:p>
  </w:endnote>
  <w:endnote w:type="continuationSeparator" w:id="0">
    <w:p w:rsidR="00A30031" w:rsidRDefault="00A30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7F" w:rsidRDefault="00E654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F17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F177F" w:rsidRDefault="00AF17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031" w:rsidRDefault="00A30031">
      <w:r>
        <w:separator/>
      </w:r>
    </w:p>
  </w:footnote>
  <w:footnote w:type="continuationSeparator" w:id="0">
    <w:p w:rsidR="00A30031" w:rsidRDefault="00A30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290"/>
    <w:rsid w:val="000222EB"/>
    <w:rsid w:val="000438FE"/>
    <w:rsid w:val="0009090A"/>
    <w:rsid w:val="000F521E"/>
    <w:rsid w:val="000F6007"/>
    <w:rsid w:val="00120DBD"/>
    <w:rsid w:val="00160763"/>
    <w:rsid w:val="001742BB"/>
    <w:rsid w:val="001A2719"/>
    <w:rsid w:val="001B780C"/>
    <w:rsid w:val="001C3C49"/>
    <w:rsid w:val="001C3EAF"/>
    <w:rsid w:val="001C4FAB"/>
    <w:rsid w:val="00200BAA"/>
    <w:rsid w:val="0022545B"/>
    <w:rsid w:val="00273117"/>
    <w:rsid w:val="00286516"/>
    <w:rsid w:val="00294D11"/>
    <w:rsid w:val="002972D4"/>
    <w:rsid w:val="002C3896"/>
    <w:rsid w:val="002E742F"/>
    <w:rsid w:val="003478D5"/>
    <w:rsid w:val="00356BFD"/>
    <w:rsid w:val="003633B0"/>
    <w:rsid w:val="003674AD"/>
    <w:rsid w:val="00371BA0"/>
    <w:rsid w:val="003752D0"/>
    <w:rsid w:val="00386071"/>
    <w:rsid w:val="003E62ED"/>
    <w:rsid w:val="00426574"/>
    <w:rsid w:val="0044425A"/>
    <w:rsid w:val="00446D6B"/>
    <w:rsid w:val="004656E5"/>
    <w:rsid w:val="004715D4"/>
    <w:rsid w:val="004C2C00"/>
    <w:rsid w:val="004D748F"/>
    <w:rsid w:val="004D759B"/>
    <w:rsid w:val="00524CCC"/>
    <w:rsid w:val="0053444C"/>
    <w:rsid w:val="00541C4A"/>
    <w:rsid w:val="00565C58"/>
    <w:rsid w:val="00570A9D"/>
    <w:rsid w:val="005A5C64"/>
    <w:rsid w:val="005C3290"/>
    <w:rsid w:val="005F1098"/>
    <w:rsid w:val="006052AF"/>
    <w:rsid w:val="00615271"/>
    <w:rsid w:val="00633BDD"/>
    <w:rsid w:val="0066061D"/>
    <w:rsid w:val="00673BB7"/>
    <w:rsid w:val="006843FB"/>
    <w:rsid w:val="006A3DF6"/>
    <w:rsid w:val="006A6A4D"/>
    <w:rsid w:val="006C224B"/>
    <w:rsid w:val="00734931"/>
    <w:rsid w:val="00735D8E"/>
    <w:rsid w:val="00776967"/>
    <w:rsid w:val="00776FAB"/>
    <w:rsid w:val="007804E1"/>
    <w:rsid w:val="0079019F"/>
    <w:rsid w:val="00796839"/>
    <w:rsid w:val="007B5467"/>
    <w:rsid w:val="007E20B3"/>
    <w:rsid w:val="0082403F"/>
    <w:rsid w:val="00835E22"/>
    <w:rsid w:val="00845653"/>
    <w:rsid w:val="00847D49"/>
    <w:rsid w:val="008617C0"/>
    <w:rsid w:val="00863EA3"/>
    <w:rsid w:val="008746F6"/>
    <w:rsid w:val="00880564"/>
    <w:rsid w:val="00881CF2"/>
    <w:rsid w:val="00885908"/>
    <w:rsid w:val="0089613E"/>
    <w:rsid w:val="008A7A78"/>
    <w:rsid w:val="008B1056"/>
    <w:rsid w:val="008C0692"/>
    <w:rsid w:val="008E626F"/>
    <w:rsid w:val="00914A8A"/>
    <w:rsid w:val="0097293D"/>
    <w:rsid w:val="00981E61"/>
    <w:rsid w:val="009B49D1"/>
    <w:rsid w:val="009F0DFE"/>
    <w:rsid w:val="00A30031"/>
    <w:rsid w:val="00A8044C"/>
    <w:rsid w:val="00A81ACE"/>
    <w:rsid w:val="00A8468F"/>
    <w:rsid w:val="00AB307B"/>
    <w:rsid w:val="00AB6E0F"/>
    <w:rsid w:val="00AD4B9D"/>
    <w:rsid w:val="00AF177F"/>
    <w:rsid w:val="00AF35D2"/>
    <w:rsid w:val="00AF5468"/>
    <w:rsid w:val="00B014A5"/>
    <w:rsid w:val="00B01801"/>
    <w:rsid w:val="00B069A9"/>
    <w:rsid w:val="00B11C81"/>
    <w:rsid w:val="00B15B38"/>
    <w:rsid w:val="00B537B1"/>
    <w:rsid w:val="00B609C5"/>
    <w:rsid w:val="00B64964"/>
    <w:rsid w:val="00BA1B4E"/>
    <w:rsid w:val="00BA2697"/>
    <w:rsid w:val="00BD2319"/>
    <w:rsid w:val="00BD2F92"/>
    <w:rsid w:val="00C17379"/>
    <w:rsid w:val="00C25E50"/>
    <w:rsid w:val="00C341E7"/>
    <w:rsid w:val="00C44F40"/>
    <w:rsid w:val="00C613FF"/>
    <w:rsid w:val="00C874FA"/>
    <w:rsid w:val="00C92210"/>
    <w:rsid w:val="00CC73A4"/>
    <w:rsid w:val="00CD177B"/>
    <w:rsid w:val="00D03B27"/>
    <w:rsid w:val="00D072D6"/>
    <w:rsid w:val="00D113D0"/>
    <w:rsid w:val="00D35478"/>
    <w:rsid w:val="00E00FCD"/>
    <w:rsid w:val="00E11521"/>
    <w:rsid w:val="00E522B1"/>
    <w:rsid w:val="00E6546C"/>
    <w:rsid w:val="00E679A0"/>
    <w:rsid w:val="00E8576D"/>
    <w:rsid w:val="00EC3B07"/>
    <w:rsid w:val="00ED5156"/>
    <w:rsid w:val="00EF329E"/>
    <w:rsid w:val="00F11086"/>
    <w:rsid w:val="00FC1C6B"/>
    <w:rsid w:val="00FD53FA"/>
    <w:rsid w:val="00FF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72D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972D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972D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972D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972D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972D4"/>
    <w:pPr>
      <w:numPr>
        <w:numId w:val="3"/>
      </w:numPr>
    </w:pPr>
  </w:style>
  <w:style w:type="paragraph" w:styleId="Zpat">
    <w:name w:val="footer"/>
    <w:basedOn w:val="Normln"/>
    <w:semiHidden/>
    <w:rsid w:val="002972D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972D4"/>
  </w:style>
  <w:style w:type="paragraph" w:styleId="Zhlav">
    <w:name w:val="header"/>
    <w:basedOn w:val="Normln"/>
    <w:semiHidden/>
    <w:rsid w:val="002972D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 :</vt:lpstr>
    </vt:vector>
  </TitlesOfParts>
  <Company>CSU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 :</dc:title>
  <dc:creator>Jana Henkrichová</dc:creator>
  <cp:lastModifiedBy>Marcela Ležáková</cp:lastModifiedBy>
  <cp:revision>2</cp:revision>
  <cp:lastPrinted>2010-01-13T13:20:00Z</cp:lastPrinted>
  <dcterms:created xsi:type="dcterms:W3CDTF">2016-06-15T11:03:00Z</dcterms:created>
  <dcterms:modified xsi:type="dcterms:W3CDTF">2016-06-15T11:03:00Z</dcterms:modified>
</cp:coreProperties>
</file>