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1A" w:rsidRDefault="00935BD4" w:rsidP="000D3058">
      <w:pPr>
        <w:pStyle w:val="Nadpis11"/>
      </w:pPr>
      <w:bookmarkStart w:id="0" w:name="_Toc532558286"/>
      <w:r w:rsidRPr="009110F7">
        <w:t>6</w:t>
      </w:r>
      <w:r w:rsidR="000D3058" w:rsidRPr="009110F7">
        <w:t xml:space="preserve">. </w:t>
      </w:r>
      <w:r w:rsidRPr="009110F7">
        <w:t>Trh práce</w:t>
      </w:r>
      <w:bookmarkEnd w:id="0"/>
    </w:p>
    <w:tbl>
      <w:tblPr>
        <w:tblW w:w="9639" w:type="dxa"/>
        <w:tblInd w:w="-15" w:type="dxa"/>
        <w:tblCellMar>
          <w:left w:w="0" w:type="dxa"/>
          <w:right w:w="0" w:type="dxa"/>
        </w:tblCellMar>
        <w:tblLook w:val="00A0"/>
      </w:tblPr>
      <w:tblGrid>
        <w:gridCol w:w="1864"/>
        <w:gridCol w:w="241"/>
        <w:gridCol w:w="7534"/>
      </w:tblGrid>
      <w:tr w:rsidR="0083630F" w:rsidRPr="00D175A7" w:rsidTr="0083630F">
        <w:trPr>
          <w:trHeight w:val="145"/>
        </w:trPr>
        <w:tc>
          <w:tcPr>
            <w:tcW w:w="1864" w:type="dxa"/>
            <w:shd w:val="clear" w:color="auto" w:fill="auto"/>
            <w:tcMar>
              <w:left w:w="0" w:type="dxa"/>
            </w:tcMar>
          </w:tcPr>
          <w:p w:rsidR="0083630F" w:rsidRDefault="0083630F" w:rsidP="0083630F">
            <w:pPr>
              <w:pStyle w:val="Marginlie"/>
            </w:pPr>
            <w:r>
              <w:t>Růst zaměstnanosti i pokles nezaměstnanosti se v </w:t>
            </w:r>
            <w:proofErr w:type="spellStart"/>
            <w:r>
              <w:t>mezikvartálním</w:t>
            </w:r>
            <w:proofErr w:type="spellEnd"/>
            <w:r>
              <w:t xml:space="preserve"> vyjádření ve 3. čtvrtletí zastavily.</w:t>
            </w:r>
          </w:p>
        </w:tc>
        <w:tc>
          <w:tcPr>
            <w:tcW w:w="241" w:type="dxa"/>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Pr="00D175A7" w:rsidRDefault="0083630F" w:rsidP="0083630F">
            <w:pPr>
              <w:spacing w:after="200"/>
              <w:rPr>
                <w:spacing w:val="-2"/>
              </w:rPr>
            </w:pPr>
            <w:r>
              <w:rPr>
                <w:spacing w:val="-2"/>
              </w:rPr>
              <w:t>Některé relevantní ukazatele naznačovaly, že tuzemský trh práce se v první polovině</w:t>
            </w:r>
            <w:r w:rsidRPr="00D175A7">
              <w:rPr>
                <w:spacing w:val="-2"/>
              </w:rPr>
              <w:t xml:space="preserve"> roku </w:t>
            </w:r>
            <w:r>
              <w:rPr>
                <w:spacing w:val="-2"/>
              </w:rPr>
              <w:t xml:space="preserve">2018 </w:t>
            </w:r>
            <w:r w:rsidRPr="00D175A7">
              <w:rPr>
                <w:spacing w:val="-2"/>
              </w:rPr>
              <w:t>patrně dotkl svého vrcholu</w:t>
            </w:r>
            <w:r w:rsidRPr="00D175A7">
              <w:rPr>
                <w:color w:val="0D0D0D" w:themeColor="text1" w:themeTint="F2"/>
                <w:spacing w:val="-2"/>
              </w:rPr>
              <w:t>.</w:t>
            </w:r>
            <w:r w:rsidRPr="00D175A7">
              <w:rPr>
                <w:spacing w:val="-2"/>
              </w:rPr>
              <w:t xml:space="preserve"> Zatímco v 1. i 2. čtvrtletí </w:t>
            </w:r>
            <w:r>
              <w:rPr>
                <w:spacing w:val="-2"/>
              </w:rPr>
              <w:t xml:space="preserve">počet </w:t>
            </w:r>
            <w:r w:rsidRPr="00D175A7">
              <w:rPr>
                <w:spacing w:val="-2"/>
              </w:rPr>
              <w:t>pracovníků</w:t>
            </w:r>
            <w:r w:rsidRPr="00D175A7">
              <w:rPr>
                <w:rStyle w:val="Znakapoznpodarou"/>
                <w:color w:val="0D0D0D" w:themeColor="text1" w:themeTint="F2"/>
                <w:spacing w:val="-2"/>
              </w:rPr>
              <w:footnoteReference w:id="1"/>
            </w:r>
            <w:r w:rsidRPr="00D175A7">
              <w:rPr>
                <w:spacing w:val="-2"/>
              </w:rPr>
              <w:t xml:space="preserve"> v ekonomice mezičtvrtletně rostl o 0,6 %, ve 3. čtvrtletí již stagnoval. V letním období se rovněž zastavil pokles sezónně očištěné obecné míry nezaměstnanosti. Tento vývoj byl z velké části ovlivněn vyčerpáním snadno dosažitelných rezerv disponibilní pracovní síly, resp. nasátím drtivé většiny práceschopných lidí z řad nezaměstnaných na </w:t>
            </w:r>
            <w:r>
              <w:rPr>
                <w:spacing w:val="-2"/>
              </w:rPr>
              <w:t>pracovní trh</w:t>
            </w:r>
            <w:r w:rsidRPr="00D175A7">
              <w:rPr>
                <w:spacing w:val="-2"/>
              </w:rPr>
              <w:t>. Z č</w:t>
            </w:r>
            <w:r w:rsidR="00116D3F">
              <w:rPr>
                <w:spacing w:val="-2"/>
              </w:rPr>
              <w:t>ásti mohl souviset také se zpomalením</w:t>
            </w:r>
            <w:r w:rsidRPr="00D175A7">
              <w:rPr>
                <w:spacing w:val="-2"/>
              </w:rPr>
              <w:t xml:space="preserve"> v EU</w:t>
            </w:r>
            <w:r w:rsidRPr="00D175A7">
              <w:rPr>
                <w:rStyle w:val="Znakapoznpodarou"/>
                <w:spacing w:val="-2"/>
              </w:rPr>
              <w:footnoteReference w:id="2"/>
            </w:r>
            <w:r w:rsidRPr="00D175A7">
              <w:rPr>
                <w:spacing w:val="-2"/>
              </w:rPr>
              <w:t>.</w:t>
            </w:r>
          </w:p>
        </w:tc>
      </w:tr>
      <w:tr w:rsidR="0083630F" w:rsidRPr="00B4411A" w:rsidTr="0083630F">
        <w:trPr>
          <w:trHeight w:val="145"/>
        </w:trPr>
        <w:tc>
          <w:tcPr>
            <w:tcW w:w="1864" w:type="dxa"/>
            <w:shd w:val="clear" w:color="auto" w:fill="auto"/>
            <w:tcMar>
              <w:left w:w="0" w:type="dxa"/>
            </w:tcMar>
          </w:tcPr>
          <w:p w:rsidR="0083630F" w:rsidRDefault="0083630F" w:rsidP="0083630F">
            <w:pPr>
              <w:pStyle w:val="Marginlie"/>
            </w:pPr>
            <w:r>
              <w:t>Role nedostatku pracovní síly jako bariéry růstu podniků nadále sílila, nejvíce ve stavebnictví.</w:t>
            </w: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r>
              <w:t>Podniky v průběhu roku postupně částečně korigovaly svá vysoká očekávání směrem ke střídmějšímu růstu zaměstnanosti.</w:t>
            </w:r>
          </w:p>
        </w:tc>
        <w:tc>
          <w:tcPr>
            <w:tcW w:w="241" w:type="dxa"/>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Pr="00B4411A" w:rsidRDefault="0083630F" w:rsidP="0083630F">
            <w:pPr>
              <w:spacing w:after="200"/>
              <w:rPr>
                <w:spacing w:val="-4"/>
              </w:rPr>
            </w:pPr>
            <w:r>
              <w:rPr>
                <w:spacing w:val="-4"/>
              </w:rPr>
              <w:t xml:space="preserve">Přestože </w:t>
            </w:r>
            <w:r w:rsidRPr="001B6C91">
              <w:rPr>
                <w:color w:val="0D0D0D" w:themeColor="text1" w:themeTint="F2"/>
                <w:spacing w:val="-4"/>
              </w:rPr>
              <w:t>celkový počet pracovníků dosáhl</w:t>
            </w:r>
            <w:r>
              <w:rPr>
                <w:spacing w:val="-4"/>
              </w:rPr>
              <w:t xml:space="preserve"> ve 2. i 3. čtvrtletí 5,43 mil. osob a byl nejvyšší v historii samostatné ČR, silné napětí na trhu práce dále přetrvávalo. </w:t>
            </w:r>
            <w:r w:rsidRPr="00B4411A">
              <w:rPr>
                <w:spacing w:val="-4"/>
              </w:rPr>
              <w:t>Podíl podniků pociťujících současný nedostatek volné pracovní síly jako bariéru svého růstu se ve všech hlavních odvětvích ekonomiky zvyšoval</w:t>
            </w:r>
            <w:r>
              <w:rPr>
                <w:spacing w:val="-4"/>
              </w:rPr>
              <w:t xml:space="preserve"> a</w:t>
            </w:r>
            <w:r w:rsidRPr="00B4411A">
              <w:rPr>
                <w:spacing w:val="-4"/>
              </w:rPr>
              <w:t> </w:t>
            </w:r>
            <w:r>
              <w:rPr>
                <w:spacing w:val="-4"/>
              </w:rPr>
              <w:t>dosáhl historických maxim. To se nejcitelněji projevovalo ve stavebnictví, kde výrazné letošní oživení poptávky po pracovní síle souviselo se sílícími veřejnými i soukromými investicemi. Na počátku 4. čtvrtletí 2018 považovalo nedostatek pracovní síly za bariéru růstu již 40 % stavebních podniků (o rok dříve 22 %). V průmyslu činil letos obdobný podíl 45 %, ve vybraných službách</w:t>
            </w:r>
            <w:r>
              <w:rPr>
                <w:rStyle w:val="Znakapoznpodarou"/>
                <w:spacing w:val="-4"/>
              </w:rPr>
              <w:footnoteReference w:id="3"/>
            </w:r>
            <w:r>
              <w:rPr>
                <w:spacing w:val="-4"/>
              </w:rPr>
              <w:t xml:space="preserve"> 19 %. Zejména průmyslové podniky </w:t>
            </w:r>
            <w:r w:rsidR="001F7CE0">
              <w:rPr>
                <w:spacing w:val="-4"/>
              </w:rPr>
              <w:t>problému</w:t>
            </w:r>
            <w:r>
              <w:rPr>
                <w:spacing w:val="-4"/>
              </w:rPr>
              <w:t xml:space="preserve"> nedostatku pracovníků do jisté míry už přivykly (ten jen s mírně nižší intenzitou </w:t>
            </w:r>
            <w:r w:rsidR="001F7CE0">
              <w:rPr>
                <w:spacing w:val="-4"/>
              </w:rPr>
              <w:t xml:space="preserve">než </w:t>
            </w:r>
            <w:r>
              <w:rPr>
                <w:spacing w:val="-4"/>
              </w:rPr>
              <w:t xml:space="preserve">v současnosti přetrvává již od poloviny loňského roku) a více se zaměřily na zvyšování produktivity práce (mj. i formou investic do ICT). Situaci tuzemského průmyslu navíc ovlivňují i mírně </w:t>
            </w:r>
            <w:r w:rsidR="001F7CE0">
              <w:rPr>
                <w:spacing w:val="-4"/>
              </w:rPr>
              <w:t xml:space="preserve">se </w:t>
            </w:r>
            <w:r>
              <w:rPr>
                <w:spacing w:val="-4"/>
              </w:rPr>
              <w:t xml:space="preserve">zhoršující vyhlídky hospodářského růstu globální i evropské ekonomiky spojené mj. i s narůstajícím napětím v transatlantických obchodních vztazích. Krátkodobá očekávání vývoje zaměstnanosti ve většině hlavních odvětví ekonomiky ČR byla na vrcholu na počátku letošního roku, od té doby se snižují (s výjimkou stavebnictví, kde nadále narůstají). </w:t>
            </w:r>
          </w:p>
        </w:tc>
      </w:tr>
      <w:tr w:rsidR="0083630F" w:rsidRPr="00F704D2" w:rsidTr="0083630F">
        <w:trPr>
          <w:trHeight w:val="170"/>
        </w:trPr>
        <w:tc>
          <w:tcPr>
            <w:tcW w:w="1864" w:type="dxa"/>
            <w:vMerge w:val="restart"/>
            <w:shd w:val="clear" w:color="auto" w:fill="auto"/>
            <w:tcMar>
              <w:left w:w="0" w:type="dxa"/>
            </w:tcMar>
          </w:tcPr>
          <w:p w:rsidR="0083630F" w:rsidRDefault="0083630F" w:rsidP="0083630F">
            <w:pPr>
              <w:pStyle w:val="Marginlie"/>
            </w:pPr>
          </w:p>
        </w:tc>
        <w:tc>
          <w:tcPr>
            <w:tcW w:w="241" w:type="dxa"/>
            <w:vMerge w:val="restart"/>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Pr="00F704D2" w:rsidRDefault="0083630F" w:rsidP="0083630F">
            <w:pPr>
              <w:spacing w:after="0" w:line="240" w:lineRule="auto"/>
              <w:jc w:val="left"/>
              <w:rPr>
                <w:rFonts w:cs="Arial"/>
                <w:bCs/>
              </w:rPr>
            </w:pPr>
            <w:r w:rsidRPr="00C06323">
              <w:rPr>
                <w:rFonts w:cs="Arial"/>
                <w:b/>
                <w:bCs/>
                <w:color w:val="000000"/>
                <w:szCs w:val="20"/>
              </w:rPr>
              <w:t xml:space="preserve">Graf č. </w:t>
            </w:r>
            <w:proofErr w:type="gramStart"/>
            <w:r w:rsidR="00A925B1">
              <w:rPr>
                <w:rFonts w:cs="Arial"/>
                <w:b/>
                <w:bCs/>
                <w:color w:val="000000"/>
                <w:szCs w:val="20"/>
              </w:rPr>
              <w:t>15</w:t>
            </w:r>
            <w:r w:rsidRPr="00631BC9">
              <w:rPr>
                <w:rFonts w:cs="Arial"/>
                <w:b/>
                <w:bCs/>
                <w:color w:val="000000"/>
                <w:sz w:val="18"/>
                <w:szCs w:val="18"/>
              </w:rPr>
              <w:t xml:space="preserve"> </w:t>
            </w:r>
            <w:r>
              <w:rPr>
                <w:rFonts w:cs="Arial"/>
                <w:b/>
                <w:bCs/>
                <w:color w:val="000000"/>
                <w:sz w:val="18"/>
                <w:szCs w:val="18"/>
              </w:rPr>
              <w:t xml:space="preserve"> </w:t>
            </w:r>
            <w:r>
              <w:rPr>
                <w:b/>
                <w:lang w:eastAsia="en-US"/>
              </w:rPr>
              <w:t>Počet</w:t>
            </w:r>
            <w:proofErr w:type="gramEnd"/>
            <w:r>
              <w:rPr>
                <w:b/>
                <w:lang w:eastAsia="en-US"/>
              </w:rPr>
              <w:t xml:space="preserve"> zaměstnaných ve vybraných odvětvích </w:t>
            </w:r>
            <w:r w:rsidRPr="00886A8F">
              <w:rPr>
                <w:b/>
                <w:lang w:eastAsia="en-US"/>
              </w:rPr>
              <w:t xml:space="preserve">a </w:t>
            </w:r>
            <w:r>
              <w:rPr>
                <w:b/>
                <w:lang w:eastAsia="en-US"/>
              </w:rPr>
              <w:t xml:space="preserve">celkový počet </w:t>
            </w:r>
            <w:r w:rsidRPr="00886A8F">
              <w:rPr>
                <w:b/>
                <w:lang w:eastAsia="en-US"/>
              </w:rPr>
              <w:t xml:space="preserve">zaměstnanců </w:t>
            </w:r>
            <w:r>
              <w:rPr>
                <w:spacing w:val="-4"/>
                <w:lang w:eastAsia="en-US"/>
              </w:rPr>
              <w:t>(</w:t>
            </w:r>
            <w:r w:rsidRPr="00582DA0">
              <w:rPr>
                <w:spacing w:val="-4"/>
                <w:lang w:eastAsia="en-US"/>
              </w:rPr>
              <w:t>dle</w:t>
            </w:r>
            <w:r>
              <w:rPr>
                <w:spacing w:val="-4"/>
                <w:lang w:eastAsia="en-US"/>
              </w:rPr>
              <w:t xml:space="preserve"> národních účtů</w:t>
            </w:r>
            <w:r w:rsidRPr="00582DA0">
              <w:rPr>
                <w:spacing w:val="-4"/>
                <w:lang w:eastAsia="en-US"/>
              </w:rPr>
              <w:t xml:space="preserve">, </w:t>
            </w:r>
            <w:r>
              <w:rPr>
                <w:spacing w:val="-4"/>
                <w:lang w:eastAsia="en-US"/>
              </w:rPr>
              <w:t xml:space="preserve">sezónně očištěno, </w:t>
            </w:r>
            <w:r w:rsidRPr="00E62A33">
              <w:rPr>
                <w:spacing w:val="-2"/>
              </w:rPr>
              <w:t>meziročně</w:t>
            </w:r>
            <w:r w:rsidRPr="00E62A33">
              <w:rPr>
                <w:bCs/>
                <w:spacing w:val="-2"/>
              </w:rPr>
              <w:t xml:space="preserve"> v</w:t>
            </w:r>
            <w:r>
              <w:rPr>
                <w:bCs/>
                <w:spacing w:val="-2"/>
              </w:rPr>
              <w:t> %</w:t>
            </w:r>
            <w:r w:rsidRPr="00E62A33">
              <w:rPr>
                <w:bCs/>
                <w:spacing w:val="-2"/>
              </w:rPr>
              <w:t>)</w:t>
            </w:r>
          </w:p>
        </w:tc>
      </w:tr>
      <w:tr w:rsidR="0083630F" w:rsidTr="0083630F">
        <w:trPr>
          <w:trHeight w:val="170"/>
        </w:trPr>
        <w:tc>
          <w:tcPr>
            <w:tcW w:w="1864" w:type="dxa"/>
            <w:vMerge/>
            <w:shd w:val="clear" w:color="auto" w:fill="auto"/>
            <w:tcMar>
              <w:left w:w="0" w:type="dxa"/>
            </w:tcMar>
          </w:tcPr>
          <w:p w:rsidR="0083630F" w:rsidRDefault="0083630F" w:rsidP="0083630F">
            <w:pPr>
              <w:pStyle w:val="Marginlie"/>
            </w:pPr>
          </w:p>
        </w:tc>
        <w:tc>
          <w:tcPr>
            <w:tcW w:w="241" w:type="dxa"/>
            <w:vMerge/>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Default="0083630F" w:rsidP="0083630F">
            <w:pPr>
              <w:spacing w:after="0"/>
            </w:pPr>
            <w:r w:rsidRPr="004B30F0">
              <w:rPr>
                <w:noProof/>
              </w:rPr>
              <w:drawing>
                <wp:inline distT="0" distB="0" distL="0" distR="0">
                  <wp:extent cx="4783540" cy="3370997"/>
                  <wp:effectExtent l="0" t="0" r="0" b="0"/>
                  <wp:docPr id="1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83630F" w:rsidRPr="007B3A78" w:rsidTr="0083630F">
        <w:trPr>
          <w:trHeight w:val="170"/>
        </w:trPr>
        <w:tc>
          <w:tcPr>
            <w:tcW w:w="1864" w:type="dxa"/>
            <w:vMerge/>
            <w:shd w:val="clear" w:color="auto" w:fill="auto"/>
            <w:tcMar>
              <w:left w:w="0" w:type="dxa"/>
            </w:tcMar>
          </w:tcPr>
          <w:p w:rsidR="0083630F" w:rsidRDefault="0083630F" w:rsidP="0083630F">
            <w:pPr>
              <w:pStyle w:val="Marginlie"/>
            </w:pPr>
          </w:p>
        </w:tc>
        <w:tc>
          <w:tcPr>
            <w:tcW w:w="241" w:type="dxa"/>
            <w:vMerge/>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Pr="007B3A78" w:rsidRDefault="0083630F" w:rsidP="0083630F">
            <w:pPr>
              <w:spacing w:after="0" w:line="240" w:lineRule="auto"/>
              <w:jc w:val="left"/>
              <w:rPr>
                <w:rFonts w:cs="Arial"/>
                <w:sz w:val="14"/>
                <w:szCs w:val="14"/>
              </w:rPr>
            </w:pPr>
            <w:r w:rsidRPr="00535F78">
              <w:rPr>
                <w:rFonts w:cs="Arial"/>
                <w:sz w:val="14"/>
                <w:szCs w:val="14"/>
              </w:rPr>
              <w:t xml:space="preserve">Zdroj: </w:t>
            </w:r>
            <w:r>
              <w:rPr>
                <w:rFonts w:cs="Arial"/>
                <w:sz w:val="14"/>
                <w:szCs w:val="14"/>
              </w:rPr>
              <w:t>ČSÚ (národní účty)</w:t>
            </w:r>
          </w:p>
        </w:tc>
      </w:tr>
      <w:tr w:rsidR="0083630F" w:rsidRPr="00E86366" w:rsidTr="0083630F">
        <w:trPr>
          <w:trHeight w:val="145"/>
        </w:trPr>
        <w:tc>
          <w:tcPr>
            <w:tcW w:w="1864" w:type="dxa"/>
            <w:shd w:val="clear" w:color="auto" w:fill="auto"/>
            <w:tcMar>
              <w:left w:w="0" w:type="dxa"/>
            </w:tcMar>
          </w:tcPr>
          <w:p w:rsidR="0083630F" w:rsidRDefault="0083630F" w:rsidP="0083630F">
            <w:pPr>
              <w:pStyle w:val="Marginlie"/>
            </w:pPr>
            <w:r>
              <w:lastRenderedPageBreak/>
              <w:t>K meziročnímu růstu počtu pracovníků přispěli jen zaměstnanci. Z pohledu odvětví byl klíčový příspěvek sektoru služeb.</w:t>
            </w:r>
          </w:p>
          <w:p w:rsidR="0083630F" w:rsidRDefault="0083630F" w:rsidP="0083630F">
            <w:pPr>
              <w:pStyle w:val="Marginlie"/>
            </w:pPr>
          </w:p>
        </w:tc>
        <w:tc>
          <w:tcPr>
            <w:tcW w:w="241" w:type="dxa"/>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Pr="00E86366" w:rsidRDefault="0083630F" w:rsidP="0083630F">
            <w:pPr>
              <w:spacing w:after="220"/>
              <w:rPr>
                <w:spacing w:val="-4"/>
              </w:rPr>
            </w:pPr>
            <w:r>
              <w:rPr>
                <w:spacing w:val="-4"/>
              </w:rPr>
              <w:t>Z</w:t>
            </w:r>
            <w:r w:rsidRPr="00E86366">
              <w:rPr>
                <w:spacing w:val="-4"/>
              </w:rPr>
              <w:t xml:space="preserve">aměstnanost </w:t>
            </w:r>
            <w:r>
              <w:rPr>
                <w:spacing w:val="-4"/>
              </w:rPr>
              <w:t xml:space="preserve">se meziročně </w:t>
            </w:r>
            <w:r w:rsidRPr="00E86366">
              <w:rPr>
                <w:spacing w:val="-4"/>
              </w:rPr>
              <w:t xml:space="preserve">nadále zvyšovala, </w:t>
            </w:r>
            <w:r w:rsidR="00FB0AEA">
              <w:rPr>
                <w:spacing w:val="-4"/>
              </w:rPr>
              <w:t>tempo jejího růstu</w:t>
            </w:r>
            <w:r w:rsidRPr="00E86366">
              <w:rPr>
                <w:spacing w:val="-4"/>
              </w:rPr>
              <w:t xml:space="preserve"> ale sláblo (</w:t>
            </w:r>
            <w:r>
              <w:rPr>
                <w:spacing w:val="-4"/>
              </w:rPr>
              <w:t>v 1. pololetí +1,8 %,</w:t>
            </w:r>
            <w:r w:rsidRPr="00E86366">
              <w:rPr>
                <w:spacing w:val="-4"/>
              </w:rPr>
              <w:t xml:space="preserve"> ve 3. čtvrtletí </w:t>
            </w:r>
            <w:r>
              <w:rPr>
                <w:spacing w:val="-4"/>
              </w:rPr>
              <w:t>jen +1,2</w:t>
            </w:r>
            <w:r w:rsidRPr="00E86366">
              <w:rPr>
                <w:spacing w:val="-4"/>
              </w:rPr>
              <w:t xml:space="preserve"> %</w:t>
            </w:r>
            <w:r>
              <w:rPr>
                <w:spacing w:val="-4"/>
              </w:rPr>
              <w:t>,</w:t>
            </w:r>
            <w:r w:rsidRPr="00E86366">
              <w:rPr>
                <w:spacing w:val="-4"/>
              </w:rPr>
              <w:t xml:space="preserve"> což bylo</w:t>
            </w:r>
            <w:r>
              <w:rPr>
                <w:spacing w:val="-4"/>
              </w:rPr>
              <w:t xml:space="preserve"> nejméně od konce</w:t>
            </w:r>
            <w:r w:rsidRPr="00E86366">
              <w:rPr>
                <w:spacing w:val="-4"/>
              </w:rPr>
              <w:t xml:space="preserve"> roku 2014). </w:t>
            </w:r>
            <w:r w:rsidRPr="00E86366">
              <w:rPr>
                <w:rFonts w:cs="Arial"/>
                <w:color w:val="0D0D0D" w:themeColor="text1" w:themeTint="F2"/>
                <w:spacing w:val="-4"/>
              </w:rPr>
              <w:t>Na rozdíl od loňského roku byl letošní růst zaměstnanosti v ekonomice tažen téměř výhradně lidmi v</w:t>
            </w:r>
            <w:r w:rsidRPr="00E86366">
              <w:rPr>
                <w:rFonts w:cs="Arial"/>
                <w:b/>
                <w:color w:val="0D0D0D" w:themeColor="text1" w:themeTint="F2"/>
                <w:spacing w:val="-4"/>
              </w:rPr>
              <w:t> </w:t>
            </w:r>
            <w:r w:rsidRPr="00E86366">
              <w:rPr>
                <w:rFonts w:cs="Arial"/>
                <w:color w:val="0D0D0D" w:themeColor="text1" w:themeTint="F2"/>
                <w:spacing w:val="-4"/>
              </w:rPr>
              <w:t xml:space="preserve">zaměstnaneckém postavení. Počet </w:t>
            </w:r>
            <w:proofErr w:type="spellStart"/>
            <w:r w:rsidRPr="00E86366">
              <w:rPr>
                <w:rFonts w:cs="Arial"/>
                <w:color w:val="0D0D0D" w:themeColor="text1" w:themeTint="F2"/>
                <w:spacing w:val="-4"/>
              </w:rPr>
              <w:t>sebezaměstnaných</w:t>
            </w:r>
            <w:proofErr w:type="spellEnd"/>
            <w:r w:rsidRPr="00E86366">
              <w:rPr>
                <w:rFonts w:cs="Arial"/>
                <w:color w:val="0D0D0D" w:themeColor="text1" w:themeTint="F2"/>
                <w:spacing w:val="-4"/>
              </w:rPr>
              <w:t xml:space="preserve"> </w:t>
            </w:r>
            <w:r>
              <w:rPr>
                <w:rFonts w:cs="Arial"/>
                <w:color w:val="0D0D0D" w:themeColor="text1" w:themeTint="F2"/>
                <w:spacing w:val="-4"/>
              </w:rPr>
              <w:t xml:space="preserve">fakticky </w:t>
            </w:r>
            <w:r w:rsidRPr="00E86366">
              <w:rPr>
                <w:rFonts w:cs="Arial"/>
                <w:color w:val="0D0D0D" w:themeColor="text1" w:themeTint="F2"/>
                <w:spacing w:val="-4"/>
              </w:rPr>
              <w:t xml:space="preserve">stagnoval, </w:t>
            </w:r>
            <w:r>
              <w:rPr>
                <w:rFonts w:cs="Arial"/>
                <w:color w:val="0D0D0D" w:themeColor="text1" w:themeTint="F2"/>
                <w:spacing w:val="-4"/>
              </w:rPr>
              <w:t>když růst v průmyslu, obchodu a v oblasti nemovitostí byl kompenzován úbytky v ostatních odvětvích.</w:t>
            </w:r>
            <w:r w:rsidRPr="00E86366">
              <w:rPr>
                <w:rFonts w:cs="Arial"/>
                <w:color w:val="0D0D0D" w:themeColor="text1" w:themeTint="F2"/>
                <w:spacing w:val="-4"/>
              </w:rPr>
              <w:t xml:space="preserve"> </w:t>
            </w:r>
            <w:r>
              <w:rPr>
                <w:rFonts w:cs="Arial"/>
                <w:color w:val="0D0D0D" w:themeColor="text1" w:themeTint="F2"/>
                <w:spacing w:val="-4"/>
              </w:rPr>
              <w:t xml:space="preserve">K růstu celkové zaměstnanosti přispěly skoro ze </w:t>
            </w:r>
            <w:r w:rsidR="00FB0AEA">
              <w:rPr>
                <w:rFonts w:cs="Arial"/>
                <w:color w:val="0D0D0D" w:themeColor="text1" w:themeTint="F2"/>
                <w:spacing w:val="-4"/>
              </w:rPr>
              <w:t xml:space="preserve">tří </w:t>
            </w:r>
            <w:r>
              <w:rPr>
                <w:rFonts w:cs="Arial"/>
                <w:color w:val="0D0D0D" w:themeColor="text1" w:themeTint="F2"/>
                <w:spacing w:val="-4"/>
              </w:rPr>
              <w:t>čtvrtin služ</w:t>
            </w:r>
            <w:r w:rsidRPr="00E86366">
              <w:rPr>
                <w:rFonts w:cs="Arial"/>
                <w:color w:val="0D0D0D" w:themeColor="text1" w:themeTint="F2"/>
                <w:spacing w:val="-4"/>
              </w:rPr>
              <w:t>b</w:t>
            </w:r>
            <w:r>
              <w:rPr>
                <w:rFonts w:cs="Arial"/>
                <w:color w:val="0D0D0D" w:themeColor="text1" w:themeTint="F2"/>
                <w:spacing w:val="-4"/>
              </w:rPr>
              <w:t>y</w:t>
            </w:r>
            <w:r w:rsidRPr="00E86366">
              <w:rPr>
                <w:rFonts w:cs="Arial"/>
                <w:color w:val="0D0D0D" w:themeColor="text1" w:themeTint="F2"/>
                <w:spacing w:val="-4"/>
              </w:rPr>
              <w:t>, kde se dařilo informačním a komunikačním činnostem</w:t>
            </w:r>
            <w:r>
              <w:rPr>
                <w:rFonts w:cs="Arial"/>
                <w:color w:val="0D0D0D" w:themeColor="text1" w:themeTint="F2"/>
                <w:spacing w:val="-4"/>
              </w:rPr>
              <w:t xml:space="preserve"> (+4,5 %) i</w:t>
            </w:r>
            <w:r w:rsidRPr="00E86366">
              <w:rPr>
                <w:rFonts w:cs="Arial"/>
                <w:color w:val="0D0D0D" w:themeColor="text1" w:themeTint="F2"/>
                <w:spacing w:val="-4"/>
              </w:rPr>
              <w:t xml:space="preserve"> odvětvím </w:t>
            </w:r>
            <w:r>
              <w:rPr>
                <w:rFonts w:cs="Arial"/>
                <w:color w:val="0D0D0D" w:themeColor="text1" w:themeTint="F2"/>
                <w:spacing w:val="-4"/>
              </w:rPr>
              <w:t>s domina</w:t>
            </w:r>
            <w:r w:rsidR="00116D3F">
              <w:rPr>
                <w:rFonts w:cs="Arial"/>
                <w:color w:val="0D0D0D" w:themeColor="text1" w:themeTint="F2"/>
                <w:spacing w:val="-4"/>
              </w:rPr>
              <w:t>n</w:t>
            </w:r>
            <w:r>
              <w:rPr>
                <w:rFonts w:cs="Arial"/>
                <w:color w:val="0D0D0D" w:themeColor="text1" w:themeTint="F2"/>
                <w:spacing w:val="-4"/>
              </w:rPr>
              <w:t>cí veřejného sektoru (+2,5 %). V</w:t>
            </w:r>
            <w:r w:rsidRPr="00E86366">
              <w:rPr>
                <w:rFonts w:cs="Arial"/>
                <w:color w:val="0D0D0D" w:themeColor="text1" w:themeTint="F2"/>
                <w:spacing w:val="-4"/>
              </w:rPr>
              <w:t xml:space="preserve">e výrazně ožívajícím stavebnictví </w:t>
            </w:r>
            <w:r>
              <w:rPr>
                <w:rFonts w:cs="Arial"/>
                <w:color w:val="0D0D0D" w:themeColor="text1" w:themeTint="F2"/>
                <w:spacing w:val="-4"/>
              </w:rPr>
              <w:t xml:space="preserve">zaměstnanost nadále nerostla, v kategorii zaměstnanců se zde ale vleklá redukce zaměstnanosti již zastavila (ve 3. čtvrtletí činil meziroční růst 0,2 %, mezičtvrtletní dokonce 0,8 %). </w:t>
            </w:r>
          </w:p>
        </w:tc>
      </w:tr>
      <w:tr w:rsidR="0083630F" w:rsidRPr="00B4411A" w:rsidTr="0083630F">
        <w:trPr>
          <w:trHeight w:val="145"/>
        </w:trPr>
        <w:tc>
          <w:tcPr>
            <w:tcW w:w="1864" w:type="dxa"/>
            <w:shd w:val="clear" w:color="auto" w:fill="auto"/>
            <w:tcMar>
              <w:left w:w="0" w:type="dxa"/>
            </w:tcMar>
          </w:tcPr>
          <w:p w:rsidR="0083630F" w:rsidRDefault="0083630F" w:rsidP="0083630F">
            <w:pPr>
              <w:pStyle w:val="Marginlie"/>
            </w:pPr>
            <w:r>
              <w:t>Míra zaměstnanosti rostla nadále svižněji u žen.</w:t>
            </w:r>
          </w:p>
        </w:tc>
        <w:tc>
          <w:tcPr>
            <w:tcW w:w="241" w:type="dxa"/>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Pr="00B4411A" w:rsidRDefault="0083630F" w:rsidP="0083630F">
            <w:pPr>
              <w:spacing w:after="220"/>
              <w:rPr>
                <w:spacing w:val="-4"/>
              </w:rPr>
            </w:pPr>
            <w:r>
              <w:rPr>
                <w:spacing w:val="-4"/>
              </w:rPr>
              <w:t xml:space="preserve">Míra zaměstnanosti lidí ve věku 15 až 64 let ve 3. čtvrtletí vystoupala na 75,0 %. Meziročně posílila o 0,9 p. b. Podobně jako v předešlých čtvrtletích se dynamičtěji zvyšovala u žen, což zčásti souviselo s rychlejším zvyšováním důchodového věku. Míra zaměstnanosti v Česku byla ve srovnání s EU o 6 p. b. </w:t>
            </w:r>
            <w:proofErr w:type="gramStart"/>
            <w:r>
              <w:rPr>
                <w:spacing w:val="-4"/>
              </w:rPr>
              <w:t>vyšší</w:t>
            </w:r>
            <w:proofErr w:type="gramEnd"/>
            <w:r>
              <w:rPr>
                <w:spacing w:val="-4"/>
              </w:rPr>
              <w:t>.</w:t>
            </w:r>
          </w:p>
        </w:tc>
      </w:tr>
      <w:tr w:rsidR="0083630F" w:rsidRPr="00425211" w:rsidTr="0083630F">
        <w:trPr>
          <w:trHeight w:val="145"/>
        </w:trPr>
        <w:tc>
          <w:tcPr>
            <w:tcW w:w="1864" w:type="dxa"/>
            <w:shd w:val="clear" w:color="auto" w:fill="auto"/>
            <w:tcMar>
              <w:left w:w="0" w:type="dxa"/>
            </w:tcMar>
          </w:tcPr>
          <w:p w:rsidR="0083630F" w:rsidRDefault="0083630F" w:rsidP="0083630F">
            <w:pPr>
              <w:pStyle w:val="Marginlie"/>
            </w:pPr>
          </w:p>
        </w:tc>
        <w:tc>
          <w:tcPr>
            <w:tcW w:w="241" w:type="dxa"/>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Pr="00425211" w:rsidRDefault="00A925B1" w:rsidP="0083630F">
            <w:pPr>
              <w:pStyle w:val="Textpoznpodarou"/>
              <w:rPr>
                <w:spacing w:val="-2"/>
              </w:rPr>
            </w:pPr>
            <w:r>
              <w:rPr>
                <w:b/>
                <w:spacing w:val="-2"/>
              </w:rPr>
              <w:t xml:space="preserve">Graf č. </w:t>
            </w:r>
            <w:proofErr w:type="gramStart"/>
            <w:r>
              <w:rPr>
                <w:b/>
                <w:spacing w:val="-2"/>
              </w:rPr>
              <w:t>16</w:t>
            </w:r>
            <w:r w:rsidR="0083630F" w:rsidRPr="00425211">
              <w:rPr>
                <w:b/>
                <w:spacing w:val="-2"/>
              </w:rPr>
              <w:t xml:space="preserve">  </w:t>
            </w:r>
            <w:r w:rsidR="0083630F" w:rsidRPr="00425211">
              <w:rPr>
                <w:rFonts w:cs="Arial"/>
                <w:b/>
                <w:bCs/>
                <w:spacing w:val="-2"/>
              </w:rPr>
              <w:t>Obecná</w:t>
            </w:r>
            <w:proofErr w:type="gramEnd"/>
            <w:r w:rsidR="0083630F" w:rsidRPr="00425211">
              <w:rPr>
                <w:rFonts w:cs="Arial"/>
                <w:b/>
                <w:bCs/>
                <w:spacing w:val="-2"/>
              </w:rPr>
              <w:t xml:space="preserve"> míra nezaměstnanosti mužů a žen</w:t>
            </w:r>
            <w:r w:rsidR="0083630F">
              <w:rPr>
                <w:rFonts w:cs="Arial"/>
                <w:b/>
                <w:bCs/>
                <w:spacing w:val="-2"/>
              </w:rPr>
              <w:t xml:space="preserve">, podíl </w:t>
            </w:r>
            <w:proofErr w:type="spellStart"/>
            <w:r w:rsidR="0083630F">
              <w:rPr>
                <w:rFonts w:cs="Arial"/>
                <w:b/>
                <w:bCs/>
                <w:spacing w:val="-2"/>
              </w:rPr>
              <w:t>vybr</w:t>
            </w:r>
            <w:proofErr w:type="spellEnd"/>
            <w:r w:rsidR="0083630F">
              <w:rPr>
                <w:rFonts w:cs="Arial"/>
                <w:b/>
                <w:bCs/>
                <w:spacing w:val="-2"/>
              </w:rPr>
              <w:t>.</w:t>
            </w:r>
            <w:r w:rsidR="0083630F" w:rsidRPr="00425211">
              <w:rPr>
                <w:rFonts w:cs="Arial"/>
                <w:b/>
                <w:bCs/>
                <w:spacing w:val="-2"/>
              </w:rPr>
              <w:t xml:space="preserve"> skupin osob na </w:t>
            </w:r>
            <w:r w:rsidR="0083630F">
              <w:rPr>
                <w:rFonts w:cs="Arial"/>
                <w:b/>
                <w:bCs/>
                <w:spacing w:val="-2"/>
              </w:rPr>
              <w:t>všech</w:t>
            </w:r>
            <w:r w:rsidR="0083630F" w:rsidRPr="00425211">
              <w:rPr>
                <w:rFonts w:cs="Arial"/>
                <w:b/>
                <w:bCs/>
                <w:spacing w:val="-2"/>
              </w:rPr>
              <w:t xml:space="preserve"> nezaměstnaných </w:t>
            </w:r>
            <w:r w:rsidR="0083630F" w:rsidRPr="00425211">
              <w:rPr>
                <w:rFonts w:cs="Arial"/>
                <w:bCs/>
                <w:spacing w:val="-2"/>
              </w:rPr>
              <w:t>(v</w:t>
            </w:r>
            <w:r w:rsidR="0083630F">
              <w:rPr>
                <w:rFonts w:cs="Arial"/>
                <w:bCs/>
                <w:spacing w:val="-2"/>
              </w:rPr>
              <w:t> %</w:t>
            </w:r>
            <w:r w:rsidR="0083630F" w:rsidRPr="00425211">
              <w:rPr>
                <w:rFonts w:cs="Arial"/>
                <w:bCs/>
                <w:spacing w:val="-2"/>
              </w:rPr>
              <w:t xml:space="preserve">) </w:t>
            </w:r>
            <w:r w:rsidR="0083630F" w:rsidRPr="00425211">
              <w:rPr>
                <w:rFonts w:cs="Arial"/>
                <w:b/>
                <w:bCs/>
                <w:spacing w:val="-2"/>
              </w:rPr>
              <w:t xml:space="preserve">a ekonomicky neaktivní chtějící pracovat </w:t>
            </w:r>
            <w:r w:rsidR="0083630F" w:rsidRPr="00425211">
              <w:rPr>
                <w:rFonts w:cs="Arial"/>
                <w:bCs/>
                <w:spacing w:val="-2"/>
              </w:rPr>
              <w:t>(v tis.)</w:t>
            </w:r>
            <w:r w:rsidR="0083630F">
              <w:rPr>
                <w:rFonts w:cs="Arial"/>
                <w:bCs/>
                <w:spacing w:val="-2"/>
              </w:rPr>
              <w:t>*</w:t>
            </w:r>
          </w:p>
        </w:tc>
      </w:tr>
      <w:tr w:rsidR="0083630F" w:rsidRPr="00970E6F" w:rsidTr="0083630F">
        <w:trPr>
          <w:trHeight w:val="145"/>
        </w:trPr>
        <w:tc>
          <w:tcPr>
            <w:tcW w:w="1864" w:type="dxa"/>
            <w:shd w:val="clear" w:color="auto" w:fill="auto"/>
            <w:tcMar>
              <w:left w:w="0" w:type="dxa"/>
            </w:tcMar>
          </w:tcPr>
          <w:p w:rsidR="0083630F" w:rsidRDefault="0083630F" w:rsidP="0083630F">
            <w:pPr>
              <w:pStyle w:val="Marginlie"/>
            </w:pPr>
          </w:p>
        </w:tc>
        <w:tc>
          <w:tcPr>
            <w:tcW w:w="241" w:type="dxa"/>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Pr="00970E6F" w:rsidRDefault="0083630F" w:rsidP="0083630F">
            <w:pPr>
              <w:spacing w:after="0" w:line="240" w:lineRule="auto"/>
              <w:rPr>
                <w:spacing w:val="-2"/>
                <w:szCs w:val="20"/>
              </w:rPr>
            </w:pPr>
            <w:r w:rsidRPr="00FB4705">
              <w:rPr>
                <w:noProof/>
                <w:spacing w:val="-2"/>
                <w:szCs w:val="20"/>
              </w:rPr>
              <w:drawing>
                <wp:inline distT="0" distB="0" distL="0" distR="0">
                  <wp:extent cx="4757117" cy="3427012"/>
                  <wp:effectExtent l="0" t="0" r="5383" b="0"/>
                  <wp:docPr id="1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83630F" w:rsidRPr="00343AC1" w:rsidTr="0083630F">
        <w:trPr>
          <w:trHeight w:val="145"/>
        </w:trPr>
        <w:tc>
          <w:tcPr>
            <w:tcW w:w="1864" w:type="dxa"/>
            <w:shd w:val="clear" w:color="auto" w:fill="auto"/>
            <w:tcMar>
              <w:left w:w="0" w:type="dxa"/>
            </w:tcMar>
          </w:tcPr>
          <w:p w:rsidR="0083630F" w:rsidRDefault="0083630F" w:rsidP="0083630F">
            <w:pPr>
              <w:pStyle w:val="Marginlie"/>
            </w:pPr>
          </w:p>
        </w:tc>
        <w:tc>
          <w:tcPr>
            <w:tcW w:w="241" w:type="dxa"/>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Pr="00FF12EF" w:rsidRDefault="0083630F" w:rsidP="0083630F">
            <w:pPr>
              <w:spacing w:after="0" w:line="240" w:lineRule="auto"/>
              <w:rPr>
                <w:rFonts w:cs="Arial"/>
                <w:color w:val="0D0D0D" w:themeColor="text1" w:themeTint="F2"/>
                <w:sz w:val="14"/>
                <w:szCs w:val="14"/>
              </w:rPr>
            </w:pPr>
            <w:r w:rsidRPr="00FF12EF">
              <w:rPr>
                <w:rFonts w:cs="Arial"/>
                <w:color w:val="0D0D0D" w:themeColor="text1" w:themeTint="F2"/>
                <w:sz w:val="14"/>
                <w:szCs w:val="14"/>
              </w:rPr>
              <w:t xml:space="preserve">Poznámka: </w:t>
            </w:r>
            <w:r>
              <w:rPr>
                <w:rFonts w:cs="Arial"/>
                <w:color w:val="0D0D0D" w:themeColor="text1" w:themeTint="F2"/>
                <w:sz w:val="14"/>
                <w:szCs w:val="14"/>
              </w:rPr>
              <w:t xml:space="preserve">všechny </w:t>
            </w:r>
            <w:r w:rsidRPr="00FF12EF">
              <w:rPr>
                <w:rFonts w:cs="Arial"/>
                <w:color w:val="0D0D0D" w:themeColor="text1" w:themeTint="F2"/>
                <w:sz w:val="14"/>
                <w:szCs w:val="14"/>
              </w:rPr>
              <w:t>údaje týkající se nezaměstnanosti jsou sezónně očištěny.</w:t>
            </w:r>
          </w:p>
          <w:p w:rsidR="0083630F" w:rsidRPr="00343AC1" w:rsidRDefault="0083630F" w:rsidP="0083630F">
            <w:pPr>
              <w:spacing w:after="200" w:line="240" w:lineRule="auto"/>
              <w:rPr>
                <w:rFonts w:cs="Arial"/>
                <w:color w:val="0D0D0D" w:themeColor="text1" w:themeTint="F2"/>
                <w:sz w:val="14"/>
                <w:szCs w:val="14"/>
              </w:rPr>
            </w:pPr>
            <w:r w:rsidRPr="00FF12EF">
              <w:rPr>
                <w:rFonts w:cs="Arial"/>
                <w:color w:val="0D0D0D" w:themeColor="text1" w:themeTint="F2"/>
                <w:sz w:val="14"/>
                <w:szCs w:val="14"/>
              </w:rPr>
              <w:t>*</w:t>
            </w:r>
            <w:r w:rsidRPr="00FF12EF">
              <w:rPr>
                <w:rFonts w:cs="Arial"/>
                <w:bCs/>
                <w:color w:val="0D0D0D" w:themeColor="text1" w:themeTint="F2"/>
                <w:sz w:val="14"/>
                <w:szCs w:val="14"/>
              </w:rPr>
              <w:t>Jde o osoby, které nepracují, aktivně práci nehledají (a nesplňují tak podmínky ILO pro nezaměstnané),</w:t>
            </w:r>
            <w:r w:rsidRPr="00FF12EF">
              <w:rPr>
                <w:rFonts w:cs="Arial"/>
                <w:color w:val="0D0D0D" w:themeColor="text1" w:themeTint="F2"/>
                <w:sz w:val="14"/>
                <w:szCs w:val="14"/>
              </w:rPr>
              <w:t xml:space="preserve"> ale přitom </w:t>
            </w:r>
            <w:r>
              <w:rPr>
                <w:rFonts w:cs="Arial"/>
                <w:color w:val="0D0D0D" w:themeColor="text1" w:themeTint="F2"/>
                <w:sz w:val="14"/>
                <w:szCs w:val="14"/>
              </w:rPr>
              <w:t xml:space="preserve">uvádějí, že by chtěly pracovat.                                                           </w:t>
            </w:r>
            <w:r w:rsidRPr="00FF12EF">
              <w:rPr>
                <w:rFonts w:cs="Arial"/>
                <w:color w:val="0D0D0D" w:themeColor="text1" w:themeTint="F2"/>
                <w:sz w:val="14"/>
                <w:szCs w:val="14"/>
              </w:rPr>
              <w:t>Zdroj: ČSÚ (VŠPS</w:t>
            </w:r>
            <w:r>
              <w:rPr>
                <w:rFonts w:cs="Arial"/>
                <w:color w:val="0D0D0D" w:themeColor="text1" w:themeTint="F2"/>
                <w:sz w:val="14"/>
                <w:szCs w:val="14"/>
              </w:rPr>
              <w:t xml:space="preserve"> – </w:t>
            </w:r>
            <w:r w:rsidRPr="00FF12EF">
              <w:rPr>
                <w:rFonts w:cs="Arial"/>
                <w:color w:val="0D0D0D" w:themeColor="text1" w:themeTint="F2"/>
                <w:sz w:val="14"/>
                <w:szCs w:val="14"/>
              </w:rPr>
              <w:t>výběrové šetření pracovních sil)</w:t>
            </w:r>
          </w:p>
        </w:tc>
      </w:tr>
      <w:tr w:rsidR="0083630F" w:rsidRPr="00D95458" w:rsidTr="0083630F">
        <w:trPr>
          <w:trHeight w:val="145"/>
        </w:trPr>
        <w:tc>
          <w:tcPr>
            <w:tcW w:w="1864" w:type="dxa"/>
            <w:shd w:val="clear" w:color="auto" w:fill="auto"/>
            <w:tcMar>
              <w:left w:w="0" w:type="dxa"/>
            </w:tcMar>
          </w:tcPr>
          <w:p w:rsidR="0083630F" w:rsidRDefault="0083630F" w:rsidP="0083630F">
            <w:pPr>
              <w:pStyle w:val="Marginlie"/>
            </w:pPr>
            <w:r>
              <w:t>Pokles obecné míry nezaměstnanosti se v průběhu roku 2018 prakticky zastavil.</w:t>
            </w:r>
          </w:p>
        </w:tc>
        <w:tc>
          <w:tcPr>
            <w:tcW w:w="241" w:type="dxa"/>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Pr="00D95458" w:rsidRDefault="0083630F" w:rsidP="00781A91">
            <w:pPr>
              <w:spacing w:after="200"/>
              <w:rPr>
                <w:spacing w:val="-3"/>
              </w:rPr>
            </w:pPr>
            <w:r>
              <w:rPr>
                <w:spacing w:val="-3"/>
              </w:rPr>
              <w:t xml:space="preserve">Trend poklesu obecné míry nezaměstnanosti, který ve výrazně nezměněném tempu </w:t>
            </w:r>
            <w:r w:rsidR="00EE6E06">
              <w:rPr>
                <w:spacing w:val="-3"/>
              </w:rPr>
              <w:t>trval celé</w:t>
            </w:r>
            <w:r>
              <w:rPr>
                <w:spacing w:val="-3"/>
              </w:rPr>
              <w:t xml:space="preserve"> čtyři roky, se s příchodem roku 2018 prakticky zastavil. Sezónně očištěná míra nezaměstnanosti osob ve věku 15 až 64 let dosahovala v září u mužů 1,9 %, </w:t>
            </w:r>
            <w:r w:rsidR="00EE6E06">
              <w:rPr>
                <w:spacing w:val="-3"/>
              </w:rPr>
              <w:t>u </w:t>
            </w:r>
            <w:r>
              <w:rPr>
                <w:spacing w:val="-3"/>
              </w:rPr>
              <w:t xml:space="preserve">žen 2,6 % (na sklonku </w:t>
            </w:r>
            <w:r w:rsidR="00EE6E06">
              <w:rPr>
                <w:spacing w:val="-3"/>
              </w:rPr>
              <w:t>roku 2017</w:t>
            </w:r>
            <w:r>
              <w:rPr>
                <w:spacing w:val="-3"/>
              </w:rPr>
              <w:t xml:space="preserve"> činily obdobné podíly 2,0 %, resp. 2,9 %). Že další pokles nezaměstnanosti naráží na své limity, dokreslují i údaje o počtu registrovaných uchazečů o práci v evidenci úřadů práce (ÚP)</w:t>
            </w:r>
            <w:r>
              <w:rPr>
                <w:rStyle w:val="Znakapoznpodarou"/>
                <w:spacing w:val="-3"/>
              </w:rPr>
              <w:footnoteReference w:id="4"/>
            </w:r>
            <w:r>
              <w:rPr>
                <w:spacing w:val="-3"/>
              </w:rPr>
              <w:t>.</w:t>
            </w:r>
            <w:r>
              <w:rPr>
                <w:rFonts w:cs="Arial"/>
                <w:color w:val="0D0D0D" w:themeColor="text1" w:themeTint="F2"/>
                <w:spacing w:val="-4"/>
              </w:rPr>
              <w:t xml:space="preserve"> K</w:t>
            </w:r>
            <w:r w:rsidR="00116D3F">
              <w:rPr>
                <w:rFonts w:cs="Arial"/>
                <w:color w:val="0D0D0D" w:themeColor="text1" w:themeTint="F2"/>
                <w:spacing w:val="-4"/>
              </w:rPr>
              <w:t xml:space="preserve"> meziroční </w:t>
            </w:r>
            <w:r>
              <w:rPr>
                <w:rFonts w:cs="Arial"/>
                <w:color w:val="0D0D0D" w:themeColor="text1" w:themeTint="F2"/>
                <w:spacing w:val="-4"/>
              </w:rPr>
              <w:t xml:space="preserve">redukci počtu nezaměstnaných (dle VŠPS) </w:t>
            </w:r>
            <w:r w:rsidR="00EE6E06">
              <w:rPr>
                <w:rFonts w:cs="Arial"/>
                <w:color w:val="0D0D0D" w:themeColor="text1" w:themeTint="F2"/>
                <w:spacing w:val="-4"/>
              </w:rPr>
              <w:t>i </w:t>
            </w:r>
            <w:r>
              <w:rPr>
                <w:rFonts w:cs="Arial"/>
                <w:color w:val="0D0D0D" w:themeColor="text1" w:themeTint="F2"/>
                <w:spacing w:val="-4"/>
              </w:rPr>
              <w:t xml:space="preserve">ve 3. čtvrtletí z třetiny přispěli lidé, kteří byli bez práce déle </w:t>
            </w:r>
            <w:r>
              <w:rPr>
                <w:rFonts w:cs="Arial"/>
                <w:color w:val="0D0D0D" w:themeColor="text1" w:themeTint="F2"/>
                <w:spacing w:val="-4"/>
              </w:rPr>
              <w:lastRenderedPageBreak/>
              <w:t>než rok. Podíl těchto osob na celkovém počtu nezaměstnaných se snížil na 28,5 %</w:t>
            </w:r>
            <w:r>
              <w:rPr>
                <w:rStyle w:val="Znakapoznpodarou"/>
                <w:color w:val="0D0D0D" w:themeColor="text1" w:themeTint="F2"/>
                <w:spacing w:val="-4"/>
              </w:rPr>
              <w:footnoteReference w:id="5"/>
            </w:r>
            <w:r>
              <w:rPr>
                <w:rFonts w:cs="Arial"/>
                <w:color w:val="0D0D0D" w:themeColor="text1" w:themeTint="F2"/>
                <w:spacing w:val="-4"/>
              </w:rPr>
              <w:t>, tedy na úroveň nižší než ve třech čtvrtinách zemí EU.</w:t>
            </w:r>
          </w:p>
        </w:tc>
      </w:tr>
      <w:tr w:rsidR="0083630F" w:rsidRPr="00A67CD9" w:rsidTr="0083630F">
        <w:trPr>
          <w:trHeight w:val="145"/>
        </w:trPr>
        <w:tc>
          <w:tcPr>
            <w:tcW w:w="1864" w:type="dxa"/>
            <w:shd w:val="clear" w:color="auto" w:fill="auto"/>
            <w:tcMar>
              <w:left w:w="0" w:type="dxa"/>
            </w:tcMar>
          </w:tcPr>
          <w:p w:rsidR="0083630F" w:rsidRDefault="0083630F" w:rsidP="0083630F">
            <w:pPr>
              <w:pStyle w:val="Marginlie"/>
            </w:pPr>
            <w:r>
              <w:lastRenderedPageBreak/>
              <w:t xml:space="preserve">Počet pracovních míst v nabídce ÚP meziměsíčně rostl již téměř dva roky. Nová místa se stále častěji koncentrovala do méně kvalifikovaných manuálních </w:t>
            </w:r>
            <w:r w:rsidR="0040368D">
              <w:t>činností</w:t>
            </w:r>
            <w:r>
              <w:t xml:space="preserve">. </w:t>
            </w:r>
          </w:p>
        </w:tc>
        <w:tc>
          <w:tcPr>
            <w:tcW w:w="241" w:type="dxa"/>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Pr="00A67CD9" w:rsidRDefault="0083630F" w:rsidP="00781A91">
            <w:pPr>
              <w:spacing w:after="200"/>
              <w:rPr>
                <w:rFonts w:cs="Arial"/>
                <w:color w:val="0D0D0D" w:themeColor="text1" w:themeTint="F2"/>
                <w:spacing w:val="-4"/>
              </w:rPr>
            </w:pPr>
            <w:r w:rsidRPr="00A67CD9">
              <w:rPr>
                <w:rFonts w:cs="Arial"/>
                <w:color w:val="0D0D0D" w:themeColor="text1" w:themeTint="F2"/>
                <w:spacing w:val="-4"/>
              </w:rPr>
              <w:t>Poptávka po pracovní</w:t>
            </w:r>
            <w:r w:rsidR="0040368D">
              <w:rPr>
                <w:rFonts w:cs="Arial"/>
                <w:color w:val="0D0D0D" w:themeColor="text1" w:themeTint="F2"/>
                <w:spacing w:val="-4"/>
              </w:rPr>
              <w:t>cí</w:t>
            </w:r>
            <w:r w:rsidRPr="00A67CD9">
              <w:rPr>
                <w:rFonts w:cs="Arial"/>
                <w:color w:val="0D0D0D" w:themeColor="text1" w:themeTint="F2"/>
                <w:spacing w:val="-4"/>
              </w:rPr>
              <w:t>ch zůstává v tuzemské ekonomice nadále silná. Počet volných pracov</w:t>
            </w:r>
            <w:r w:rsidR="00116D3F">
              <w:rPr>
                <w:rFonts w:cs="Arial"/>
                <w:color w:val="0D0D0D" w:themeColor="text1" w:themeTint="F2"/>
                <w:spacing w:val="-4"/>
              </w:rPr>
              <w:t>ních pozic v nabídce</w:t>
            </w:r>
            <w:r w:rsidRPr="00A67CD9">
              <w:rPr>
                <w:rFonts w:cs="Arial"/>
                <w:color w:val="0D0D0D" w:themeColor="text1" w:themeTint="F2"/>
                <w:spacing w:val="-4"/>
              </w:rPr>
              <w:t xml:space="preserve"> ÚP</w:t>
            </w:r>
            <w:r>
              <w:rPr>
                <w:rFonts w:cs="Arial"/>
                <w:color w:val="0D0D0D" w:themeColor="text1" w:themeTint="F2"/>
                <w:spacing w:val="-4"/>
              </w:rPr>
              <w:t xml:space="preserve"> rostl (navzdory sezónním vlivům) nepřetržitě již </w:t>
            </w:r>
            <w:r w:rsidR="0040368D">
              <w:rPr>
                <w:rFonts w:cs="Arial"/>
                <w:color w:val="0D0D0D" w:themeColor="text1" w:themeTint="F2"/>
                <w:spacing w:val="-4"/>
              </w:rPr>
              <w:t>22 </w:t>
            </w:r>
            <w:r>
              <w:rPr>
                <w:rFonts w:cs="Arial"/>
                <w:color w:val="0D0D0D" w:themeColor="text1" w:themeTint="F2"/>
                <w:spacing w:val="-4"/>
              </w:rPr>
              <w:t xml:space="preserve">měsíců v řadě. Na konci září 2018 vyšplhal na rekordních 316 tis. míst. Údaje z posledních měsíců ale naznačovaly, že </w:t>
            </w:r>
            <w:r w:rsidR="0040368D">
              <w:rPr>
                <w:rFonts w:cs="Arial"/>
                <w:color w:val="0D0D0D" w:themeColor="text1" w:themeTint="F2"/>
                <w:spacing w:val="-4"/>
              </w:rPr>
              <w:t xml:space="preserve">tempo </w:t>
            </w:r>
            <w:r>
              <w:rPr>
                <w:rFonts w:cs="Arial"/>
                <w:color w:val="0D0D0D" w:themeColor="text1" w:themeTint="F2"/>
                <w:spacing w:val="-4"/>
              </w:rPr>
              <w:t>přírůstku volných míst oslabuje. Přírůstek volných míst byl z pohledu kvalifikačních nároků i regionů značně nerovnoměrný.</w:t>
            </w:r>
            <w:r w:rsidR="00D922A1">
              <w:rPr>
                <w:rFonts w:cs="Arial"/>
                <w:color w:val="0D0D0D" w:themeColor="text1" w:themeTint="F2"/>
                <w:spacing w:val="-4"/>
              </w:rPr>
              <w:t xml:space="preserve"> </w:t>
            </w:r>
            <w:r>
              <w:rPr>
                <w:rFonts w:cs="Arial"/>
                <w:color w:val="0D0D0D" w:themeColor="text1" w:themeTint="F2"/>
                <w:spacing w:val="-4"/>
              </w:rPr>
              <w:t xml:space="preserve">Na meziročním přírůstku míst se 85 % podílely pozice s velmi nízkými deklarovanými kvalifikačními nároky (maximálně základní vzdělání), z pohledu odvětví přibyla nejvíce místa v průmyslu (20,5 tis.), ve stavebnictví (10,0 tis.) </w:t>
            </w:r>
            <w:r w:rsidR="0040368D">
              <w:rPr>
                <w:rFonts w:cs="Arial"/>
                <w:color w:val="0D0D0D" w:themeColor="text1" w:themeTint="F2"/>
                <w:spacing w:val="-4"/>
              </w:rPr>
              <w:t>a </w:t>
            </w:r>
            <w:r>
              <w:rPr>
                <w:rFonts w:cs="Arial"/>
                <w:color w:val="0D0D0D" w:themeColor="text1" w:themeTint="F2"/>
                <w:spacing w:val="-4"/>
              </w:rPr>
              <w:t>v</w:t>
            </w:r>
            <w:r w:rsidR="0040368D">
              <w:rPr>
                <w:rFonts w:cs="Arial"/>
                <w:color w:val="0D0D0D" w:themeColor="text1" w:themeTint="F2"/>
                <w:spacing w:val="-4"/>
              </w:rPr>
              <w:t xml:space="preserve"> odvětví </w:t>
            </w:r>
            <w:r>
              <w:rPr>
                <w:rFonts w:cs="Arial"/>
                <w:color w:val="0D0D0D" w:themeColor="text1" w:themeTint="F2"/>
                <w:spacing w:val="-4"/>
              </w:rPr>
              <w:t xml:space="preserve">administrativních a podpůrných </w:t>
            </w:r>
            <w:r w:rsidR="0040368D">
              <w:rPr>
                <w:rFonts w:cs="Arial"/>
                <w:color w:val="0D0D0D" w:themeColor="text1" w:themeTint="F2"/>
                <w:spacing w:val="-4"/>
              </w:rPr>
              <w:t>činností</w:t>
            </w:r>
            <w:r>
              <w:rPr>
                <w:rFonts w:cs="Arial"/>
                <w:color w:val="0D0D0D" w:themeColor="text1" w:themeTint="F2"/>
                <w:spacing w:val="-4"/>
              </w:rPr>
              <w:t xml:space="preserve">, které zahrnuje i agenturní pracovníky (8,3 tis.). Naproti tomu nabídka míst pro osoby s maturitním či vyšším vzděláním vzrostla jen </w:t>
            </w:r>
            <w:r w:rsidR="0040368D">
              <w:rPr>
                <w:rFonts w:cs="Arial"/>
                <w:color w:val="0D0D0D" w:themeColor="text1" w:themeTint="F2"/>
                <w:spacing w:val="-4"/>
              </w:rPr>
              <w:t>o </w:t>
            </w:r>
            <w:r>
              <w:rPr>
                <w:rFonts w:cs="Arial"/>
                <w:color w:val="0D0D0D" w:themeColor="text1" w:themeTint="F2"/>
                <w:spacing w:val="-4"/>
              </w:rPr>
              <w:t>5,</w:t>
            </w:r>
            <w:r w:rsidR="0040368D">
              <w:rPr>
                <w:rFonts w:cs="Arial"/>
                <w:color w:val="0D0D0D" w:themeColor="text1" w:themeTint="F2"/>
                <w:spacing w:val="-4"/>
              </w:rPr>
              <w:t>8 </w:t>
            </w:r>
            <w:r>
              <w:rPr>
                <w:rFonts w:cs="Arial"/>
                <w:color w:val="0D0D0D" w:themeColor="text1" w:themeTint="F2"/>
                <w:spacing w:val="-4"/>
              </w:rPr>
              <w:t xml:space="preserve">tis. Prohloubila se tak disproporce mezi skladbou nabízených míst a registrovanými uchazeči o práci. </w:t>
            </w:r>
          </w:p>
        </w:tc>
      </w:tr>
      <w:tr w:rsidR="0083630F" w:rsidRPr="00B4411A" w:rsidTr="0083630F">
        <w:trPr>
          <w:trHeight w:val="145"/>
        </w:trPr>
        <w:tc>
          <w:tcPr>
            <w:tcW w:w="1864" w:type="dxa"/>
            <w:shd w:val="clear" w:color="auto" w:fill="auto"/>
            <w:tcMar>
              <w:left w:w="0" w:type="dxa"/>
            </w:tcMar>
          </w:tcPr>
          <w:p w:rsidR="0083630F" w:rsidRDefault="0083630F" w:rsidP="0083630F">
            <w:pPr>
              <w:pStyle w:val="Marginlie"/>
            </w:pPr>
            <w:r>
              <w:t>Převis volných míst nad uchazeči hlásily na konci září již tři pětiny okresů.</w:t>
            </w:r>
          </w:p>
        </w:tc>
        <w:tc>
          <w:tcPr>
            <w:tcW w:w="241" w:type="dxa"/>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Pr="00B4411A" w:rsidRDefault="0083630F" w:rsidP="00781A91">
            <w:pPr>
              <w:spacing w:after="200"/>
              <w:rPr>
                <w:spacing w:val="-4"/>
              </w:rPr>
            </w:pPr>
            <w:r>
              <w:rPr>
                <w:rFonts w:cs="Arial"/>
                <w:color w:val="0D0D0D" w:themeColor="text1" w:themeTint="F2"/>
                <w:spacing w:val="-4"/>
              </w:rPr>
              <w:t xml:space="preserve">Na konci září připadalo na jedno volné místo 0,7 uchazeče, počet volných míst začal přitom převyšovat četnost uchazečů od letošního dubna. Obdobná situace panovala na konci září ve třech pětinách okresů ČR. Na krajské úrovni byl mírný převis uchazečů registrován pouze na Ústecku (1,8) a </w:t>
            </w:r>
            <w:proofErr w:type="spellStart"/>
            <w:r>
              <w:rPr>
                <w:rFonts w:cs="Arial"/>
                <w:color w:val="0D0D0D" w:themeColor="text1" w:themeTint="F2"/>
                <w:spacing w:val="-4"/>
              </w:rPr>
              <w:t>Moravskoslezsku</w:t>
            </w:r>
            <w:proofErr w:type="spellEnd"/>
            <w:r>
              <w:rPr>
                <w:rFonts w:cs="Arial"/>
                <w:color w:val="0D0D0D" w:themeColor="text1" w:themeTint="F2"/>
                <w:spacing w:val="-4"/>
              </w:rPr>
              <w:t xml:space="preserve"> (2,2). Obdobné relace z hlediska kvalifikačních tříd dokládají, že problém podniků s nalezením kvalifikované i nekvalifikované manuální pracovní síly se nadále vyostřoval. V kategorii obsluha strojů a zařízení připadalo na volné místo 0,2 uchazeče, u pomocných a nekvalifikovaných pracovníků 0,8. Nedostatek volných pracovníků se ale projevoval i u některých vysoce kvalifikovaných profesí (v kategorii specialisté připadalo na volné místo 0,8 </w:t>
            </w:r>
            <w:r w:rsidR="005410E2">
              <w:rPr>
                <w:rFonts w:cs="Arial"/>
                <w:color w:val="0D0D0D" w:themeColor="text1" w:themeTint="F2"/>
                <w:spacing w:val="-4"/>
              </w:rPr>
              <w:t>uchazeče</w:t>
            </w:r>
            <w:r>
              <w:rPr>
                <w:rFonts w:cs="Arial"/>
                <w:color w:val="0D0D0D" w:themeColor="text1" w:themeTint="F2"/>
                <w:spacing w:val="-4"/>
              </w:rPr>
              <w:t xml:space="preserve">). </w:t>
            </w:r>
          </w:p>
        </w:tc>
      </w:tr>
      <w:tr w:rsidR="0083630F" w:rsidRPr="004621FE" w:rsidTr="0083630F">
        <w:trPr>
          <w:trHeight w:val="145"/>
        </w:trPr>
        <w:tc>
          <w:tcPr>
            <w:tcW w:w="1864" w:type="dxa"/>
            <w:shd w:val="clear" w:color="auto" w:fill="auto"/>
            <w:tcMar>
              <w:left w:w="0" w:type="dxa"/>
            </w:tcMar>
          </w:tcPr>
          <w:p w:rsidR="0083630F" w:rsidRDefault="0083630F" w:rsidP="0083630F">
            <w:pPr>
              <w:pStyle w:val="Marginlie"/>
            </w:pPr>
            <w:r>
              <w:t>Nezaměstnanost dále klesala napříč téměř všemi státy EU. Česko si udrželo primát země s nejnižší úrovní nezaměstnanosti.</w:t>
            </w:r>
          </w:p>
          <w:p w:rsidR="0083630F" w:rsidRDefault="0083630F" w:rsidP="0083630F">
            <w:pPr>
              <w:pStyle w:val="Marginlie"/>
            </w:pPr>
          </w:p>
        </w:tc>
        <w:tc>
          <w:tcPr>
            <w:tcW w:w="241" w:type="dxa"/>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Pr="004621FE" w:rsidRDefault="0083630F" w:rsidP="0083630F">
            <w:pPr>
              <w:spacing w:after="200"/>
              <w:rPr>
                <w:rFonts w:cs="Arial"/>
                <w:color w:val="0D0D0D" w:themeColor="text1" w:themeTint="F2"/>
                <w:spacing w:val="-4"/>
              </w:rPr>
            </w:pPr>
            <w:r>
              <w:rPr>
                <w:rFonts w:cs="Arial"/>
                <w:color w:val="0D0D0D" w:themeColor="text1" w:themeTint="F2"/>
                <w:spacing w:val="-4"/>
              </w:rPr>
              <w:t>Obecná míra nezaměstnanost</w:t>
            </w:r>
            <w:r w:rsidR="00205186">
              <w:rPr>
                <w:rFonts w:cs="Arial"/>
                <w:color w:val="0D0D0D" w:themeColor="text1" w:themeTint="F2"/>
                <w:spacing w:val="-4"/>
              </w:rPr>
              <w:t>i</w:t>
            </w:r>
            <w:r>
              <w:rPr>
                <w:rFonts w:cs="Arial"/>
                <w:color w:val="0D0D0D" w:themeColor="text1" w:themeTint="F2"/>
                <w:spacing w:val="-4"/>
              </w:rPr>
              <w:t xml:space="preserve"> klesala stabilním tempem i v EU. Na konci září 2018 činila (dle sezónně očištěných údajů) 6,7 %, v zemích platících </w:t>
            </w:r>
            <w:r w:rsidR="00205186">
              <w:rPr>
                <w:rFonts w:cs="Arial"/>
                <w:color w:val="0D0D0D" w:themeColor="text1" w:themeTint="F2"/>
                <w:spacing w:val="-4"/>
              </w:rPr>
              <w:t xml:space="preserve">eurem </w:t>
            </w:r>
            <w:r>
              <w:rPr>
                <w:rFonts w:cs="Arial"/>
                <w:color w:val="0D0D0D" w:themeColor="text1" w:themeTint="F2"/>
                <w:spacing w:val="-4"/>
              </w:rPr>
              <w:t>pak 8,1 %. Meziročně se v obou těchto uskupeních snížila o 0,8 p.</w:t>
            </w:r>
            <w:r w:rsidR="00205186">
              <w:rPr>
                <w:rFonts w:cs="Arial"/>
                <w:color w:val="0D0D0D" w:themeColor="text1" w:themeTint="F2"/>
                <w:spacing w:val="-4"/>
              </w:rPr>
              <w:t> </w:t>
            </w:r>
            <w:r>
              <w:rPr>
                <w:rFonts w:cs="Arial"/>
                <w:color w:val="0D0D0D" w:themeColor="text1" w:themeTint="F2"/>
                <w:spacing w:val="-4"/>
              </w:rPr>
              <w:t xml:space="preserve">b. Česko si i nadále drželo pozici státu s nejnižší nezaměstnaností, následované Německem (3,4 %). Nízkou nezaměstnanost (pod 4 %) vykazovaly i Polsko, Maďarsko, Nizozemsko a Malta. Míra nezaměstnanosti se meziročně snížila ve všech státech Unie (kromě Estonska). V některých státech (Francie, země jižního křídla </w:t>
            </w:r>
            <w:proofErr w:type="spellStart"/>
            <w:r w:rsidR="00205186">
              <w:rPr>
                <w:rFonts w:cs="Arial"/>
                <w:color w:val="0D0D0D" w:themeColor="text1" w:themeTint="F2"/>
                <w:spacing w:val="-4"/>
              </w:rPr>
              <w:t>eurozóny</w:t>
            </w:r>
            <w:proofErr w:type="spellEnd"/>
            <w:r>
              <w:rPr>
                <w:rFonts w:cs="Arial"/>
                <w:color w:val="0D0D0D" w:themeColor="text1" w:themeTint="F2"/>
                <w:spacing w:val="-4"/>
              </w:rPr>
              <w:t>) byl však pokles navzdory vysoké loňské základně stále relativně pomalý. I proto se držela nezaměstnanost v </w:t>
            </w:r>
            <w:proofErr w:type="spellStart"/>
            <w:r w:rsidR="00205186">
              <w:rPr>
                <w:rFonts w:cs="Arial"/>
                <w:color w:val="0D0D0D" w:themeColor="text1" w:themeTint="F2"/>
                <w:spacing w:val="-4"/>
              </w:rPr>
              <w:t>eurozóně</w:t>
            </w:r>
            <w:proofErr w:type="spellEnd"/>
            <w:r w:rsidR="00205186">
              <w:rPr>
                <w:rFonts w:cs="Arial"/>
                <w:color w:val="0D0D0D" w:themeColor="text1" w:themeTint="F2"/>
                <w:spacing w:val="-4"/>
              </w:rPr>
              <w:t xml:space="preserve"> </w:t>
            </w:r>
            <w:r>
              <w:rPr>
                <w:rFonts w:cs="Arial"/>
                <w:color w:val="0D0D0D" w:themeColor="text1" w:themeTint="F2"/>
                <w:spacing w:val="-4"/>
              </w:rPr>
              <w:t xml:space="preserve">o téměř 1 p. b. </w:t>
            </w:r>
            <w:proofErr w:type="gramStart"/>
            <w:r>
              <w:rPr>
                <w:rFonts w:cs="Arial"/>
                <w:color w:val="0D0D0D" w:themeColor="text1" w:themeTint="F2"/>
                <w:spacing w:val="-4"/>
              </w:rPr>
              <w:t>nad</w:t>
            </w:r>
            <w:proofErr w:type="gramEnd"/>
            <w:r>
              <w:rPr>
                <w:rFonts w:cs="Arial"/>
                <w:color w:val="0D0D0D" w:themeColor="text1" w:themeTint="F2"/>
                <w:spacing w:val="-4"/>
              </w:rPr>
              <w:t xml:space="preserve"> úrovní lokálního mimina (z vrcholu konjunktury minulé dekády), zatímco v celé EU tuto úroveň již ve 2. letošním čtvrtletí překonala.</w:t>
            </w:r>
          </w:p>
        </w:tc>
      </w:tr>
      <w:tr w:rsidR="0083630F" w:rsidRPr="003422D9" w:rsidTr="0083630F">
        <w:trPr>
          <w:trHeight w:val="145"/>
        </w:trPr>
        <w:tc>
          <w:tcPr>
            <w:tcW w:w="1864" w:type="dxa"/>
            <w:shd w:val="clear" w:color="auto" w:fill="auto"/>
            <w:tcMar>
              <w:left w:w="0" w:type="dxa"/>
            </w:tcMar>
          </w:tcPr>
          <w:p w:rsidR="0083630F" w:rsidRDefault="0083630F" w:rsidP="0083630F">
            <w:pPr>
              <w:pStyle w:val="Marginlie"/>
            </w:pPr>
            <w:r>
              <w:t>Mzdový růst se v průběhu roku 2018 stabilizoval na vysoké úrovni.</w:t>
            </w:r>
          </w:p>
        </w:tc>
        <w:tc>
          <w:tcPr>
            <w:tcW w:w="241" w:type="dxa"/>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Pr="003422D9" w:rsidRDefault="0083630F" w:rsidP="00A41FCF">
            <w:pPr>
              <w:spacing w:after="0"/>
              <w:rPr>
                <w:rFonts w:cs="Arial"/>
                <w:szCs w:val="20"/>
              </w:rPr>
            </w:pPr>
            <w:r>
              <w:rPr>
                <w:rFonts w:cs="Arial"/>
                <w:szCs w:val="20"/>
              </w:rPr>
              <w:t xml:space="preserve">V 1. až 3. </w:t>
            </w:r>
            <w:r w:rsidRPr="003422D9">
              <w:rPr>
                <w:rFonts w:cs="Arial"/>
                <w:szCs w:val="20"/>
              </w:rPr>
              <w:t xml:space="preserve">čtvrtletí </w:t>
            </w:r>
            <w:r>
              <w:rPr>
                <w:rFonts w:cs="Arial"/>
                <w:szCs w:val="20"/>
              </w:rPr>
              <w:t xml:space="preserve">2018 vzrostla </w:t>
            </w:r>
            <w:r>
              <w:rPr>
                <w:rFonts w:cs="Arial"/>
                <w:color w:val="0D0D0D" w:themeColor="text1" w:themeTint="F2"/>
                <w:spacing w:val="-4"/>
              </w:rPr>
              <w:t>dle podnikových statistik průměrná hrubá nominální mz</w:t>
            </w:r>
            <w:r w:rsidR="00EA2841">
              <w:rPr>
                <w:rFonts w:cs="Arial"/>
                <w:color w:val="0D0D0D" w:themeColor="text1" w:themeTint="F2"/>
                <w:spacing w:val="-4"/>
              </w:rPr>
              <w:t>da v národním hospodářství o 8,6</w:t>
            </w:r>
            <w:r>
              <w:rPr>
                <w:rFonts w:cs="Arial"/>
                <w:color w:val="0D0D0D" w:themeColor="text1" w:themeTint="F2"/>
                <w:spacing w:val="-4"/>
              </w:rPr>
              <w:t xml:space="preserve"> %</w:t>
            </w:r>
            <w:r w:rsidR="00227F53">
              <w:rPr>
                <w:rFonts w:cs="Arial"/>
                <w:color w:val="0D0D0D" w:themeColor="text1" w:themeTint="F2"/>
                <w:spacing w:val="-4"/>
              </w:rPr>
              <w:t>,</w:t>
            </w:r>
            <w:r>
              <w:rPr>
                <w:rFonts w:cs="Arial"/>
                <w:color w:val="0D0D0D" w:themeColor="text1" w:themeTint="F2"/>
                <w:spacing w:val="-4"/>
              </w:rPr>
              <w:t xml:space="preserve"> a mírně tak překonala tempa z konjunkturních let 2007 a 2008. V průběhu letošního roku již růstové tempo mezd stagnovalo. Vysoký mzdový růst byl výsledkem především přetrvávající silné poptávky po pracovnících, která při praktickém vyčerpání volných pracovních sil v tuzemsku nemohla být adekvátně uspokojena. Důležitou roli hrála také hospodářská politika státu, jež se projevovala jak významným posilováním rozpočtových prostředků na mzdy zaměstnanců ve veřejném sektoru, tak i pravidelným navyšováním minimální mzdy (s dopadem i na výši zaručené mzdy) tlumícím růst mzdové diferenciace. Silný tržní tlak na růst mezd doprovázený letošním zpomalením výkonu ekonomiky vyústil ve snížení míry zisku v podnikové sféře. Mzdová dynamika výrazně převyšovala vývoj produktivity práce. Zatímco v předchozích třech letech byl typickým rysem vývoje silný růst průměrných výdělků v odvětvích s velmi nízkou mzdovou úrovní, letos se jako významnější ukázala silná mzdová dynamika mezd v odvětvích s dominancí </w:t>
            </w:r>
            <w:r w:rsidRPr="00F03F8D">
              <w:rPr>
                <w:spacing w:val="-2"/>
              </w:rPr>
              <w:t>veřejných institucí.</w:t>
            </w:r>
          </w:p>
        </w:tc>
      </w:tr>
      <w:tr w:rsidR="0083630F" w:rsidRPr="00182602" w:rsidTr="0083630F">
        <w:trPr>
          <w:trHeight w:val="145"/>
        </w:trPr>
        <w:tc>
          <w:tcPr>
            <w:tcW w:w="1864" w:type="dxa"/>
            <w:shd w:val="clear" w:color="auto" w:fill="auto"/>
            <w:tcMar>
              <w:left w:w="0" w:type="dxa"/>
            </w:tcMar>
          </w:tcPr>
          <w:p w:rsidR="0083630F" w:rsidRDefault="0083630F" w:rsidP="0083630F">
            <w:pPr>
              <w:pStyle w:val="Marginlie"/>
            </w:pPr>
          </w:p>
        </w:tc>
        <w:tc>
          <w:tcPr>
            <w:tcW w:w="241" w:type="dxa"/>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Pr="00182602" w:rsidRDefault="00A925B1" w:rsidP="0083630F">
            <w:pPr>
              <w:spacing w:after="0" w:line="240" w:lineRule="auto"/>
              <w:rPr>
                <w:rFonts w:cs="Arial"/>
                <w:color w:val="0D0D0D" w:themeColor="text1" w:themeTint="F2"/>
                <w:spacing w:val="-4"/>
              </w:rPr>
            </w:pPr>
            <w:r>
              <w:rPr>
                <w:b/>
              </w:rPr>
              <w:t xml:space="preserve">Graf č. </w:t>
            </w:r>
            <w:proofErr w:type="gramStart"/>
            <w:r>
              <w:rPr>
                <w:b/>
              </w:rPr>
              <w:t>17</w:t>
            </w:r>
            <w:r w:rsidR="0083630F">
              <w:rPr>
                <w:b/>
              </w:rPr>
              <w:t xml:space="preserve">  </w:t>
            </w:r>
            <w:r w:rsidR="0083630F">
              <w:rPr>
                <w:rFonts w:cs="Arial"/>
                <w:b/>
                <w:bCs/>
                <w:spacing w:val="-2"/>
              </w:rPr>
              <w:t>Průměrná</w:t>
            </w:r>
            <w:proofErr w:type="gramEnd"/>
            <w:r w:rsidR="0083630F">
              <w:rPr>
                <w:rFonts w:cs="Arial"/>
                <w:b/>
                <w:bCs/>
                <w:spacing w:val="-2"/>
              </w:rPr>
              <w:t xml:space="preserve"> hrubá měsíční mzda, rozpětí jejího tempa mezi odvětvími*, mzdový medián </w:t>
            </w:r>
            <w:r w:rsidR="0083630F">
              <w:rPr>
                <w:rFonts w:cs="Arial"/>
                <w:bCs/>
                <w:spacing w:val="-2"/>
              </w:rPr>
              <w:t>(meziročně</w:t>
            </w:r>
            <w:r w:rsidR="0083630F" w:rsidRPr="0006150D">
              <w:rPr>
                <w:rFonts w:cs="Arial"/>
                <w:bCs/>
                <w:spacing w:val="-2"/>
              </w:rPr>
              <w:t>, v</w:t>
            </w:r>
            <w:r w:rsidR="0083630F">
              <w:rPr>
                <w:rFonts w:cs="Arial"/>
                <w:bCs/>
                <w:spacing w:val="-2"/>
              </w:rPr>
              <w:t> %</w:t>
            </w:r>
            <w:r w:rsidR="0083630F" w:rsidRPr="0006150D">
              <w:rPr>
                <w:rFonts w:cs="Arial"/>
                <w:bCs/>
                <w:spacing w:val="-2"/>
              </w:rPr>
              <w:t>)</w:t>
            </w:r>
            <w:r w:rsidR="0083630F">
              <w:rPr>
                <w:rFonts w:cs="Arial"/>
                <w:bCs/>
                <w:spacing w:val="-2"/>
              </w:rPr>
              <w:t xml:space="preserve"> </w:t>
            </w:r>
            <w:r w:rsidR="0083630F" w:rsidRPr="00560905">
              <w:rPr>
                <w:rFonts w:cs="Arial"/>
                <w:b/>
                <w:bCs/>
                <w:spacing w:val="-2"/>
              </w:rPr>
              <w:t>a produktivita práce</w:t>
            </w:r>
            <w:r w:rsidR="0083630F">
              <w:rPr>
                <w:rFonts w:cs="Arial"/>
                <w:b/>
                <w:bCs/>
                <w:spacing w:val="-2"/>
              </w:rPr>
              <w:t>**</w:t>
            </w:r>
          </w:p>
        </w:tc>
      </w:tr>
      <w:tr w:rsidR="0083630F" w:rsidRPr="00182602" w:rsidTr="0083630F">
        <w:trPr>
          <w:trHeight w:val="145"/>
        </w:trPr>
        <w:tc>
          <w:tcPr>
            <w:tcW w:w="1864" w:type="dxa"/>
            <w:shd w:val="clear" w:color="auto" w:fill="auto"/>
            <w:tcMar>
              <w:left w:w="0" w:type="dxa"/>
            </w:tcMar>
          </w:tcPr>
          <w:p w:rsidR="0083630F" w:rsidRDefault="0083630F" w:rsidP="0083630F">
            <w:pPr>
              <w:pStyle w:val="Marginlie"/>
            </w:pPr>
          </w:p>
        </w:tc>
        <w:tc>
          <w:tcPr>
            <w:tcW w:w="241" w:type="dxa"/>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Pr="00182602" w:rsidRDefault="0083630F" w:rsidP="0083630F">
            <w:pPr>
              <w:spacing w:after="0"/>
              <w:rPr>
                <w:rFonts w:cs="Arial"/>
                <w:color w:val="0D0D0D" w:themeColor="text1" w:themeTint="F2"/>
                <w:spacing w:val="-4"/>
              </w:rPr>
            </w:pPr>
            <w:r w:rsidRPr="00D11DE5">
              <w:rPr>
                <w:rFonts w:cs="Arial"/>
                <w:noProof/>
                <w:color w:val="0D0D0D" w:themeColor="text1" w:themeTint="F2"/>
                <w:spacing w:val="-4"/>
              </w:rPr>
              <w:drawing>
                <wp:inline distT="0" distB="0" distL="0" distR="0">
                  <wp:extent cx="4729541" cy="3528000"/>
                  <wp:effectExtent l="19050" t="0" r="0" b="0"/>
                  <wp:docPr id="2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83630F" w:rsidRPr="00182602" w:rsidTr="0083630F">
        <w:trPr>
          <w:trHeight w:val="145"/>
        </w:trPr>
        <w:tc>
          <w:tcPr>
            <w:tcW w:w="1864" w:type="dxa"/>
            <w:shd w:val="clear" w:color="auto" w:fill="auto"/>
            <w:tcMar>
              <w:left w:w="0" w:type="dxa"/>
            </w:tcMar>
          </w:tcPr>
          <w:p w:rsidR="0083630F" w:rsidRDefault="0083630F" w:rsidP="0083630F">
            <w:pPr>
              <w:pStyle w:val="Marginlie"/>
            </w:pPr>
          </w:p>
        </w:tc>
        <w:tc>
          <w:tcPr>
            <w:tcW w:w="241" w:type="dxa"/>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Default="0083630F" w:rsidP="0083630F">
            <w:pPr>
              <w:spacing w:after="0" w:line="240" w:lineRule="auto"/>
              <w:rPr>
                <w:rFonts w:cs="Arial"/>
                <w:sz w:val="14"/>
                <w:szCs w:val="14"/>
              </w:rPr>
            </w:pPr>
            <w:r>
              <w:rPr>
                <w:rFonts w:cs="Arial"/>
                <w:sz w:val="14"/>
                <w:szCs w:val="14"/>
              </w:rPr>
              <w:t xml:space="preserve">*Odvětví s relativně nejvyšším, resp. nejnižším meziročním tempem průměrné mzdy. Na přelomu let 2012 a 2013, resp. 2013 a 2014 nebyla vzhledem k nestandardnímu průběhu zahrnuta odvětví energetiky a peněžnictví </w:t>
            </w:r>
            <w:r w:rsidR="00615DAF">
              <w:rPr>
                <w:rFonts w:cs="Arial"/>
                <w:sz w:val="14"/>
                <w:szCs w:val="14"/>
              </w:rPr>
              <w:t xml:space="preserve">a </w:t>
            </w:r>
            <w:r>
              <w:rPr>
                <w:rFonts w:cs="Arial"/>
                <w:sz w:val="14"/>
                <w:szCs w:val="14"/>
              </w:rPr>
              <w:t>pojišťovnictví.</w:t>
            </w:r>
          </w:p>
          <w:p w:rsidR="0083630F" w:rsidRPr="00182602" w:rsidRDefault="0083630F" w:rsidP="0083630F">
            <w:pPr>
              <w:spacing w:after="200" w:line="240" w:lineRule="auto"/>
              <w:rPr>
                <w:rFonts w:cs="Arial"/>
                <w:color w:val="0D0D0D" w:themeColor="text1" w:themeTint="F2"/>
                <w:spacing w:val="-4"/>
              </w:rPr>
            </w:pPr>
            <w:r>
              <w:rPr>
                <w:rFonts w:cs="Arial"/>
                <w:sz w:val="14"/>
                <w:szCs w:val="14"/>
              </w:rPr>
              <w:t xml:space="preserve">**Podíl sezónně neočištěného HDP a zaměstnanosti (v pojetí národních účtů).                                              </w:t>
            </w:r>
            <w:r w:rsidRPr="00535F78">
              <w:rPr>
                <w:rFonts w:cs="Arial"/>
                <w:sz w:val="14"/>
                <w:szCs w:val="14"/>
              </w:rPr>
              <w:t xml:space="preserve">Zdroj: </w:t>
            </w:r>
            <w:r>
              <w:rPr>
                <w:rFonts w:cs="Arial"/>
                <w:sz w:val="14"/>
                <w:szCs w:val="14"/>
              </w:rPr>
              <w:t>ČSÚ</w:t>
            </w:r>
          </w:p>
        </w:tc>
      </w:tr>
      <w:tr w:rsidR="0083630F" w:rsidTr="0083630F">
        <w:trPr>
          <w:trHeight w:val="145"/>
        </w:trPr>
        <w:tc>
          <w:tcPr>
            <w:tcW w:w="1864" w:type="dxa"/>
            <w:shd w:val="clear" w:color="auto" w:fill="auto"/>
            <w:tcMar>
              <w:left w:w="0" w:type="dxa"/>
            </w:tcMar>
          </w:tcPr>
          <w:p w:rsidR="0083630F" w:rsidRDefault="0083630F" w:rsidP="0083630F">
            <w:pPr>
              <w:pStyle w:val="Marginlie"/>
            </w:pPr>
            <w:r>
              <w:t>Mzdový růst akceleroval ve všech odvětvích s dominancí veřejných institucí. Dařilo se i činnostem v oblasti nemovitostí.</w:t>
            </w: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r>
              <w:t>Ve finančním sektoru dále přetrvával relativně slabší mzdový růst.</w:t>
            </w: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p>
          <w:p w:rsidR="0083630F" w:rsidRDefault="0083630F" w:rsidP="0083630F">
            <w:pPr>
              <w:pStyle w:val="Marginlie"/>
            </w:pPr>
            <w:r>
              <w:t>Objem vyplacených mezd v těžbě a dobývání poprvé po pěti letech vzrostl.</w:t>
            </w:r>
          </w:p>
          <w:p w:rsidR="0083630F" w:rsidRDefault="0083630F" w:rsidP="0083630F">
            <w:pPr>
              <w:pStyle w:val="Marginlie"/>
            </w:pPr>
          </w:p>
        </w:tc>
        <w:tc>
          <w:tcPr>
            <w:tcW w:w="241" w:type="dxa"/>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Default="0083630F" w:rsidP="0083630F">
            <w:pPr>
              <w:spacing w:after="220"/>
              <w:rPr>
                <w:rFonts w:cs="Arial"/>
                <w:color w:val="0D0D0D" w:themeColor="text1" w:themeTint="F2"/>
                <w:spacing w:val="-4"/>
              </w:rPr>
            </w:pPr>
            <w:r>
              <w:rPr>
                <w:rFonts w:cs="Arial"/>
                <w:color w:val="0D0D0D" w:themeColor="text1" w:themeTint="F2"/>
                <w:spacing w:val="-4"/>
              </w:rPr>
              <w:t>Za tři letošní čtvrtletí se průměrné výdělky relativně nejvíce meziročně navyšovaly ve vzdělávání (+12,7 %, o rok dříve o 4,9 %). Přesto výše mezd v tomto odvětví i ve 3. čtvrtletí za úrovní národního hospodářství stále mírně zaostávala. Jen nepatrně slabším tempem si letos polepšili i zaměstnanci v kulturních, zábavních a rekreačních činnostech, o bezmála osminu rostly průměrné výdělky v odvětví veřejné správy, obrany a sociálního zabezpečení, resp. ve zdravotní a sociální péči. Z ostatních služeb vykázaly letos při svižném růstu zaměstnanosti nejvyšší tempo mzdy v činnostech v oblasti nemovitostí (+8,9 %), jejich výše však stále za úrovní celé ekonomiky o téměř osminu zaostávala. To dále platilo hlavně pro výdělky v ubytování, stravování a pohostinství (dosahovaly jen třetiny toho, co v odvětvích s nejvyšší mzdovou úrovní). Růst výdělků zde stále významně stimulovala rostoucí výše minimální mzdy, i tak činil za tři čtvrtletí „jen“ 7,5 % a poprvé po třech letech byl slabší než v celé ekonomice. Nejvyšší úroveň průměrných hrubých měsíčních výdělků si udrželi zaměstnanci v informačních a komunikačních činnostech, jakož i v peněžnictví a pojišťovnictví (za tři čtvrtletí shodně mírně přes 55 tis. korun). Ve finančním sektoru ale při slabém navyšování zaměstnanosti zůstalo tempo růstu výdělků již čtvrtým rokem v řadě pod úrovní celé ekonomiky. Ve zpracovatelském průmyslu růst průměrných mezd letos zrychlil jen mírně (na 7,6 %, o rok dříve 6,6 %), poprvé za posledních sedm</w:t>
            </w:r>
            <w:r w:rsidRPr="003607F1">
              <w:rPr>
                <w:rFonts w:cs="Arial"/>
                <w:color w:val="0D0D0D" w:themeColor="text1" w:themeTint="F2"/>
                <w:spacing w:val="-4"/>
              </w:rPr>
              <w:t xml:space="preserve"> let zde </w:t>
            </w:r>
            <w:r>
              <w:rPr>
                <w:rFonts w:cs="Arial"/>
                <w:color w:val="0D0D0D" w:themeColor="text1" w:themeTint="F2"/>
                <w:spacing w:val="-4"/>
              </w:rPr>
              <w:t xml:space="preserve">navíc </w:t>
            </w:r>
            <w:r w:rsidRPr="003607F1">
              <w:rPr>
                <w:rFonts w:cs="Arial"/>
                <w:color w:val="0D0D0D" w:themeColor="text1" w:themeTint="F2"/>
                <w:spacing w:val="-4"/>
              </w:rPr>
              <w:t>objem vyplacených mezd zaostal za tempem v celé ekonomice. Ten naopak v nejmenší odvětv</w:t>
            </w:r>
            <w:r>
              <w:rPr>
                <w:rFonts w:cs="Arial"/>
                <w:color w:val="0D0D0D" w:themeColor="text1" w:themeTint="F2"/>
                <w:spacing w:val="-4"/>
              </w:rPr>
              <w:t>ové sekci – těžbě a dobývání – p</w:t>
            </w:r>
            <w:r w:rsidRPr="003607F1">
              <w:rPr>
                <w:rFonts w:cs="Arial"/>
                <w:color w:val="0D0D0D" w:themeColor="text1" w:themeTint="F2"/>
                <w:spacing w:val="-4"/>
              </w:rPr>
              <w:t>oprvé po pěti letech vzrostl (</w:t>
            </w:r>
            <w:r>
              <w:rPr>
                <w:rFonts w:cs="Arial"/>
                <w:color w:val="0D0D0D" w:themeColor="text1" w:themeTint="F2"/>
                <w:spacing w:val="-4"/>
              </w:rPr>
              <w:t xml:space="preserve">výhradně </w:t>
            </w:r>
            <w:r w:rsidRPr="003607F1">
              <w:rPr>
                <w:rFonts w:cs="Arial"/>
                <w:color w:val="0D0D0D" w:themeColor="text1" w:themeTint="F2"/>
                <w:spacing w:val="-4"/>
              </w:rPr>
              <w:t>zásluhou vysokého tempa prů</w:t>
            </w:r>
            <w:r>
              <w:rPr>
                <w:rFonts w:cs="Arial"/>
                <w:color w:val="0D0D0D" w:themeColor="text1" w:themeTint="F2"/>
                <w:spacing w:val="-4"/>
              </w:rPr>
              <w:t>měrných mezd 8,6 %, neboť zaměstnanců meziročně o 4,2 % ubylo</w:t>
            </w:r>
            <w:r w:rsidRPr="003607F1">
              <w:rPr>
                <w:rFonts w:cs="Arial"/>
                <w:color w:val="0D0D0D" w:themeColor="text1" w:themeTint="F2"/>
                <w:spacing w:val="-4"/>
              </w:rPr>
              <w:t>).</w:t>
            </w:r>
            <w:r>
              <w:rPr>
                <w:rFonts w:cs="Arial"/>
                <w:color w:val="0D0D0D" w:themeColor="text1" w:themeTint="F2"/>
                <w:spacing w:val="-4"/>
              </w:rPr>
              <w:t xml:space="preserve"> </w:t>
            </w:r>
          </w:p>
        </w:tc>
      </w:tr>
      <w:tr w:rsidR="0083630F" w:rsidRPr="003607F1" w:rsidTr="0083630F">
        <w:trPr>
          <w:trHeight w:val="145"/>
        </w:trPr>
        <w:tc>
          <w:tcPr>
            <w:tcW w:w="1864" w:type="dxa"/>
            <w:shd w:val="clear" w:color="auto" w:fill="auto"/>
            <w:tcMar>
              <w:left w:w="0" w:type="dxa"/>
            </w:tcMar>
          </w:tcPr>
          <w:p w:rsidR="0083630F" w:rsidRDefault="0083630F" w:rsidP="0083630F">
            <w:pPr>
              <w:pStyle w:val="Marginlie"/>
            </w:pPr>
            <w:r>
              <w:t>Mzdová diferenciace se dále snižovala. Kupní síla mezd vzrostla o rekordních 6,3 %.</w:t>
            </w:r>
          </w:p>
        </w:tc>
        <w:tc>
          <w:tcPr>
            <w:tcW w:w="241" w:type="dxa"/>
            <w:shd w:val="clear" w:color="auto" w:fill="auto"/>
            <w:tcMar>
              <w:left w:w="0" w:type="dxa"/>
            </w:tcMar>
          </w:tcPr>
          <w:p w:rsidR="0083630F" w:rsidRDefault="0083630F" w:rsidP="0083630F">
            <w:pPr>
              <w:pStyle w:val="Textpoznpodarou"/>
              <w:jc w:val="both"/>
              <w:rPr>
                <w:spacing w:val="-4"/>
              </w:rPr>
            </w:pPr>
          </w:p>
        </w:tc>
        <w:tc>
          <w:tcPr>
            <w:tcW w:w="7534" w:type="dxa"/>
            <w:shd w:val="clear" w:color="auto" w:fill="auto"/>
            <w:tcMar>
              <w:left w:w="0" w:type="dxa"/>
            </w:tcMar>
          </w:tcPr>
          <w:p w:rsidR="0083630F" w:rsidRPr="003607F1" w:rsidRDefault="0083630F" w:rsidP="0083630F">
            <w:pPr>
              <w:spacing w:after="0"/>
              <w:rPr>
                <w:color w:val="0D0D0D" w:themeColor="text1" w:themeTint="F2"/>
                <w:spacing w:val="-4"/>
              </w:rPr>
            </w:pPr>
            <w:r w:rsidRPr="003607F1">
              <w:rPr>
                <w:rFonts w:cs="Arial"/>
                <w:color w:val="0D0D0D" w:themeColor="text1" w:themeTint="F2"/>
                <w:spacing w:val="-4"/>
              </w:rPr>
              <w:t xml:space="preserve">Mzdová diferenciace mezi odvětvími či regiony se </w:t>
            </w:r>
            <w:r>
              <w:rPr>
                <w:rFonts w:cs="Arial"/>
                <w:color w:val="0D0D0D" w:themeColor="text1" w:themeTint="F2"/>
                <w:spacing w:val="-4"/>
              </w:rPr>
              <w:t xml:space="preserve">dále </w:t>
            </w:r>
            <w:r w:rsidRPr="003607F1">
              <w:rPr>
                <w:rFonts w:cs="Arial"/>
                <w:color w:val="0D0D0D" w:themeColor="text1" w:themeTint="F2"/>
                <w:spacing w:val="-4"/>
              </w:rPr>
              <w:t>mírně s</w:t>
            </w:r>
            <w:r>
              <w:rPr>
                <w:rFonts w:cs="Arial"/>
                <w:color w:val="0D0D0D" w:themeColor="text1" w:themeTint="F2"/>
                <w:spacing w:val="-4"/>
              </w:rPr>
              <w:t>nižovala. Mediánová mzda se ve 3</w:t>
            </w:r>
            <w:r w:rsidRPr="003607F1">
              <w:rPr>
                <w:rFonts w:cs="Arial"/>
                <w:color w:val="0D0D0D" w:themeColor="text1" w:themeTint="F2"/>
                <w:spacing w:val="-4"/>
              </w:rPr>
              <w:t>. č</w:t>
            </w:r>
            <w:r>
              <w:rPr>
                <w:rFonts w:cs="Arial"/>
                <w:color w:val="0D0D0D" w:themeColor="text1" w:themeTint="F2"/>
                <w:spacing w:val="-4"/>
              </w:rPr>
              <w:t>tvrtletí meziročně zvýšila o 9,8 %, u žen dokonce o 11,5 %</w:t>
            </w:r>
            <w:r w:rsidRPr="003607F1">
              <w:rPr>
                <w:rFonts w:cs="Arial"/>
                <w:color w:val="0D0D0D" w:themeColor="text1" w:themeTint="F2"/>
                <w:spacing w:val="-4"/>
              </w:rPr>
              <w:t xml:space="preserve"> </w:t>
            </w:r>
            <w:r>
              <w:rPr>
                <w:rFonts w:cs="Arial"/>
                <w:color w:val="0D0D0D" w:themeColor="text1" w:themeTint="F2"/>
                <w:spacing w:val="-4"/>
              </w:rPr>
              <w:t xml:space="preserve">(i v souvislosti se svižným růstem výdělků ve vzdělávání). </w:t>
            </w:r>
            <w:r w:rsidRPr="003607F1">
              <w:rPr>
                <w:color w:val="0D0D0D" w:themeColor="text1" w:themeTint="F2"/>
                <w:spacing w:val="-4"/>
              </w:rPr>
              <w:t>Předstih růstu mediánové mzdy nad tempem průměrné mzdy přetrvává s drobnými výkyvy již tř</w:t>
            </w:r>
            <w:r>
              <w:rPr>
                <w:color w:val="0D0D0D" w:themeColor="text1" w:themeTint="F2"/>
                <w:spacing w:val="-4"/>
              </w:rPr>
              <w:t>i roky. Pozitivní také bylo, že tempo růstu</w:t>
            </w:r>
            <w:r w:rsidRPr="003607F1">
              <w:rPr>
                <w:color w:val="0D0D0D" w:themeColor="text1" w:themeTint="F2"/>
                <w:spacing w:val="-4"/>
              </w:rPr>
              <w:t xml:space="preserve"> ku</w:t>
            </w:r>
            <w:r>
              <w:rPr>
                <w:color w:val="0D0D0D" w:themeColor="text1" w:themeTint="F2"/>
                <w:spacing w:val="-4"/>
              </w:rPr>
              <w:t>pní síly mezd se oproti loňsku téměř zdvojnásobilo. Navzdory mírně sílící inflaci činilo v 1. až 3. čtvrtletí 6,3 %</w:t>
            </w:r>
            <w:r>
              <w:rPr>
                <w:color w:val="0D0D0D" w:themeColor="text1" w:themeTint="F2"/>
                <w:spacing w:val="-2"/>
              </w:rPr>
              <w:t xml:space="preserve"> (nejvíce ve srovnatelné časové řadě od roku 2000).</w:t>
            </w:r>
            <w:r w:rsidRPr="003607F1">
              <w:rPr>
                <w:color w:val="0D0D0D" w:themeColor="text1" w:themeTint="F2"/>
                <w:spacing w:val="-4"/>
              </w:rPr>
              <w:t xml:space="preserve"> </w:t>
            </w:r>
          </w:p>
        </w:tc>
      </w:tr>
    </w:tbl>
    <w:p w:rsidR="00935BD4" w:rsidRPr="009110F7" w:rsidRDefault="00935BD4" w:rsidP="002B6669">
      <w:pPr>
        <w:pStyle w:val="Nadpis11"/>
        <w:rPr>
          <w:sz w:val="2"/>
          <w:szCs w:val="2"/>
        </w:rPr>
      </w:pPr>
    </w:p>
    <w:sectPr w:rsidR="00935BD4" w:rsidRPr="009110F7" w:rsidSect="002B6669">
      <w:headerReference w:type="even" r:id="rId12"/>
      <w:headerReference w:type="default" r:id="rId13"/>
      <w:footerReference w:type="even" r:id="rId14"/>
      <w:footerReference w:type="default" r:id="rId15"/>
      <w:pgSz w:w="11906" w:h="16838" w:code="9"/>
      <w:pgMar w:top="1134" w:right="1134" w:bottom="1418" w:left="1134" w:header="680" w:footer="737" w:gutter="0"/>
      <w:pgNumType w:start="2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12CEEF" w15:done="0"/>
  <w15:commentEx w15:paraId="510EBE5F" w15:done="0"/>
  <w15:commentEx w15:paraId="2BBC27AD" w15:done="0"/>
  <w15:commentEx w15:paraId="64F0BE47" w15:done="0"/>
  <w15:commentEx w15:paraId="061FEE45" w15:done="0"/>
  <w15:commentEx w15:paraId="180AB565" w15:done="0"/>
  <w15:commentEx w15:paraId="4FDB8EDF" w15:done="0"/>
  <w15:commentEx w15:paraId="6709F746" w15:done="0"/>
  <w15:commentEx w15:paraId="2323FC13" w15:done="0"/>
  <w15:commentEx w15:paraId="28C26757" w15:done="0"/>
  <w15:commentEx w15:paraId="28F690F6" w15:done="0"/>
  <w15:commentEx w15:paraId="72A0F35B" w15:done="0"/>
  <w15:commentEx w15:paraId="17D51B1D" w15:done="0"/>
  <w15:commentEx w15:paraId="1905EDB9" w15:done="0"/>
  <w15:commentEx w15:paraId="769B3E23" w15:done="0"/>
  <w15:commentEx w15:paraId="4941CE09" w15:done="0"/>
  <w15:commentEx w15:paraId="3F6235A8" w15:done="0"/>
  <w15:commentEx w15:paraId="57663E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2CEEF" w16cid:durableId="1FBE60B2"/>
  <w16cid:commentId w16cid:paraId="510EBE5F" w16cid:durableId="1FBE6564"/>
  <w16cid:commentId w16cid:paraId="2BBC27AD" w16cid:durableId="1FBE6E48"/>
  <w16cid:commentId w16cid:paraId="64F0BE47" w16cid:durableId="1FBE7339"/>
  <w16cid:commentId w16cid:paraId="061FEE45" w16cid:durableId="1FBE868D"/>
  <w16cid:commentId w16cid:paraId="180AB565" w16cid:durableId="1FBE8A4D"/>
  <w16cid:commentId w16cid:paraId="4FDB8EDF" w16cid:durableId="1FBE88D5"/>
  <w16cid:commentId w16cid:paraId="6709F746" w16cid:durableId="1FBE975B"/>
  <w16cid:commentId w16cid:paraId="2323FC13" w16cid:durableId="1FBE984D"/>
  <w16cid:commentId w16cid:paraId="28C26757" w16cid:durableId="1FBE9A64"/>
  <w16cid:commentId w16cid:paraId="28F690F6" w16cid:durableId="1FBEA05F"/>
  <w16cid:commentId w16cid:paraId="72A0F35B" w16cid:durableId="1FBF3BF8"/>
  <w16cid:commentId w16cid:paraId="17D51B1D" w16cid:durableId="1FBF3D1F"/>
  <w16cid:commentId w16cid:paraId="1905EDB9" w16cid:durableId="1FBFAD59"/>
  <w16cid:commentId w16cid:paraId="769B3E23" w16cid:durableId="1FBFC02F"/>
  <w16cid:commentId w16cid:paraId="4941CE09" w16cid:durableId="1FBFC811"/>
  <w16cid:commentId w16cid:paraId="3F6235A8" w16cid:durableId="1FC0B704"/>
  <w16cid:commentId w16cid:paraId="57663EE7" w16cid:durableId="1FC1147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E4B" w:rsidRDefault="00F44E4B" w:rsidP="00E71A58">
      <w:r>
        <w:separator/>
      </w:r>
    </w:p>
  </w:endnote>
  <w:endnote w:type="continuationSeparator" w:id="0">
    <w:p w:rsidR="00F44E4B" w:rsidRDefault="00F44E4B"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CC9" w:rsidRPr="00932443" w:rsidRDefault="00157CC9"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15"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002C6EFC" w:rsidRPr="00932443">
      <w:rPr>
        <w:szCs w:val="16"/>
      </w:rPr>
      <w:fldChar w:fldCharType="begin"/>
    </w:r>
    <w:r w:rsidRPr="00932443">
      <w:rPr>
        <w:szCs w:val="16"/>
      </w:rPr>
      <w:instrText>PAGE   \* MERGEFORMAT</w:instrText>
    </w:r>
    <w:r w:rsidR="002C6EFC" w:rsidRPr="00932443">
      <w:rPr>
        <w:szCs w:val="16"/>
      </w:rPr>
      <w:fldChar w:fldCharType="separate"/>
    </w:r>
    <w:r w:rsidR="002B6669">
      <w:rPr>
        <w:szCs w:val="16"/>
      </w:rPr>
      <w:t>22</w:t>
    </w:r>
    <w:r w:rsidR="002C6EFC" w:rsidRPr="00932443">
      <w:rPr>
        <w:szCs w:val="16"/>
      </w:rPr>
      <w:fldChar w:fldCharType="end"/>
    </w:r>
    <w:r w:rsidRPr="00932443">
      <w:rPr>
        <w:szCs w:val="16"/>
      </w:rPr>
      <w:tab/>
    </w:r>
    <w:r>
      <w:t>1. až 3. čtvrtletí 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CC9" w:rsidRPr="00932443" w:rsidRDefault="00157CC9" w:rsidP="00A418BC">
    <w:pPr>
      <w:pStyle w:val="Zpat"/>
      <w:rPr>
        <w:szCs w:val="16"/>
      </w:rPr>
    </w:pPr>
    <w:r>
      <w:rPr>
        <w:szCs w:val="16"/>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0540" cy="272415"/>
          <wp:effectExtent l="0" t="0" r="0" b="6985"/>
          <wp:wrapNone/>
          <wp:docPr id="16"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t>1. až 3. čtvrtletí 2018</w:t>
    </w:r>
    <w:r w:rsidRPr="00932443">
      <w:rPr>
        <w:szCs w:val="16"/>
      </w:rPr>
      <w:tab/>
    </w:r>
    <w:r w:rsidR="002C6EFC" w:rsidRPr="00932443">
      <w:rPr>
        <w:rStyle w:val="ZpatChar"/>
        <w:szCs w:val="16"/>
      </w:rPr>
      <w:fldChar w:fldCharType="begin"/>
    </w:r>
    <w:r w:rsidRPr="00932443">
      <w:rPr>
        <w:rStyle w:val="ZpatChar"/>
        <w:szCs w:val="16"/>
      </w:rPr>
      <w:instrText>PAGE   \* MERGEFORMAT</w:instrText>
    </w:r>
    <w:r w:rsidR="002C6EFC" w:rsidRPr="00932443">
      <w:rPr>
        <w:rStyle w:val="ZpatChar"/>
        <w:szCs w:val="16"/>
      </w:rPr>
      <w:fldChar w:fldCharType="separate"/>
    </w:r>
    <w:r w:rsidR="002B6669">
      <w:rPr>
        <w:rStyle w:val="ZpatChar"/>
        <w:szCs w:val="16"/>
      </w:rPr>
      <w:t>21</w:t>
    </w:r>
    <w:r w:rsidR="002C6EFC" w:rsidRPr="00932443">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E4B" w:rsidRDefault="00F44E4B" w:rsidP="00E71A58">
      <w:r>
        <w:separator/>
      </w:r>
    </w:p>
  </w:footnote>
  <w:footnote w:type="continuationSeparator" w:id="0">
    <w:p w:rsidR="00F44E4B" w:rsidRDefault="00F44E4B" w:rsidP="00E71A58">
      <w:r>
        <w:continuationSeparator/>
      </w:r>
    </w:p>
  </w:footnote>
  <w:footnote w:id="1">
    <w:p w:rsidR="00157CC9" w:rsidRPr="00B4223A" w:rsidRDefault="00157CC9" w:rsidP="0083630F">
      <w:pPr>
        <w:pStyle w:val="Textpoznpodarou"/>
        <w:jc w:val="both"/>
        <w:rPr>
          <w:sz w:val="16"/>
          <w:szCs w:val="16"/>
        </w:rPr>
      </w:pPr>
      <w:r w:rsidRPr="00B4223A">
        <w:rPr>
          <w:rStyle w:val="Znakapoznpodarou"/>
          <w:sz w:val="16"/>
          <w:szCs w:val="16"/>
        </w:rPr>
        <w:footnoteRef/>
      </w:r>
      <w:r w:rsidRPr="00B4223A">
        <w:rPr>
          <w:sz w:val="16"/>
          <w:szCs w:val="16"/>
        </w:rPr>
        <w:t xml:space="preserve"> Pok</w:t>
      </w:r>
      <w:r>
        <w:rPr>
          <w:sz w:val="16"/>
          <w:szCs w:val="16"/>
        </w:rPr>
        <w:t xml:space="preserve">ud není uvedeno jinak, jsou </w:t>
      </w:r>
      <w:r w:rsidRPr="00B4223A">
        <w:rPr>
          <w:sz w:val="16"/>
          <w:szCs w:val="16"/>
        </w:rPr>
        <w:t xml:space="preserve">v této kapitole </w:t>
      </w:r>
      <w:r>
        <w:rPr>
          <w:sz w:val="16"/>
          <w:szCs w:val="16"/>
        </w:rPr>
        <w:t>údaje o zaměstnanosti</w:t>
      </w:r>
      <w:r w:rsidRPr="00B4223A">
        <w:rPr>
          <w:sz w:val="16"/>
          <w:szCs w:val="16"/>
        </w:rPr>
        <w:t xml:space="preserve"> </w:t>
      </w:r>
      <w:r>
        <w:rPr>
          <w:sz w:val="16"/>
          <w:szCs w:val="16"/>
        </w:rPr>
        <w:t xml:space="preserve">uvedeny </w:t>
      </w:r>
      <w:r w:rsidRPr="00B4223A">
        <w:rPr>
          <w:sz w:val="16"/>
          <w:szCs w:val="16"/>
        </w:rPr>
        <w:t>v pojetí národních účtů v očištění o sezónní vlivy.</w:t>
      </w:r>
    </w:p>
  </w:footnote>
  <w:footnote w:id="2">
    <w:p w:rsidR="00157CC9" w:rsidRPr="0045263E" w:rsidRDefault="00157CC9" w:rsidP="0083630F">
      <w:pPr>
        <w:pStyle w:val="Textpoznpodarou"/>
        <w:jc w:val="both"/>
        <w:rPr>
          <w:sz w:val="16"/>
          <w:szCs w:val="16"/>
        </w:rPr>
      </w:pPr>
      <w:r w:rsidRPr="0045263E">
        <w:rPr>
          <w:rStyle w:val="Znakapoznpodarou"/>
          <w:sz w:val="16"/>
          <w:szCs w:val="16"/>
        </w:rPr>
        <w:footnoteRef/>
      </w:r>
      <w:r w:rsidRPr="0045263E">
        <w:rPr>
          <w:sz w:val="16"/>
          <w:szCs w:val="16"/>
        </w:rPr>
        <w:t xml:space="preserve"> Počet zaměstnaných se ve 3. čtvrtletí </w:t>
      </w:r>
      <w:r>
        <w:rPr>
          <w:sz w:val="16"/>
          <w:szCs w:val="16"/>
        </w:rPr>
        <w:t xml:space="preserve">2018 </w:t>
      </w:r>
      <w:r w:rsidRPr="0045263E">
        <w:rPr>
          <w:sz w:val="16"/>
          <w:szCs w:val="16"/>
        </w:rPr>
        <w:t>ve srovnání s předešlým kvartálem v EU navýšil o 0,2 %. Jednalo se o nejslabší mezičtv</w:t>
      </w:r>
      <w:r>
        <w:rPr>
          <w:sz w:val="16"/>
          <w:szCs w:val="16"/>
        </w:rPr>
        <w:t>r</w:t>
      </w:r>
      <w:r w:rsidRPr="0045263E">
        <w:rPr>
          <w:sz w:val="16"/>
          <w:szCs w:val="16"/>
        </w:rPr>
        <w:t xml:space="preserve">tletní tempo od konce roku 2014. </w:t>
      </w:r>
      <w:r>
        <w:rPr>
          <w:sz w:val="16"/>
          <w:szCs w:val="16"/>
        </w:rPr>
        <w:t xml:space="preserve">Podobné tendence byly patrné i v uskupení </w:t>
      </w:r>
      <w:proofErr w:type="spellStart"/>
      <w:r>
        <w:rPr>
          <w:sz w:val="16"/>
          <w:szCs w:val="16"/>
        </w:rPr>
        <w:t>eurozóny</w:t>
      </w:r>
      <w:proofErr w:type="spellEnd"/>
      <w:r>
        <w:rPr>
          <w:sz w:val="16"/>
          <w:szCs w:val="16"/>
        </w:rPr>
        <w:t>.</w:t>
      </w:r>
    </w:p>
  </w:footnote>
  <w:footnote w:id="3">
    <w:p w:rsidR="00157CC9" w:rsidRPr="008F54FC" w:rsidRDefault="00157CC9" w:rsidP="0083630F">
      <w:pPr>
        <w:pStyle w:val="Textpoznpodarou"/>
        <w:rPr>
          <w:sz w:val="16"/>
          <w:szCs w:val="16"/>
        </w:rPr>
      </w:pPr>
      <w:r w:rsidRPr="008F54FC">
        <w:rPr>
          <w:rStyle w:val="Znakapoznpodarou"/>
          <w:sz w:val="16"/>
          <w:szCs w:val="16"/>
        </w:rPr>
        <w:footnoteRef/>
      </w:r>
      <w:r w:rsidRPr="008F54FC">
        <w:rPr>
          <w:sz w:val="16"/>
          <w:szCs w:val="16"/>
        </w:rPr>
        <w:t xml:space="preserve"> Mimo obchod</w:t>
      </w:r>
      <w:r>
        <w:rPr>
          <w:sz w:val="16"/>
          <w:szCs w:val="16"/>
        </w:rPr>
        <w:t xml:space="preserve"> a</w:t>
      </w:r>
      <w:r w:rsidRPr="008F54FC">
        <w:rPr>
          <w:sz w:val="16"/>
          <w:szCs w:val="16"/>
        </w:rPr>
        <w:t xml:space="preserve"> veřejné služby (veřejná správa, obrana, školství, zdravotnictví, kultura).</w:t>
      </w:r>
    </w:p>
  </w:footnote>
  <w:footnote w:id="4">
    <w:p w:rsidR="00157CC9" w:rsidRPr="00E624EB" w:rsidRDefault="00157CC9" w:rsidP="0083630F">
      <w:pPr>
        <w:pStyle w:val="Textpoznpodarou"/>
        <w:jc w:val="both"/>
        <w:rPr>
          <w:sz w:val="16"/>
          <w:szCs w:val="16"/>
        </w:rPr>
      </w:pPr>
      <w:r w:rsidRPr="00E624EB">
        <w:rPr>
          <w:rStyle w:val="Znakapoznpodarou"/>
          <w:sz w:val="16"/>
          <w:szCs w:val="16"/>
        </w:rPr>
        <w:footnoteRef/>
      </w:r>
      <w:r w:rsidRPr="00E624EB">
        <w:rPr>
          <w:sz w:val="16"/>
          <w:szCs w:val="16"/>
        </w:rPr>
        <w:t xml:space="preserve"> Zatímco na konci dubna 201</w:t>
      </w:r>
      <w:r>
        <w:rPr>
          <w:sz w:val="16"/>
          <w:szCs w:val="16"/>
        </w:rPr>
        <w:t>8</w:t>
      </w:r>
      <w:r w:rsidRPr="00E624EB">
        <w:rPr>
          <w:sz w:val="16"/>
          <w:szCs w:val="16"/>
        </w:rPr>
        <w:t xml:space="preserve"> činil dle sezónně neočištěných údajů podíl registrovaných uchazečů o práci na obyvatelstvu ve věku 15 až 64 let 3,2 %, na konci září 3,0 %. Ve stejném období roku</w:t>
      </w:r>
      <w:r>
        <w:rPr>
          <w:sz w:val="16"/>
          <w:szCs w:val="16"/>
        </w:rPr>
        <w:t xml:space="preserve"> 2017</w:t>
      </w:r>
      <w:r w:rsidRPr="00E624EB">
        <w:rPr>
          <w:sz w:val="16"/>
          <w:szCs w:val="16"/>
        </w:rPr>
        <w:t xml:space="preserve"> ale tento podíl klesl ze 4,4 % na 3,8 %.</w:t>
      </w:r>
      <w:r>
        <w:rPr>
          <w:sz w:val="16"/>
          <w:szCs w:val="16"/>
        </w:rPr>
        <w:t xml:space="preserve"> Počet uchazečů v evidenci ÚP není zcela srovnatelný s četností nezaměstnaných dle výsledků výběrového šetření pracovních sil. Uchazeči v evidenci ÚP mohou zahrnovat i osoby pracující (legálně – vykovávající tzv. nekolidující zaměstnání malého rozsahu, popř. i osoby pohybující </w:t>
      </w:r>
      <w:proofErr w:type="gramStart"/>
      <w:r>
        <w:rPr>
          <w:sz w:val="16"/>
          <w:szCs w:val="16"/>
        </w:rPr>
        <w:t>se</w:t>
      </w:r>
      <w:proofErr w:type="gramEnd"/>
      <w:r>
        <w:rPr>
          <w:sz w:val="16"/>
          <w:szCs w:val="16"/>
        </w:rPr>
        <w:t xml:space="preserve"> v zóně šedé ekonomiky) či osoby, které nemohou do zaměstnání okamžitě nastoupit (např. účastníci rekvalifikačních kurzů, osoby na mateřské či rodičovské dovolené, osoby dočasně práce neschopné).</w:t>
      </w:r>
    </w:p>
  </w:footnote>
  <w:footnote w:id="5">
    <w:p w:rsidR="00157CC9" w:rsidRPr="0089409B" w:rsidRDefault="00157CC9" w:rsidP="0083630F">
      <w:pPr>
        <w:pStyle w:val="Textpoznpodarou"/>
        <w:jc w:val="both"/>
        <w:rPr>
          <w:sz w:val="16"/>
          <w:szCs w:val="16"/>
        </w:rPr>
      </w:pPr>
      <w:r w:rsidRPr="0089409B">
        <w:rPr>
          <w:rStyle w:val="Znakapoznpodarou"/>
          <w:sz w:val="16"/>
          <w:szCs w:val="16"/>
        </w:rPr>
        <w:footnoteRef/>
      </w:r>
      <w:r w:rsidRPr="0089409B">
        <w:rPr>
          <w:sz w:val="16"/>
          <w:szCs w:val="16"/>
        </w:rPr>
        <w:t xml:space="preserve"> Nižšího podílu bylo v historii samostatné ČR dosaženo jen v letech recese 1997 a 2009, kdy řady nezaměstnaných výrazně posílili čerstvě propuštění pracovníci.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CC9" w:rsidRDefault="00157CC9" w:rsidP="00937AE2">
    <w:pPr>
      <w:pStyle w:val="Zhlav"/>
    </w:pPr>
    <w:r>
      <w:t>Vývoj ekonomiky České republiky</w:t>
    </w:r>
  </w:p>
  <w:p w:rsidR="00157CC9" w:rsidRPr="006F5416" w:rsidRDefault="00157CC9" w:rsidP="00937AE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CC9" w:rsidRDefault="00157CC9" w:rsidP="00937AE2">
    <w:pPr>
      <w:pStyle w:val="Zhlav"/>
    </w:pPr>
    <w:r>
      <w:t>Vývoj ekonomiky České republiky</w:t>
    </w:r>
  </w:p>
  <w:p w:rsidR="00157CC9" w:rsidRPr="006F5416" w:rsidRDefault="00157CC9" w:rsidP="00937AE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2">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21"/>
  </w:num>
  <w:num w:numId="14">
    <w:abstractNumId w:val="11"/>
  </w:num>
  <w:num w:numId="15">
    <w:abstractNumId w:val="17"/>
  </w:num>
  <w:num w:numId="16">
    <w:abstractNumId w:val="13"/>
  </w:num>
  <w:num w:numId="17">
    <w:abstractNumId w:val="22"/>
  </w:num>
  <w:num w:numId="18">
    <w:abstractNumId w:val="18"/>
  </w:num>
  <w:num w:numId="19">
    <w:abstractNumId w:val="23"/>
  </w:num>
  <w:num w:numId="20">
    <w:abstractNumId w:val="24"/>
  </w:num>
  <w:num w:numId="21">
    <w:abstractNumId w:val="20"/>
  </w:num>
  <w:num w:numId="22">
    <w:abstractNumId w:val="16"/>
  </w:num>
  <w:num w:numId="23">
    <w:abstractNumId w:val="14"/>
  </w:num>
  <w:num w:numId="24">
    <w:abstractNumId w:val="15"/>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lada">
    <w15:presenceInfo w15:providerId="None" w15:userId="Vlad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1001"/>
  <w:stylePaneSortMethod w:val="0004"/>
  <w:defaultTabStop w:val="708"/>
  <w:hyphenationZone w:val="425"/>
  <w:evenAndOddHeaders/>
  <w:drawingGridHorizontalSpacing w:val="100"/>
  <w:displayHorizontalDrawingGridEvery w:val="2"/>
  <w:characterSpacingControl w:val="doNotCompress"/>
  <w:hdrShapeDefaults>
    <o:shapedefaults v:ext="edit" spidmax="10242">
      <o:colormru v:ext="edit" colors="#ecf4dd,#eaecee,#fcec0a,#fcecdb,#f1daf5"/>
    </o:shapedefaults>
  </w:hdrShapeDefaults>
  <w:footnotePr>
    <w:footnote w:id="-1"/>
    <w:footnote w:id="0"/>
  </w:footnotePr>
  <w:endnotePr>
    <w:endnote w:id="-1"/>
    <w:endnote w:id="0"/>
  </w:endnotePr>
  <w:compat/>
  <w:rsids>
    <w:rsidRoot w:val="00C62828"/>
    <w:rsid w:val="000005AF"/>
    <w:rsid w:val="0000209D"/>
    <w:rsid w:val="00003F5C"/>
    <w:rsid w:val="00004D5A"/>
    <w:rsid w:val="000056D5"/>
    <w:rsid w:val="000063D5"/>
    <w:rsid w:val="00006ABD"/>
    <w:rsid w:val="000073A0"/>
    <w:rsid w:val="0000767A"/>
    <w:rsid w:val="00010256"/>
    <w:rsid w:val="00010702"/>
    <w:rsid w:val="0001128E"/>
    <w:rsid w:val="00011912"/>
    <w:rsid w:val="00016420"/>
    <w:rsid w:val="00017B01"/>
    <w:rsid w:val="00020F22"/>
    <w:rsid w:val="0002195D"/>
    <w:rsid w:val="000233D1"/>
    <w:rsid w:val="000234D6"/>
    <w:rsid w:val="00023D29"/>
    <w:rsid w:val="00024348"/>
    <w:rsid w:val="00026389"/>
    <w:rsid w:val="00031AE0"/>
    <w:rsid w:val="000322EF"/>
    <w:rsid w:val="00033FCD"/>
    <w:rsid w:val="00034DF7"/>
    <w:rsid w:val="00034E68"/>
    <w:rsid w:val="000350C8"/>
    <w:rsid w:val="00036195"/>
    <w:rsid w:val="000376C0"/>
    <w:rsid w:val="000403A7"/>
    <w:rsid w:val="00040632"/>
    <w:rsid w:val="00041CEC"/>
    <w:rsid w:val="00044183"/>
    <w:rsid w:val="0004694F"/>
    <w:rsid w:val="00047D54"/>
    <w:rsid w:val="000522E4"/>
    <w:rsid w:val="00053713"/>
    <w:rsid w:val="0005434E"/>
    <w:rsid w:val="00055CB6"/>
    <w:rsid w:val="000572DD"/>
    <w:rsid w:val="00057B1E"/>
    <w:rsid w:val="000610E1"/>
    <w:rsid w:val="00062EC5"/>
    <w:rsid w:val="00062F22"/>
    <w:rsid w:val="00063975"/>
    <w:rsid w:val="000645FC"/>
    <w:rsid w:val="0006533F"/>
    <w:rsid w:val="00065348"/>
    <w:rsid w:val="00065A75"/>
    <w:rsid w:val="00070A87"/>
    <w:rsid w:val="000712B3"/>
    <w:rsid w:val="0007474E"/>
    <w:rsid w:val="0007512B"/>
    <w:rsid w:val="00075551"/>
    <w:rsid w:val="00077FF0"/>
    <w:rsid w:val="00081A55"/>
    <w:rsid w:val="0008263E"/>
    <w:rsid w:val="00082C19"/>
    <w:rsid w:val="000837CD"/>
    <w:rsid w:val="00084BFF"/>
    <w:rsid w:val="00085395"/>
    <w:rsid w:val="00086AC1"/>
    <w:rsid w:val="00086D19"/>
    <w:rsid w:val="00087634"/>
    <w:rsid w:val="00087F2B"/>
    <w:rsid w:val="00090694"/>
    <w:rsid w:val="000913B1"/>
    <w:rsid w:val="00094A84"/>
    <w:rsid w:val="00095025"/>
    <w:rsid w:val="00095135"/>
    <w:rsid w:val="0009626E"/>
    <w:rsid w:val="00097191"/>
    <w:rsid w:val="000974D1"/>
    <w:rsid w:val="0009799E"/>
    <w:rsid w:val="000A1183"/>
    <w:rsid w:val="000A256D"/>
    <w:rsid w:val="000A3A2C"/>
    <w:rsid w:val="000A4A54"/>
    <w:rsid w:val="000A4ED9"/>
    <w:rsid w:val="000A7377"/>
    <w:rsid w:val="000B03CC"/>
    <w:rsid w:val="000B4212"/>
    <w:rsid w:val="000C0EA8"/>
    <w:rsid w:val="000C13A2"/>
    <w:rsid w:val="000C3408"/>
    <w:rsid w:val="000C35AB"/>
    <w:rsid w:val="000C6AFD"/>
    <w:rsid w:val="000D3058"/>
    <w:rsid w:val="000D310A"/>
    <w:rsid w:val="000D5637"/>
    <w:rsid w:val="000E0E96"/>
    <w:rsid w:val="000E2C7D"/>
    <w:rsid w:val="000E440D"/>
    <w:rsid w:val="000E4AC5"/>
    <w:rsid w:val="000E6253"/>
    <w:rsid w:val="000E6E4D"/>
    <w:rsid w:val="000E6FBD"/>
    <w:rsid w:val="000E6FCB"/>
    <w:rsid w:val="00100F5C"/>
    <w:rsid w:val="00101CDA"/>
    <w:rsid w:val="00102037"/>
    <w:rsid w:val="00103DCB"/>
    <w:rsid w:val="00104C4C"/>
    <w:rsid w:val="001057C2"/>
    <w:rsid w:val="00112CAB"/>
    <w:rsid w:val="00116D3F"/>
    <w:rsid w:val="00117623"/>
    <w:rsid w:val="001200CF"/>
    <w:rsid w:val="0012192F"/>
    <w:rsid w:val="00122994"/>
    <w:rsid w:val="00124B46"/>
    <w:rsid w:val="00125D69"/>
    <w:rsid w:val="0012799C"/>
    <w:rsid w:val="00130ADC"/>
    <w:rsid w:val="00130D9F"/>
    <w:rsid w:val="00132C4D"/>
    <w:rsid w:val="00133FC1"/>
    <w:rsid w:val="00134659"/>
    <w:rsid w:val="001405FA"/>
    <w:rsid w:val="00140D1A"/>
    <w:rsid w:val="00141315"/>
    <w:rsid w:val="001425C3"/>
    <w:rsid w:val="0014262D"/>
    <w:rsid w:val="001459BC"/>
    <w:rsid w:val="001554C2"/>
    <w:rsid w:val="001571C0"/>
    <w:rsid w:val="0015753D"/>
    <w:rsid w:val="00157CC9"/>
    <w:rsid w:val="001612F4"/>
    <w:rsid w:val="00161553"/>
    <w:rsid w:val="0016256B"/>
    <w:rsid w:val="00163793"/>
    <w:rsid w:val="00167485"/>
    <w:rsid w:val="00167CB9"/>
    <w:rsid w:val="00167DD8"/>
    <w:rsid w:val="001705AD"/>
    <w:rsid w:val="001706D6"/>
    <w:rsid w:val="001714F2"/>
    <w:rsid w:val="00171FEA"/>
    <w:rsid w:val="00175B9F"/>
    <w:rsid w:val="001762F4"/>
    <w:rsid w:val="00181BBC"/>
    <w:rsid w:val="0018385F"/>
    <w:rsid w:val="00184017"/>
    <w:rsid w:val="00184B08"/>
    <w:rsid w:val="00185010"/>
    <w:rsid w:val="00192F05"/>
    <w:rsid w:val="00194729"/>
    <w:rsid w:val="00195234"/>
    <w:rsid w:val="00196016"/>
    <w:rsid w:val="00197A70"/>
    <w:rsid w:val="00197C0F"/>
    <w:rsid w:val="001A0487"/>
    <w:rsid w:val="001A1F68"/>
    <w:rsid w:val="001A4EF0"/>
    <w:rsid w:val="001A552F"/>
    <w:rsid w:val="001B2CA9"/>
    <w:rsid w:val="001B3110"/>
    <w:rsid w:val="001B3E38"/>
    <w:rsid w:val="001B4729"/>
    <w:rsid w:val="001B4F0E"/>
    <w:rsid w:val="001B6310"/>
    <w:rsid w:val="001B6C09"/>
    <w:rsid w:val="001C05CD"/>
    <w:rsid w:val="001C0F17"/>
    <w:rsid w:val="001C1B66"/>
    <w:rsid w:val="001C31A2"/>
    <w:rsid w:val="001D22C2"/>
    <w:rsid w:val="001D54C1"/>
    <w:rsid w:val="001D556E"/>
    <w:rsid w:val="001D5DF2"/>
    <w:rsid w:val="001D68B2"/>
    <w:rsid w:val="001D7F60"/>
    <w:rsid w:val="001E504C"/>
    <w:rsid w:val="001E5A17"/>
    <w:rsid w:val="001F2F90"/>
    <w:rsid w:val="001F4597"/>
    <w:rsid w:val="001F7CE0"/>
    <w:rsid w:val="00200085"/>
    <w:rsid w:val="00203332"/>
    <w:rsid w:val="00203CD5"/>
    <w:rsid w:val="00203D8F"/>
    <w:rsid w:val="00203DA4"/>
    <w:rsid w:val="00205186"/>
    <w:rsid w:val="002071D5"/>
    <w:rsid w:val="002118B9"/>
    <w:rsid w:val="002142C0"/>
    <w:rsid w:val="00217C5B"/>
    <w:rsid w:val="00220A43"/>
    <w:rsid w:val="0022139E"/>
    <w:rsid w:val="00222729"/>
    <w:rsid w:val="0022441D"/>
    <w:rsid w:val="002252E0"/>
    <w:rsid w:val="002255F6"/>
    <w:rsid w:val="00227605"/>
    <w:rsid w:val="00227850"/>
    <w:rsid w:val="00227A53"/>
    <w:rsid w:val="00227E2E"/>
    <w:rsid w:val="00227F53"/>
    <w:rsid w:val="00230C6E"/>
    <w:rsid w:val="00233603"/>
    <w:rsid w:val="002340EF"/>
    <w:rsid w:val="00236443"/>
    <w:rsid w:val="00240AF3"/>
    <w:rsid w:val="002418D5"/>
    <w:rsid w:val="00241B06"/>
    <w:rsid w:val="002436BA"/>
    <w:rsid w:val="00244A15"/>
    <w:rsid w:val="002452D9"/>
    <w:rsid w:val="00247319"/>
    <w:rsid w:val="0024799E"/>
    <w:rsid w:val="00247E60"/>
    <w:rsid w:val="00252AB9"/>
    <w:rsid w:val="00253C0F"/>
    <w:rsid w:val="002558C1"/>
    <w:rsid w:val="00256207"/>
    <w:rsid w:val="002603E1"/>
    <w:rsid w:val="0026120E"/>
    <w:rsid w:val="0026291D"/>
    <w:rsid w:val="00267B49"/>
    <w:rsid w:val="0027025F"/>
    <w:rsid w:val="002709CC"/>
    <w:rsid w:val="00271022"/>
    <w:rsid w:val="00271465"/>
    <w:rsid w:val="00272DF4"/>
    <w:rsid w:val="0027583D"/>
    <w:rsid w:val="00275DEF"/>
    <w:rsid w:val="00276B33"/>
    <w:rsid w:val="002812E3"/>
    <w:rsid w:val="002837AE"/>
    <w:rsid w:val="002853FA"/>
    <w:rsid w:val="00285412"/>
    <w:rsid w:val="00291640"/>
    <w:rsid w:val="0029237E"/>
    <w:rsid w:val="00292997"/>
    <w:rsid w:val="0029588F"/>
    <w:rsid w:val="00297256"/>
    <w:rsid w:val="00297D51"/>
    <w:rsid w:val="002A0122"/>
    <w:rsid w:val="002A016B"/>
    <w:rsid w:val="002A16D4"/>
    <w:rsid w:val="002A1E4F"/>
    <w:rsid w:val="002A230C"/>
    <w:rsid w:val="002A2AF7"/>
    <w:rsid w:val="002A3EA2"/>
    <w:rsid w:val="002A532A"/>
    <w:rsid w:val="002A5846"/>
    <w:rsid w:val="002A5D97"/>
    <w:rsid w:val="002A603E"/>
    <w:rsid w:val="002A63B9"/>
    <w:rsid w:val="002B4845"/>
    <w:rsid w:val="002B6669"/>
    <w:rsid w:val="002C27A6"/>
    <w:rsid w:val="002C40D2"/>
    <w:rsid w:val="002C43BD"/>
    <w:rsid w:val="002C6EFC"/>
    <w:rsid w:val="002D0E59"/>
    <w:rsid w:val="002E02A1"/>
    <w:rsid w:val="002E196A"/>
    <w:rsid w:val="002E20C7"/>
    <w:rsid w:val="002E222E"/>
    <w:rsid w:val="002E37D1"/>
    <w:rsid w:val="002E3BEE"/>
    <w:rsid w:val="002E4E4C"/>
    <w:rsid w:val="002E4EA7"/>
    <w:rsid w:val="002E5846"/>
    <w:rsid w:val="002F333D"/>
    <w:rsid w:val="002F351A"/>
    <w:rsid w:val="002F498A"/>
    <w:rsid w:val="002F4AD8"/>
    <w:rsid w:val="002F5820"/>
    <w:rsid w:val="00304771"/>
    <w:rsid w:val="003052D4"/>
    <w:rsid w:val="00306C5B"/>
    <w:rsid w:val="00307DB3"/>
    <w:rsid w:val="00307ED2"/>
    <w:rsid w:val="0031076D"/>
    <w:rsid w:val="00311AA6"/>
    <w:rsid w:val="00311C4D"/>
    <w:rsid w:val="003121AB"/>
    <w:rsid w:val="003153C8"/>
    <w:rsid w:val="00315524"/>
    <w:rsid w:val="0032058C"/>
    <w:rsid w:val="003209D6"/>
    <w:rsid w:val="003217B9"/>
    <w:rsid w:val="00321924"/>
    <w:rsid w:val="00321EB6"/>
    <w:rsid w:val="003220A5"/>
    <w:rsid w:val="0032656E"/>
    <w:rsid w:val="00332190"/>
    <w:rsid w:val="00333CD0"/>
    <w:rsid w:val="0033448D"/>
    <w:rsid w:val="00334AD2"/>
    <w:rsid w:val="003370C5"/>
    <w:rsid w:val="00341D26"/>
    <w:rsid w:val="00341F05"/>
    <w:rsid w:val="0034335E"/>
    <w:rsid w:val="00344668"/>
    <w:rsid w:val="003462D9"/>
    <w:rsid w:val="00352B43"/>
    <w:rsid w:val="00352C28"/>
    <w:rsid w:val="0036077F"/>
    <w:rsid w:val="00360C86"/>
    <w:rsid w:val="00360FBC"/>
    <w:rsid w:val="00361537"/>
    <w:rsid w:val="0036242A"/>
    <w:rsid w:val="00362E90"/>
    <w:rsid w:val="00364FA0"/>
    <w:rsid w:val="003657F3"/>
    <w:rsid w:val="00367F84"/>
    <w:rsid w:val="003712BC"/>
    <w:rsid w:val="003738BD"/>
    <w:rsid w:val="003746F0"/>
    <w:rsid w:val="00374A20"/>
    <w:rsid w:val="00374E21"/>
    <w:rsid w:val="003818DC"/>
    <w:rsid w:val="00383388"/>
    <w:rsid w:val="003834F8"/>
    <w:rsid w:val="003838D0"/>
    <w:rsid w:val="00384327"/>
    <w:rsid w:val="00385086"/>
    <w:rsid w:val="00385D98"/>
    <w:rsid w:val="003908A6"/>
    <w:rsid w:val="003927F6"/>
    <w:rsid w:val="003A04F6"/>
    <w:rsid w:val="003A2B4D"/>
    <w:rsid w:val="003A2D12"/>
    <w:rsid w:val="003A45E3"/>
    <w:rsid w:val="003A478C"/>
    <w:rsid w:val="003A5525"/>
    <w:rsid w:val="003A5889"/>
    <w:rsid w:val="003A6B38"/>
    <w:rsid w:val="003A6B83"/>
    <w:rsid w:val="003A722F"/>
    <w:rsid w:val="003B0DF4"/>
    <w:rsid w:val="003B1F9D"/>
    <w:rsid w:val="003B461F"/>
    <w:rsid w:val="003B4998"/>
    <w:rsid w:val="003B5A32"/>
    <w:rsid w:val="003C3490"/>
    <w:rsid w:val="003C6221"/>
    <w:rsid w:val="003C68CC"/>
    <w:rsid w:val="003C7E62"/>
    <w:rsid w:val="003D242B"/>
    <w:rsid w:val="003D2492"/>
    <w:rsid w:val="003D29AA"/>
    <w:rsid w:val="003D2A99"/>
    <w:rsid w:val="003D6920"/>
    <w:rsid w:val="003E4C91"/>
    <w:rsid w:val="003E52D8"/>
    <w:rsid w:val="003F313C"/>
    <w:rsid w:val="003F37FC"/>
    <w:rsid w:val="003F4B2C"/>
    <w:rsid w:val="003F551C"/>
    <w:rsid w:val="003F72ED"/>
    <w:rsid w:val="003F7D23"/>
    <w:rsid w:val="00400050"/>
    <w:rsid w:val="004002C8"/>
    <w:rsid w:val="00400468"/>
    <w:rsid w:val="0040099D"/>
    <w:rsid w:val="00402ADB"/>
    <w:rsid w:val="0040368D"/>
    <w:rsid w:val="004059D2"/>
    <w:rsid w:val="00406C2E"/>
    <w:rsid w:val="00406EB0"/>
    <w:rsid w:val="00407C13"/>
    <w:rsid w:val="00410638"/>
    <w:rsid w:val="00412511"/>
    <w:rsid w:val="004125C2"/>
    <w:rsid w:val="00412DFA"/>
    <w:rsid w:val="00413465"/>
    <w:rsid w:val="0041501E"/>
    <w:rsid w:val="004159C3"/>
    <w:rsid w:val="00415A57"/>
    <w:rsid w:val="00416DAC"/>
    <w:rsid w:val="00420880"/>
    <w:rsid w:val="00432A58"/>
    <w:rsid w:val="004331C3"/>
    <w:rsid w:val="00434617"/>
    <w:rsid w:val="00435051"/>
    <w:rsid w:val="00435C69"/>
    <w:rsid w:val="004360FB"/>
    <w:rsid w:val="00437CED"/>
    <w:rsid w:val="00440900"/>
    <w:rsid w:val="0044121D"/>
    <w:rsid w:val="00441BF6"/>
    <w:rsid w:val="004441A0"/>
    <w:rsid w:val="00445861"/>
    <w:rsid w:val="00445A8E"/>
    <w:rsid w:val="00446D44"/>
    <w:rsid w:val="0045078A"/>
    <w:rsid w:val="0045086D"/>
    <w:rsid w:val="00451EF1"/>
    <w:rsid w:val="00452E60"/>
    <w:rsid w:val="00457490"/>
    <w:rsid w:val="00457953"/>
    <w:rsid w:val="00460FB3"/>
    <w:rsid w:val="00464851"/>
    <w:rsid w:val="00467B14"/>
    <w:rsid w:val="004707FE"/>
    <w:rsid w:val="0047276D"/>
    <w:rsid w:val="00472AF6"/>
    <w:rsid w:val="00474A04"/>
    <w:rsid w:val="00476240"/>
    <w:rsid w:val="00476439"/>
    <w:rsid w:val="0047735C"/>
    <w:rsid w:val="004776BC"/>
    <w:rsid w:val="00477820"/>
    <w:rsid w:val="00477B96"/>
    <w:rsid w:val="0048139F"/>
    <w:rsid w:val="00481E40"/>
    <w:rsid w:val="00482405"/>
    <w:rsid w:val="004826A7"/>
    <w:rsid w:val="0048368C"/>
    <w:rsid w:val="00484ECE"/>
    <w:rsid w:val="00486A4D"/>
    <w:rsid w:val="004915CB"/>
    <w:rsid w:val="004924DC"/>
    <w:rsid w:val="00492879"/>
    <w:rsid w:val="004A14E4"/>
    <w:rsid w:val="004A26A5"/>
    <w:rsid w:val="004A27F0"/>
    <w:rsid w:val="004A3212"/>
    <w:rsid w:val="004A40D9"/>
    <w:rsid w:val="004A4F8A"/>
    <w:rsid w:val="004A5494"/>
    <w:rsid w:val="004A61C5"/>
    <w:rsid w:val="004A62A0"/>
    <w:rsid w:val="004A77DF"/>
    <w:rsid w:val="004B1417"/>
    <w:rsid w:val="004B305C"/>
    <w:rsid w:val="004B339A"/>
    <w:rsid w:val="004B55B7"/>
    <w:rsid w:val="004B6468"/>
    <w:rsid w:val="004B6EF8"/>
    <w:rsid w:val="004B7125"/>
    <w:rsid w:val="004B756A"/>
    <w:rsid w:val="004B7FB1"/>
    <w:rsid w:val="004C384C"/>
    <w:rsid w:val="004C3867"/>
    <w:rsid w:val="004C3DB0"/>
    <w:rsid w:val="004C4720"/>
    <w:rsid w:val="004C4CD0"/>
    <w:rsid w:val="004C5165"/>
    <w:rsid w:val="004C6E0E"/>
    <w:rsid w:val="004C70DC"/>
    <w:rsid w:val="004D0211"/>
    <w:rsid w:val="004D0794"/>
    <w:rsid w:val="004D5B0F"/>
    <w:rsid w:val="004E1A40"/>
    <w:rsid w:val="004E200A"/>
    <w:rsid w:val="004E23FC"/>
    <w:rsid w:val="004E6DE6"/>
    <w:rsid w:val="004E765E"/>
    <w:rsid w:val="004F06F5"/>
    <w:rsid w:val="004F12A4"/>
    <w:rsid w:val="004F253F"/>
    <w:rsid w:val="004F33A0"/>
    <w:rsid w:val="004F3BD2"/>
    <w:rsid w:val="00506603"/>
    <w:rsid w:val="0050689D"/>
    <w:rsid w:val="005108C0"/>
    <w:rsid w:val="0051094F"/>
    <w:rsid w:val="00511873"/>
    <w:rsid w:val="00512461"/>
    <w:rsid w:val="00512A2F"/>
    <w:rsid w:val="00513B7E"/>
    <w:rsid w:val="0051475D"/>
    <w:rsid w:val="00514B11"/>
    <w:rsid w:val="00515BE9"/>
    <w:rsid w:val="00515C74"/>
    <w:rsid w:val="00517113"/>
    <w:rsid w:val="0052007E"/>
    <w:rsid w:val="00522E01"/>
    <w:rsid w:val="0052337A"/>
    <w:rsid w:val="005246BE"/>
    <w:rsid w:val="00525137"/>
    <w:rsid w:val="005251DD"/>
    <w:rsid w:val="005301A6"/>
    <w:rsid w:val="00530A68"/>
    <w:rsid w:val="00532CE7"/>
    <w:rsid w:val="00532D8B"/>
    <w:rsid w:val="0053324C"/>
    <w:rsid w:val="00534A28"/>
    <w:rsid w:val="00535018"/>
    <w:rsid w:val="00537571"/>
    <w:rsid w:val="005410E2"/>
    <w:rsid w:val="00541508"/>
    <w:rsid w:val="00541AE3"/>
    <w:rsid w:val="00543498"/>
    <w:rsid w:val="00544BE5"/>
    <w:rsid w:val="00550160"/>
    <w:rsid w:val="00552F2C"/>
    <w:rsid w:val="00553A25"/>
    <w:rsid w:val="005547EB"/>
    <w:rsid w:val="005555E0"/>
    <w:rsid w:val="0055599F"/>
    <w:rsid w:val="00556D68"/>
    <w:rsid w:val="005570D6"/>
    <w:rsid w:val="00563EB8"/>
    <w:rsid w:val="005647BF"/>
    <w:rsid w:val="00564AF1"/>
    <w:rsid w:val="005655DB"/>
    <w:rsid w:val="00570BC3"/>
    <w:rsid w:val="0057182A"/>
    <w:rsid w:val="00571E59"/>
    <w:rsid w:val="00572079"/>
    <w:rsid w:val="00573602"/>
    <w:rsid w:val="0057364B"/>
    <w:rsid w:val="00574773"/>
    <w:rsid w:val="00577C07"/>
    <w:rsid w:val="00577DB1"/>
    <w:rsid w:val="00580DE7"/>
    <w:rsid w:val="00583E52"/>
    <w:rsid w:val="00583FFD"/>
    <w:rsid w:val="0058519A"/>
    <w:rsid w:val="005856BD"/>
    <w:rsid w:val="00590B28"/>
    <w:rsid w:val="005911BE"/>
    <w:rsid w:val="00591273"/>
    <w:rsid w:val="005927A4"/>
    <w:rsid w:val="00593152"/>
    <w:rsid w:val="005956A3"/>
    <w:rsid w:val="00595CAB"/>
    <w:rsid w:val="00597BBF"/>
    <w:rsid w:val="005A10F2"/>
    <w:rsid w:val="005A21E0"/>
    <w:rsid w:val="005A28FF"/>
    <w:rsid w:val="005A2C09"/>
    <w:rsid w:val="005A3778"/>
    <w:rsid w:val="005A3DF8"/>
    <w:rsid w:val="005A5549"/>
    <w:rsid w:val="005B121D"/>
    <w:rsid w:val="005B4853"/>
    <w:rsid w:val="005B6CA1"/>
    <w:rsid w:val="005B770C"/>
    <w:rsid w:val="005C06ED"/>
    <w:rsid w:val="005C11B8"/>
    <w:rsid w:val="005C2609"/>
    <w:rsid w:val="005C45DD"/>
    <w:rsid w:val="005D3F06"/>
    <w:rsid w:val="005D4B73"/>
    <w:rsid w:val="005D5802"/>
    <w:rsid w:val="005D5AA9"/>
    <w:rsid w:val="005D66E6"/>
    <w:rsid w:val="005D7119"/>
    <w:rsid w:val="005D76C8"/>
    <w:rsid w:val="005D7890"/>
    <w:rsid w:val="005E19C1"/>
    <w:rsid w:val="005E2194"/>
    <w:rsid w:val="005E24F0"/>
    <w:rsid w:val="005E36FE"/>
    <w:rsid w:val="005E490F"/>
    <w:rsid w:val="005E4BC9"/>
    <w:rsid w:val="005E5314"/>
    <w:rsid w:val="005E7C78"/>
    <w:rsid w:val="005F04A7"/>
    <w:rsid w:val="005F114F"/>
    <w:rsid w:val="005F18C5"/>
    <w:rsid w:val="005F2A08"/>
    <w:rsid w:val="005F36CC"/>
    <w:rsid w:val="005F3EB1"/>
    <w:rsid w:val="005F466B"/>
    <w:rsid w:val="005F46D8"/>
    <w:rsid w:val="005F5469"/>
    <w:rsid w:val="005F63F3"/>
    <w:rsid w:val="005F6D7F"/>
    <w:rsid w:val="00601EEF"/>
    <w:rsid w:val="00604307"/>
    <w:rsid w:val="0060487F"/>
    <w:rsid w:val="00604EAD"/>
    <w:rsid w:val="0060513F"/>
    <w:rsid w:val="006104FB"/>
    <w:rsid w:val="00612A2F"/>
    <w:rsid w:val="00612AAE"/>
    <w:rsid w:val="006139E0"/>
    <w:rsid w:val="006156B4"/>
    <w:rsid w:val="00615DAF"/>
    <w:rsid w:val="00616E05"/>
    <w:rsid w:val="00617985"/>
    <w:rsid w:val="00624093"/>
    <w:rsid w:val="00631698"/>
    <w:rsid w:val="00631E44"/>
    <w:rsid w:val="00634C57"/>
    <w:rsid w:val="00634CE7"/>
    <w:rsid w:val="006350D5"/>
    <w:rsid w:val="0063642C"/>
    <w:rsid w:val="00637858"/>
    <w:rsid w:val="006404A7"/>
    <w:rsid w:val="00640A38"/>
    <w:rsid w:val="00644137"/>
    <w:rsid w:val="0064478C"/>
    <w:rsid w:val="006451E4"/>
    <w:rsid w:val="00645B33"/>
    <w:rsid w:val="006516CB"/>
    <w:rsid w:val="00653BD0"/>
    <w:rsid w:val="00654110"/>
    <w:rsid w:val="00656CFB"/>
    <w:rsid w:val="00657E87"/>
    <w:rsid w:val="00660D2D"/>
    <w:rsid w:val="00662469"/>
    <w:rsid w:val="00664647"/>
    <w:rsid w:val="00664803"/>
    <w:rsid w:val="00665BA4"/>
    <w:rsid w:val="00667AF2"/>
    <w:rsid w:val="00670489"/>
    <w:rsid w:val="006710C9"/>
    <w:rsid w:val="006741CD"/>
    <w:rsid w:val="00674D89"/>
    <w:rsid w:val="00675E37"/>
    <w:rsid w:val="00676736"/>
    <w:rsid w:val="00676D76"/>
    <w:rsid w:val="00676F9F"/>
    <w:rsid w:val="00677591"/>
    <w:rsid w:val="00677594"/>
    <w:rsid w:val="0068032F"/>
    <w:rsid w:val="00680D37"/>
    <w:rsid w:val="0068174E"/>
    <w:rsid w:val="00681DCE"/>
    <w:rsid w:val="0068260E"/>
    <w:rsid w:val="006846B3"/>
    <w:rsid w:val="00684D59"/>
    <w:rsid w:val="00684E25"/>
    <w:rsid w:val="006858A4"/>
    <w:rsid w:val="00686718"/>
    <w:rsid w:val="00686BFA"/>
    <w:rsid w:val="00686DED"/>
    <w:rsid w:val="006875A0"/>
    <w:rsid w:val="00687D27"/>
    <w:rsid w:val="00695065"/>
    <w:rsid w:val="00695BEF"/>
    <w:rsid w:val="006966C7"/>
    <w:rsid w:val="006968C1"/>
    <w:rsid w:val="006977F6"/>
    <w:rsid w:val="00697A13"/>
    <w:rsid w:val="006A109C"/>
    <w:rsid w:val="006A6565"/>
    <w:rsid w:val="006A7691"/>
    <w:rsid w:val="006A7EE2"/>
    <w:rsid w:val="006B0514"/>
    <w:rsid w:val="006B0F92"/>
    <w:rsid w:val="006B2785"/>
    <w:rsid w:val="006B344A"/>
    <w:rsid w:val="006B58C9"/>
    <w:rsid w:val="006B60ED"/>
    <w:rsid w:val="006B74AC"/>
    <w:rsid w:val="006B78D8"/>
    <w:rsid w:val="006B79EA"/>
    <w:rsid w:val="006C0C5D"/>
    <w:rsid w:val="006C113F"/>
    <w:rsid w:val="006C123E"/>
    <w:rsid w:val="006C15A1"/>
    <w:rsid w:val="006C1752"/>
    <w:rsid w:val="006C28CA"/>
    <w:rsid w:val="006C4355"/>
    <w:rsid w:val="006C469D"/>
    <w:rsid w:val="006C46B5"/>
    <w:rsid w:val="006C52EC"/>
    <w:rsid w:val="006C56D4"/>
    <w:rsid w:val="006C6681"/>
    <w:rsid w:val="006C683C"/>
    <w:rsid w:val="006C6924"/>
    <w:rsid w:val="006C6C1E"/>
    <w:rsid w:val="006C7CA6"/>
    <w:rsid w:val="006D18B3"/>
    <w:rsid w:val="006D3E8A"/>
    <w:rsid w:val="006D61F6"/>
    <w:rsid w:val="006E1332"/>
    <w:rsid w:val="006E279A"/>
    <w:rsid w:val="006E313B"/>
    <w:rsid w:val="006E3A45"/>
    <w:rsid w:val="006E53AD"/>
    <w:rsid w:val="006E7227"/>
    <w:rsid w:val="006F0741"/>
    <w:rsid w:val="006F1C27"/>
    <w:rsid w:val="006F42BB"/>
    <w:rsid w:val="006F438E"/>
    <w:rsid w:val="006F440B"/>
    <w:rsid w:val="006F5416"/>
    <w:rsid w:val="006F624B"/>
    <w:rsid w:val="0070398A"/>
    <w:rsid w:val="00705242"/>
    <w:rsid w:val="007055E0"/>
    <w:rsid w:val="007065C5"/>
    <w:rsid w:val="00706AA0"/>
    <w:rsid w:val="00706AD4"/>
    <w:rsid w:val="00707150"/>
    <w:rsid w:val="00713549"/>
    <w:rsid w:val="007140BE"/>
    <w:rsid w:val="00715E4D"/>
    <w:rsid w:val="00716F48"/>
    <w:rsid w:val="00717114"/>
    <w:rsid w:val="0071779F"/>
    <w:rsid w:val="007211F5"/>
    <w:rsid w:val="007240E2"/>
    <w:rsid w:val="0072583E"/>
    <w:rsid w:val="00725BB5"/>
    <w:rsid w:val="00727C02"/>
    <w:rsid w:val="00730AE8"/>
    <w:rsid w:val="00730F1B"/>
    <w:rsid w:val="0073186D"/>
    <w:rsid w:val="007343D9"/>
    <w:rsid w:val="00741493"/>
    <w:rsid w:val="007434E5"/>
    <w:rsid w:val="00752180"/>
    <w:rsid w:val="00752323"/>
    <w:rsid w:val="007532B7"/>
    <w:rsid w:val="00753CAB"/>
    <w:rsid w:val="00754A70"/>
    <w:rsid w:val="00755202"/>
    <w:rsid w:val="00755D3A"/>
    <w:rsid w:val="0075751D"/>
    <w:rsid w:val="007578D3"/>
    <w:rsid w:val="00760391"/>
    <w:rsid w:val="007609C6"/>
    <w:rsid w:val="007615F3"/>
    <w:rsid w:val="0076175D"/>
    <w:rsid w:val="00763B85"/>
    <w:rsid w:val="00764974"/>
    <w:rsid w:val="0076521E"/>
    <w:rsid w:val="007661E9"/>
    <w:rsid w:val="00767062"/>
    <w:rsid w:val="00771972"/>
    <w:rsid w:val="00774D2C"/>
    <w:rsid w:val="00776169"/>
    <w:rsid w:val="00776527"/>
    <w:rsid w:val="00777040"/>
    <w:rsid w:val="00777CE6"/>
    <w:rsid w:val="00780EF1"/>
    <w:rsid w:val="00781A91"/>
    <w:rsid w:val="00786C87"/>
    <w:rsid w:val="007877C9"/>
    <w:rsid w:val="00790764"/>
    <w:rsid w:val="0079085F"/>
    <w:rsid w:val="00791005"/>
    <w:rsid w:val="00793D78"/>
    <w:rsid w:val="0079453C"/>
    <w:rsid w:val="00794677"/>
    <w:rsid w:val="007A33E2"/>
    <w:rsid w:val="007A3CAF"/>
    <w:rsid w:val="007A516D"/>
    <w:rsid w:val="007A5E65"/>
    <w:rsid w:val="007A775D"/>
    <w:rsid w:val="007B0834"/>
    <w:rsid w:val="007B0E83"/>
    <w:rsid w:val="007B11FA"/>
    <w:rsid w:val="007B1396"/>
    <w:rsid w:val="007B2011"/>
    <w:rsid w:val="007B2CFE"/>
    <w:rsid w:val="007B3D5E"/>
    <w:rsid w:val="007B3DCB"/>
    <w:rsid w:val="007B5725"/>
    <w:rsid w:val="007B6689"/>
    <w:rsid w:val="007B6747"/>
    <w:rsid w:val="007B6F72"/>
    <w:rsid w:val="007C1F0C"/>
    <w:rsid w:val="007C1FFB"/>
    <w:rsid w:val="007C2D94"/>
    <w:rsid w:val="007C5F92"/>
    <w:rsid w:val="007C6227"/>
    <w:rsid w:val="007C6BBD"/>
    <w:rsid w:val="007D0382"/>
    <w:rsid w:val="007D1A1F"/>
    <w:rsid w:val="007D2E18"/>
    <w:rsid w:val="007D40DF"/>
    <w:rsid w:val="007D4458"/>
    <w:rsid w:val="007E0D4A"/>
    <w:rsid w:val="007E1788"/>
    <w:rsid w:val="007E29B4"/>
    <w:rsid w:val="007E435A"/>
    <w:rsid w:val="007E49F7"/>
    <w:rsid w:val="007E4C70"/>
    <w:rsid w:val="007E78B6"/>
    <w:rsid w:val="007E7E61"/>
    <w:rsid w:val="007F0845"/>
    <w:rsid w:val="007F20F3"/>
    <w:rsid w:val="007F2390"/>
    <w:rsid w:val="007F708D"/>
    <w:rsid w:val="008006B3"/>
    <w:rsid w:val="00801E13"/>
    <w:rsid w:val="00803069"/>
    <w:rsid w:val="0080734C"/>
    <w:rsid w:val="00807C82"/>
    <w:rsid w:val="008117CC"/>
    <w:rsid w:val="00813DCA"/>
    <w:rsid w:val="008161A6"/>
    <w:rsid w:val="00816905"/>
    <w:rsid w:val="00817A17"/>
    <w:rsid w:val="00817EC1"/>
    <w:rsid w:val="0082112D"/>
    <w:rsid w:val="00821FF6"/>
    <w:rsid w:val="00822574"/>
    <w:rsid w:val="00825C4D"/>
    <w:rsid w:val="00826A08"/>
    <w:rsid w:val="00827186"/>
    <w:rsid w:val="00827C8E"/>
    <w:rsid w:val="00830AEA"/>
    <w:rsid w:val="00830E86"/>
    <w:rsid w:val="0083143E"/>
    <w:rsid w:val="008315D5"/>
    <w:rsid w:val="00831CDE"/>
    <w:rsid w:val="00834304"/>
    <w:rsid w:val="00834FAA"/>
    <w:rsid w:val="008354FB"/>
    <w:rsid w:val="00836086"/>
    <w:rsid w:val="0083630F"/>
    <w:rsid w:val="00836A06"/>
    <w:rsid w:val="008374BC"/>
    <w:rsid w:val="00840293"/>
    <w:rsid w:val="008417B5"/>
    <w:rsid w:val="00841901"/>
    <w:rsid w:val="008458BD"/>
    <w:rsid w:val="00846121"/>
    <w:rsid w:val="008466C6"/>
    <w:rsid w:val="0084708F"/>
    <w:rsid w:val="008477C8"/>
    <w:rsid w:val="008478A6"/>
    <w:rsid w:val="0085114D"/>
    <w:rsid w:val="008520A8"/>
    <w:rsid w:val="00852217"/>
    <w:rsid w:val="00855408"/>
    <w:rsid w:val="00856D65"/>
    <w:rsid w:val="00861B41"/>
    <w:rsid w:val="00861B9F"/>
    <w:rsid w:val="00861BE3"/>
    <w:rsid w:val="008625D3"/>
    <w:rsid w:val="00863434"/>
    <w:rsid w:val="008641AC"/>
    <w:rsid w:val="00865E4C"/>
    <w:rsid w:val="00867DAB"/>
    <w:rsid w:val="008701E4"/>
    <w:rsid w:val="008734E7"/>
    <w:rsid w:val="0087368D"/>
    <w:rsid w:val="00874FE8"/>
    <w:rsid w:val="00875A32"/>
    <w:rsid w:val="00876086"/>
    <w:rsid w:val="00876E83"/>
    <w:rsid w:val="008772BC"/>
    <w:rsid w:val="00882911"/>
    <w:rsid w:val="00885D40"/>
    <w:rsid w:val="008873D4"/>
    <w:rsid w:val="00891EDF"/>
    <w:rsid w:val="00892872"/>
    <w:rsid w:val="0089296D"/>
    <w:rsid w:val="00893E85"/>
    <w:rsid w:val="00894031"/>
    <w:rsid w:val="00894C5D"/>
    <w:rsid w:val="00895508"/>
    <w:rsid w:val="008972D2"/>
    <w:rsid w:val="0089754C"/>
    <w:rsid w:val="008A0ADD"/>
    <w:rsid w:val="008A37E2"/>
    <w:rsid w:val="008A388E"/>
    <w:rsid w:val="008A3CBA"/>
    <w:rsid w:val="008A4B59"/>
    <w:rsid w:val="008B3C07"/>
    <w:rsid w:val="008B3F7B"/>
    <w:rsid w:val="008B6106"/>
    <w:rsid w:val="008B7C02"/>
    <w:rsid w:val="008B7D2B"/>
    <w:rsid w:val="008B7EF9"/>
    <w:rsid w:val="008C0049"/>
    <w:rsid w:val="008C0E88"/>
    <w:rsid w:val="008C4B50"/>
    <w:rsid w:val="008C7569"/>
    <w:rsid w:val="008D0DBD"/>
    <w:rsid w:val="008D127E"/>
    <w:rsid w:val="008D1CA8"/>
    <w:rsid w:val="008D1E6A"/>
    <w:rsid w:val="008D2A16"/>
    <w:rsid w:val="008D33F5"/>
    <w:rsid w:val="008D35E4"/>
    <w:rsid w:val="008E292B"/>
    <w:rsid w:val="008E2C57"/>
    <w:rsid w:val="008E31FF"/>
    <w:rsid w:val="008E6DCB"/>
    <w:rsid w:val="008E6F06"/>
    <w:rsid w:val="008E7B8E"/>
    <w:rsid w:val="008E7FC9"/>
    <w:rsid w:val="008F029B"/>
    <w:rsid w:val="008F2A5D"/>
    <w:rsid w:val="008F3636"/>
    <w:rsid w:val="008F3FC9"/>
    <w:rsid w:val="008F585B"/>
    <w:rsid w:val="009003A8"/>
    <w:rsid w:val="009021DA"/>
    <w:rsid w:val="00902500"/>
    <w:rsid w:val="00902EFF"/>
    <w:rsid w:val="0090432C"/>
    <w:rsid w:val="00904F96"/>
    <w:rsid w:val="009052A3"/>
    <w:rsid w:val="009056D7"/>
    <w:rsid w:val="00905B8D"/>
    <w:rsid w:val="00906401"/>
    <w:rsid w:val="0090786F"/>
    <w:rsid w:val="009110F7"/>
    <w:rsid w:val="0091155E"/>
    <w:rsid w:val="00912437"/>
    <w:rsid w:val="00912A92"/>
    <w:rsid w:val="00915D07"/>
    <w:rsid w:val="009162AE"/>
    <w:rsid w:val="00917251"/>
    <w:rsid w:val="0091728D"/>
    <w:rsid w:val="00920EC4"/>
    <w:rsid w:val="0092180B"/>
    <w:rsid w:val="00921F14"/>
    <w:rsid w:val="00923CB0"/>
    <w:rsid w:val="00924871"/>
    <w:rsid w:val="00924AC8"/>
    <w:rsid w:val="00925429"/>
    <w:rsid w:val="0092597A"/>
    <w:rsid w:val="00926520"/>
    <w:rsid w:val="0093033E"/>
    <w:rsid w:val="009305FC"/>
    <w:rsid w:val="00930FB1"/>
    <w:rsid w:val="0093139F"/>
    <w:rsid w:val="00932443"/>
    <w:rsid w:val="00933F4A"/>
    <w:rsid w:val="00935BD4"/>
    <w:rsid w:val="009373B2"/>
    <w:rsid w:val="00937AE2"/>
    <w:rsid w:val="0094416B"/>
    <w:rsid w:val="0094427A"/>
    <w:rsid w:val="00944C7C"/>
    <w:rsid w:val="00945245"/>
    <w:rsid w:val="00945523"/>
    <w:rsid w:val="009568DC"/>
    <w:rsid w:val="0095759C"/>
    <w:rsid w:val="009618EE"/>
    <w:rsid w:val="009624D2"/>
    <w:rsid w:val="009628D9"/>
    <w:rsid w:val="009637AE"/>
    <w:rsid w:val="00964776"/>
    <w:rsid w:val="00964A4E"/>
    <w:rsid w:val="00964B35"/>
    <w:rsid w:val="009651C7"/>
    <w:rsid w:val="00965797"/>
    <w:rsid w:val="00965A10"/>
    <w:rsid w:val="009670A3"/>
    <w:rsid w:val="009674BE"/>
    <w:rsid w:val="00971C77"/>
    <w:rsid w:val="00972FCD"/>
    <w:rsid w:val="009741FC"/>
    <w:rsid w:val="00974923"/>
    <w:rsid w:val="00977C3D"/>
    <w:rsid w:val="00980D3D"/>
    <w:rsid w:val="00983101"/>
    <w:rsid w:val="00983E41"/>
    <w:rsid w:val="00987A30"/>
    <w:rsid w:val="0099182E"/>
    <w:rsid w:val="00992CF3"/>
    <w:rsid w:val="00994868"/>
    <w:rsid w:val="009968D6"/>
    <w:rsid w:val="009A10A0"/>
    <w:rsid w:val="009A1CAB"/>
    <w:rsid w:val="009A2359"/>
    <w:rsid w:val="009A24F1"/>
    <w:rsid w:val="009A4D57"/>
    <w:rsid w:val="009A60D1"/>
    <w:rsid w:val="009A64F5"/>
    <w:rsid w:val="009B00D2"/>
    <w:rsid w:val="009B05B3"/>
    <w:rsid w:val="009B3764"/>
    <w:rsid w:val="009B66CE"/>
    <w:rsid w:val="009B6FD3"/>
    <w:rsid w:val="009B7DB2"/>
    <w:rsid w:val="009C1750"/>
    <w:rsid w:val="009C2E29"/>
    <w:rsid w:val="009C3E8F"/>
    <w:rsid w:val="009C554B"/>
    <w:rsid w:val="009C719E"/>
    <w:rsid w:val="009C7799"/>
    <w:rsid w:val="009D07A9"/>
    <w:rsid w:val="009D3ACD"/>
    <w:rsid w:val="009D7731"/>
    <w:rsid w:val="009E1922"/>
    <w:rsid w:val="009E4715"/>
    <w:rsid w:val="009E5273"/>
    <w:rsid w:val="009E57A8"/>
    <w:rsid w:val="009E5B85"/>
    <w:rsid w:val="009E5DDB"/>
    <w:rsid w:val="009F4982"/>
    <w:rsid w:val="009F4CA7"/>
    <w:rsid w:val="009F7D36"/>
    <w:rsid w:val="00A00E71"/>
    <w:rsid w:val="00A03B10"/>
    <w:rsid w:val="00A04616"/>
    <w:rsid w:val="00A04717"/>
    <w:rsid w:val="00A05EE4"/>
    <w:rsid w:val="00A10D66"/>
    <w:rsid w:val="00A14114"/>
    <w:rsid w:val="00A16413"/>
    <w:rsid w:val="00A16545"/>
    <w:rsid w:val="00A16AED"/>
    <w:rsid w:val="00A16E1D"/>
    <w:rsid w:val="00A17A15"/>
    <w:rsid w:val="00A17D5B"/>
    <w:rsid w:val="00A23E43"/>
    <w:rsid w:val="00A24ED9"/>
    <w:rsid w:val="00A25216"/>
    <w:rsid w:val="00A2628E"/>
    <w:rsid w:val="00A2731E"/>
    <w:rsid w:val="00A309AC"/>
    <w:rsid w:val="00A30F65"/>
    <w:rsid w:val="00A3279E"/>
    <w:rsid w:val="00A35900"/>
    <w:rsid w:val="00A40EAC"/>
    <w:rsid w:val="00A418BC"/>
    <w:rsid w:val="00A41FCF"/>
    <w:rsid w:val="00A43CF8"/>
    <w:rsid w:val="00A43DF2"/>
    <w:rsid w:val="00A445A8"/>
    <w:rsid w:val="00A44B0D"/>
    <w:rsid w:val="00A45087"/>
    <w:rsid w:val="00A45489"/>
    <w:rsid w:val="00A46DE0"/>
    <w:rsid w:val="00A50D73"/>
    <w:rsid w:val="00A52A88"/>
    <w:rsid w:val="00A52CAD"/>
    <w:rsid w:val="00A53FC7"/>
    <w:rsid w:val="00A55569"/>
    <w:rsid w:val="00A626FF"/>
    <w:rsid w:val="00A62CE1"/>
    <w:rsid w:val="00A655D3"/>
    <w:rsid w:val="00A662D9"/>
    <w:rsid w:val="00A6741E"/>
    <w:rsid w:val="00A7016A"/>
    <w:rsid w:val="00A7018D"/>
    <w:rsid w:val="00A722F9"/>
    <w:rsid w:val="00A72D42"/>
    <w:rsid w:val="00A75E40"/>
    <w:rsid w:val="00A77D1D"/>
    <w:rsid w:val="00A81652"/>
    <w:rsid w:val="00A83150"/>
    <w:rsid w:val="00A83398"/>
    <w:rsid w:val="00A857C0"/>
    <w:rsid w:val="00A90FED"/>
    <w:rsid w:val="00A9189D"/>
    <w:rsid w:val="00A91E71"/>
    <w:rsid w:val="00A925B1"/>
    <w:rsid w:val="00A96116"/>
    <w:rsid w:val="00A9614E"/>
    <w:rsid w:val="00A96C0F"/>
    <w:rsid w:val="00AA212F"/>
    <w:rsid w:val="00AA2996"/>
    <w:rsid w:val="00AA2AF4"/>
    <w:rsid w:val="00AA52BF"/>
    <w:rsid w:val="00AA559A"/>
    <w:rsid w:val="00AA6C31"/>
    <w:rsid w:val="00AA7CE8"/>
    <w:rsid w:val="00AB2AF1"/>
    <w:rsid w:val="00AB5A64"/>
    <w:rsid w:val="00AB5CA1"/>
    <w:rsid w:val="00AB6456"/>
    <w:rsid w:val="00AC044E"/>
    <w:rsid w:val="00AC2395"/>
    <w:rsid w:val="00AC2960"/>
    <w:rsid w:val="00AC2AC4"/>
    <w:rsid w:val="00AC4284"/>
    <w:rsid w:val="00AC45BD"/>
    <w:rsid w:val="00AD0EE7"/>
    <w:rsid w:val="00AD168E"/>
    <w:rsid w:val="00AD306C"/>
    <w:rsid w:val="00AD5AD2"/>
    <w:rsid w:val="00AD6462"/>
    <w:rsid w:val="00AD66C5"/>
    <w:rsid w:val="00AD68C4"/>
    <w:rsid w:val="00AD71F9"/>
    <w:rsid w:val="00AE09B3"/>
    <w:rsid w:val="00AE1A83"/>
    <w:rsid w:val="00AE7CE7"/>
    <w:rsid w:val="00AE7FAB"/>
    <w:rsid w:val="00AF1E87"/>
    <w:rsid w:val="00AF436B"/>
    <w:rsid w:val="00AF5179"/>
    <w:rsid w:val="00AF5CC2"/>
    <w:rsid w:val="00AF6776"/>
    <w:rsid w:val="00AF6F98"/>
    <w:rsid w:val="00B00913"/>
    <w:rsid w:val="00B01593"/>
    <w:rsid w:val="00B01FF9"/>
    <w:rsid w:val="00B023F2"/>
    <w:rsid w:val="00B06DB4"/>
    <w:rsid w:val="00B10A4D"/>
    <w:rsid w:val="00B10C90"/>
    <w:rsid w:val="00B11002"/>
    <w:rsid w:val="00B121B2"/>
    <w:rsid w:val="00B14BC1"/>
    <w:rsid w:val="00B16EB8"/>
    <w:rsid w:val="00B17E71"/>
    <w:rsid w:val="00B17FDE"/>
    <w:rsid w:val="00B20632"/>
    <w:rsid w:val="00B2379C"/>
    <w:rsid w:val="00B23D5D"/>
    <w:rsid w:val="00B26682"/>
    <w:rsid w:val="00B2687D"/>
    <w:rsid w:val="00B3108D"/>
    <w:rsid w:val="00B32DDB"/>
    <w:rsid w:val="00B32F57"/>
    <w:rsid w:val="00B3345C"/>
    <w:rsid w:val="00B34528"/>
    <w:rsid w:val="00B34CC9"/>
    <w:rsid w:val="00B3563B"/>
    <w:rsid w:val="00B37D3A"/>
    <w:rsid w:val="00B402FC"/>
    <w:rsid w:val="00B422E2"/>
    <w:rsid w:val="00B439DA"/>
    <w:rsid w:val="00B4411A"/>
    <w:rsid w:val="00B46604"/>
    <w:rsid w:val="00B47089"/>
    <w:rsid w:val="00B52151"/>
    <w:rsid w:val="00B530CD"/>
    <w:rsid w:val="00B53E56"/>
    <w:rsid w:val="00B55A97"/>
    <w:rsid w:val="00B55F5E"/>
    <w:rsid w:val="00B56B6F"/>
    <w:rsid w:val="00B5752E"/>
    <w:rsid w:val="00B62316"/>
    <w:rsid w:val="00B63A11"/>
    <w:rsid w:val="00B64425"/>
    <w:rsid w:val="00B64C24"/>
    <w:rsid w:val="00B65CEF"/>
    <w:rsid w:val="00B6608F"/>
    <w:rsid w:val="00B679FB"/>
    <w:rsid w:val="00B7680F"/>
    <w:rsid w:val="00B76D1E"/>
    <w:rsid w:val="00B77543"/>
    <w:rsid w:val="00B80EC6"/>
    <w:rsid w:val="00B81288"/>
    <w:rsid w:val="00B81D70"/>
    <w:rsid w:val="00B83E07"/>
    <w:rsid w:val="00B84CF6"/>
    <w:rsid w:val="00B85016"/>
    <w:rsid w:val="00B8561A"/>
    <w:rsid w:val="00B92D1D"/>
    <w:rsid w:val="00B938C5"/>
    <w:rsid w:val="00B95940"/>
    <w:rsid w:val="00B95ACA"/>
    <w:rsid w:val="00B97ACC"/>
    <w:rsid w:val="00BA3787"/>
    <w:rsid w:val="00BA46E8"/>
    <w:rsid w:val="00BA6436"/>
    <w:rsid w:val="00BA684E"/>
    <w:rsid w:val="00BA6C2B"/>
    <w:rsid w:val="00BA7B64"/>
    <w:rsid w:val="00BB02A3"/>
    <w:rsid w:val="00BB0351"/>
    <w:rsid w:val="00BB15C3"/>
    <w:rsid w:val="00BB1AF4"/>
    <w:rsid w:val="00BB46F3"/>
    <w:rsid w:val="00BB4CB1"/>
    <w:rsid w:val="00BB4F98"/>
    <w:rsid w:val="00BB5ABF"/>
    <w:rsid w:val="00BB6EA2"/>
    <w:rsid w:val="00BB7B5B"/>
    <w:rsid w:val="00BC003F"/>
    <w:rsid w:val="00BC327F"/>
    <w:rsid w:val="00BC5332"/>
    <w:rsid w:val="00BC5C12"/>
    <w:rsid w:val="00BC7154"/>
    <w:rsid w:val="00BC731E"/>
    <w:rsid w:val="00BC7614"/>
    <w:rsid w:val="00BD25BB"/>
    <w:rsid w:val="00BD2AF8"/>
    <w:rsid w:val="00BD366B"/>
    <w:rsid w:val="00BD6C75"/>
    <w:rsid w:val="00BD6D50"/>
    <w:rsid w:val="00BE0AD1"/>
    <w:rsid w:val="00BE0EF9"/>
    <w:rsid w:val="00BE18B9"/>
    <w:rsid w:val="00BE190A"/>
    <w:rsid w:val="00BE2495"/>
    <w:rsid w:val="00BE24DD"/>
    <w:rsid w:val="00BE386D"/>
    <w:rsid w:val="00BF02C8"/>
    <w:rsid w:val="00BF1578"/>
    <w:rsid w:val="00BF1D12"/>
    <w:rsid w:val="00BF1D3A"/>
    <w:rsid w:val="00BF2B5B"/>
    <w:rsid w:val="00BF32DC"/>
    <w:rsid w:val="00BF4E43"/>
    <w:rsid w:val="00BF5C4C"/>
    <w:rsid w:val="00C01410"/>
    <w:rsid w:val="00C04B78"/>
    <w:rsid w:val="00C052AA"/>
    <w:rsid w:val="00C06EE3"/>
    <w:rsid w:val="00C07749"/>
    <w:rsid w:val="00C11D48"/>
    <w:rsid w:val="00C1493E"/>
    <w:rsid w:val="00C15DBD"/>
    <w:rsid w:val="00C21430"/>
    <w:rsid w:val="00C21E61"/>
    <w:rsid w:val="00C21F94"/>
    <w:rsid w:val="00C2479A"/>
    <w:rsid w:val="00C24903"/>
    <w:rsid w:val="00C2590D"/>
    <w:rsid w:val="00C27913"/>
    <w:rsid w:val="00C31F21"/>
    <w:rsid w:val="00C33311"/>
    <w:rsid w:val="00C33B68"/>
    <w:rsid w:val="00C35570"/>
    <w:rsid w:val="00C36A79"/>
    <w:rsid w:val="00C401D2"/>
    <w:rsid w:val="00C4031A"/>
    <w:rsid w:val="00C405D4"/>
    <w:rsid w:val="00C419D5"/>
    <w:rsid w:val="00C4513B"/>
    <w:rsid w:val="00C5390B"/>
    <w:rsid w:val="00C54697"/>
    <w:rsid w:val="00C553A5"/>
    <w:rsid w:val="00C55402"/>
    <w:rsid w:val="00C5603B"/>
    <w:rsid w:val="00C61F47"/>
    <w:rsid w:val="00C62828"/>
    <w:rsid w:val="00C71D2F"/>
    <w:rsid w:val="00C72984"/>
    <w:rsid w:val="00C73885"/>
    <w:rsid w:val="00C73C93"/>
    <w:rsid w:val="00C7435A"/>
    <w:rsid w:val="00C747B1"/>
    <w:rsid w:val="00C82191"/>
    <w:rsid w:val="00C83134"/>
    <w:rsid w:val="00C832F3"/>
    <w:rsid w:val="00C85545"/>
    <w:rsid w:val="00C855B5"/>
    <w:rsid w:val="00C85F0E"/>
    <w:rsid w:val="00C90CF4"/>
    <w:rsid w:val="00C922DE"/>
    <w:rsid w:val="00C92843"/>
    <w:rsid w:val="00C92EB6"/>
    <w:rsid w:val="00C93389"/>
    <w:rsid w:val="00CA0346"/>
    <w:rsid w:val="00CA37FF"/>
    <w:rsid w:val="00CA6AB4"/>
    <w:rsid w:val="00CB2351"/>
    <w:rsid w:val="00CB4930"/>
    <w:rsid w:val="00CB5E10"/>
    <w:rsid w:val="00CC0834"/>
    <w:rsid w:val="00CC20FE"/>
    <w:rsid w:val="00CC2E7D"/>
    <w:rsid w:val="00CC655F"/>
    <w:rsid w:val="00CC6FE5"/>
    <w:rsid w:val="00CC76BD"/>
    <w:rsid w:val="00CD10A5"/>
    <w:rsid w:val="00CD1129"/>
    <w:rsid w:val="00CD1A80"/>
    <w:rsid w:val="00CD2076"/>
    <w:rsid w:val="00CD24CE"/>
    <w:rsid w:val="00CD29B5"/>
    <w:rsid w:val="00CD2B78"/>
    <w:rsid w:val="00CD5C3E"/>
    <w:rsid w:val="00CD6331"/>
    <w:rsid w:val="00CE14BE"/>
    <w:rsid w:val="00CE1BA9"/>
    <w:rsid w:val="00CE2D8F"/>
    <w:rsid w:val="00CE62FA"/>
    <w:rsid w:val="00CE670B"/>
    <w:rsid w:val="00CE6833"/>
    <w:rsid w:val="00CF4908"/>
    <w:rsid w:val="00CF51EC"/>
    <w:rsid w:val="00CF545D"/>
    <w:rsid w:val="00CF5873"/>
    <w:rsid w:val="00CF73AE"/>
    <w:rsid w:val="00D03A72"/>
    <w:rsid w:val="00D040DD"/>
    <w:rsid w:val="00D05C65"/>
    <w:rsid w:val="00D06D68"/>
    <w:rsid w:val="00D075BE"/>
    <w:rsid w:val="00D10C15"/>
    <w:rsid w:val="00D12C25"/>
    <w:rsid w:val="00D133B4"/>
    <w:rsid w:val="00D13986"/>
    <w:rsid w:val="00D14C5B"/>
    <w:rsid w:val="00D15FED"/>
    <w:rsid w:val="00D214EF"/>
    <w:rsid w:val="00D21D6D"/>
    <w:rsid w:val="00D21D83"/>
    <w:rsid w:val="00D235B7"/>
    <w:rsid w:val="00D25F28"/>
    <w:rsid w:val="00D26071"/>
    <w:rsid w:val="00D27973"/>
    <w:rsid w:val="00D31E1E"/>
    <w:rsid w:val="00D334E2"/>
    <w:rsid w:val="00D35BBB"/>
    <w:rsid w:val="00D35E1A"/>
    <w:rsid w:val="00D36DFB"/>
    <w:rsid w:val="00D36E1C"/>
    <w:rsid w:val="00D373AF"/>
    <w:rsid w:val="00D40556"/>
    <w:rsid w:val="00D41F74"/>
    <w:rsid w:val="00D43ED2"/>
    <w:rsid w:val="00D50F46"/>
    <w:rsid w:val="00D544E7"/>
    <w:rsid w:val="00D56FBF"/>
    <w:rsid w:val="00D57677"/>
    <w:rsid w:val="00D60415"/>
    <w:rsid w:val="00D63BE5"/>
    <w:rsid w:val="00D6475F"/>
    <w:rsid w:val="00D66223"/>
    <w:rsid w:val="00D70822"/>
    <w:rsid w:val="00D72076"/>
    <w:rsid w:val="00D726A9"/>
    <w:rsid w:val="00D743E0"/>
    <w:rsid w:val="00D77252"/>
    <w:rsid w:val="00D8084C"/>
    <w:rsid w:val="00D82EF1"/>
    <w:rsid w:val="00D84F43"/>
    <w:rsid w:val="00D85821"/>
    <w:rsid w:val="00D8598C"/>
    <w:rsid w:val="00D87C06"/>
    <w:rsid w:val="00D915EA"/>
    <w:rsid w:val="00D922A1"/>
    <w:rsid w:val="00D928BE"/>
    <w:rsid w:val="00D95C5D"/>
    <w:rsid w:val="00D97D00"/>
    <w:rsid w:val="00DA096C"/>
    <w:rsid w:val="00DA1AB6"/>
    <w:rsid w:val="00DA5F8E"/>
    <w:rsid w:val="00DA6364"/>
    <w:rsid w:val="00DA7114"/>
    <w:rsid w:val="00DA7C0C"/>
    <w:rsid w:val="00DB08A9"/>
    <w:rsid w:val="00DB2DFA"/>
    <w:rsid w:val="00DB2EC8"/>
    <w:rsid w:val="00DB5E9A"/>
    <w:rsid w:val="00DB657E"/>
    <w:rsid w:val="00DB7342"/>
    <w:rsid w:val="00DC17D0"/>
    <w:rsid w:val="00DC2B41"/>
    <w:rsid w:val="00DC435B"/>
    <w:rsid w:val="00DC56FE"/>
    <w:rsid w:val="00DC5B3B"/>
    <w:rsid w:val="00DC6C2D"/>
    <w:rsid w:val="00DC7B1A"/>
    <w:rsid w:val="00DD129F"/>
    <w:rsid w:val="00DD32DD"/>
    <w:rsid w:val="00DE0D8B"/>
    <w:rsid w:val="00DF3643"/>
    <w:rsid w:val="00DF42FF"/>
    <w:rsid w:val="00DF4369"/>
    <w:rsid w:val="00DF4423"/>
    <w:rsid w:val="00DF5D1E"/>
    <w:rsid w:val="00E01C0E"/>
    <w:rsid w:val="00E0368F"/>
    <w:rsid w:val="00E03D73"/>
    <w:rsid w:val="00E03F9A"/>
    <w:rsid w:val="00E04694"/>
    <w:rsid w:val="00E129E7"/>
    <w:rsid w:val="00E12ABE"/>
    <w:rsid w:val="00E12B1E"/>
    <w:rsid w:val="00E1444C"/>
    <w:rsid w:val="00E17262"/>
    <w:rsid w:val="00E20016"/>
    <w:rsid w:val="00E2009B"/>
    <w:rsid w:val="00E2251C"/>
    <w:rsid w:val="00E2363D"/>
    <w:rsid w:val="00E253A2"/>
    <w:rsid w:val="00E27127"/>
    <w:rsid w:val="00E27233"/>
    <w:rsid w:val="00E31771"/>
    <w:rsid w:val="00E32080"/>
    <w:rsid w:val="00E3309D"/>
    <w:rsid w:val="00E417BE"/>
    <w:rsid w:val="00E41CD5"/>
    <w:rsid w:val="00E43A9E"/>
    <w:rsid w:val="00E453F9"/>
    <w:rsid w:val="00E45D7D"/>
    <w:rsid w:val="00E4665D"/>
    <w:rsid w:val="00E47854"/>
    <w:rsid w:val="00E47EBA"/>
    <w:rsid w:val="00E50156"/>
    <w:rsid w:val="00E5076C"/>
    <w:rsid w:val="00E50D2E"/>
    <w:rsid w:val="00E53470"/>
    <w:rsid w:val="00E539F6"/>
    <w:rsid w:val="00E54698"/>
    <w:rsid w:val="00E55791"/>
    <w:rsid w:val="00E578A2"/>
    <w:rsid w:val="00E61740"/>
    <w:rsid w:val="00E61EB5"/>
    <w:rsid w:val="00E6519D"/>
    <w:rsid w:val="00E66062"/>
    <w:rsid w:val="00E67305"/>
    <w:rsid w:val="00E67696"/>
    <w:rsid w:val="00E71A58"/>
    <w:rsid w:val="00E72A26"/>
    <w:rsid w:val="00E72A7A"/>
    <w:rsid w:val="00E747DC"/>
    <w:rsid w:val="00E75C94"/>
    <w:rsid w:val="00E76B9B"/>
    <w:rsid w:val="00E76E61"/>
    <w:rsid w:val="00E80CA3"/>
    <w:rsid w:val="00E82618"/>
    <w:rsid w:val="00E90CA8"/>
    <w:rsid w:val="00E930A1"/>
    <w:rsid w:val="00E93820"/>
    <w:rsid w:val="00E94A86"/>
    <w:rsid w:val="00E96143"/>
    <w:rsid w:val="00E96833"/>
    <w:rsid w:val="00EA0C68"/>
    <w:rsid w:val="00EA2841"/>
    <w:rsid w:val="00EA32BC"/>
    <w:rsid w:val="00EA35A7"/>
    <w:rsid w:val="00EA3B32"/>
    <w:rsid w:val="00EA4402"/>
    <w:rsid w:val="00EA513E"/>
    <w:rsid w:val="00EB0E32"/>
    <w:rsid w:val="00EB4511"/>
    <w:rsid w:val="00EB4A8E"/>
    <w:rsid w:val="00EB5BF7"/>
    <w:rsid w:val="00EB5E79"/>
    <w:rsid w:val="00EB6FAC"/>
    <w:rsid w:val="00EC03D7"/>
    <w:rsid w:val="00EC13A7"/>
    <w:rsid w:val="00ED0EF0"/>
    <w:rsid w:val="00ED12B9"/>
    <w:rsid w:val="00ED16B8"/>
    <w:rsid w:val="00ED2EA1"/>
    <w:rsid w:val="00ED4D04"/>
    <w:rsid w:val="00ED62C6"/>
    <w:rsid w:val="00ED64C1"/>
    <w:rsid w:val="00EE3446"/>
    <w:rsid w:val="00EE3E78"/>
    <w:rsid w:val="00EE4B1B"/>
    <w:rsid w:val="00EE5FBA"/>
    <w:rsid w:val="00EE6E06"/>
    <w:rsid w:val="00EF150D"/>
    <w:rsid w:val="00EF1F5A"/>
    <w:rsid w:val="00EF47BF"/>
    <w:rsid w:val="00EF5A13"/>
    <w:rsid w:val="00EF5FF9"/>
    <w:rsid w:val="00F0160B"/>
    <w:rsid w:val="00F03F8D"/>
    <w:rsid w:val="00F04811"/>
    <w:rsid w:val="00F0488C"/>
    <w:rsid w:val="00F073ED"/>
    <w:rsid w:val="00F07C4C"/>
    <w:rsid w:val="00F10F11"/>
    <w:rsid w:val="00F12CFB"/>
    <w:rsid w:val="00F15AAA"/>
    <w:rsid w:val="00F15BEF"/>
    <w:rsid w:val="00F17898"/>
    <w:rsid w:val="00F207C2"/>
    <w:rsid w:val="00F219A1"/>
    <w:rsid w:val="00F23E20"/>
    <w:rsid w:val="00F24407"/>
    <w:rsid w:val="00F24FAA"/>
    <w:rsid w:val="00F25040"/>
    <w:rsid w:val="00F27071"/>
    <w:rsid w:val="00F27331"/>
    <w:rsid w:val="00F27EE5"/>
    <w:rsid w:val="00F30C65"/>
    <w:rsid w:val="00F3364D"/>
    <w:rsid w:val="00F349BF"/>
    <w:rsid w:val="00F437CC"/>
    <w:rsid w:val="00F44537"/>
    <w:rsid w:val="00F44E4B"/>
    <w:rsid w:val="00F46185"/>
    <w:rsid w:val="00F46423"/>
    <w:rsid w:val="00F4696A"/>
    <w:rsid w:val="00F47067"/>
    <w:rsid w:val="00F525EB"/>
    <w:rsid w:val="00F52CB5"/>
    <w:rsid w:val="00F63AAE"/>
    <w:rsid w:val="00F63DDE"/>
    <w:rsid w:val="00F63FB7"/>
    <w:rsid w:val="00F6421B"/>
    <w:rsid w:val="00F649D2"/>
    <w:rsid w:val="00F6602B"/>
    <w:rsid w:val="00F7150B"/>
    <w:rsid w:val="00F73A0C"/>
    <w:rsid w:val="00F756DB"/>
    <w:rsid w:val="00F767A8"/>
    <w:rsid w:val="00F84E7D"/>
    <w:rsid w:val="00F85066"/>
    <w:rsid w:val="00F87A4D"/>
    <w:rsid w:val="00F93688"/>
    <w:rsid w:val="00F939F3"/>
    <w:rsid w:val="00FA0105"/>
    <w:rsid w:val="00FA05A0"/>
    <w:rsid w:val="00FA17CC"/>
    <w:rsid w:val="00FA1F01"/>
    <w:rsid w:val="00FA5112"/>
    <w:rsid w:val="00FA5526"/>
    <w:rsid w:val="00FA5D4D"/>
    <w:rsid w:val="00FA70D3"/>
    <w:rsid w:val="00FB0AEA"/>
    <w:rsid w:val="00FB0EE2"/>
    <w:rsid w:val="00FB1A79"/>
    <w:rsid w:val="00FB208B"/>
    <w:rsid w:val="00FB2B2D"/>
    <w:rsid w:val="00FB542E"/>
    <w:rsid w:val="00FB7DBB"/>
    <w:rsid w:val="00FC05F8"/>
    <w:rsid w:val="00FC0E5F"/>
    <w:rsid w:val="00FC1A95"/>
    <w:rsid w:val="00FC3BEC"/>
    <w:rsid w:val="00FC440B"/>
    <w:rsid w:val="00FC56DE"/>
    <w:rsid w:val="00FC64DE"/>
    <w:rsid w:val="00FC684B"/>
    <w:rsid w:val="00FC7D98"/>
    <w:rsid w:val="00FD1135"/>
    <w:rsid w:val="00FD3265"/>
    <w:rsid w:val="00FD3CF7"/>
    <w:rsid w:val="00FD4916"/>
    <w:rsid w:val="00FD4D12"/>
    <w:rsid w:val="00FE27C7"/>
    <w:rsid w:val="00FE2C7E"/>
    <w:rsid w:val="00FE2F78"/>
    <w:rsid w:val="00FE3137"/>
    <w:rsid w:val="00FE48E4"/>
    <w:rsid w:val="00FE634C"/>
    <w:rsid w:val="00FE6E69"/>
    <w:rsid w:val="00FF3D76"/>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titul">
    <w:name w:val="Subtitle"/>
    <w:link w:val="Podtitul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titulChar">
    <w:name w:val="Podtitul Char"/>
    <w:link w:val="Podtitul"/>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vraznn">
    <w:name w:val="Emphasis"/>
    <w:basedOn w:val="Standardnpsmoodstavce"/>
    <w:uiPriority w:val="20"/>
    <w:qFormat/>
    <w:rsid w:val="00965797"/>
    <w:rPr>
      <w:i/>
      <w:iCs/>
    </w:rPr>
  </w:style>
  <w:style w:type="paragraph" w:styleId="Rozvrendokumentu">
    <w:name w:val="Document Map"/>
    <w:basedOn w:val="Normln"/>
    <w:link w:val="RozvrendokumentuChar"/>
    <w:uiPriority w:val="99"/>
    <w:semiHidden/>
    <w:rsid w:val="00AD5AD2"/>
    <w:pPr>
      <w:spacing w:after="0" w:line="288" w:lineRule="auto"/>
      <w:jc w:val="left"/>
    </w:pPr>
    <w:rPr>
      <w:rFonts w:ascii="Tahoma" w:eastAsia="Calibri" w:hAnsi="Tahoma" w:cs="Tahoma"/>
      <w:sz w:val="16"/>
      <w:szCs w:val="16"/>
    </w:rPr>
  </w:style>
  <w:style w:type="character" w:customStyle="1" w:styleId="RozvrendokumentuChar">
    <w:name w:val="Rozvržení dokumentu Char"/>
    <w:basedOn w:val="Standardnpsmoodstavce"/>
    <w:link w:val="Rozvr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9"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JKAM%20CSU\PUBLIKACE\PUBLIKACE\2018\QMakro\1-3.&#269;tvrtlet&#237;\Trh%20pr&#225;ce\Grafy-trh%20pr&#225;ce-2018-3q.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KAM%20CSU\PUBLIKACE\PUBLIKACE\2018\QMakro\1-3.&#269;tvrtlet&#237;\Grafy-trh%20pr&#225;ce-2018-3q.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JKAM%20CSU\PUBLIKACE\PUBLIKACE\2018\QMakro\1-3.&#269;tvrtlet&#237;\Trh%20pr&#225;ce\Grafy-trh%20pr&#225;ce-2018-3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3306663279993914E-2"/>
          <c:y val="1.6549886621315468E-2"/>
          <c:w val="0.92698007507126057"/>
          <c:h val="0.73872874149660062"/>
        </c:manualLayout>
      </c:layout>
      <c:barChart>
        <c:barDir val="col"/>
        <c:grouping val="clustered"/>
        <c:ser>
          <c:idx val="0"/>
          <c:order val="0"/>
          <c:tx>
            <c:strRef>
              <c:f>'Trh práce 1'!$C$7</c:f>
              <c:strCache>
                <c:ptCount val="1"/>
                <c:pt idx="0">
                  <c:v>Zaměstnanost celkem</c:v>
                </c:pt>
              </c:strCache>
            </c:strRef>
          </c:tx>
          <c:spPr>
            <a:solidFill>
              <a:schemeClr val="bg1">
                <a:lumMod val="50000"/>
              </a:schemeClr>
            </a:solidFill>
          </c:spPr>
          <c:cat>
            <c:multiLvlStrRef>
              <c:f>'Trh práce 1'!$A$8:$B$42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1'!$C$8:$C$42</c:f>
              <c:numCache>
                <c:formatCode>#,##0.0</c:formatCode>
                <c:ptCount val="35"/>
                <c:pt idx="0" formatCode="0.0">
                  <c:v>-2.7381041866623614</c:v>
                </c:pt>
                <c:pt idx="1">
                  <c:v>-1.2505567915665665</c:v>
                </c:pt>
                <c:pt idx="2">
                  <c:v>-0.17427926968461802</c:v>
                </c:pt>
                <c:pt idx="3">
                  <c:v>6.0614151097240804E-2</c:v>
                </c:pt>
                <c:pt idx="4" formatCode="0.0">
                  <c:v>0.11145596456296385</c:v>
                </c:pt>
                <c:pt idx="5">
                  <c:v>-4.6137088139772704E-3</c:v>
                </c:pt>
                <c:pt idx="6">
                  <c:v>-0.42422240518249388</c:v>
                </c:pt>
                <c:pt idx="7">
                  <c:v>-0.77006647161284969</c:v>
                </c:pt>
                <c:pt idx="8" formatCode="0.0">
                  <c:v>-5.1815959871305502E-2</c:v>
                </c:pt>
                <c:pt idx="9">
                  <c:v>0.17631913605207403</c:v>
                </c:pt>
                <c:pt idx="10">
                  <c:v>0.66708744164916278</c:v>
                </c:pt>
                <c:pt idx="11">
                  <c:v>0.8889030110695918</c:v>
                </c:pt>
                <c:pt idx="12" formatCode="0.0">
                  <c:v>0.45616124448188849</c:v>
                </c:pt>
                <c:pt idx="13">
                  <c:v>0.71087471075373065</c:v>
                </c:pt>
                <c:pt idx="14">
                  <c:v>0.10068664831696612</c:v>
                </c:pt>
                <c:pt idx="15">
                  <c:v>2.3089733040947628E-2</c:v>
                </c:pt>
                <c:pt idx="16" formatCode="0.0">
                  <c:v>0.57169387931377824</c:v>
                </c:pt>
                <c:pt idx="17">
                  <c:v>8.8541257752993527E-2</c:v>
                </c:pt>
                <c:pt idx="18">
                  <c:v>0.60803248290413592</c:v>
                </c:pt>
                <c:pt idx="19">
                  <c:v>0.94037946192678135</c:v>
                </c:pt>
                <c:pt idx="20" formatCode="0.0">
                  <c:v>1.279903307112904</c:v>
                </c:pt>
                <c:pt idx="21">
                  <c:v>1.7553744025418319</c:v>
                </c:pt>
                <c:pt idx="22">
                  <c:v>1.3207067653574698</c:v>
                </c:pt>
                <c:pt idx="23">
                  <c:v>1.3555691727477779</c:v>
                </c:pt>
                <c:pt idx="24" formatCode="0.0">
                  <c:v>1.5606007684247203</c:v>
                </c:pt>
                <c:pt idx="25">
                  <c:v>1.4363180243380864</c:v>
                </c:pt>
                <c:pt idx="26">
                  <c:v>1.5066818180591277</c:v>
                </c:pt>
                <c:pt idx="27">
                  <c:v>1.8553413510311998</c:v>
                </c:pt>
                <c:pt idx="28" formatCode="0.0">
                  <c:v>1.4581308045513321</c:v>
                </c:pt>
                <c:pt idx="29">
                  <c:v>1.3544793041543386</c:v>
                </c:pt>
                <c:pt idx="30">
                  <c:v>1.971163799571116</c:v>
                </c:pt>
                <c:pt idx="31">
                  <c:v>1.4311104245249311</c:v>
                </c:pt>
                <c:pt idx="32" formatCode="0.0">
                  <c:v>1.7244931395405709</c:v>
                </c:pt>
                <c:pt idx="33">
                  <c:v>1.8589209922615311</c:v>
                </c:pt>
                <c:pt idx="34">
                  <c:v>1.1739929107473159</c:v>
                </c:pt>
              </c:numCache>
            </c:numRef>
          </c:val>
          <c:extLst xmlns:c16r2="http://schemas.microsoft.com/office/drawing/2015/06/chart">
            <c:ext xmlns:c16="http://schemas.microsoft.com/office/drawing/2014/chart" uri="{C3380CC4-5D6E-409C-BE32-E72D297353CC}">
              <c16:uniqueId val="{00000000-6994-46C7-84D6-D6E11C808F46}"/>
            </c:ext>
          </c:extLst>
        </c:ser>
        <c:ser>
          <c:idx val="1"/>
          <c:order val="1"/>
          <c:tx>
            <c:strRef>
              <c:f>'Trh práce 1'!$D$7</c:f>
              <c:strCache>
                <c:ptCount val="1"/>
                <c:pt idx="0">
                  <c:v>z toho zaměstnanci</c:v>
                </c:pt>
              </c:strCache>
            </c:strRef>
          </c:tx>
          <c:spPr>
            <a:solidFill>
              <a:srgbClr val="B4B4B4"/>
            </a:solidFill>
          </c:spPr>
          <c:cat>
            <c:multiLvlStrRef>
              <c:f>'Trh práce 1'!$A$8:$B$42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1'!$D$8:$D$42</c:f>
              <c:numCache>
                <c:formatCode>#,##0.0</c:formatCode>
                <c:ptCount val="35"/>
                <c:pt idx="0" formatCode="0.0">
                  <c:v>-3.7238599978920952</c:v>
                </c:pt>
                <c:pt idx="1">
                  <c:v>-2.2250199470258591</c:v>
                </c:pt>
                <c:pt idx="2">
                  <c:v>-0.93022834124350595</c:v>
                </c:pt>
                <c:pt idx="3">
                  <c:v>-0.89032927193725797</c:v>
                </c:pt>
                <c:pt idx="4" formatCode="0.0">
                  <c:v>-0.12341609911226215</c:v>
                </c:pt>
                <c:pt idx="5">
                  <c:v>-0.18672815126416362</c:v>
                </c:pt>
                <c:pt idx="6">
                  <c:v>-0.6670942039136859</c:v>
                </c:pt>
                <c:pt idx="7">
                  <c:v>-1.0192253136113998</c:v>
                </c:pt>
                <c:pt idx="8" formatCode="0.0">
                  <c:v>-0.29166536743647958</c:v>
                </c:pt>
                <c:pt idx="9">
                  <c:v>9.4588410678824245E-2</c:v>
                </c:pt>
                <c:pt idx="10">
                  <c:v>1.1245661662085606</c:v>
                </c:pt>
                <c:pt idx="11">
                  <c:v>1.4587153264166661</c:v>
                </c:pt>
                <c:pt idx="12" formatCode="0.0">
                  <c:v>1.3720202353557625</c:v>
                </c:pt>
                <c:pt idx="13">
                  <c:v>1.637001199501342</c:v>
                </c:pt>
                <c:pt idx="14">
                  <c:v>0.33183104158504956</c:v>
                </c:pt>
                <c:pt idx="15">
                  <c:v>0.47892798705023026</c:v>
                </c:pt>
                <c:pt idx="16" formatCode="0.0">
                  <c:v>0.6628196747670646</c:v>
                </c:pt>
                <c:pt idx="17">
                  <c:v>0.1890145714189515</c:v>
                </c:pt>
                <c:pt idx="18">
                  <c:v>1.256531434938978</c:v>
                </c:pt>
                <c:pt idx="19">
                  <c:v>1.433287010929547</c:v>
                </c:pt>
                <c:pt idx="20" formatCode="0.0">
                  <c:v>1.799358376969538</c:v>
                </c:pt>
                <c:pt idx="21">
                  <c:v>2.2053914248097755</c:v>
                </c:pt>
                <c:pt idx="22">
                  <c:v>1.7713405899241375</c:v>
                </c:pt>
                <c:pt idx="23">
                  <c:v>2.0227470417809212</c:v>
                </c:pt>
                <c:pt idx="24" formatCode="0.0">
                  <c:v>2.3559401045087438</c:v>
                </c:pt>
                <c:pt idx="25">
                  <c:v>1.8360439848082697</c:v>
                </c:pt>
                <c:pt idx="26">
                  <c:v>1.6567099736308324</c:v>
                </c:pt>
                <c:pt idx="27">
                  <c:v>1.5009092671482298</c:v>
                </c:pt>
                <c:pt idx="28" formatCode="0.0">
                  <c:v>1.1774496686166742</c:v>
                </c:pt>
                <c:pt idx="29">
                  <c:v>1.5793912477550842</c:v>
                </c:pt>
                <c:pt idx="30">
                  <c:v>2.2718731045776366</c:v>
                </c:pt>
                <c:pt idx="31">
                  <c:v>2.2289851379571992</c:v>
                </c:pt>
                <c:pt idx="32" formatCode="0.0">
                  <c:v>2.1005323013383492</c:v>
                </c:pt>
                <c:pt idx="33">
                  <c:v>2.1777964176557711</c:v>
                </c:pt>
                <c:pt idx="34">
                  <c:v>1.2183088031717961</c:v>
                </c:pt>
              </c:numCache>
            </c:numRef>
          </c:val>
          <c:extLst xmlns:c16r2="http://schemas.microsoft.com/office/drawing/2015/06/chart">
            <c:ext xmlns:c16="http://schemas.microsoft.com/office/drawing/2014/chart" uri="{C3380CC4-5D6E-409C-BE32-E72D297353CC}">
              <c16:uniqueId val="{00000001-6994-46C7-84D6-D6E11C808F46}"/>
            </c:ext>
          </c:extLst>
        </c:ser>
        <c:gapWidth val="39"/>
        <c:axId val="176419968"/>
        <c:axId val="176431104"/>
      </c:barChart>
      <c:lineChart>
        <c:grouping val="standard"/>
        <c:ser>
          <c:idx val="2"/>
          <c:order val="2"/>
          <c:tx>
            <c:strRef>
              <c:f>'Trh práce 1'!$E$7</c:f>
              <c:strCache>
                <c:ptCount val="1"/>
                <c:pt idx="0">
                  <c:v>Zpracovatelský průmysl</c:v>
                </c:pt>
              </c:strCache>
            </c:strRef>
          </c:tx>
          <c:spPr>
            <a:ln w="19050">
              <a:solidFill>
                <a:srgbClr val="0071BC"/>
              </a:solidFill>
            </a:ln>
          </c:spPr>
          <c:marker>
            <c:symbol val="none"/>
          </c:marker>
          <c:cat>
            <c:multiLvlStrRef>
              <c:f>'Trh práce 1'!$A$8:$B$42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1'!$E$8:$E$42</c:f>
              <c:numCache>
                <c:formatCode>#,##0.0</c:formatCode>
                <c:ptCount val="35"/>
                <c:pt idx="0" formatCode="0.0">
                  <c:v>-7.1332078462748711</c:v>
                </c:pt>
                <c:pt idx="1">
                  <c:v>-3.3482411734364477</c:v>
                </c:pt>
                <c:pt idx="2">
                  <c:v>-1.2052631661814672</c:v>
                </c:pt>
                <c:pt idx="3">
                  <c:v>-0.57107831908665219</c:v>
                </c:pt>
                <c:pt idx="4" formatCode="0.0">
                  <c:v>3.9580574022400277</c:v>
                </c:pt>
                <c:pt idx="5">
                  <c:v>4.2919823025534782</c:v>
                </c:pt>
                <c:pt idx="6">
                  <c:v>3.8646896455003912</c:v>
                </c:pt>
                <c:pt idx="7">
                  <c:v>2.3288126114159979</c:v>
                </c:pt>
                <c:pt idx="8" formatCode="0.0">
                  <c:v>0.6016137349142241</c:v>
                </c:pt>
                <c:pt idx="9">
                  <c:v>0.50971749516826037</c:v>
                </c:pt>
                <c:pt idx="10">
                  <c:v>1.203496561438385</c:v>
                </c:pt>
                <c:pt idx="11">
                  <c:v>1.6445011338308648</c:v>
                </c:pt>
                <c:pt idx="12" formatCode="0.0">
                  <c:v>-0.18120299422963626</c:v>
                </c:pt>
                <c:pt idx="13">
                  <c:v>0.16218486178085767</c:v>
                </c:pt>
                <c:pt idx="14">
                  <c:v>-0.4013981847250393</c:v>
                </c:pt>
                <c:pt idx="15">
                  <c:v>-0.2139320885912519</c:v>
                </c:pt>
                <c:pt idx="16" formatCode="0.0">
                  <c:v>0.79071862165065454</c:v>
                </c:pt>
                <c:pt idx="17">
                  <c:v>0.76464129428227889</c:v>
                </c:pt>
                <c:pt idx="18">
                  <c:v>1.5390716097192718</c:v>
                </c:pt>
                <c:pt idx="19">
                  <c:v>2.0806847032475715</c:v>
                </c:pt>
                <c:pt idx="20" formatCode="0.0">
                  <c:v>3.4865140664336582</c:v>
                </c:pt>
                <c:pt idx="21">
                  <c:v>3.6924773080814952</c:v>
                </c:pt>
                <c:pt idx="22">
                  <c:v>3.1131166772233891</c:v>
                </c:pt>
                <c:pt idx="23">
                  <c:v>3.7778262652801202</c:v>
                </c:pt>
                <c:pt idx="24" formatCode="0.0">
                  <c:v>3.3181239122508397</c:v>
                </c:pt>
                <c:pt idx="25">
                  <c:v>2.4934494064047716</c:v>
                </c:pt>
                <c:pt idx="26">
                  <c:v>2.752988522793018</c:v>
                </c:pt>
                <c:pt idx="27">
                  <c:v>2.2496840818432142</c:v>
                </c:pt>
                <c:pt idx="28" formatCode="0.0">
                  <c:v>0.71909348215268665</c:v>
                </c:pt>
                <c:pt idx="29">
                  <c:v>1.1727323562576828</c:v>
                </c:pt>
                <c:pt idx="30">
                  <c:v>1.6495621401575846</c:v>
                </c:pt>
                <c:pt idx="31">
                  <c:v>1.6025319425267821</c:v>
                </c:pt>
                <c:pt idx="32" formatCode="0.0">
                  <c:v>2.4397042593575202</c:v>
                </c:pt>
                <c:pt idx="33">
                  <c:v>2.0667152655168772</c:v>
                </c:pt>
                <c:pt idx="34">
                  <c:v>1.4604860027477997</c:v>
                </c:pt>
              </c:numCache>
            </c:numRef>
          </c:val>
          <c:extLst xmlns:c16r2="http://schemas.microsoft.com/office/drawing/2015/06/chart">
            <c:ext xmlns:c16="http://schemas.microsoft.com/office/drawing/2014/chart" uri="{C3380CC4-5D6E-409C-BE32-E72D297353CC}">
              <c16:uniqueId val="{00000002-6994-46C7-84D6-D6E11C808F46}"/>
            </c:ext>
          </c:extLst>
        </c:ser>
        <c:ser>
          <c:idx val="3"/>
          <c:order val="3"/>
          <c:tx>
            <c:strRef>
              <c:f>'Trh práce 1'!$F$7</c:f>
              <c:strCache>
                <c:ptCount val="1"/>
                <c:pt idx="0">
                  <c:v>Stavebnictví</c:v>
                </c:pt>
              </c:strCache>
            </c:strRef>
          </c:tx>
          <c:spPr>
            <a:ln w="19050">
              <a:solidFill>
                <a:srgbClr val="7DBB2D"/>
              </a:solidFill>
            </a:ln>
          </c:spPr>
          <c:marker>
            <c:symbol val="none"/>
          </c:marker>
          <c:cat>
            <c:multiLvlStrRef>
              <c:f>'Trh práce 1'!$A$8:$B$42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1'!$F$8:$F$42</c:f>
              <c:numCache>
                <c:formatCode>#,##0.0</c:formatCode>
                <c:ptCount val="35"/>
                <c:pt idx="0" formatCode="0.0">
                  <c:v>1.017150907000584</c:v>
                </c:pt>
                <c:pt idx="1">
                  <c:v>1.5693791045548409</c:v>
                </c:pt>
                <c:pt idx="2">
                  <c:v>2.0348623615295187</c:v>
                </c:pt>
                <c:pt idx="3">
                  <c:v>2.0719031464400643</c:v>
                </c:pt>
                <c:pt idx="4" formatCode="0.0">
                  <c:v>-4.9720244150559552</c:v>
                </c:pt>
                <c:pt idx="5">
                  <c:v>-4.9425484989163522</c:v>
                </c:pt>
                <c:pt idx="6">
                  <c:v>-5.3929895160436265</c:v>
                </c:pt>
                <c:pt idx="7">
                  <c:v>-5.2321963671733158</c:v>
                </c:pt>
                <c:pt idx="8" formatCode="0.0">
                  <c:v>-0.9788572193228946</c:v>
                </c:pt>
                <c:pt idx="9">
                  <c:v>-0.65027723873348675</c:v>
                </c:pt>
                <c:pt idx="10">
                  <c:v>-1.6611184117737945</c:v>
                </c:pt>
                <c:pt idx="11">
                  <c:v>-1.8463324339587222</c:v>
                </c:pt>
                <c:pt idx="12" formatCode="0.0">
                  <c:v>-2.4007243390068709</c:v>
                </c:pt>
                <c:pt idx="13">
                  <c:v>-3.6830996837470402</c:v>
                </c:pt>
                <c:pt idx="14">
                  <c:v>-2.2125495427610202</c:v>
                </c:pt>
                <c:pt idx="15">
                  <c:v>-1.1077701445443751</c:v>
                </c:pt>
                <c:pt idx="16" formatCode="0.0">
                  <c:v>-5.0446309065566295</c:v>
                </c:pt>
                <c:pt idx="17">
                  <c:v>-3.6409800448530012</c:v>
                </c:pt>
                <c:pt idx="18">
                  <c:v>-4.2835724994645945</c:v>
                </c:pt>
                <c:pt idx="19">
                  <c:v>-5.2633644622470541</c:v>
                </c:pt>
                <c:pt idx="20" formatCode="0.0">
                  <c:v>-0.14824824046351748</c:v>
                </c:pt>
                <c:pt idx="21">
                  <c:v>-6.0303844188425333E-2</c:v>
                </c:pt>
                <c:pt idx="22">
                  <c:v>-0.63237568953272261</c:v>
                </c:pt>
                <c:pt idx="23">
                  <c:v>-1.0159694112543622</c:v>
                </c:pt>
                <c:pt idx="24" formatCode="0.0">
                  <c:v>-2.1868656629233243</c:v>
                </c:pt>
                <c:pt idx="25">
                  <c:v>-2.5342897300441067</c:v>
                </c:pt>
                <c:pt idx="26">
                  <c:v>-1.1176165346544309</c:v>
                </c:pt>
                <c:pt idx="27">
                  <c:v>-0.83584044433720861</c:v>
                </c:pt>
                <c:pt idx="28" formatCode="0.0">
                  <c:v>-2.8864553084645195E-2</c:v>
                </c:pt>
                <c:pt idx="29">
                  <c:v>-9.1247681513266329E-2</c:v>
                </c:pt>
                <c:pt idx="30">
                  <c:v>0.82503675906350793</c:v>
                </c:pt>
                <c:pt idx="31">
                  <c:v>-1.0750205445612206</c:v>
                </c:pt>
                <c:pt idx="32" formatCode="0.0">
                  <c:v>-0.5702395205109525</c:v>
                </c:pt>
                <c:pt idx="33">
                  <c:v>-0.75030796222329255</c:v>
                </c:pt>
                <c:pt idx="34">
                  <c:v>-0.75936314645912262</c:v>
                </c:pt>
              </c:numCache>
            </c:numRef>
          </c:val>
          <c:extLst xmlns:c16r2="http://schemas.microsoft.com/office/drawing/2015/06/chart">
            <c:ext xmlns:c16="http://schemas.microsoft.com/office/drawing/2014/chart" uri="{C3380CC4-5D6E-409C-BE32-E72D297353CC}">
              <c16:uniqueId val="{00000003-6994-46C7-84D6-D6E11C808F46}"/>
            </c:ext>
          </c:extLst>
        </c:ser>
        <c:ser>
          <c:idx val="4"/>
          <c:order val="4"/>
          <c:tx>
            <c:strRef>
              <c:f>'Trh práce 1'!$G$7</c:f>
              <c:strCache>
                <c:ptCount val="1"/>
                <c:pt idx="0">
                  <c:v>Obchod, doprava, ubytování a pohost.</c:v>
                </c:pt>
              </c:strCache>
            </c:strRef>
          </c:tx>
          <c:spPr>
            <a:ln w="19050">
              <a:solidFill>
                <a:srgbClr val="BD1B21"/>
              </a:solidFill>
            </a:ln>
          </c:spPr>
          <c:marker>
            <c:symbol val="none"/>
          </c:marker>
          <c:cat>
            <c:multiLvlStrRef>
              <c:f>'Trh práce 1'!$A$8:$B$42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1'!$G$8:$G$42</c:f>
              <c:numCache>
                <c:formatCode>#,##0.0</c:formatCode>
                <c:ptCount val="35"/>
                <c:pt idx="0" formatCode="0.0">
                  <c:v>-1.3633198763318581</c:v>
                </c:pt>
                <c:pt idx="1">
                  <c:v>-0.54035622593067956</c:v>
                </c:pt>
                <c:pt idx="2">
                  <c:v>0.55930687282225822</c:v>
                </c:pt>
                <c:pt idx="3">
                  <c:v>1.0934620603885901</c:v>
                </c:pt>
                <c:pt idx="4" formatCode="0.0">
                  <c:v>-0.18173575863548341</c:v>
                </c:pt>
                <c:pt idx="5">
                  <c:v>-0.33952721098038074</c:v>
                </c:pt>
                <c:pt idx="6">
                  <c:v>-0.36432124495425805</c:v>
                </c:pt>
                <c:pt idx="7">
                  <c:v>-0.69391217013343054</c:v>
                </c:pt>
                <c:pt idx="8" formatCode="0.0">
                  <c:v>-0.53508939107021547</c:v>
                </c:pt>
                <c:pt idx="9">
                  <c:v>-0.4032519167011917</c:v>
                </c:pt>
                <c:pt idx="10">
                  <c:v>-0.34067487144116682</c:v>
                </c:pt>
                <c:pt idx="11">
                  <c:v>-0.81199507383202274</c:v>
                </c:pt>
                <c:pt idx="12" formatCode="0.0">
                  <c:v>0.85701449774025207</c:v>
                </c:pt>
                <c:pt idx="13">
                  <c:v>0.65405689189694249</c:v>
                </c:pt>
                <c:pt idx="14">
                  <c:v>5.1664001267752696E-2</c:v>
                </c:pt>
                <c:pt idx="15">
                  <c:v>6.9114625386518982E-2</c:v>
                </c:pt>
                <c:pt idx="16" formatCode="0.0">
                  <c:v>-0.19402123562424842</c:v>
                </c:pt>
                <c:pt idx="17">
                  <c:v>-0.97995836973424433</c:v>
                </c:pt>
                <c:pt idx="18">
                  <c:v>-0.44655375413037729</c:v>
                </c:pt>
                <c:pt idx="19">
                  <c:v>0.53620283239253363</c:v>
                </c:pt>
                <c:pt idx="20" formatCode="0.0">
                  <c:v>0.53896959122874932</c:v>
                </c:pt>
                <c:pt idx="21">
                  <c:v>1.5878374246260403</c:v>
                </c:pt>
                <c:pt idx="22">
                  <c:v>0.90466260427565659</c:v>
                </c:pt>
                <c:pt idx="23">
                  <c:v>0.3413912663967128</c:v>
                </c:pt>
                <c:pt idx="24" formatCode="0.0">
                  <c:v>0.34699395439371039</c:v>
                </c:pt>
                <c:pt idx="25">
                  <c:v>0.95789407781626323</c:v>
                </c:pt>
                <c:pt idx="26">
                  <c:v>-2.509862472408031E-2</c:v>
                </c:pt>
                <c:pt idx="27">
                  <c:v>0.50768658267243438</c:v>
                </c:pt>
                <c:pt idx="28" formatCode="0.0">
                  <c:v>1.3004811571536408</c:v>
                </c:pt>
                <c:pt idx="29">
                  <c:v>0.66243067216200713</c:v>
                </c:pt>
                <c:pt idx="30">
                  <c:v>2.1398730591961197</c:v>
                </c:pt>
                <c:pt idx="31">
                  <c:v>1.5755515432150702</c:v>
                </c:pt>
                <c:pt idx="32" formatCode="0.0">
                  <c:v>1.0968212868450278</c:v>
                </c:pt>
                <c:pt idx="33">
                  <c:v>2.2034966559357612</c:v>
                </c:pt>
                <c:pt idx="34">
                  <c:v>1.4785981795808709</c:v>
                </c:pt>
              </c:numCache>
            </c:numRef>
          </c:val>
          <c:extLst xmlns:c16r2="http://schemas.microsoft.com/office/drawing/2015/06/chart">
            <c:ext xmlns:c16="http://schemas.microsoft.com/office/drawing/2014/chart" uri="{C3380CC4-5D6E-409C-BE32-E72D297353CC}">
              <c16:uniqueId val="{00000004-6994-46C7-84D6-D6E11C808F46}"/>
            </c:ext>
          </c:extLst>
        </c:ser>
        <c:ser>
          <c:idx val="5"/>
          <c:order val="5"/>
          <c:tx>
            <c:strRef>
              <c:f>'Trh práce 1'!$H$7</c:f>
              <c:strCache>
                <c:ptCount val="1"/>
                <c:pt idx="0">
                  <c:v>Veř.spr.,obrana,vzděl.,zdrav.a soc.péče</c:v>
                </c:pt>
              </c:strCache>
            </c:strRef>
          </c:tx>
          <c:spPr>
            <a:ln w="19050">
              <a:solidFill>
                <a:srgbClr val="F8A124"/>
              </a:solidFill>
            </a:ln>
          </c:spPr>
          <c:marker>
            <c:symbol val="none"/>
          </c:marker>
          <c:cat>
            <c:multiLvlStrRef>
              <c:f>'Trh práce 1'!$A$8:$B$42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1'!$H$8:$H$42</c:f>
              <c:numCache>
                <c:formatCode>#,##0.0</c:formatCode>
                <c:ptCount val="35"/>
                <c:pt idx="0" formatCode="0.0">
                  <c:v>-0.1196356089529908</c:v>
                </c:pt>
                <c:pt idx="1">
                  <c:v>-0.35742551507569265</c:v>
                </c:pt>
                <c:pt idx="2">
                  <c:v>-0.16003073304796206</c:v>
                </c:pt>
                <c:pt idx="3">
                  <c:v>-0.12721260673563961</c:v>
                </c:pt>
                <c:pt idx="4" formatCode="0.0">
                  <c:v>-0.52992756807859165</c:v>
                </c:pt>
                <c:pt idx="5">
                  <c:v>-0.82580734281198431</c:v>
                </c:pt>
                <c:pt idx="6">
                  <c:v>-0.94975503903715763</c:v>
                </c:pt>
                <c:pt idx="7">
                  <c:v>-0.73535528868961864</c:v>
                </c:pt>
                <c:pt idx="8" formatCode="0.0">
                  <c:v>-2.4491844584127356</c:v>
                </c:pt>
                <c:pt idx="9">
                  <c:v>-1.8478995882074023</c:v>
                </c:pt>
                <c:pt idx="10">
                  <c:v>-0.33618323058873045</c:v>
                </c:pt>
                <c:pt idx="11">
                  <c:v>0.22730335767944629</c:v>
                </c:pt>
                <c:pt idx="12" formatCode="0.0">
                  <c:v>0.87138363811224906</c:v>
                </c:pt>
                <c:pt idx="13">
                  <c:v>2.1694821372780777</c:v>
                </c:pt>
                <c:pt idx="14">
                  <c:v>1.0800496741268601</c:v>
                </c:pt>
                <c:pt idx="15">
                  <c:v>0.87924083130690589</c:v>
                </c:pt>
                <c:pt idx="16" formatCode="0.0">
                  <c:v>1.5182514773659079</c:v>
                </c:pt>
                <c:pt idx="17">
                  <c:v>0.94515883328105665</c:v>
                </c:pt>
                <c:pt idx="18">
                  <c:v>1.97223579842256</c:v>
                </c:pt>
                <c:pt idx="19">
                  <c:v>2.0265494556700627</c:v>
                </c:pt>
                <c:pt idx="20" formatCode="0.0">
                  <c:v>1.4780542313438341</c:v>
                </c:pt>
                <c:pt idx="21">
                  <c:v>1.3509794739890708</c:v>
                </c:pt>
                <c:pt idx="22">
                  <c:v>0.56162730108894721</c:v>
                </c:pt>
                <c:pt idx="23">
                  <c:v>0.55520118220412962</c:v>
                </c:pt>
                <c:pt idx="24" formatCode="0.0">
                  <c:v>2.1251204897317422</c:v>
                </c:pt>
                <c:pt idx="25">
                  <c:v>2.0754938015465711</c:v>
                </c:pt>
                <c:pt idx="26">
                  <c:v>2.5441988134942761</c:v>
                </c:pt>
                <c:pt idx="27">
                  <c:v>3.0951044766993618</c:v>
                </c:pt>
                <c:pt idx="28" formatCode="0.0">
                  <c:v>2.9285450908007977</c:v>
                </c:pt>
                <c:pt idx="29">
                  <c:v>3.2432722319350402</c:v>
                </c:pt>
                <c:pt idx="30">
                  <c:v>3.7142573883787833</c:v>
                </c:pt>
                <c:pt idx="31">
                  <c:v>3.7314428655244427</c:v>
                </c:pt>
                <c:pt idx="32" formatCode="0.0">
                  <c:v>2.5560203245027227</c:v>
                </c:pt>
                <c:pt idx="33">
                  <c:v>2.5856874527306246</c:v>
                </c:pt>
                <c:pt idx="34">
                  <c:v>2.2326994571915151</c:v>
                </c:pt>
              </c:numCache>
            </c:numRef>
          </c:val>
          <c:extLst xmlns:c16r2="http://schemas.microsoft.com/office/drawing/2015/06/chart">
            <c:ext xmlns:c16="http://schemas.microsoft.com/office/drawing/2014/chart" uri="{C3380CC4-5D6E-409C-BE32-E72D297353CC}">
              <c16:uniqueId val="{00000005-6994-46C7-84D6-D6E11C808F46}"/>
            </c:ext>
          </c:extLst>
        </c:ser>
        <c:ser>
          <c:idx val="6"/>
          <c:order val="6"/>
          <c:tx>
            <c:strRef>
              <c:f>'Trh práce 1'!$I$7</c:f>
              <c:strCache>
                <c:ptCount val="1"/>
                <c:pt idx="0">
                  <c:v>Informační a komunikační činnosti</c:v>
                </c:pt>
              </c:strCache>
            </c:strRef>
          </c:tx>
          <c:spPr>
            <a:ln>
              <a:noFill/>
            </a:ln>
          </c:spPr>
          <c:marker>
            <c:symbol val="diamond"/>
            <c:size val="5"/>
            <c:spPr>
              <a:solidFill>
                <a:srgbClr val="FFFF00"/>
              </a:solidFill>
              <a:ln>
                <a:solidFill>
                  <a:schemeClr val="tx1">
                    <a:lumMod val="95000"/>
                    <a:lumOff val="5000"/>
                  </a:schemeClr>
                </a:solidFill>
              </a:ln>
            </c:spPr>
          </c:marker>
          <c:cat>
            <c:multiLvlStrRef>
              <c:f>'Trh práce 1'!$A$8:$B$42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1'!$I$8:$I$42</c:f>
              <c:numCache>
                <c:formatCode>#,##0.0</c:formatCode>
                <c:ptCount val="35"/>
                <c:pt idx="0" formatCode="0.0">
                  <c:v>-2.5937084219058177</c:v>
                </c:pt>
                <c:pt idx="1">
                  <c:v>-2.9463679565512582</c:v>
                </c:pt>
                <c:pt idx="2">
                  <c:v>-2.5515796380664</c:v>
                </c:pt>
                <c:pt idx="3">
                  <c:v>-3.0104778941988108</c:v>
                </c:pt>
                <c:pt idx="4" formatCode="0.0">
                  <c:v>-1.6893536181370052</c:v>
                </c:pt>
                <c:pt idx="5">
                  <c:v>-3.3194988497170925</c:v>
                </c:pt>
                <c:pt idx="6">
                  <c:v>-5.1648545041356453</c:v>
                </c:pt>
                <c:pt idx="7">
                  <c:v>-6.2259094194170075</c:v>
                </c:pt>
                <c:pt idx="8" formatCode="0.0">
                  <c:v>0.82405736461343793</c:v>
                </c:pt>
                <c:pt idx="9">
                  <c:v>1.4526540882525438</c:v>
                </c:pt>
                <c:pt idx="10">
                  <c:v>2.1800695492210052</c:v>
                </c:pt>
                <c:pt idx="11">
                  <c:v>2.9005635747659841</c:v>
                </c:pt>
                <c:pt idx="12" formatCode="0.0">
                  <c:v>1.6322683857887341</c:v>
                </c:pt>
                <c:pt idx="13">
                  <c:v>2.9881141045958799</c:v>
                </c:pt>
                <c:pt idx="14">
                  <c:v>1.2531288740791098</c:v>
                </c:pt>
                <c:pt idx="15">
                  <c:v>1.2451726155646461</c:v>
                </c:pt>
                <c:pt idx="16" formatCode="0.0">
                  <c:v>4.0069509923866384</c:v>
                </c:pt>
                <c:pt idx="17">
                  <c:v>2.5959637149825596</c:v>
                </c:pt>
                <c:pt idx="18">
                  <c:v>3.3759650627778228</c:v>
                </c:pt>
                <c:pt idx="19">
                  <c:v>3.2279939277650884</c:v>
                </c:pt>
                <c:pt idx="20" formatCode="0.0">
                  <c:v>0.31018438738583676</c:v>
                </c:pt>
                <c:pt idx="21">
                  <c:v>1.987326108965461</c:v>
                </c:pt>
                <c:pt idx="22">
                  <c:v>2.9232266387042785</c:v>
                </c:pt>
                <c:pt idx="23">
                  <c:v>3.7802329053448878</c:v>
                </c:pt>
                <c:pt idx="24" formatCode="0.0">
                  <c:v>5.2179888410029367</c:v>
                </c:pt>
                <c:pt idx="25">
                  <c:v>4.5192837971984403</c:v>
                </c:pt>
                <c:pt idx="26">
                  <c:v>5.4004133866924633</c:v>
                </c:pt>
                <c:pt idx="27">
                  <c:v>6.4449303717343716</c:v>
                </c:pt>
                <c:pt idx="28" formatCode="0.0">
                  <c:v>2.939610560165832</c:v>
                </c:pt>
                <c:pt idx="29">
                  <c:v>2.3835487297823912</c:v>
                </c:pt>
                <c:pt idx="30">
                  <c:v>2.9213780058691725</c:v>
                </c:pt>
                <c:pt idx="31">
                  <c:v>1.9637258081954752</c:v>
                </c:pt>
                <c:pt idx="32" formatCode="0.0">
                  <c:v>4.1617819460726775</c:v>
                </c:pt>
                <c:pt idx="33">
                  <c:v>4.5551058551903605</c:v>
                </c:pt>
                <c:pt idx="34">
                  <c:v>4.6904454639433064</c:v>
                </c:pt>
              </c:numCache>
            </c:numRef>
          </c:val>
          <c:extLst xmlns:c16r2="http://schemas.microsoft.com/office/drawing/2015/06/chart">
            <c:ext xmlns:c16="http://schemas.microsoft.com/office/drawing/2014/chart" uri="{C3380CC4-5D6E-409C-BE32-E72D297353CC}">
              <c16:uniqueId val="{00000006-6994-46C7-84D6-D6E11C808F46}"/>
            </c:ext>
          </c:extLst>
        </c:ser>
        <c:marker val="1"/>
        <c:axId val="176419968"/>
        <c:axId val="176431104"/>
      </c:lineChart>
      <c:catAx>
        <c:axId val="176419968"/>
        <c:scaling>
          <c:orientation val="minMax"/>
        </c:scaling>
        <c:axPos val="b"/>
        <c:numFmt formatCode="General" sourceLinked="0"/>
        <c:tickLblPos val="low"/>
        <c:spPr>
          <a:ln>
            <a:solidFill>
              <a:schemeClr val="tx1"/>
            </a:solidFill>
          </a:ln>
        </c:spPr>
        <c:crossAx val="176431104"/>
        <c:crosses val="autoZero"/>
        <c:auto val="1"/>
        <c:lblAlgn val="ctr"/>
        <c:lblOffset val="10"/>
      </c:catAx>
      <c:valAx>
        <c:axId val="176431104"/>
        <c:scaling>
          <c:orientation val="minMax"/>
          <c:max val="7"/>
          <c:min val="-7"/>
        </c:scaling>
        <c:axPos val="l"/>
        <c:majorGridlines>
          <c:spPr>
            <a:ln w="6350">
              <a:solidFill>
                <a:schemeClr val="bg1">
                  <a:lumMod val="75000"/>
                </a:schemeClr>
              </a:solidFill>
            </a:ln>
          </c:spPr>
        </c:majorGridlines>
        <c:numFmt formatCode="0" sourceLinked="0"/>
        <c:tickLblPos val="nextTo"/>
        <c:spPr>
          <a:ln>
            <a:solidFill>
              <a:schemeClr val="tx1"/>
            </a:solidFill>
          </a:ln>
        </c:spPr>
        <c:crossAx val="176419968"/>
        <c:crosses val="autoZero"/>
        <c:crossBetween val="between"/>
        <c:majorUnit val="1"/>
      </c:valAx>
      <c:spPr>
        <a:ln>
          <a:solidFill>
            <a:schemeClr val="tx1"/>
          </a:solidFill>
        </a:ln>
      </c:spPr>
    </c:plotArea>
    <c:legend>
      <c:legendPos val="b"/>
      <c:layout>
        <c:manualLayout>
          <c:xMode val="edge"/>
          <c:yMode val="edge"/>
          <c:x val="5.2714541748739512E-2"/>
          <c:y val="0.85976117037112165"/>
          <c:w val="0.92581744326929161"/>
          <c:h val="0.13304397162959852"/>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6183922558922563E-2"/>
          <c:y val="1.643251153889452E-2"/>
          <c:w val="0.8957392676767677"/>
          <c:h val="0.75762726757371612"/>
        </c:manualLayout>
      </c:layout>
      <c:barChart>
        <c:barDir val="col"/>
        <c:grouping val="clustered"/>
        <c:ser>
          <c:idx val="0"/>
          <c:order val="0"/>
          <c:tx>
            <c:strRef>
              <c:f>'Trh práce-2'!$A$32</c:f>
              <c:strCache>
                <c:ptCount val="1"/>
                <c:pt idx="0">
                  <c:v>Míra nezaměstnanosti mužů (levá osa)</c:v>
                </c:pt>
              </c:strCache>
            </c:strRef>
          </c:tx>
          <c:spPr>
            <a:solidFill>
              <a:srgbClr val="BCBCBC"/>
            </a:solidFill>
          </c:spPr>
          <c:cat>
            <c:multiLvlStrRef>
              <c:f>'Trh práce-2'!$B$30:$AJ$31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práce-2'!$B$32:$AJ$32</c:f>
              <c:numCache>
                <c:formatCode>0.0</c:formatCode>
                <c:ptCount val="35"/>
                <c:pt idx="0">
                  <c:v>7.0984261964423734</c:v>
                </c:pt>
                <c:pt idx="1">
                  <c:v>6.5135583821211904</c:v>
                </c:pt>
                <c:pt idx="2">
                  <c:v>6.1925174973206385</c:v>
                </c:pt>
                <c:pt idx="3">
                  <c:v>6.0751752494425855</c:v>
                </c:pt>
                <c:pt idx="4">
                  <c:v>6.0585504123063769</c:v>
                </c:pt>
                <c:pt idx="5">
                  <c:v>6.0037781675822162</c:v>
                </c:pt>
                <c:pt idx="6">
                  <c:v>5.7771123440108294</c:v>
                </c:pt>
                <c:pt idx="7">
                  <c:v>5.6914303332293281</c:v>
                </c:pt>
                <c:pt idx="8">
                  <c:v>5.999444560507885</c:v>
                </c:pt>
                <c:pt idx="9">
                  <c:v>5.9934774990686526</c:v>
                </c:pt>
                <c:pt idx="10">
                  <c:v>6.0666122060007455</c:v>
                </c:pt>
                <c:pt idx="11">
                  <c:v>6.2527040687756346</c:v>
                </c:pt>
                <c:pt idx="12">
                  <c:v>6.2702270348517413</c:v>
                </c:pt>
                <c:pt idx="13">
                  <c:v>5.9057854548173836</c:v>
                </c:pt>
                <c:pt idx="14">
                  <c:v>5.9365078922261834</c:v>
                </c:pt>
                <c:pt idx="15">
                  <c:v>5.7576462287734786</c:v>
                </c:pt>
                <c:pt idx="16">
                  <c:v>5.5339334646450906</c:v>
                </c:pt>
                <c:pt idx="17">
                  <c:v>5.2282751984916924</c:v>
                </c:pt>
                <c:pt idx="18">
                  <c:v>4.9463964293732134</c:v>
                </c:pt>
                <c:pt idx="19">
                  <c:v>5.0248999025584675</c:v>
                </c:pt>
                <c:pt idx="20">
                  <c:v>4.9895127892003934</c:v>
                </c:pt>
                <c:pt idx="21">
                  <c:v>4.3828206559983309</c:v>
                </c:pt>
                <c:pt idx="22">
                  <c:v>4.0788029838950894</c:v>
                </c:pt>
                <c:pt idx="23">
                  <c:v>3.7650503471565919</c:v>
                </c:pt>
                <c:pt idx="24">
                  <c:v>3.6132054261513269</c:v>
                </c:pt>
                <c:pt idx="25">
                  <c:v>3.6043335179766709</c:v>
                </c:pt>
                <c:pt idx="26">
                  <c:v>3.3890946672550402</c:v>
                </c:pt>
                <c:pt idx="27">
                  <c:v>3.1347034715857753</c:v>
                </c:pt>
                <c:pt idx="28">
                  <c:v>2.6709842330247007</c:v>
                </c:pt>
                <c:pt idx="29">
                  <c:v>2.5261051958709837</c:v>
                </c:pt>
                <c:pt idx="30">
                  <c:v>2.2633626824215232</c:v>
                </c:pt>
                <c:pt idx="31">
                  <c:v>2.0267160050007003</c:v>
                </c:pt>
                <c:pt idx="32">
                  <c:v>1.8771753059569525</c:v>
                </c:pt>
                <c:pt idx="33">
                  <c:v>1.8911636135363477</c:v>
                </c:pt>
                <c:pt idx="34">
                  <c:v>1.9098854631354627</c:v>
                </c:pt>
              </c:numCache>
            </c:numRef>
          </c:val>
          <c:extLst xmlns:c16r2="http://schemas.microsoft.com/office/drawing/2015/06/chart">
            <c:ext xmlns:c16="http://schemas.microsoft.com/office/drawing/2014/chart" uri="{C3380CC4-5D6E-409C-BE32-E72D297353CC}">
              <c16:uniqueId val="{00000000-E445-47D2-811A-4C46971B5748}"/>
            </c:ext>
          </c:extLst>
        </c:ser>
        <c:ser>
          <c:idx val="1"/>
          <c:order val="1"/>
          <c:tx>
            <c:strRef>
              <c:f>'Trh práce-2'!$A$33</c:f>
              <c:strCache>
                <c:ptCount val="1"/>
                <c:pt idx="0">
                  <c:v>Míra nezaměstnanosti žen (levá osa)</c:v>
                </c:pt>
              </c:strCache>
            </c:strRef>
          </c:tx>
          <c:spPr>
            <a:solidFill>
              <a:srgbClr val="DBDBDB"/>
            </a:solidFill>
          </c:spPr>
          <c:cat>
            <c:multiLvlStrRef>
              <c:f>'Trh práce-2'!$B$30:$AJ$31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práce-2'!$B$33:$AJ$33</c:f>
              <c:numCache>
                <c:formatCode>0.0</c:formatCode>
                <c:ptCount val="35"/>
                <c:pt idx="0">
                  <c:v>8.7633696101973779</c:v>
                </c:pt>
                <c:pt idx="1">
                  <c:v>8.6310295790753013</c:v>
                </c:pt>
                <c:pt idx="2">
                  <c:v>8.4858096938065248</c:v>
                </c:pt>
                <c:pt idx="3">
                  <c:v>8.3010704919620188</c:v>
                </c:pt>
                <c:pt idx="4">
                  <c:v>8.1745626452512052</c:v>
                </c:pt>
                <c:pt idx="5">
                  <c:v>8.1868732965665512</c:v>
                </c:pt>
                <c:pt idx="6">
                  <c:v>7.7763311994031996</c:v>
                </c:pt>
                <c:pt idx="7">
                  <c:v>7.7282818342714865</c:v>
                </c:pt>
                <c:pt idx="8">
                  <c:v>8.0311636412728671</c:v>
                </c:pt>
                <c:pt idx="9">
                  <c:v>8.2407929954465811</c:v>
                </c:pt>
                <c:pt idx="10">
                  <c:v>8.3049407606014185</c:v>
                </c:pt>
                <c:pt idx="11">
                  <c:v>8.5479216720112419</c:v>
                </c:pt>
                <c:pt idx="12">
                  <c:v>8.4753243348388825</c:v>
                </c:pt>
                <c:pt idx="13">
                  <c:v>8.4592364247587568</c:v>
                </c:pt>
                <c:pt idx="14">
                  <c:v>8.3592289534544673</c:v>
                </c:pt>
                <c:pt idx="15">
                  <c:v>8.2500639941225309</c:v>
                </c:pt>
                <c:pt idx="16">
                  <c:v>8.0240692285867024</c:v>
                </c:pt>
                <c:pt idx="17">
                  <c:v>7.6998248722355678</c:v>
                </c:pt>
                <c:pt idx="18">
                  <c:v>7.2762005720022014</c:v>
                </c:pt>
                <c:pt idx="19">
                  <c:v>7.0072976233268598</c:v>
                </c:pt>
                <c:pt idx="20">
                  <c:v>6.9060385283823491</c:v>
                </c:pt>
                <c:pt idx="21">
                  <c:v>6.2608308369461314</c:v>
                </c:pt>
                <c:pt idx="22">
                  <c:v>5.933528937116729</c:v>
                </c:pt>
                <c:pt idx="23">
                  <c:v>5.6186615875899149</c:v>
                </c:pt>
                <c:pt idx="24">
                  <c:v>5.1199233028522304</c:v>
                </c:pt>
                <c:pt idx="25">
                  <c:v>4.8490109722338097</c:v>
                </c:pt>
                <c:pt idx="26">
                  <c:v>4.7847993325080784</c:v>
                </c:pt>
                <c:pt idx="27">
                  <c:v>4.3200277073505395</c:v>
                </c:pt>
                <c:pt idx="28">
                  <c:v>4.3375552217303355</c:v>
                </c:pt>
                <c:pt idx="29">
                  <c:v>3.9282274245150397</c:v>
                </c:pt>
                <c:pt idx="30">
                  <c:v>3.3805008058347261</c:v>
                </c:pt>
                <c:pt idx="31">
                  <c:v>2.9639084541959431</c:v>
                </c:pt>
                <c:pt idx="32">
                  <c:v>3.0214936652535034</c:v>
                </c:pt>
                <c:pt idx="33">
                  <c:v>2.9034236780849612</c:v>
                </c:pt>
                <c:pt idx="34">
                  <c:v>2.8429389823883437</c:v>
                </c:pt>
              </c:numCache>
            </c:numRef>
          </c:val>
          <c:extLst xmlns:c16r2="http://schemas.microsoft.com/office/drawing/2015/06/chart">
            <c:ext xmlns:c16="http://schemas.microsoft.com/office/drawing/2014/chart" uri="{C3380CC4-5D6E-409C-BE32-E72D297353CC}">
              <c16:uniqueId val="{00000001-E445-47D2-811A-4C46971B5748}"/>
            </c:ext>
          </c:extLst>
        </c:ser>
        <c:gapWidth val="68"/>
        <c:axId val="168396672"/>
        <c:axId val="168398208"/>
      </c:barChart>
      <c:lineChart>
        <c:grouping val="standard"/>
        <c:ser>
          <c:idx val="2"/>
          <c:order val="2"/>
          <c:tx>
            <c:strRef>
              <c:f>'Trh práce-2'!$A$34</c:f>
              <c:strCache>
                <c:ptCount val="1"/>
                <c:pt idx="0">
                  <c:v>% podíl nezam. &gt; 1 rok (pravá osa)</c:v>
                </c:pt>
              </c:strCache>
            </c:strRef>
          </c:tx>
          <c:spPr>
            <a:ln w="19050">
              <a:solidFill>
                <a:srgbClr val="C00000"/>
              </a:solidFill>
              <a:prstDash val="solid"/>
            </a:ln>
          </c:spPr>
          <c:marker>
            <c:symbol val="none"/>
          </c:marker>
          <c:cat>
            <c:multiLvlStrRef>
              <c:f>'Trh práce-2'!$B$30:$AJ$31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práce-2'!$B$34:$AJ$34</c:f>
              <c:numCache>
                <c:formatCode>#,##0.0</c:formatCode>
                <c:ptCount val="35"/>
                <c:pt idx="0">
                  <c:v>35.700000000000003</c:v>
                </c:pt>
                <c:pt idx="1">
                  <c:v>41.3</c:v>
                </c:pt>
                <c:pt idx="2">
                  <c:v>43.4</c:v>
                </c:pt>
                <c:pt idx="3">
                  <c:v>43.9</c:v>
                </c:pt>
                <c:pt idx="4">
                  <c:v>40.1</c:v>
                </c:pt>
                <c:pt idx="5">
                  <c:v>39</c:v>
                </c:pt>
                <c:pt idx="6">
                  <c:v>40.800000000000004</c:v>
                </c:pt>
                <c:pt idx="7">
                  <c:v>42.6</c:v>
                </c:pt>
                <c:pt idx="8">
                  <c:v>43.3</c:v>
                </c:pt>
                <c:pt idx="9">
                  <c:v>44.1</c:v>
                </c:pt>
                <c:pt idx="10">
                  <c:v>43.6</c:v>
                </c:pt>
                <c:pt idx="11">
                  <c:v>42.6</c:v>
                </c:pt>
                <c:pt idx="12">
                  <c:v>43.4</c:v>
                </c:pt>
                <c:pt idx="13">
                  <c:v>44.1</c:v>
                </c:pt>
                <c:pt idx="14">
                  <c:v>44</c:v>
                </c:pt>
                <c:pt idx="15">
                  <c:v>42.1</c:v>
                </c:pt>
                <c:pt idx="16">
                  <c:v>41.2</c:v>
                </c:pt>
                <c:pt idx="17">
                  <c:v>43</c:v>
                </c:pt>
                <c:pt idx="18">
                  <c:v>44.3</c:v>
                </c:pt>
                <c:pt idx="19">
                  <c:v>45.9</c:v>
                </c:pt>
                <c:pt idx="20">
                  <c:v>45.9</c:v>
                </c:pt>
                <c:pt idx="21">
                  <c:v>46.4</c:v>
                </c:pt>
                <c:pt idx="22">
                  <c:v>49</c:v>
                </c:pt>
                <c:pt idx="23">
                  <c:v>48.1</c:v>
                </c:pt>
                <c:pt idx="24">
                  <c:v>46</c:v>
                </c:pt>
                <c:pt idx="25">
                  <c:v>43.2</c:v>
                </c:pt>
                <c:pt idx="26">
                  <c:v>39.9</c:v>
                </c:pt>
                <c:pt idx="27">
                  <c:v>38.800000000000004</c:v>
                </c:pt>
                <c:pt idx="28">
                  <c:v>36.800000000000004</c:v>
                </c:pt>
                <c:pt idx="29">
                  <c:v>37.5</c:v>
                </c:pt>
                <c:pt idx="30">
                  <c:v>33.9</c:v>
                </c:pt>
                <c:pt idx="31">
                  <c:v>31.3</c:v>
                </c:pt>
                <c:pt idx="32">
                  <c:v>30.6</c:v>
                </c:pt>
                <c:pt idx="33">
                  <c:v>30.6</c:v>
                </c:pt>
                <c:pt idx="34">
                  <c:v>29</c:v>
                </c:pt>
              </c:numCache>
            </c:numRef>
          </c:val>
          <c:extLst xmlns:c16r2="http://schemas.microsoft.com/office/drawing/2015/06/chart">
            <c:ext xmlns:c16="http://schemas.microsoft.com/office/drawing/2014/chart" uri="{C3380CC4-5D6E-409C-BE32-E72D297353CC}">
              <c16:uniqueId val="{00000002-E445-47D2-811A-4C46971B5748}"/>
            </c:ext>
          </c:extLst>
        </c:ser>
        <c:ser>
          <c:idx val="4"/>
          <c:order val="3"/>
          <c:tx>
            <c:strRef>
              <c:f>'Trh práce-2'!$A$36</c:f>
              <c:strCache>
                <c:ptCount val="1"/>
                <c:pt idx="0">
                  <c:v>% podíl nezam. do 25 let  (pravá osa)</c:v>
                </c:pt>
              </c:strCache>
            </c:strRef>
          </c:tx>
          <c:spPr>
            <a:ln w="19050">
              <a:solidFill>
                <a:srgbClr val="7DBB2D"/>
              </a:solidFill>
            </a:ln>
          </c:spPr>
          <c:marker>
            <c:symbol val="none"/>
          </c:marker>
          <c:cat>
            <c:multiLvlStrRef>
              <c:f>'Trh práce-2'!$B$30:$AJ$31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práce-2'!$B$36:$AJ$36</c:f>
              <c:numCache>
                <c:formatCode>0.0</c:formatCode>
                <c:ptCount val="35"/>
                <c:pt idx="0">
                  <c:v>19.41031941031941</c:v>
                </c:pt>
                <c:pt idx="1">
                  <c:v>19.430051813471501</c:v>
                </c:pt>
                <c:pt idx="2">
                  <c:v>19.251336898395689</c:v>
                </c:pt>
                <c:pt idx="3">
                  <c:v>18.579234972677586</c:v>
                </c:pt>
                <c:pt idx="4">
                  <c:v>18.055555555555554</c:v>
                </c:pt>
                <c:pt idx="5">
                  <c:v>19.498607242339485</c:v>
                </c:pt>
                <c:pt idx="6">
                  <c:v>19.533527696792987</c:v>
                </c:pt>
                <c:pt idx="7">
                  <c:v>19.230769230768885</c:v>
                </c:pt>
                <c:pt idx="8">
                  <c:v>20.168067226890791</c:v>
                </c:pt>
                <c:pt idx="9">
                  <c:v>20.718232044198889</c:v>
                </c:pt>
                <c:pt idx="10">
                  <c:v>19.293478260869566</c:v>
                </c:pt>
                <c:pt idx="11">
                  <c:v>18.947368421052843</c:v>
                </c:pt>
                <c:pt idx="12">
                  <c:v>18.997361477572557</c:v>
                </c:pt>
                <c:pt idx="13">
                  <c:v>18.279569892472939</c:v>
                </c:pt>
                <c:pt idx="14">
                  <c:v>18.256130790190728</c:v>
                </c:pt>
                <c:pt idx="15">
                  <c:v>18.715083798882691</c:v>
                </c:pt>
                <c:pt idx="16">
                  <c:v>17.341040462427742</c:v>
                </c:pt>
                <c:pt idx="17">
                  <c:v>17.933130699088146</c:v>
                </c:pt>
                <c:pt idx="18">
                  <c:v>17.628205128205131</c:v>
                </c:pt>
                <c:pt idx="19">
                  <c:v>16.558441558441526</c:v>
                </c:pt>
                <c:pt idx="20">
                  <c:v>16.993464052287585</c:v>
                </c:pt>
                <c:pt idx="21">
                  <c:v>17.216117216117212</c:v>
                </c:pt>
                <c:pt idx="22">
                  <c:v>16.07843137254882</c:v>
                </c:pt>
                <c:pt idx="23">
                  <c:v>15.546218487394835</c:v>
                </c:pt>
                <c:pt idx="24">
                  <c:v>15.24663677130045</c:v>
                </c:pt>
                <c:pt idx="25">
                  <c:v>17.431192660550458</c:v>
                </c:pt>
                <c:pt idx="26">
                  <c:v>16.587677725118535</c:v>
                </c:pt>
                <c:pt idx="27">
                  <c:v>17.098445595854923</c:v>
                </c:pt>
                <c:pt idx="28">
                  <c:v>16.759776536312689</c:v>
                </c:pt>
                <c:pt idx="29">
                  <c:v>18.562874251497004</c:v>
                </c:pt>
                <c:pt idx="30">
                  <c:v>16.43835616438356</c:v>
                </c:pt>
                <c:pt idx="31">
                  <c:v>12.977099236641374</c:v>
                </c:pt>
                <c:pt idx="32">
                  <c:v>16.935483870967364</c:v>
                </c:pt>
                <c:pt idx="33">
                  <c:v>19.2</c:v>
                </c:pt>
                <c:pt idx="34">
                  <c:v>14.634146341463413</c:v>
                </c:pt>
              </c:numCache>
            </c:numRef>
          </c:val>
          <c:extLst xmlns:c16r2="http://schemas.microsoft.com/office/drawing/2015/06/chart">
            <c:ext xmlns:c16="http://schemas.microsoft.com/office/drawing/2014/chart" uri="{C3380CC4-5D6E-409C-BE32-E72D297353CC}">
              <c16:uniqueId val="{00000003-E445-47D2-811A-4C46971B5748}"/>
            </c:ext>
          </c:extLst>
        </c:ser>
        <c:ser>
          <c:idx val="5"/>
          <c:order val="4"/>
          <c:tx>
            <c:strRef>
              <c:f>'Trh práce-2'!$A$37</c:f>
              <c:strCache>
                <c:ptCount val="1"/>
                <c:pt idx="0">
                  <c:v>Ekon.neaktiv.chtějící pracovat (pr. osa)*</c:v>
                </c:pt>
              </c:strCache>
            </c:strRef>
          </c:tx>
          <c:spPr>
            <a:ln w="19050">
              <a:solidFill>
                <a:srgbClr val="0071BC"/>
              </a:solidFill>
            </a:ln>
          </c:spPr>
          <c:marker>
            <c:symbol val="none"/>
          </c:marker>
          <c:cat>
            <c:multiLvlStrRef>
              <c:f>'Trh práce-2'!$B$30:$AJ$31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práce-2'!$B$37:$AJ$37</c:f>
              <c:numCache>
                <c:formatCode>0.0</c:formatCode>
                <c:ptCount val="35"/>
                <c:pt idx="0">
                  <c:v>183.00000000000003</c:v>
                </c:pt>
                <c:pt idx="1">
                  <c:v>183.20000000000002</c:v>
                </c:pt>
                <c:pt idx="2">
                  <c:v>172.5</c:v>
                </c:pt>
                <c:pt idx="3">
                  <c:v>172.00000000000003</c:v>
                </c:pt>
                <c:pt idx="4">
                  <c:v>193.70000000000002</c:v>
                </c:pt>
                <c:pt idx="5">
                  <c:v>184.4</c:v>
                </c:pt>
                <c:pt idx="6">
                  <c:v>188.9</c:v>
                </c:pt>
                <c:pt idx="7">
                  <c:v>183.20000000000002</c:v>
                </c:pt>
                <c:pt idx="8">
                  <c:v>196.60000000000002</c:v>
                </c:pt>
                <c:pt idx="9">
                  <c:v>176.5</c:v>
                </c:pt>
                <c:pt idx="10">
                  <c:v>166.9</c:v>
                </c:pt>
                <c:pt idx="11">
                  <c:v>154.60000000000002</c:v>
                </c:pt>
                <c:pt idx="12">
                  <c:v>167.8</c:v>
                </c:pt>
                <c:pt idx="13">
                  <c:v>147.19999999999999</c:v>
                </c:pt>
                <c:pt idx="14">
                  <c:v>138.80000000000001</c:v>
                </c:pt>
                <c:pt idx="15">
                  <c:v>139.30000000000001</c:v>
                </c:pt>
                <c:pt idx="16">
                  <c:v>145.4</c:v>
                </c:pt>
                <c:pt idx="17">
                  <c:v>137.1</c:v>
                </c:pt>
                <c:pt idx="18">
                  <c:v>129</c:v>
                </c:pt>
                <c:pt idx="19">
                  <c:v>127.10000000000001</c:v>
                </c:pt>
                <c:pt idx="20" formatCode="General">
                  <c:v>138.5</c:v>
                </c:pt>
                <c:pt idx="21" formatCode="General">
                  <c:v>141.4</c:v>
                </c:pt>
                <c:pt idx="22" formatCode="General">
                  <c:v>137.1</c:v>
                </c:pt>
                <c:pt idx="23" formatCode="General">
                  <c:v>130.4</c:v>
                </c:pt>
                <c:pt idx="24" formatCode="General">
                  <c:v>141</c:v>
                </c:pt>
                <c:pt idx="25" formatCode="General">
                  <c:v>126.4</c:v>
                </c:pt>
                <c:pt idx="26" formatCode="General">
                  <c:v>129.69999999999999</c:v>
                </c:pt>
                <c:pt idx="27" formatCode="General">
                  <c:v>127.1</c:v>
                </c:pt>
                <c:pt idx="28">
                  <c:v>133.1</c:v>
                </c:pt>
                <c:pt idx="29">
                  <c:v>120.1</c:v>
                </c:pt>
                <c:pt idx="30">
                  <c:v>121.3</c:v>
                </c:pt>
                <c:pt idx="31">
                  <c:v>119.1</c:v>
                </c:pt>
                <c:pt idx="32">
                  <c:v>113.5</c:v>
                </c:pt>
                <c:pt idx="33">
                  <c:v>108.4</c:v>
                </c:pt>
                <c:pt idx="34">
                  <c:v>110.3</c:v>
                </c:pt>
              </c:numCache>
            </c:numRef>
          </c:val>
          <c:extLst xmlns:c16r2="http://schemas.microsoft.com/office/drawing/2015/06/chart">
            <c:ext xmlns:c16="http://schemas.microsoft.com/office/drawing/2014/chart" uri="{C3380CC4-5D6E-409C-BE32-E72D297353CC}">
              <c16:uniqueId val="{00000004-E445-47D2-811A-4C46971B5748}"/>
            </c:ext>
          </c:extLst>
        </c:ser>
        <c:marker val="1"/>
        <c:axId val="173947520"/>
        <c:axId val="173945984"/>
      </c:lineChart>
      <c:catAx>
        <c:axId val="168396672"/>
        <c:scaling>
          <c:orientation val="minMax"/>
        </c:scaling>
        <c:axPos val="b"/>
        <c:numFmt formatCode="General" sourceLinked="0"/>
        <c:tickLblPos val="low"/>
        <c:spPr>
          <a:ln>
            <a:solidFill>
              <a:schemeClr val="tx1"/>
            </a:solidFill>
          </a:ln>
        </c:spPr>
        <c:crossAx val="168398208"/>
        <c:crossesAt val="-50"/>
        <c:auto val="1"/>
        <c:lblAlgn val="ctr"/>
        <c:lblOffset val="0"/>
      </c:catAx>
      <c:valAx>
        <c:axId val="168398208"/>
        <c:scaling>
          <c:orientation val="minMax"/>
          <c:max val="10"/>
          <c:min val="0"/>
        </c:scaling>
        <c:axPos val="l"/>
        <c:majorGridlines>
          <c:spPr>
            <a:ln w="6350">
              <a:solidFill>
                <a:schemeClr val="bg1">
                  <a:lumMod val="75000"/>
                </a:schemeClr>
              </a:solidFill>
            </a:ln>
          </c:spPr>
        </c:majorGridlines>
        <c:numFmt formatCode="0" sourceLinked="0"/>
        <c:tickLblPos val="nextTo"/>
        <c:spPr>
          <a:ln>
            <a:solidFill>
              <a:schemeClr val="tx1"/>
            </a:solidFill>
          </a:ln>
        </c:spPr>
        <c:crossAx val="168396672"/>
        <c:crosses val="autoZero"/>
        <c:crossBetween val="between"/>
        <c:majorUnit val="1"/>
      </c:valAx>
      <c:valAx>
        <c:axId val="173945984"/>
        <c:scaling>
          <c:orientation val="minMax"/>
          <c:max val="200"/>
        </c:scaling>
        <c:axPos val="r"/>
        <c:numFmt formatCode="0" sourceLinked="0"/>
        <c:tickLblPos val="nextTo"/>
        <c:crossAx val="173947520"/>
        <c:crosses val="max"/>
        <c:crossBetween val="between"/>
        <c:majorUnit val="20"/>
      </c:valAx>
      <c:catAx>
        <c:axId val="173947520"/>
        <c:scaling>
          <c:orientation val="minMax"/>
        </c:scaling>
        <c:delete val="1"/>
        <c:axPos val="b"/>
        <c:numFmt formatCode="General" sourceLinked="1"/>
        <c:tickLblPos val="none"/>
        <c:crossAx val="173945984"/>
        <c:crosses val="autoZero"/>
        <c:auto val="1"/>
        <c:lblAlgn val="ctr"/>
        <c:lblOffset val="100"/>
      </c:catAx>
      <c:spPr>
        <a:ln>
          <a:solidFill>
            <a:schemeClr val="tx1"/>
          </a:solidFill>
        </a:ln>
      </c:spPr>
    </c:plotArea>
    <c:legend>
      <c:legendPos val="b"/>
      <c:layout>
        <c:manualLayout>
          <c:xMode val="edge"/>
          <c:yMode val="edge"/>
          <c:x val="4.4613215488215494E-2"/>
          <c:y val="0.87358815192743156"/>
          <c:w val="0.89434511784511783"/>
          <c:h val="0.10841298185941046"/>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4.0091348527306885E-2"/>
          <c:y val="1.6549886621315374E-2"/>
          <c:w val="0.94100987714832163"/>
          <c:h val="0.77115164399092972"/>
        </c:manualLayout>
      </c:layout>
      <c:barChart>
        <c:barDir val="col"/>
        <c:grouping val="clustered"/>
        <c:ser>
          <c:idx val="5"/>
          <c:order val="2"/>
          <c:tx>
            <c:strRef>
              <c:f>'Trh práce 3'!$E$8</c:f>
              <c:strCache>
                <c:ptCount val="1"/>
                <c:pt idx="0">
                  <c:v>Průměrná mzda (reálně)</c:v>
                </c:pt>
              </c:strCache>
            </c:strRef>
          </c:tx>
          <c:spPr>
            <a:solidFill>
              <a:srgbClr val="A6A6A6"/>
            </a:solidFill>
            <a:ln>
              <a:noFill/>
            </a:ln>
          </c:spPr>
          <c:cat>
            <c:multiLvlStrRef>
              <c:f>'Trh práce 3'!$A$9:$B$43</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3'!$E$9:$E$43</c:f>
              <c:numCache>
                <c:formatCode>#,##0.0</c:formatCode>
                <c:ptCount val="35"/>
                <c:pt idx="0">
                  <c:v>2.0999999999999943</c:v>
                </c:pt>
                <c:pt idx="1">
                  <c:v>1.9000000000000061</c:v>
                </c:pt>
                <c:pt idx="2">
                  <c:v>0.30000000000000032</c:v>
                </c:pt>
                <c:pt idx="3">
                  <c:v>-1.4000000000000057</c:v>
                </c:pt>
                <c:pt idx="4">
                  <c:v>1.0999999999999845</c:v>
                </c:pt>
                <c:pt idx="5">
                  <c:v>0.7999999999999976</c:v>
                </c:pt>
                <c:pt idx="6">
                  <c:v>0.30000000000000032</c:v>
                </c:pt>
                <c:pt idx="7">
                  <c:v>0</c:v>
                </c:pt>
                <c:pt idx="8">
                  <c:v>-0.5</c:v>
                </c:pt>
                <c:pt idx="9">
                  <c:v>-1.2999999999999854</c:v>
                </c:pt>
                <c:pt idx="10">
                  <c:v>-1.7999999999999854</c:v>
                </c:pt>
                <c:pt idx="11">
                  <c:v>0.40000000000000568</c:v>
                </c:pt>
                <c:pt idx="12">
                  <c:v>-2.4000000000000057</c:v>
                </c:pt>
                <c:pt idx="13">
                  <c:v>-0.5</c:v>
                </c:pt>
                <c:pt idx="14">
                  <c:v>0</c:v>
                </c:pt>
                <c:pt idx="15">
                  <c:v>-3.0999999999999943</c:v>
                </c:pt>
                <c:pt idx="16">
                  <c:v>3.7000000000000042</c:v>
                </c:pt>
                <c:pt idx="17">
                  <c:v>2.5999999999999943</c:v>
                </c:pt>
                <c:pt idx="18">
                  <c:v>1.5999999999999845</c:v>
                </c:pt>
                <c:pt idx="19">
                  <c:v>2.2999999999999972</c:v>
                </c:pt>
                <c:pt idx="20">
                  <c:v>2.2000000000000042</c:v>
                </c:pt>
                <c:pt idx="21">
                  <c:v>2.5999999999999943</c:v>
                </c:pt>
                <c:pt idx="22">
                  <c:v>3.0999999999999943</c:v>
                </c:pt>
                <c:pt idx="23">
                  <c:v>3.5999999999999943</c:v>
                </c:pt>
                <c:pt idx="24">
                  <c:v>4.2000000000000028</c:v>
                </c:pt>
                <c:pt idx="25">
                  <c:v>3.7999999999999972</c:v>
                </c:pt>
                <c:pt idx="26">
                  <c:v>4.2000000000000028</c:v>
                </c:pt>
                <c:pt idx="27">
                  <c:v>3</c:v>
                </c:pt>
                <c:pt idx="28">
                  <c:v>2.0999999999999943</c:v>
                </c:pt>
                <c:pt idx="29">
                  <c:v>4.5999999999999943</c:v>
                </c:pt>
                <c:pt idx="30">
                  <c:v>3.5</c:v>
                </c:pt>
                <c:pt idx="31">
                  <c:v>4.7000000000000028</c:v>
                </c:pt>
                <c:pt idx="32">
                  <c:v>6.5999999999999943</c:v>
                </c:pt>
                <c:pt idx="33">
                  <c:v>6.2000000000000028</c:v>
                </c:pt>
                <c:pt idx="34">
                  <c:v>6</c:v>
                </c:pt>
              </c:numCache>
            </c:numRef>
          </c:val>
          <c:extLst xmlns:c16r2="http://schemas.microsoft.com/office/drawing/2015/06/chart">
            <c:ext xmlns:c16="http://schemas.microsoft.com/office/drawing/2014/chart" uri="{C3380CC4-5D6E-409C-BE32-E72D297353CC}">
              <c16:uniqueId val="{00000000-B9A9-40D8-A34A-1F4D994627F9}"/>
            </c:ext>
          </c:extLst>
        </c:ser>
        <c:gapWidth val="55"/>
        <c:axId val="174035328"/>
        <c:axId val="174037248"/>
      </c:barChart>
      <c:lineChart>
        <c:grouping val="standard"/>
        <c:ser>
          <c:idx val="0"/>
          <c:order val="0"/>
          <c:tx>
            <c:strRef>
              <c:f>'Trh práce 3'!$C$8</c:f>
              <c:strCache>
                <c:ptCount val="1"/>
                <c:pt idx="0">
                  <c:v>Průměrná mzda (nominálně)</c:v>
                </c:pt>
              </c:strCache>
            </c:strRef>
          </c:tx>
          <c:spPr>
            <a:ln w="19050">
              <a:solidFill>
                <a:srgbClr val="0071BC"/>
              </a:solidFill>
            </a:ln>
          </c:spPr>
          <c:marker>
            <c:symbol val="none"/>
          </c:marker>
          <c:cat>
            <c:multiLvlStrRef>
              <c:f>'Trh práce 3'!$A$9:$B$43</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3'!$C$9:$C$43</c:f>
              <c:numCache>
                <c:formatCode>0.0</c:formatCode>
                <c:ptCount val="35"/>
                <c:pt idx="0">
                  <c:v>2.7999999999999972</c:v>
                </c:pt>
                <c:pt idx="1">
                  <c:v>3.0999999999999943</c:v>
                </c:pt>
                <c:pt idx="2">
                  <c:v>2.2000000000000042</c:v>
                </c:pt>
                <c:pt idx="3">
                  <c:v>0.70000000000000284</c:v>
                </c:pt>
                <c:pt idx="4">
                  <c:v>2.7999999999999972</c:v>
                </c:pt>
                <c:pt idx="5">
                  <c:v>2.5999999999999943</c:v>
                </c:pt>
                <c:pt idx="6">
                  <c:v>2.0999999999999943</c:v>
                </c:pt>
                <c:pt idx="7">
                  <c:v>2.4000000000000057</c:v>
                </c:pt>
                <c:pt idx="8">
                  <c:v>3.2000000000000042</c:v>
                </c:pt>
                <c:pt idx="9">
                  <c:v>2.0999999999999943</c:v>
                </c:pt>
                <c:pt idx="10">
                  <c:v>1.4000000000000057</c:v>
                </c:pt>
                <c:pt idx="11">
                  <c:v>3.2000000000000042</c:v>
                </c:pt>
                <c:pt idx="12">
                  <c:v>-0.59999999999999432</c:v>
                </c:pt>
                <c:pt idx="13">
                  <c:v>1</c:v>
                </c:pt>
                <c:pt idx="14">
                  <c:v>1.2000000000000028</c:v>
                </c:pt>
                <c:pt idx="15">
                  <c:v>-2</c:v>
                </c:pt>
                <c:pt idx="16">
                  <c:v>3.9000000000000057</c:v>
                </c:pt>
                <c:pt idx="17">
                  <c:v>2.7999999999999972</c:v>
                </c:pt>
                <c:pt idx="18">
                  <c:v>2.2000000000000042</c:v>
                </c:pt>
                <c:pt idx="19">
                  <c:v>2.7999999999999972</c:v>
                </c:pt>
                <c:pt idx="20">
                  <c:v>2.2999999999999972</c:v>
                </c:pt>
                <c:pt idx="21">
                  <c:v>3.2999999999999972</c:v>
                </c:pt>
                <c:pt idx="22">
                  <c:v>3.5</c:v>
                </c:pt>
                <c:pt idx="23">
                  <c:v>3.7000000000000042</c:v>
                </c:pt>
                <c:pt idx="24">
                  <c:v>4.7000000000000028</c:v>
                </c:pt>
                <c:pt idx="25">
                  <c:v>4</c:v>
                </c:pt>
                <c:pt idx="26">
                  <c:v>4.7000000000000028</c:v>
                </c:pt>
                <c:pt idx="27">
                  <c:v>4.4000000000000083</c:v>
                </c:pt>
                <c:pt idx="28">
                  <c:v>4.5</c:v>
                </c:pt>
                <c:pt idx="29">
                  <c:v>6.9000000000000083</c:v>
                </c:pt>
                <c:pt idx="30">
                  <c:v>6.0999999999999943</c:v>
                </c:pt>
                <c:pt idx="31">
                  <c:v>7.4000000000000083</c:v>
                </c:pt>
                <c:pt idx="32">
                  <c:v>8.6000000000000014</c:v>
                </c:pt>
                <c:pt idx="33">
                  <c:v>8.6000000000000014</c:v>
                </c:pt>
                <c:pt idx="34">
                  <c:v>8.5</c:v>
                </c:pt>
              </c:numCache>
            </c:numRef>
          </c:val>
          <c:extLst xmlns:c16r2="http://schemas.microsoft.com/office/drawing/2015/06/chart">
            <c:ext xmlns:c16="http://schemas.microsoft.com/office/drawing/2014/chart" uri="{C3380CC4-5D6E-409C-BE32-E72D297353CC}">
              <c16:uniqueId val="{00000001-B9A9-40D8-A34A-1F4D994627F9}"/>
            </c:ext>
          </c:extLst>
        </c:ser>
        <c:ser>
          <c:idx val="4"/>
          <c:order val="1"/>
          <c:tx>
            <c:strRef>
              <c:f>'Trh práce 3'!$D$8</c:f>
              <c:strCache>
                <c:ptCount val="1"/>
                <c:pt idx="0">
                  <c:v>Mediánová mzda (nominálně)</c:v>
                </c:pt>
              </c:strCache>
            </c:strRef>
          </c:tx>
          <c:spPr>
            <a:ln w="19050">
              <a:solidFill>
                <a:srgbClr val="BD1B21"/>
              </a:solidFill>
            </a:ln>
          </c:spPr>
          <c:marker>
            <c:symbol val="none"/>
          </c:marker>
          <c:cat>
            <c:multiLvlStrRef>
              <c:f>'Trh práce 3'!$A$9:$B$43</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3'!$D$9:$D$43</c:f>
              <c:numCache>
                <c:formatCode>0.0</c:formatCode>
                <c:ptCount val="35"/>
                <c:pt idx="0">
                  <c:v>3.2000000000000042</c:v>
                </c:pt>
                <c:pt idx="1">
                  <c:v>2.5999999999999943</c:v>
                </c:pt>
                <c:pt idx="2">
                  <c:v>2.7999999999999972</c:v>
                </c:pt>
                <c:pt idx="3">
                  <c:v>1.7999999999999854</c:v>
                </c:pt>
                <c:pt idx="4">
                  <c:v>2.7999999999999972</c:v>
                </c:pt>
                <c:pt idx="5">
                  <c:v>2.2000000000000042</c:v>
                </c:pt>
                <c:pt idx="6">
                  <c:v>1.7000000000000028</c:v>
                </c:pt>
                <c:pt idx="7">
                  <c:v>2.2000000000000042</c:v>
                </c:pt>
                <c:pt idx="8">
                  <c:v>1.4000000000000057</c:v>
                </c:pt>
                <c:pt idx="9">
                  <c:v>1.2999999999999854</c:v>
                </c:pt>
                <c:pt idx="10">
                  <c:v>-0.40000000000000568</c:v>
                </c:pt>
                <c:pt idx="11">
                  <c:v>-0.59999999999999432</c:v>
                </c:pt>
                <c:pt idx="12">
                  <c:v>0.59999999999999432</c:v>
                </c:pt>
                <c:pt idx="13">
                  <c:v>1.4000000000000057</c:v>
                </c:pt>
                <c:pt idx="14">
                  <c:v>2.2999999999999972</c:v>
                </c:pt>
                <c:pt idx="15">
                  <c:v>1.2000000000000028</c:v>
                </c:pt>
                <c:pt idx="16">
                  <c:v>4.7000000000000028</c:v>
                </c:pt>
                <c:pt idx="17">
                  <c:v>3.2999999999999972</c:v>
                </c:pt>
                <c:pt idx="18">
                  <c:v>2.5999999999999943</c:v>
                </c:pt>
                <c:pt idx="19">
                  <c:v>2.2999999999999972</c:v>
                </c:pt>
                <c:pt idx="20">
                  <c:v>0.70000000000000284</c:v>
                </c:pt>
                <c:pt idx="21">
                  <c:v>2.2999999999999972</c:v>
                </c:pt>
                <c:pt idx="22">
                  <c:v>3.7999999999999972</c:v>
                </c:pt>
                <c:pt idx="23">
                  <c:v>4.7000000000000028</c:v>
                </c:pt>
                <c:pt idx="24">
                  <c:v>6.7000000000000028</c:v>
                </c:pt>
                <c:pt idx="25">
                  <c:v>4.5999999999999943</c:v>
                </c:pt>
                <c:pt idx="26">
                  <c:v>5.2999999999999972</c:v>
                </c:pt>
                <c:pt idx="27">
                  <c:v>6.2000000000000028</c:v>
                </c:pt>
                <c:pt idx="28">
                  <c:v>4.4000000000000083</c:v>
                </c:pt>
                <c:pt idx="29">
                  <c:v>7.4000000000000083</c:v>
                </c:pt>
                <c:pt idx="30">
                  <c:v>6.5999999999999943</c:v>
                </c:pt>
                <c:pt idx="31">
                  <c:v>8.4000000000000057</c:v>
                </c:pt>
                <c:pt idx="32">
                  <c:v>8.4000000000000057</c:v>
                </c:pt>
                <c:pt idx="33">
                  <c:v>9.5</c:v>
                </c:pt>
                <c:pt idx="34">
                  <c:v>9.8000000000000025</c:v>
                </c:pt>
              </c:numCache>
            </c:numRef>
          </c:val>
          <c:extLst xmlns:c16r2="http://schemas.microsoft.com/office/drawing/2015/06/chart">
            <c:ext xmlns:c16="http://schemas.microsoft.com/office/drawing/2014/chart" uri="{C3380CC4-5D6E-409C-BE32-E72D297353CC}">
              <c16:uniqueId val="{00000002-B9A9-40D8-A34A-1F4D994627F9}"/>
            </c:ext>
          </c:extLst>
        </c:ser>
        <c:ser>
          <c:idx val="1"/>
          <c:order val="3"/>
          <c:tx>
            <c:strRef>
              <c:f>'Trh práce 3'!$F$8</c:f>
              <c:strCache>
                <c:ptCount val="1"/>
                <c:pt idx="0">
                  <c:v>Produktivita práce v NH (reálně)**</c:v>
                </c:pt>
              </c:strCache>
            </c:strRef>
          </c:tx>
          <c:spPr>
            <a:ln w="19050">
              <a:noFill/>
              <a:prstDash val="solid"/>
            </a:ln>
          </c:spPr>
          <c:marker>
            <c:symbol val="diamond"/>
            <c:size val="5"/>
            <c:spPr>
              <a:solidFill>
                <a:srgbClr val="FFFF00"/>
              </a:solidFill>
              <a:ln>
                <a:solidFill>
                  <a:schemeClr val="tx1">
                    <a:lumMod val="95000"/>
                    <a:lumOff val="5000"/>
                  </a:schemeClr>
                </a:solidFill>
              </a:ln>
            </c:spPr>
          </c:marker>
          <c:cat>
            <c:multiLvlStrRef>
              <c:f>'Trh práce 3'!$A$9:$B$43</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3'!$F$9:$F$43</c:f>
              <c:numCache>
                <c:formatCode>0.0</c:formatCode>
                <c:ptCount val="35"/>
                <c:pt idx="0">
                  <c:v>3.5332846838865208</c:v>
                </c:pt>
                <c:pt idx="1">
                  <c:v>4.425122650740704</c:v>
                </c:pt>
                <c:pt idx="2">
                  <c:v>2.3152819998793177</c:v>
                </c:pt>
                <c:pt idx="3">
                  <c:v>2.9717863026053952</c:v>
                </c:pt>
                <c:pt idx="4">
                  <c:v>2.9527260280244287</c:v>
                </c:pt>
                <c:pt idx="5">
                  <c:v>2.0923191727528945</c:v>
                </c:pt>
                <c:pt idx="6">
                  <c:v>1.8080251400873948</c:v>
                </c:pt>
                <c:pt idx="7">
                  <c:v>1.5019620723850615</c:v>
                </c:pt>
                <c:pt idx="8">
                  <c:v>0.41537995919813397</c:v>
                </c:pt>
                <c:pt idx="9">
                  <c:v>-1.2819231607880959</c:v>
                </c:pt>
                <c:pt idx="10">
                  <c:v>-1.8249350322319771</c:v>
                </c:pt>
                <c:pt idx="11">
                  <c:v>-2.0588258996494337</c:v>
                </c:pt>
                <c:pt idx="12">
                  <c:v>-2.8802810421720664</c:v>
                </c:pt>
                <c:pt idx="13">
                  <c:v>-1.827948004663384</c:v>
                </c:pt>
                <c:pt idx="14">
                  <c:v>0.40461936993752307</c:v>
                </c:pt>
                <c:pt idx="15">
                  <c:v>0.95515229453818629</c:v>
                </c:pt>
                <c:pt idx="16">
                  <c:v>1.7448585072078089</c:v>
                </c:pt>
                <c:pt idx="17">
                  <c:v>2.7515963261383551</c:v>
                </c:pt>
                <c:pt idx="18">
                  <c:v>3.0294730201186377</c:v>
                </c:pt>
                <c:pt idx="19">
                  <c:v>1.0840279704352811</c:v>
                </c:pt>
                <c:pt idx="20">
                  <c:v>3.7518410336967767</c:v>
                </c:pt>
                <c:pt idx="21">
                  <c:v>4.1202609165826694</c:v>
                </c:pt>
                <c:pt idx="22">
                  <c:v>3.76028698995718</c:v>
                </c:pt>
                <c:pt idx="23">
                  <c:v>3.6745015563025047</c:v>
                </c:pt>
                <c:pt idx="24">
                  <c:v>1.4752745888902998</c:v>
                </c:pt>
                <c:pt idx="25">
                  <c:v>2.0687313721093266</c:v>
                </c:pt>
                <c:pt idx="26">
                  <c:v>6.768994836319564E-2</c:v>
                </c:pt>
                <c:pt idx="27">
                  <c:v>-0.12588932224844027</c:v>
                </c:pt>
                <c:pt idx="28">
                  <c:v>2.0723573940323381</c:v>
                </c:pt>
                <c:pt idx="29">
                  <c:v>2.2918535909504953</c:v>
                </c:pt>
                <c:pt idx="30">
                  <c:v>2.851867035544676</c:v>
                </c:pt>
                <c:pt idx="31">
                  <c:v>3.4817265702648825</c:v>
                </c:pt>
                <c:pt idx="32">
                  <c:v>1.5558822166163964</c:v>
                </c:pt>
                <c:pt idx="33">
                  <c:v>0.76217093700796568</c:v>
                </c:pt>
                <c:pt idx="34">
                  <c:v>1.3715966481971551</c:v>
                </c:pt>
              </c:numCache>
            </c:numRef>
          </c:val>
          <c:extLst xmlns:c16r2="http://schemas.microsoft.com/office/drawing/2015/06/chart">
            <c:ext xmlns:c16="http://schemas.microsoft.com/office/drawing/2014/chart" uri="{C3380CC4-5D6E-409C-BE32-E72D297353CC}">
              <c16:uniqueId val="{00000003-B9A9-40D8-A34A-1F4D994627F9}"/>
            </c:ext>
          </c:extLst>
        </c:ser>
        <c:ser>
          <c:idx val="2"/>
          <c:order val="4"/>
          <c:tx>
            <c:strRef>
              <c:f>'Trh práce 3'!$G$8</c:f>
              <c:strCache>
                <c:ptCount val="1"/>
                <c:pt idx="0">
                  <c:v>Průměrná nominál.mzda v odvětví: max.*</c:v>
                </c:pt>
              </c:strCache>
            </c:strRef>
          </c:tx>
          <c:spPr>
            <a:ln>
              <a:noFill/>
            </a:ln>
          </c:spPr>
          <c:marker>
            <c:symbol val="dash"/>
            <c:size val="6"/>
            <c:spPr>
              <a:solidFill>
                <a:srgbClr val="48AEE7"/>
              </a:solidFill>
              <a:ln>
                <a:solidFill>
                  <a:srgbClr val="48AEE7"/>
                </a:solidFill>
              </a:ln>
            </c:spPr>
          </c:marker>
          <c:cat>
            <c:multiLvlStrRef>
              <c:f>'Trh práce 3'!$A$9:$B$43</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3'!$G$9:$G$43</c:f>
              <c:numCache>
                <c:formatCode>0.0</c:formatCode>
                <c:ptCount val="35"/>
                <c:pt idx="0">
                  <c:v>7.5413164871115184</c:v>
                </c:pt>
                <c:pt idx="1">
                  <c:v>13.293739728074101</c:v>
                </c:pt>
                <c:pt idx="2">
                  <c:v>7.8019930324880562</c:v>
                </c:pt>
                <c:pt idx="3">
                  <c:v>9.3197810789680364</c:v>
                </c:pt>
                <c:pt idx="4">
                  <c:v>6.5105063727178845</c:v>
                </c:pt>
                <c:pt idx="5">
                  <c:v>5.8652863407075255</c:v>
                </c:pt>
                <c:pt idx="6">
                  <c:v>4.8968853432911743</c:v>
                </c:pt>
                <c:pt idx="7">
                  <c:v>5.8113814598833784</c:v>
                </c:pt>
                <c:pt idx="8">
                  <c:v>6.2310842086523053</c:v>
                </c:pt>
                <c:pt idx="9">
                  <c:v>5.0630810092961545</c:v>
                </c:pt>
                <c:pt idx="10">
                  <c:v>4.3229152523962595</c:v>
                </c:pt>
                <c:pt idx="11" formatCode="General">
                  <c:v>10.8</c:v>
                </c:pt>
                <c:pt idx="12" formatCode="General">
                  <c:v>2.8</c:v>
                </c:pt>
                <c:pt idx="13">
                  <c:v>4.0436408026245934</c:v>
                </c:pt>
                <c:pt idx="14">
                  <c:v>4.459930313588842</c:v>
                </c:pt>
                <c:pt idx="15" formatCode="General">
                  <c:v>4.2</c:v>
                </c:pt>
                <c:pt idx="16" formatCode="General">
                  <c:v>5.7</c:v>
                </c:pt>
                <c:pt idx="17">
                  <c:v>4.1785416758012985</c:v>
                </c:pt>
                <c:pt idx="18">
                  <c:v>3.8621034224331767</c:v>
                </c:pt>
                <c:pt idx="19">
                  <c:v>4.815804274465652</c:v>
                </c:pt>
                <c:pt idx="20">
                  <c:v>4.6398585947856814</c:v>
                </c:pt>
                <c:pt idx="21">
                  <c:v>5.8929213079410765</c:v>
                </c:pt>
                <c:pt idx="22">
                  <c:v>7.2759856630824205</c:v>
                </c:pt>
                <c:pt idx="23">
                  <c:v>7.1166239345852773</c:v>
                </c:pt>
                <c:pt idx="24">
                  <c:v>7.0606074965644723</c:v>
                </c:pt>
                <c:pt idx="25">
                  <c:v>6.6862453232489694</c:v>
                </c:pt>
                <c:pt idx="26">
                  <c:v>6.5027094622759565</c:v>
                </c:pt>
                <c:pt idx="27">
                  <c:v>6.9102462271644072</c:v>
                </c:pt>
                <c:pt idx="28" formatCode="#,##0.0">
                  <c:v>10.498549195462974</c:v>
                </c:pt>
                <c:pt idx="29" formatCode="#,##0.0">
                  <c:v>14.442649434571894</c:v>
                </c:pt>
                <c:pt idx="30" formatCode="#,##0.0">
                  <c:v>9.217523423651425</c:v>
                </c:pt>
                <c:pt idx="31" formatCode="#,##0.0">
                  <c:v>12.963329245618894</c:v>
                </c:pt>
                <c:pt idx="32" formatCode="#,##0.0">
                  <c:v>13.31227051490052</c:v>
                </c:pt>
                <c:pt idx="33" formatCode="#,##0.0">
                  <c:v>13.159480853457758</c:v>
                </c:pt>
                <c:pt idx="34" formatCode="#,##0.0">
                  <c:v>13.226972363184998</c:v>
                </c:pt>
              </c:numCache>
            </c:numRef>
          </c:val>
          <c:extLst xmlns:c16r2="http://schemas.microsoft.com/office/drawing/2015/06/chart">
            <c:ext xmlns:c16="http://schemas.microsoft.com/office/drawing/2014/chart" uri="{C3380CC4-5D6E-409C-BE32-E72D297353CC}">
              <c16:uniqueId val="{00000004-B9A9-40D8-A34A-1F4D994627F9}"/>
            </c:ext>
          </c:extLst>
        </c:ser>
        <c:ser>
          <c:idx val="3"/>
          <c:order val="5"/>
          <c:tx>
            <c:strRef>
              <c:f>'Trh práce 3'!$H$8</c:f>
              <c:strCache>
                <c:ptCount val="1"/>
                <c:pt idx="0">
                  <c:v>Průměrná nominál.mzda v odvětví: min.*</c:v>
                </c:pt>
              </c:strCache>
            </c:strRef>
          </c:tx>
          <c:spPr>
            <a:ln>
              <a:noFill/>
            </a:ln>
          </c:spPr>
          <c:marker>
            <c:symbol val="dash"/>
            <c:size val="6"/>
            <c:spPr>
              <a:solidFill>
                <a:srgbClr val="0071BC"/>
              </a:solidFill>
              <a:ln>
                <a:solidFill>
                  <a:srgbClr val="0071BC"/>
                </a:solidFill>
              </a:ln>
            </c:spPr>
          </c:marker>
          <c:cat>
            <c:multiLvlStrRef>
              <c:f>'Trh práce 3'!$A$9:$B$43</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3'!$H$9:$H$43</c:f>
              <c:numCache>
                <c:formatCode>0.0</c:formatCode>
                <c:ptCount val="35"/>
                <c:pt idx="0">
                  <c:v>-8.6123799023468131</c:v>
                </c:pt>
                <c:pt idx="1">
                  <c:v>-0.94530353532593359</c:v>
                </c:pt>
                <c:pt idx="2">
                  <c:v>-2.2820133878118742</c:v>
                </c:pt>
                <c:pt idx="3">
                  <c:v>-5.8817017822221178</c:v>
                </c:pt>
                <c:pt idx="4">
                  <c:v>-4.1645837338973255</c:v>
                </c:pt>
                <c:pt idx="5">
                  <c:v>-3.1317980646613202</c:v>
                </c:pt>
                <c:pt idx="6">
                  <c:v>-1.7721281192272755</c:v>
                </c:pt>
                <c:pt idx="7">
                  <c:v>-3.6904591617794287</c:v>
                </c:pt>
                <c:pt idx="8">
                  <c:v>0.77949953870195543</c:v>
                </c:pt>
                <c:pt idx="9">
                  <c:v>-2.0921058463720641</c:v>
                </c:pt>
                <c:pt idx="10">
                  <c:v>-2.1834061135371172</c:v>
                </c:pt>
                <c:pt idx="11" formatCode="General">
                  <c:v>-1.5</c:v>
                </c:pt>
                <c:pt idx="12" formatCode="General">
                  <c:v>-3.6</c:v>
                </c:pt>
                <c:pt idx="13">
                  <c:v>-7.4553296364756525</c:v>
                </c:pt>
                <c:pt idx="14">
                  <c:v>-1.5668645251396638</c:v>
                </c:pt>
                <c:pt idx="15" formatCode="General">
                  <c:v>-6.5</c:v>
                </c:pt>
                <c:pt idx="16" formatCode="General">
                  <c:v>1.9000000000000001</c:v>
                </c:pt>
                <c:pt idx="17">
                  <c:v>0.53674544020756865</c:v>
                </c:pt>
                <c:pt idx="18">
                  <c:v>-1.9081035923141199</c:v>
                </c:pt>
                <c:pt idx="19">
                  <c:v>-4.7124364184406744</c:v>
                </c:pt>
                <c:pt idx="20">
                  <c:v>-1.8071028211270601</c:v>
                </c:pt>
                <c:pt idx="21">
                  <c:v>-2.418905925813458</c:v>
                </c:pt>
                <c:pt idx="22">
                  <c:v>-1.5012815818381569</c:v>
                </c:pt>
                <c:pt idx="23">
                  <c:v>-0.5914446838751104</c:v>
                </c:pt>
                <c:pt idx="24">
                  <c:v>0.8466988477110009</c:v>
                </c:pt>
                <c:pt idx="25">
                  <c:v>1.0530408579852946</c:v>
                </c:pt>
                <c:pt idx="26">
                  <c:v>-0.26422697096807007</c:v>
                </c:pt>
                <c:pt idx="27">
                  <c:v>-4.8610348236844745</c:v>
                </c:pt>
                <c:pt idx="28" formatCode="#,##0.0">
                  <c:v>-0.92197650764485672</c:v>
                </c:pt>
                <c:pt idx="29" formatCode="#,##0.0">
                  <c:v>3.0504326544882328</c:v>
                </c:pt>
                <c:pt idx="30" formatCode="#,##0.0">
                  <c:v>2.6351878810895215</c:v>
                </c:pt>
                <c:pt idx="31" formatCode="#,##0.0">
                  <c:v>4.1497727829329181</c:v>
                </c:pt>
                <c:pt idx="32" formatCode="#,##0.0">
                  <c:v>3.3704918032786777</c:v>
                </c:pt>
                <c:pt idx="33" formatCode="#,##0.0">
                  <c:v>6.1048786851030599</c:v>
                </c:pt>
                <c:pt idx="34" formatCode="#,##0.0">
                  <c:v>5.6756978991078464</c:v>
                </c:pt>
              </c:numCache>
            </c:numRef>
          </c:val>
          <c:extLst xmlns:c16r2="http://schemas.microsoft.com/office/drawing/2015/06/chart">
            <c:ext xmlns:c16="http://schemas.microsoft.com/office/drawing/2014/chart" uri="{C3380CC4-5D6E-409C-BE32-E72D297353CC}">
              <c16:uniqueId val="{00000005-B9A9-40D8-A34A-1F4D994627F9}"/>
            </c:ext>
          </c:extLst>
        </c:ser>
        <c:marker val="1"/>
        <c:axId val="174035328"/>
        <c:axId val="174037248"/>
      </c:lineChart>
      <c:catAx>
        <c:axId val="174035328"/>
        <c:scaling>
          <c:orientation val="minMax"/>
        </c:scaling>
        <c:axPos val="b"/>
        <c:numFmt formatCode="General" sourceLinked="1"/>
        <c:tickLblPos val="low"/>
        <c:spPr>
          <a:ln>
            <a:solidFill>
              <a:schemeClr val="tx1"/>
            </a:solidFill>
          </a:ln>
        </c:spPr>
        <c:txPr>
          <a:bodyPr rot="0" vert="horz"/>
          <a:lstStyle/>
          <a:p>
            <a:pPr>
              <a:defRPr/>
            </a:pPr>
            <a:endParaRPr lang="cs-CZ"/>
          </a:p>
        </c:txPr>
        <c:crossAx val="174037248"/>
        <c:crosses val="autoZero"/>
        <c:auto val="1"/>
        <c:lblAlgn val="ctr"/>
        <c:lblOffset val="0"/>
        <c:tickMarkSkip val="4"/>
      </c:catAx>
      <c:valAx>
        <c:axId val="174037248"/>
        <c:scaling>
          <c:orientation val="minMax"/>
          <c:max val="15"/>
          <c:min val="-9"/>
        </c:scaling>
        <c:axPos val="l"/>
        <c:majorGridlines>
          <c:spPr>
            <a:ln>
              <a:solidFill>
                <a:schemeClr val="bg1">
                  <a:lumMod val="75000"/>
                </a:schemeClr>
              </a:solidFill>
            </a:ln>
          </c:spPr>
        </c:majorGridlines>
        <c:numFmt formatCode="0" sourceLinked="0"/>
        <c:tickLblPos val="nextTo"/>
        <c:spPr>
          <a:ln>
            <a:solidFill>
              <a:schemeClr val="tx1"/>
            </a:solidFill>
          </a:ln>
        </c:spPr>
        <c:crossAx val="174035328"/>
        <c:crosses val="autoZero"/>
        <c:crossBetween val="between"/>
        <c:majorUnit val="1"/>
      </c:valAx>
      <c:spPr>
        <a:ln>
          <a:solidFill>
            <a:schemeClr val="tx1"/>
          </a:solidFill>
        </a:ln>
      </c:spPr>
    </c:plotArea>
    <c:legend>
      <c:legendPos val="b"/>
      <c:layout>
        <c:manualLayout>
          <c:xMode val="edge"/>
          <c:yMode val="edge"/>
          <c:x val="4.4672385016341923E-2"/>
          <c:y val="0.88298129251700685"/>
          <c:w val="0.94307265361592563"/>
          <c:h val="0.10621938775510203"/>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67AA8-E833-49B4-B4B0-9AE209235AD7}">
  <ds:schemaRefs>
    <ds:schemaRef ds:uri="http://schemas.openxmlformats.org/officeDocument/2006/bibliography"/>
  </ds:schemaRefs>
</ds:datastoreItem>
</file>

<file path=customXml/itemProps2.xml><?xml version="1.0" encoding="utf-8"?>
<ds:datastoreItem xmlns:ds="http://schemas.openxmlformats.org/officeDocument/2006/customXml" ds:itemID="{753E2984-ED0C-4B3A-B6ED-908FD82A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4</Pages>
  <Words>1778</Words>
  <Characters>10497</Characters>
  <Application>Microsoft Office Word</Application>
  <DocSecurity>0</DocSecurity>
  <Lines>87</Lines>
  <Paragraphs>24</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12251</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kamenicky3604</cp:lastModifiedBy>
  <cp:revision>3</cp:revision>
  <cp:lastPrinted>2018-12-19T13:53:00Z</cp:lastPrinted>
  <dcterms:created xsi:type="dcterms:W3CDTF">2018-12-20T10:58:00Z</dcterms:created>
  <dcterms:modified xsi:type="dcterms:W3CDTF">2018-12-20T10:59:00Z</dcterms:modified>
</cp:coreProperties>
</file>